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DB9344">
      <w:pPr>
        <w:pStyle w:val="58"/>
        <w:rPr>
          <w:color w:val="auto"/>
          <w:sz w:val="30"/>
          <w:szCs w:val="30"/>
          <w:highlight w:val="none"/>
        </w:rPr>
      </w:pPr>
      <w:r>
        <w:rPr>
          <w:rFonts w:hint="eastAsia"/>
          <w:color w:val="auto"/>
          <w:sz w:val="30"/>
          <w:szCs w:val="30"/>
          <w:highlight w:val="none"/>
        </w:rPr>
        <w:t>货物类</w:t>
      </w:r>
    </w:p>
    <w:p w14:paraId="67DF08C2">
      <w:pPr>
        <w:spacing w:before="333" w:beforeLines="100" w:after="166" w:afterLines="50"/>
        <w:ind w:firstLine="1040"/>
        <w:jc w:val="center"/>
        <w:rPr>
          <w:rFonts w:ascii="方正小标宋简体" w:hAnsi="宋体" w:eastAsia="方正小标宋简体"/>
          <w:color w:val="auto"/>
          <w:sz w:val="52"/>
          <w:szCs w:val="52"/>
          <w:highlight w:val="none"/>
        </w:rPr>
      </w:pPr>
      <w:r>
        <w:rPr>
          <w:rFonts w:hint="eastAsia" w:ascii="方正小标宋简体" w:hAnsi="宋体" w:eastAsia="方正小标宋简体"/>
          <w:color w:val="auto"/>
          <w:sz w:val="52"/>
          <w:szCs w:val="52"/>
          <w:highlight w:val="none"/>
        </w:rPr>
        <w:drawing>
          <wp:inline distT="0" distB="0" distL="114300" distR="114300">
            <wp:extent cx="893445" cy="932815"/>
            <wp:effectExtent l="0" t="0" r="1905" b="635"/>
            <wp:docPr id="10" name="图片 3" descr="科文名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科文名片"/>
                    <pic:cNvPicPr>
                      <a:picLocks noChangeAspect="1"/>
                    </pic:cNvPicPr>
                  </pic:nvPicPr>
                  <pic:blipFill>
                    <a:blip r:embed="rId14"/>
                    <a:stretch>
                      <a:fillRect/>
                    </a:stretch>
                  </pic:blipFill>
                  <pic:spPr>
                    <a:xfrm>
                      <a:off x="0" y="0"/>
                      <a:ext cx="893445" cy="932815"/>
                    </a:xfrm>
                    <a:prstGeom prst="rect">
                      <a:avLst/>
                    </a:prstGeom>
                    <a:noFill/>
                    <a:ln>
                      <a:noFill/>
                    </a:ln>
                  </pic:spPr>
                </pic:pic>
              </a:graphicData>
            </a:graphic>
          </wp:inline>
        </w:drawing>
      </w:r>
    </w:p>
    <w:p w14:paraId="3FE05F49">
      <w:pPr>
        <w:spacing w:before="333" w:beforeLines="100" w:after="166" w:afterLines="50"/>
        <w:jc w:val="center"/>
        <w:rPr>
          <w:rFonts w:ascii="方正小标宋简体" w:hAnsi="宋体" w:eastAsia="方正小标宋简体"/>
          <w:color w:val="auto"/>
          <w:sz w:val="52"/>
          <w:szCs w:val="52"/>
          <w:highlight w:val="none"/>
        </w:rPr>
      </w:pPr>
      <w:r>
        <w:rPr>
          <w:rFonts w:hint="eastAsia" w:ascii="方正小标宋简体" w:hAnsi="宋体" w:eastAsia="方正小标宋简体"/>
          <w:color w:val="auto"/>
          <w:sz w:val="52"/>
          <w:szCs w:val="52"/>
          <w:highlight w:val="none"/>
        </w:rPr>
        <mc:AlternateContent>
          <mc:Choice Requires="wps">
            <w:drawing>
              <wp:anchor distT="0" distB="0" distL="114300" distR="114300" simplePos="0" relativeHeight="251665408" behindDoc="0" locked="0" layoutInCell="1" allowOverlap="1">
                <wp:simplePos x="0" y="0"/>
                <wp:positionH relativeFrom="column">
                  <wp:posOffset>390525</wp:posOffset>
                </wp:positionH>
                <wp:positionV relativeFrom="paragraph">
                  <wp:posOffset>594360</wp:posOffset>
                </wp:positionV>
                <wp:extent cx="5127625" cy="15875"/>
                <wp:effectExtent l="0" t="6350" r="15875" b="6350"/>
                <wp:wrapNone/>
                <wp:docPr id="2" name="直接连接符 2"/>
                <wp:cNvGraphicFramePr/>
                <a:graphic xmlns:a="http://schemas.openxmlformats.org/drawingml/2006/main">
                  <a:graphicData uri="http://schemas.microsoft.com/office/word/2010/wordprocessingShape">
                    <wps:wsp>
                      <wps:cNvCnPr/>
                      <wps:spPr>
                        <a:xfrm>
                          <a:off x="0" y="0"/>
                          <a:ext cx="5127625" cy="15875"/>
                        </a:xfrm>
                        <a:prstGeom prst="line">
                          <a:avLst/>
                        </a:prstGeom>
                        <a:ln w="12700"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30.75pt;margin-top:46.8pt;height:1.25pt;width:403.75pt;z-index:251665408;mso-width-relative:page;mso-height-relative:page;" filled="f" stroked="t" coordsize="21600,21600" o:gfxdata="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776ZtgAAAAIAQAADwAAAAAAAAABACAAAAAiAAAAZHJzL2Rvd25yZXYueG1sUEsB&#10;AhQAFAAAAAgAh07iQFwVUvT1AQAA6wMAAA4AAAAAAAAAAQAgAAAAJwEAAGRycy9lMm9Eb2MueG1s&#10;UEsFBgAAAAAGAAYAWQEAAI4FAAAAAA==&#10;">
                <v:fill on="f" focussize="0,0"/>
                <v:stroke weight="1pt" color="#000000" joinstyle="round"/>
                <v:imagedata o:title=""/>
                <o:lock v:ext="edit" aspectratio="f"/>
              </v:line>
            </w:pict>
          </mc:Fallback>
        </mc:AlternateContent>
      </w:r>
      <w:r>
        <w:rPr>
          <w:rFonts w:hint="eastAsia" w:ascii="方正小标宋简体" w:hAnsi="宋体" w:eastAsia="方正小标宋简体"/>
          <w:color w:val="auto"/>
          <w:sz w:val="52"/>
          <w:szCs w:val="52"/>
          <w:highlight w:val="none"/>
        </w:rPr>
        <w:t>广 西 科 文 招 标 有 限 公 司</w:t>
      </w:r>
    </w:p>
    <w:p w14:paraId="7BED8954">
      <w:pPr>
        <w:snapToGrid w:val="0"/>
        <w:spacing w:before="166" w:beforeLines="50"/>
        <w:jc w:val="center"/>
        <w:rPr>
          <w:rFonts w:ascii="宋体" w:hAnsi="宋体" w:cs="宋体"/>
          <w:color w:val="auto"/>
          <w:sz w:val="120"/>
          <w:szCs w:val="120"/>
          <w:highlight w:val="none"/>
        </w:rPr>
      </w:pPr>
      <w:r>
        <w:rPr>
          <w:rFonts w:hint="eastAsia" w:ascii="宋体" w:hAnsi="宋体" w:cs="宋体"/>
          <w:color w:val="auto"/>
          <w:sz w:val="120"/>
          <w:szCs w:val="120"/>
          <w:highlight w:val="none"/>
        </w:rPr>
        <w:t>招 标 文 件</w:t>
      </w:r>
    </w:p>
    <w:p w14:paraId="1B4F9D44">
      <w:pPr>
        <w:pStyle w:val="56"/>
        <w:rPr>
          <w:color w:val="auto"/>
          <w:highlight w:val="none"/>
        </w:rPr>
      </w:pPr>
    </w:p>
    <w:p w14:paraId="5D5BCA11">
      <w:pPr>
        <w:pStyle w:val="24"/>
        <w:snapToGrid w:val="0"/>
        <w:jc w:val="center"/>
        <w:rPr>
          <w:color w:val="auto"/>
          <w:highlight w:val="none"/>
        </w:rPr>
      </w:pPr>
      <w:r>
        <w:rPr>
          <w:rFonts w:hint="eastAsia" w:hAnsi="宋体" w:cs="宋体"/>
          <w:color w:val="auto"/>
          <w:sz w:val="30"/>
          <w:szCs w:val="30"/>
          <w:highlight w:val="none"/>
        </w:rPr>
        <w:t>（</w:t>
      </w:r>
      <w:r>
        <w:rPr>
          <w:rFonts w:hint="eastAsia" w:hAnsi="宋体"/>
          <w:color w:val="auto"/>
          <w:highlight w:val="none"/>
        </w:rPr>
        <w:t>全流程电子化评标</w:t>
      </w:r>
      <w:r>
        <w:rPr>
          <w:rFonts w:hint="eastAsia" w:hAnsi="宋体" w:cs="宋体"/>
          <w:color w:val="auto"/>
          <w:sz w:val="30"/>
          <w:szCs w:val="30"/>
          <w:highlight w:val="none"/>
        </w:rPr>
        <w:t>）</w:t>
      </w:r>
    </w:p>
    <w:p w14:paraId="00CAC301">
      <w:pPr>
        <w:pStyle w:val="45"/>
        <w:ind w:firstLine="210"/>
        <w:rPr>
          <w:color w:val="auto"/>
          <w:highlight w:val="none"/>
        </w:rPr>
      </w:pPr>
    </w:p>
    <w:p w14:paraId="5003CD2E">
      <w:pPr>
        <w:pStyle w:val="24"/>
        <w:snapToGrid w:val="0"/>
        <w:spacing w:line="480" w:lineRule="auto"/>
        <w:jc w:val="center"/>
        <w:rPr>
          <w:rFonts w:hAnsi="宋体" w:cs="宋体"/>
          <w:b/>
          <w:bCs/>
          <w:color w:val="auto"/>
          <w:w w:val="95"/>
          <w:sz w:val="30"/>
          <w:szCs w:val="30"/>
          <w:highlight w:val="none"/>
        </w:rPr>
      </w:pPr>
      <w:r>
        <w:rPr>
          <w:rFonts w:hint="eastAsia" w:hAnsi="宋体" w:cs="宋体"/>
          <w:b/>
          <w:bCs/>
          <w:color w:val="auto"/>
          <w:w w:val="95"/>
          <w:sz w:val="30"/>
          <w:szCs w:val="30"/>
          <w:highlight w:val="none"/>
        </w:rPr>
        <w:t>项目名称：综合业务安全接入系统升级及维保服务项目</w:t>
      </w:r>
    </w:p>
    <w:p w14:paraId="0139EE3A">
      <w:pPr>
        <w:pStyle w:val="24"/>
        <w:snapToGrid w:val="0"/>
        <w:spacing w:line="480" w:lineRule="auto"/>
        <w:jc w:val="center"/>
        <w:rPr>
          <w:rFonts w:hint="eastAsia" w:hAnsi="宋体" w:eastAsia="宋体" w:cs="宋体"/>
          <w:b/>
          <w:bCs/>
          <w:color w:val="auto"/>
          <w:w w:val="95"/>
          <w:sz w:val="30"/>
          <w:szCs w:val="30"/>
          <w:highlight w:val="none"/>
          <w:lang w:eastAsia="zh-CN"/>
        </w:rPr>
      </w:pPr>
      <w:r>
        <w:rPr>
          <w:rFonts w:hint="eastAsia" w:hAnsi="宋体" w:cs="宋体"/>
          <w:b/>
          <w:bCs/>
          <w:color w:val="auto"/>
          <w:w w:val="95"/>
          <w:sz w:val="30"/>
          <w:szCs w:val="30"/>
          <w:highlight w:val="none"/>
        </w:rPr>
        <w:t>项目编号：</w:t>
      </w:r>
      <w:r>
        <w:rPr>
          <w:rFonts w:hint="eastAsia" w:hAnsi="宋体" w:cs="宋体"/>
          <w:b/>
          <w:bCs/>
          <w:color w:val="auto"/>
          <w:w w:val="95"/>
          <w:sz w:val="30"/>
          <w:szCs w:val="30"/>
          <w:highlight w:val="none"/>
          <w:lang w:eastAsia="zh-CN"/>
        </w:rPr>
        <w:t>GXZC2024-G1-005575-KWZB</w:t>
      </w:r>
    </w:p>
    <w:p w14:paraId="63089C11">
      <w:pPr>
        <w:pStyle w:val="24"/>
        <w:snapToGrid w:val="0"/>
        <w:spacing w:line="360" w:lineRule="auto"/>
        <w:ind w:firstLine="1977" w:firstLineChars="691"/>
        <w:rPr>
          <w:rFonts w:hAnsi="宋体" w:cs="宋体"/>
          <w:b/>
          <w:bCs/>
          <w:color w:val="auto"/>
          <w:w w:val="95"/>
          <w:sz w:val="30"/>
          <w:szCs w:val="30"/>
          <w:highlight w:val="none"/>
        </w:rPr>
      </w:pPr>
    </w:p>
    <w:p w14:paraId="16EAA716">
      <w:pPr>
        <w:pStyle w:val="7"/>
        <w:rPr>
          <w:color w:val="auto"/>
          <w:highlight w:val="none"/>
        </w:rPr>
      </w:pPr>
    </w:p>
    <w:p w14:paraId="598E0924">
      <w:pPr>
        <w:pStyle w:val="24"/>
        <w:snapToGrid w:val="0"/>
        <w:spacing w:line="360" w:lineRule="auto"/>
        <w:jc w:val="center"/>
        <w:rPr>
          <w:rFonts w:hAnsi="宋体" w:cs="宋体"/>
          <w:b/>
          <w:bCs/>
          <w:color w:val="auto"/>
          <w:w w:val="95"/>
          <w:sz w:val="30"/>
          <w:szCs w:val="30"/>
          <w:highlight w:val="none"/>
        </w:rPr>
      </w:pPr>
      <w:r>
        <w:rPr>
          <w:rFonts w:hint="eastAsia" w:hAnsi="宋体" w:cs="宋体"/>
          <w:b/>
          <w:bCs/>
          <w:color w:val="auto"/>
          <w:w w:val="95"/>
          <w:sz w:val="30"/>
          <w:szCs w:val="30"/>
          <w:highlight w:val="none"/>
        </w:rPr>
        <w:t>采 购 人：广西福利彩票发行中心</w:t>
      </w:r>
    </w:p>
    <w:p w14:paraId="412458FC">
      <w:pPr>
        <w:pStyle w:val="24"/>
        <w:snapToGrid w:val="0"/>
        <w:spacing w:line="360" w:lineRule="auto"/>
        <w:jc w:val="center"/>
        <w:rPr>
          <w:rFonts w:hAnsi="宋体" w:cs="宋体"/>
          <w:b/>
          <w:bCs/>
          <w:color w:val="auto"/>
          <w:w w:val="95"/>
          <w:sz w:val="30"/>
          <w:szCs w:val="30"/>
          <w:highlight w:val="none"/>
        </w:rPr>
      </w:pPr>
      <w:r>
        <w:rPr>
          <w:rFonts w:hint="eastAsia" w:hAnsi="宋体" w:cs="宋体"/>
          <w:b/>
          <w:bCs/>
          <w:color w:val="auto"/>
          <w:w w:val="95"/>
          <w:sz w:val="30"/>
          <w:szCs w:val="30"/>
          <w:highlight w:val="none"/>
        </w:rPr>
        <w:t>采购代理机构：广西科文招标有限公司</w:t>
      </w:r>
    </w:p>
    <w:p w14:paraId="0BF50B42">
      <w:pPr>
        <w:pStyle w:val="24"/>
        <w:snapToGrid w:val="0"/>
        <w:spacing w:line="360" w:lineRule="auto"/>
        <w:jc w:val="center"/>
        <w:rPr>
          <w:rFonts w:hAnsi="宋体" w:cs="宋体"/>
          <w:b/>
          <w:bCs/>
          <w:color w:val="auto"/>
          <w:w w:val="95"/>
          <w:sz w:val="30"/>
          <w:szCs w:val="30"/>
          <w:highlight w:val="none"/>
        </w:rPr>
      </w:pPr>
    </w:p>
    <w:p w14:paraId="718FF21A">
      <w:pPr>
        <w:pStyle w:val="24"/>
        <w:snapToGrid w:val="0"/>
        <w:spacing w:line="360" w:lineRule="auto"/>
        <w:jc w:val="center"/>
        <w:rPr>
          <w:rFonts w:hAnsi="宋体" w:cs="宋体"/>
          <w:color w:val="auto"/>
          <w:szCs w:val="20"/>
          <w:highlight w:val="none"/>
        </w:rPr>
      </w:pPr>
      <w:r>
        <w:rPr>
          <w:rFonts w:hint="eastAsia" w:hAnsi="宋体" w:cs="宋体"/>
          <w:b/>
          <w:bCs/>
          <w:color w:val="auto"/>
          <w:w w:val="95"/>
          <w:sz w:val="30"/>
          <w:szCs w:val="30"/>
          <w:highlight w:val="none"/>
        </w:rPr>
        <w:t>2024年</w:t>
      </w:r>
      <w:r>
        <w:rPr>
          <w:rFonts w:hint="eastAsia" w:hAnsi="宋体" w:cs="宋体"/>
          <w:b/>
          <w:bCs/>
          <w:color w:val="auto"/>
          <w:w w:val="95"/>
          <w:sz w:val="30"/>
          <w:szCs w:val="30"/>
          <w:highlight w:val="none"/>
          <w:lang w:val="en-US" w:eastAsia="zh-CN"/>
        </w:rPr>
        <w:t>9</w:t>
      </w:r>
      <w:r>
        <w:rPr>
          <w:rFonts w:hint="eastAsia" w:hAnsi="宋体" w:cs="宋体"/>
          <w:b/>
          <w:bCs/>
          <w:color w:val="auto"/>
          <w:w w:val="95"/>
          <w:sz w:val="30"/>
          <w:szCs w:val="30"/>
          <w:highlight w:val="none"/>
        </w:rPr>
        <w:t>月</w:t>
      </w:r>
      <w:r>
        <w:rPr>
          <w:rFonts w:hint="eastAsia" w:hAnsi="宋体" w:cs="宋体"/>
          <w:b/>
          <w:bCs/>
          <w:color w:val="auto"/>
          <w:w w:val="95"/>
          <w:sz w:val="30"/>
          <w:szCs w:val="30"/>
          <w:highlight w:val="none"/>
          <w:lang w:val="en-US" w:eastAsia="zh-CN"/>
        </w:rPr>
        <w:t>30</w:t>
      </w:r>
      <w:r>
        <w:rPr>
          <w:rFonts w:hint="eastAsia" w:hAnsi="宋体" w:cs="宋体"/>
          <w:b/>
          <w:bCs/>
          <w:color w:val="auto"/>
          <w:w w:val="95"/>
          <w:sz w:val="30"/>
          <w:szCs w:val="30"/>
          <w:highlight w:val="none"/>
        </w:rPr>
        <w:t>日</w:t>
      </w:r>
    </w:p>
    <w:p w14:paraId="6424832E">
      <w:pPr>
        <w:spacing w:line="360" w:lineRule="auto"/>
        <w:jc w:val="center"/>
        <w:rPr>
          <w:rFonts w:ascii="宋体" w:hAnsi="宋体" w:cs="宋体"/>
          <w:b/>
          <w:color w:val="auto"/>
          <w:sz w:val="52"/>
          <w:szCs w:val="52"/>
          <w:highlight w:val="none"/>
        </w:rPr>
      </w:pPr>
    </w:p>
    <w:p w14:paraId="045F3E2D">
      <w:pPr>
        <w:pStyle w:val="56"/>
        <w:rPr>
          <w:color w:val="auto"/>
          <w:highlight w:val="none"/>
        </w:rPr>
      </w:pPr>
    </w:p>
    <w:p w14:paraId="22927D03">
      <w:pPr>
        <w:rPr>
          <w:color w:val="auto"/>
          <w:highlight w:val="none"/>
        </w:rPr>
      </w:pPr>
    </w:p>
    <w:p w14:paraId="44A4B540">
      <w:pPr>
        <w:pStyle w:val="56"/>
        <w:rPr>
          <w:color w:val="auto"/>
          <w:highlight w:val="none"/>
        </w:rPr>
      </w:pPr>
    </w:p>
    <w:p w14:paraId="5BC94C51">
      <w:pPr>
        <w:rPr>
          <w:color w:val="auto"/>
          <w:highlight w:val="none"/>
        </w:rPr>
      </w:pPr>
    </w:p>
    <w:p w14:paraId="034CC6F3">
      <w:pPr>
        <w:spacing w:line="360" w:lineRule="auto"/>
        <w:jc w:val="center"/>
        <w:rPr>
          <w:rFonts w:ascii="宋体" w:hAnsi="宋体" w:cs="宋体"/>
          <w:b/>
          <w:color w:val="auto"/>
          <w:sz w:val="52"/>
          <w:szCs w:val="52"/>
          <w:highlight w:val="none"/>
        </w:rPr>
      </w:pPr>
      <w:r>
        <w:rPr>
          <w:rFonts w:hint="eastAsia" w:ascii="宋体" w:hAnsi="宋体" w:cs="宋体"/>
          <w:b/>
          <w:color w:val="auto"/>
          <w:sz w:val="52"/>
          <w:szCs w:val="52"/>
          <w:highlight w:val="none"/>
        </w:rPr>
        <w:t>目  录</w:t>
      </w:r>
    </w:p>
    <w:p w14:paraId="07BC6AC0">
      <w:pPr>
        <w:spacing w:line="360" w:lineRule="auto"/>
        <w:jc w:val="center"/>
        <w:rPr>
          <w:rFonts w:ascii="宋体" w:hAnsi="宋体" w:cs="宋体"/>
          <w:b/>
          <w:color w:val="auto"/>
          <w:sz w:val="52"/>
          <w:szCs w:val="52"/>
          <w:highlight w:val="none"/>
        </w:rPr>
      </w:pPr>
    </w:p>
    <w:p w14:paraId="1FAD4150">
      <w:pPr>
        <w:pStyle w:val="32"/>
        <w:tabs>
          <w:tab w:val="right" w:leader="dot" w:pos="8730"/>
          <w:tab w:val="clear" w:pos="8398"/>
        </w:tabs>
        <w:rPr>
          <w:color w:val="auto"/>
          <w:highlight w:val="none"/>
        </w:rPr>
      </w:pPr>
      <w:r>
        <w:rPr>
          <w:rFonts w:ascii="仿宋_GB2312" w:eastAsia="仿宋_GB2312"/>
          <w:b w:val="0"/>
          <w:color w:val="auto"/>
          <w:highlight w:val="none"/>
        </w:rPr>
        <w:fldChar w:fldCharType="begin"/>
      </w:r>
      <w:r>
        <w:rPr>
          <w:rFonts w:ascii="仿宋_GB2312" w:eastAsia="仿宋_GB2312"/>
          <w:b w:val="0"/>
          <w:color w:val="auto"/>
          <w:highlight w:val="none"/>
        </w:rPr>
        <w:instrText xml:space="preserve"> </w:instrText>
      </w:r>
      <w:r>
        <w:rPr>
          <w:rFonts w:hint="eastAsia" w:ascii="仿宋_GB2312" w:eastAsia="仿宋_GB2312"/>
          <w:b w:val="0"/>
          <w:color w:val="auto"/>
          <w:highlight w:val="none"/>
        </w:rPr>
        <w:instrText xml:space="preserve">TOC \o "1-2" \h \z \u</w:instrText>
      </w:r>
      <w:r>
        <w:rPr>
          <w:rFonts w:ascii="仿宋_GB2312" w:eastAsia="仿宋_GB2312"/>
          <w:b w:val="0"/>
          <w:color w:val="auto"/>
          <w:highlight w:val="none"/>
        </w:rPr>
        <w:instrText xml:space="preserve"> </w:instrText>
      </w:r>
      <w:r>
        <w:rPr>
          <w:rFonts w:ascii="仿宋_GB2312" w:eastAsia="仿宋_GB2312"/>
          <w:b w:val="0"/>
          <w:color w:val="auto"/>
          <w:highlight w:val="none"/>
        </w:rPr>
        <w:fldChar w:fldCharType="separate"/>
      </w:r>
      <w:r>
        <w:rPr>
          <w:color w:val="auto"/>
          <w:highlight w:val="none"/>
        </w:rPr>
        <w:fldChar w:fldCharType="begin"/>
      </w:r>
      <w:r>
        <w:rPr>
          <w:color w:val="auto"/>
          <w:highlight w:val="none"/>
        </w:rPr>
        <w:instrText xml:space="preserve"> HYPERLINK \l "_Toc26956" </w:instrText>
      </w:r>
      <w:r>
        <w:rPr>
          <w:color w:val="auto"/>
          <w:highlight w:val="none"/>
        </w:rPr>
        <w:fldChar w:fldCharType="separate"/>
      </w:r>
      <w:r>
        <w:rPr>
          <w:rFonts w:hint="eastAsia"/>
          <w:color w:val="auto"/>
          <w:highlight w:val="none"/>
        </w:rPr>
        <w:t>第一章  招标公告</w:t>
      </w:r>
      <w:r>
        <w:rPr>
          <w:color w:val="auto"/>
          <w:highlight w:val="none"/>
        </w:rPr>
        <w:tab/>
      </w:r>
      <w:r>
        <w:rPr>
          <w:color w:val="auto"/>
          <w:highlight w:val="none"/>
        </w:rPr>
        <w:t>1</w:t>
      </w:r>
      <w:r>
        <w:rPr>
          <w:color w:val="auto"/>
          <w:highlight w:val="none"/>
        </w:rPr>
        <w:fldChar w:fldCharType="end"/>
      </w:r>
    </w:p>
    <w:p w14:paraId="161F7C15">
      <w:pPr>
        <w:pStyle w:val="32"/>
        <w:tabs>
          <w:tab w:val="right" w:leader="dot" w:pos="8730"/>
          <w:tab w:val="clear" w:pos="8398"/>
        </w:tabs>
        <w:ind w:firstLine="241"/>
        <w:rPr>
          <w:color w:val="auto"/>
          <w:highlight w:val="none"/>
        </w:rPr>
      </w:pPr>
      <w:r>
        <w:rPr>
          <w:color w:val="auto"/>
          <w:highlight w:val="none"/>
        </w:rPr>
        <w:fldChar w:fldCharType="begin"/>
      </w:r>
      <w:r>
        <w:rPr>
          <w:color w:val="auto"/>
          <w:highlight w:val="none"/>
        </w:rPr>
        <w:instrText xml:space="preserve"> HYPERLINK \l "_Toc27979" </w:instrText>
      </w:r>
      <w:r>
        <w:rPr>
          <w:color w:val="auto"/>
          <w:highlight w:val="none"/>
        </w:rPr>
        <w:fldChar w:fldCharType="separate"/>
      </w:r>
      <w:r>
        <w:rPr>
          <w:rFonts w:hint="eastAsia"/>
          <w:color w:val="auto"/>
          <w:highlight w:val="none"/>
        </w:rPr>
        <w:t>第二章  采购需求</w:t>
      </w:r>
      <w:r>
        <w:rPr>
          <w:color w:val="auto"/>
          <w:highlight w:val="none"/>
        </w:rPr>
        <w:tab/>
      </w:r>
      <w:r>
        <w:rPr>
          <w:color w:val="auto"/>
          <w:highlight w:val="none"/>
        </w:rPr>
        <w:fldChar w:fldCharType="end"/>
      </w:r>
      <w:r>
        <w:rPr>
          <w:rFonts w:hint="eastAsia"/>
          <w:color w:val="auto"/>
          <w:highlight w:val="none"/>
        </w:rPr>
        <w:t>6</w:t>
      </w:r>
    </w:p>
    <w:p w14:paraId="2BB4136B">
      <w:pPr>
        <w:pStyle w:val="32"/>
        <w:tabs>
          <w:tab w:val="right" w:leader="dot" w:pos="8730"/>
          <w:tab w:val="clear" w:pos="8398"/>
        </w:tabs>
        <w:ind w:firstLine="241"/>
        <w:rPr>
          <w:color w:val="auto"/>
          <w:highlight w:val="none"/>
        </w:rPr>
      </w:pPr>
      <w:r>
        <w:rPr>
          <w:color w:val="auto"/>
          <w:highlight w:val="none"/>
        </w:rPr>
        <w:fldChar w:fldCharType="begin"/>
      </w:r>
      <w:r>
        <w:rPr>
          <w:color w:val="auto"/>
          <w:highlight w:val="none"/>
        </w:rPr>
        <w:instrText xml:space="preserve"> HYPERLINK \l "_Toc25688" </w:instrText>
      </w:r>
      <w:r>
        <w:rPr>
          <w:color w:val="auto"/>
          <w:highlight w:val="none"/>
        </w:rPr>
        <w:fldChar w:fldCharType="separate"/>
      </w:r>
      <w:r>
        <w:rPr>
          <w:rFonts w:hint="eastAsia"/>
          <w:color w:val="auto"/>
          <w:highlight w:val="none"/>
        </w:rPr>
        <w:t>第三章  投标人须知</w:t>
      </w:r>
      <w:r>
        <w:rPr>
          <w:color w:val="auto"/>
          <w:highlight w:val="none"/>
        </w:rPr>
        <w:tab/>
      </w:r>
      <w:r>
        <w:rPr>
          <w:color w:val="auto"/>
          <w:highlight w:val="none"/>
        </w:rPr>
        <w:fldChar w:fldCharType="end"/>
      </w:r>
      <w:r>
        <w:rPr>
          <w:rFonts w:hint="eastAsia"/>
          <w:color w:val="auto"/>
          <w:highlight w:val="none"/>
        </w:rPr>
        <w:t>44</w:t>
      </w:r>
    </w:p>
    <w:p w14:paraId="59496EE4">
      <w:pPr>
        <w:pStyle w:val="32"/>
        <w:tabs>
          <w:tab w:val="right" w:leader="dot" w:pos="8730"/>
          <w:tab w:val="clear" w:pos="8398"/>
        </w:tabs>
        <w:ind w:firstLine="241"/>
        <w:rPr>
          <w:color w:val="auto"/>
          <w:highlight w:val="none"/>
        </w:rPr>
      </w:pPr>
      <w:r>
        <w:rPr>
          <w:color w:val="auto"/>
          <w:highlight w:val="none"/>
        </w:rPr>
        <w:fldChar w:fldCharType="begin"/>
      </w:r>
      <w:r>
        <w:rPr>
          <w:color w:val="auto"/>
          <w:highlight w:val="none"/>
        </w:rPr>
        <w:instrText xml:space="preserve"> HYPERLINK \l "_Toc15687" </w:instrText>
      </w:r>
      <w:r>
        <w:rPr>
          <w:color w:val="auto"/>
          <w:highlight w:val="none"/>
        </w:rPr>
        <w:fldChar w:fldCharType="separate"/>
      </w:r>
      <w:r>
        <w:rPr>
          <w:rFonts w:hint="eastAsia"/>
          <w:color w:val="auto"/>
          <w:highlight w:val="none"/>
        </w:rPr>
        <w:t>第四章  评标方法及评标标准</w:t>
      </w:r>
      <w:r>
        <w:rPr>
          <w:color w:val="auto"/>
          <w:highlight w:val="none"/>
        </w:rPr>
        <w:tab/>
      </w:r>
      <w:r>
        <w:rPr>
          <w:color w:val="auto"/>
          <w:highlight w:val="none"/>
        </w:rPr>
        <w:fldChar w:fldCharType="end"/>
      </w:r>
      <w:r>
        <w:rPr>
          <w:rFonts w:hint="eastAsia"/>
          <w:color w:val="auto"/>
          <w:highlight w:val="none"/>
        </w:rPr>
        <w:t>72</w:t>
      </w:r>
    </w:p>
    <w:p w14:paraId="683B6782">
      <w:pPr>
        <w:pStyle w:val="32"/>
        <w:tabs>
          <w:tab w:val="right" w:leader="dot" w:pos="8730"/>
          <w:tab w:val="clear" w:pos="8398"/>
        </w:tabs>
        <w:ind w:firstLine="241"/>
        <w:rPr>
          <w:color w:val="auto"/>
          <w:highlight w:val="none"/>
        </w:rPr>
      </w:pPr>
      <w:r>
        <w:rPr>
          <w:color w:val="auto"/>
          <w:highlight w:val="none"/>
        </w:rPr>
        <w:fldChar w:fldCharType="begin"/>
      </w:r>
      <w:r>
        <w:rPr>
          <w:color w:val="auto"/>
          <w:highlight w:val="none"/>
        </w:rPr>
        <w:instrText xml:space="preserve"> HYPERLINK \l "_Toc25250" </w:instrText>
      </w:r>
      <w:r>
        <w:rPr>
          <w:color w:val="auto"/>
          <w:highlight w:val="none"/>
        </w:rPr>
        <w:fldChar w:fldCharType="separate"/>
      </w:r>
      <w:r>
        <w:rPr>
          <w:rFonts w:hint="eastAsia"/>
          <w:color w:val="auto"/>
          <w:highlight w:val="none"/>
        </w:rPr>
        <w:t>第五章  拟签订的合同文本</w:t>
      </w:r>
      <w:r>
        <w:rPr>
          <w:color w:val="auto"/>
          <w:highlight w:val="none"/>
        </w:rPr>
        <w:tab/>
      </w:r>
      <w:r>
        <w:rPr>
          <w:color w:val="auto"/>
          <w:highlight w:val="none"/>
        </w:rPr>
        <w:fldChar w:fldCharType="end"/>
      </w:r>
      <w:r>
        <w:rPr>
          <w:rFonts w:hint="eastAsia"/>
          <w:color w:val="auto"/>
          <w:highlight w:val="none"/>
        </w:rPr>
        <w:t>85</w:t>
      </w:r>
    </w:p>
    <w:p w14:paraId="1D9018B3">
      <w:pPr>
        <w:pStyle w:val="32"/>
        <w:tabs>
          <w:tab w:val="right" w:leader="dot" w:pos="8730"/>
          <w:tab w:val="clear" w:pos="8398"/>
        </w:tabs>
        <w:ind w:firstLine="241"/>
        <w:rPr>
          <w:color w:val="auto"/>
          <w:sz w:val="32"/>
          <w:szCs w:val="32"/>
          <w:highlight w:val="none"/>
        </w:rPr>
      </w:pPr>
      <w:r>
        <w:rPr>
          <w:color w:val="auto"/>
          <w:highlight w:val="none"/>
        </w:rPr>
        <w:fldChar w:fldCharType="begin"/>
      </w:r>
      <w:r>
        <w:rPr>
          <w:color w:val="auto"/>
          <w:highlight w:val="none"/>
        </w:rPr>
        <w:instrText xml:space="preserve"> HYPERLINK \l "_Toc25289" </w:instrText>
      </w:r>
      <w:r>
        <w:rPr>
          <w:color w:val="auto"/>
          <w:highlight w:val="none"/>
        </w:rPr>
        <w:fldChar w:fldCharType="separate"/>
      </w:r>
      <w:r>
        <w:rPr>
          <w:rFonts w:hint="eastAsia"/>
          <w:color w:val="auto"/>
          <w:highlight w:val="none"/>
        </w:rPr>
        <w:t>第六章　投标文件格式</w:t>
      </w:r>
      <w:r>
        <w:rPr>
          <w:color w:val="auto"/>
          <w:highlight w:val="none"/>
        </w:rPr>
        <w:tab/>
      </w:r>
      <w:r>
        <w:rPr>
          <w:color w:val="auto"/>
          <w:highlight w:val="none"/>
        </w:rPr>
        <w:fldChar w:fldCharType="end"/>
      </w:r>
      <w:r>
        <w:rPr>
          <w:rFonts w:hint="eastAsia"/>
          <w:color w:val="auto"/>
          <w:highlight w:val="none"/>
        </w:rPr>
        <w:t>98</w:t>
      </w:r>
    </w:p>
    <w:p w14:paraId="79FCBB59">
      <w:pPr>
        <w:pStyle w:val="32"/>
        <w:tabs>
          <w:tab w:val="left" w:pos="1260"/>
        </w:tabs>
        <w:spacing w:line="480" w:lineRule="auto"/>
        <w:ind w:left="1260" w:leftChars="600" w:firstLine="0" w:firstLineChars="0"/>
        <w:rPr>
          <w:rFonts w:cs="宋体"/>
          <w:b w:val="0"/>
          <w:color w:val="auto"/>
          <w:sz w:val="32"/>
          <w:szCs w:val="32"/>
          <w:highlight w:val="none"/>
        </w:rPr>
      </w:pPr>
      <w:r>
        <w:rPr>
          <w:rFonts w:ascii="仿宋_GB2312" w:eastAsia="仿宋_GB2312"/>
          <w:color w:val="auto"/>
          <w:highlight w:val="none"/>
        </w:rPr>
        <w:fldChar w:fldCharType="end"/>
      </w:r>
    </w:p>
    <w:p w14:paraId="14040959">
      <w:pPr>
        <w:spacing w:before="166" w:beforeLines="50" w:line="480" w:lineRule="auto"/>
        <w:ind w:firstLine="1890" w:firstLineChars="525"/>
        <w:rPr>
          <w:rFonts w:ascii="宋体" w:hAnsi="宋体" w:cs="宋体"/>
          <w:color w:val="auto"/>
          <w:sz w:val="36"/>
          <w:szCs w:val="32"/>
          <w:highlight w:val="none"/>
        </w:rPr>
      </w:pPr>
    </w:p>
    <w:p w14:paraId="572DE4C2">
      <w:pPr>
        <w:spacing w:line="480" w:lineRule="auto"/>
        <w:ind w:firstLine="1260" w:firstLineChars="525"/>
        <w:rPr>
          <w:rFonts w:ascii="宋体" w:hAnsi="宋体" w:cs="宋体"/>
          <w:color w:val="auto"/>
          <w:sz w:val="24"/>
          <w:szCs w:val="32"/>
          <w:highlight w:val="none"/>
        </w:rPr>
      </w:pPr>
    </w:p>
    <w:p w14:paraId="39E410B2">
      <w:pPr>
        <w:spacing w:before="166" w:beforeLines="50" w:line="480" w:lineRule="exact"/>
        <w:rPr>
          <w:rFonts w:ascii="宋体" w:hAnsi="宋体" w:cs="宋体"/>
          <w:color w:val="auto"/>
          <w:sz w:val="30"/>
          <w:highlight w:val="none"/>
        </w:rPr>
      </w:pPr>
    </w:p>
    <w:p w14:paraId="57CE95FF">
      <w:pPr>
        <w:spacing w:before="166" w:beforeLines="50" w:line="480" w:lineRule="exact"/>
        <w:rPr>
          <w:rFonts w:ascii="宋体" w:hAnsi="宋体" w:cs="宋体"/>
          <w:color w:val="auto"/>
          <w:sz w:val="30"/>
          <w:highlight w:val="none"/>
        </w:rPr>
      </w:pPr>
    </w:p>
    <w:p w14:paraId="4690D580">
      <w:pPr>
        <w:pStyle w:val="17"/>
        <w:rPr>
          <w:rFonts w:ascii="宋体" w:hAnsi="宋体" w:cs="宋体"/>
          <w:b/>
          <w:bCs/>
          <w:color w:val="auto"/>
          <w:highlight w:val="none"/>
        </w:rPr>
      </w:pPr>
      <w:bookmarkStart w:id="0" w:name="_Toc254970630"/>
      <w:bookmarkStart w:id="1" w:name="_Toc254970489"/>
    </w:p>
    <w:p w14:paraId="3F0A9C5F">
      <w:pPr>
        <w:pStyle w:val="3"/>
        <w:keepNext w:val="0"/>
        <w:keepLines w:val="0"/>
        <w:tabs>
          <w:tab w:val="left" w:pos="0"/>
          <w:tab w:val="left" w:pos="3165"/>
          <w:tab w:val="center" w:pos="4153"/>
        </w:tabs>
        <w:autoSpaceDE w:val="0"/>
        <w:autoSpaceDN w:val="0"/>
        <w:adjustRightInd w:val="0"/>
        <w:spacing w:before="0" w:after="0" w:line="360" w:lineRule="auto"/>
        <w:jc w:val="center"/>
        <w:rPr>
          <w:rFonts w:ascii="宋体" w:hAnsi="宋体" w:cs="宋体"/>
          <w:color w:val="auto"/>
          <w:highlight w:val="none"/>
        </w:rPr>
        <w:sectPr>
          <w:footerReference r:id="rId3" w:type="default"/>
          <w:pgSz w:w="11906" w:h="16838"/>
          <w:pgMar w:top="1417" w:right="1417" w:bottom="1417" w:left="1417" w:header="720" w:footer="720" w:gutter="0"/>
          <w:cols w:space="0" w:num="1"/>
          <w:docGrid w:type="lines" w:linePitch="333" w:charSpace="0"/>
        </w:sectPr>
      </w:pPr>
      <w:bookmarkStart w:id="2" w:name="_Toc74320800"/>
    </w:p>
    <w:p w14:paraId="78A5BA0A">
      <w:pPr>
        <w:pStyle w:val="3"/>
        <w:keepNext w:val="0"/>
        <w:keepLines w:val="0"/>
        <w:tabs>
          <w:tab w:val="left" w:pos="0"/>
          <w:tab w:val="left" w:pos="3165"/>
          <w:tab w:val="center" w:pos="4153"/>
        </w:tabs>
        <w:autoSpaceDE w:val="0"/>
        <w:autoSpaceDN w:val="0"/>
        <w:adjustRightInd w:val="0"/>
        <w:spacing w:before="0" w:after="0" w:line="360" w:lineRule="auto"/>
        <w:jc w:val="center"/>
        <w:rPr>
          <w:rFonts w:ascii="宋体" w:hAnsi="宋体" w:cs="宋体"/>
          <w:color w:val="auto"/>
          <w:highlight w:val="none"/>
        </w:rPr>
      </w:pPr>
      <w:r>
        <w:rPr>
          <w:rFonts w:hint="eastAsia" w:ascii="宋体" w:hAnsi="宋体" w:cs="宋体"/>
          <w:color w:val="auto"/>
          <w:highlight w:val="none"/>
        </w:rPr>
        <w:t>第一章</w:t>
      </w:r>
      <w:bookmarkEnd w:id="0"/>
      <w:bookmarkEnd w:id="1"/>
      <w:bookmarkStart w:id="3" w:name="_Toc35393789"/>
      <w:bookmarkStart w:id="4" w:name="_Toc28359001"/>
      <w:r>
        <w:rPr>
          <w:rFonts w:hint="eastAsia" w:ascii="宋体" w:hAnsi="宋体" w:cs="宋体"/>
          <w:color w:val="auto"/>
          <w:highlight w:val="none"/>
        </w:rPr>
        <w:t xml:space="preserve"> 招标公告</w:t>
      </w:r>
      <w:bookmarkEnd w:id="2"/>
      <w:bookmarkEnd w:id="3"/>
      <w:bookmarkEnd w:id="4"/>
    </w:p>
    <w:p w14:paraId="7DFCDC8D">
      <w:pPr>
        <w:rPr>
          <w:rFonts w:ascii="宋体" w:hAnsi="宋体" w:cs="宋体"/>
          <w:color w:val="auto"/>
          <w:highlight w:val="none"/>
        </w:rPr>
      </w:pPr>
    </w:p>
    <w:p w14:paraId="215E13AA">
      <w:pPr>
        <w:pStyle w:val="24"/>
        <w:spacing w:line="500" w:lineRule="exact"/>
        <w:jc w:val="center"/>
        <w:rPr>
          <w:rFonts w:hAnsi="宋体" w:cs="宋体"/>
          <w:b/>
          <w:color w:val="auto"/>
          <w:sz w:val="36"/>
          <w:szCs w:val="36"/>
          <w:highlight w:val="none"/>
        </w:rPr>
      </w:pPr>
      <w:r>
        <w:rPr>
          <w:rFonts w:hint="eastAsia" w:hAnsi="宋体" w:cs="宋体"/>
          <w:b/>
          <w:color w:val="auto"/>
          <w:sz w:val="36"/>
          <w:szCs w:val="36"/>
          <w:highlight w:val="none"/>
        </w:rPr>
        <w:t>广西科文招标有限公司</w:t>
      </w:r>
    </w:p>
    <w:p w14:paraId="71A971A2">
      <w:pPr>
        <w:pStyle w:val="3"/>
        <w:tabs>
          <w:tab w:val="left" w:pos="0"/>
          <w:tab w:val="left" w:pos="3165"/>
          <w:tab w:val="center" w:pos="4153"/>
        </w:tabs>
        <w:autoSpaceDE w:val="0"/>
        <w:autoSpaceDN w:val="0"/>
        <w:adjustRightInd w:val="0"/>
        <w:spacing w:before="0" w:after="0" w:line="500" w:lineRule="exact"/>
        <w:jc w:val="center"/>
        <w:rPr>
          <w:rFonts w:ascii="宋体" w:hAnsi="宋体" w:cs="宋体"/>
          <w:bCs w:val="0"/>
          <w:color w:val="auto"/>
          <w:kern w:val="2"/>
          <w:sz w:val="36"/>
          <w:szCs w:val="36"/>
          <w:highlight w:val="none"/>
        </w:rPr>
      </w:pPr>
      <w:r>
        <w:rPr>
          <w:rFonts w:hint="eastAsia" w:ascii="宋体" w:hAnsi="宋体" w:cs="宋体"/>
          <w:bCs w:val="0"/>
          <w:color w:val="auto"/>
          <w:kern w:val="2"/>
          <w:sz w:val="36"/>
          <w:szCs w:val="36"/>
          <w:highlight w:val="none"/>
        </w:rPr>
        <w:t>综合业务安全接入系统升级及维保服务项目（</w:t>
      </w:r>
      <w:r>
        <w:rPr>
          <w:rFonts w:hint="eastAsia" w:ascii="宋体" w:hAnsi="宋体" w:cs="宋体"/>
          <w:bCs w:val="0"/>
          <w:color w:val="auto"/>
          <w:kern w:val="2"/>
          <w:sz w:val="36"/>
          <w:szCs w:val="36"/>
          <w:highlight w:val="none"/>
          <w:lang w:eastAsia="zh-CN"/>
        </w:rPr>
        <w:t>GXZC2024-G1-005575-KWZB</w:t>
      </w:r>
      <w:r>
        <w:rPr>
          <w:rFonts w:hint="eastAsia" w:ascii="宋体" w:hAnsi="宋体" w:cs="宋体"/>
          <w:bCs w:val="0"/>
          <w:color w:val="auto"/>
          <w:kern w:val="2"/>
          <w:sz w:val="36"/>
          <w:szCs w:val="36"/>
          <w:highlight w:val="none"/>
        </w:rPr>
        <w:t>）</w:t>
      </w:r>
    </w:p>
    <w:p w14:paraId="16AEFD7E">
      <w:pPr>
        <w:pStyle w:val="3"/>
        <w:tabs>
          <w:tab w:val="left" w:pos="0"/>
          <w:tab w:val="left" w:pos="3165"/>
          <w:tab w:val="center" w:pos="4153"/>
        </w:tabs>
        <w:autoSpaceDE w:val="0"/>
        <w:autoSpaceDN w:val="0"/>
        <w:adjustRightInd w:val="0"/>
        <w:spacing w:before="0" w:after="0" w:line="500" w:lineRule="exact"/>
        <w:jc w:val="center"/>
        <w:rPr>
          <w:rFonts w:ascii="宋体" w:hAnsi="宋体" w:cs="宋体"/>
          <w:color w:val="auto"/>
          <w:szCs w:val="21"/>
          <w:highlight w:val="none"/>
        </w:rPr>
      </w:pPr>
      <w:r>
        <w:rPr>
          <w:rFonts w:hint="eastAsia" w:ascii="宋体" w:hAnsi="宋体" w:cs="宋体"/>
          <w:bCs w:val="0"/>
          <w:color w:val="auto"/>
          <w:kern w:val="2"/>
          <w:sz w:val="36"/>
          <w:szCs w:val="36"/>
          <w:highlight w:val="none"/>
        </w:rPr>
        <w:t>招标公告</w:t>
      </w:r>
    </w:p>
    <w:p w14:paraId="51006BEA">
      <w:pPr>
        <w:spacing w:line="360" w:lineRule="auto"/>
        <w:rPr>
          <w:rFonts w:ascii="宋体" w:hAnsi="宋体" w:cs="宋体"/>
          <w:color w:val="auto"/>
          <w:sz w:val="24"/>
          <w:highlight w:val="none"/>
        </w:rPr>
      </w:pPr>
    </w:p>
    <w:p w14:paraId="7FAB16F7">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项目概况</w:t>
      </w:r>
    </w:p>
    <w:p w14:paraId="231FA761">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u w:val="single"/>
        </w:rPr>
        <w:t>综合业务安全接入系统升级及维保服务项目</w:t>
      </w:r>
      <w:r>
        <w:rPr>
          <w:rFonts w:hint="eastAsia" w:ascii="宋体" w:hAnsi="宋体" w:cs="宋体"/>
          <w:color w:val="auto"/>
          <w:sz w:val="24"/>
          <w:highlight w:val="none"/>
        </w:rPr>
        <w:t>招标项目的潜在投标人应在广西政府采购云平台（</w:t>
      </w:r>
      <w:r>
        <w:rPr>
          <w:color w:val="auto"/>
          <w:highlight w:val="none"/>
        </w:rPr>
        <w:fldChar w:fldCharType="begin"/>
      </w:r>
      <w:r>
        <w:rPr>
          <w:color w:val="auto"/>
          <w:highlight w:val="none"/>
        </w:rPr>
        <w:instrText xml:space="preserve"> HYPERLINK "https://www.zcygov.cn/）获取（下载）招标文件，并于2023年" </w:instrText>
      </w:r>
      <w:r>
        <w:rPr>
          <w:color w:val="auto"/>
          <w:highlight w:val="none"/>
        </w:rPr>
        <w:fldChar w:fldCharType="separate"/>
      </w:r>
      <w:r>
        <w:rPr>
          <w:rFonts w:hint="eastAsia" w:ascii="宋体" w:hAnsi="宋体" w:cs="宋体"/>
          <w:color w:val="auto"/>
          <w:sz w:val="24"/>
          <w:highlight w:val="none"/>
        </w:rPr>
        <w:t xml:space="preserve"> https://www.gcy.zfcg.gxzf.gov.cn/</w:t>
      </w:r>
      <w:r>
        <w:rPr>
          <w:rStyle w:val="53"/>
          <w:rFonts w:hint="eastAsia" w:ascii="宋体" w:hAnsi="宋体" w:cs="宋体"/>
          <w:color w:val="auto"/>
          <w:sz w:val="24"/>
          <w:highlight w:val="none"/>
        </w:rPr>
        <w:t>）获取（下载）招标文件，并于</w:t>
      </w:r>
      <w:r>
        <w:rPr>
          <w:rStyle w:val="53"/>
          <w:rFonts w:hint="eastAsia" w:ascii="宋体" w:hAnsi="宋体" w:cs="宋体"/>
          <w:color w:val="auto"/>
          <w:sz w:val="24"/>
          <w:highlight w:val="none"/>
        </w:rPr>
        <w:fldChar w:fldCharType="end"/>
      </w:r>
      <w:bookmarkStart w:id="149" w:name="_GoBack"/>
      <w:bookmarkEnd w:id="149"/>
      <w:r>
        <w:rPr>
          <w:rFonts w:hint="eastAsia" w:ascii="宋体" w:hAnsi="宋体" w:cs="宋体"/>
          <w:bCs/>
          <w:color w:val="auto"/>
          <w:sz w:val="24"/>
          <w:highlight w:val="none"/>
          <w:lang w:eastAsia="zh-CN"/>
        </w:rPr>
        <w:t>2024年10月23日09时30分</w:t>
      </w:r>
      <w:r>
        <w:rPr>
          <w:rFonts w:hint="eastAsia" w:ascii="宋体" w:hAnsi="宋体" w:cs="宋体"/>
          <w:bCs/>
          <w:color w:val="auto"/>
          <w:sz w:val="24"/>
          <w:highlight w:val="none"/>
        </w:rPr>
        <w:t>（北京时间）前递交投标文件</w:t>
      </w:r>
      <w:r>
        <w:rPr>
          <w:rFonts w:hint="eastAsia" w:ascii="宋体" w:hAnsi="宋体" w:cs="宋体"/>
          <w:color w:val="auto"/>
          <w:sz w:val="24"/>
          <w:highlight w:val="none"/>
        </w:rPr>
        <w:t>。</w:t>
      </w:r>
    </w:p>
    <w:p w14:paraId="1C10F0DB">
      <w:pPr>
        <w:spacing w:line="360" w:lineRule="auto"/>
        <w:rPr>
          <w:rFonts w:ascii="宋体" w:hAnsi="宋体" w:cs="宋体"/>
          <w:color w:val="auto"/>
          <w:sz w:val="24"/>
          <w:highlight w:val="none"/>
        </w:rPr>
      </w:pPr>
    </w:p>
    <w:p w14:paraId="5D589A83">
      <w:pPr>
        <w:spacing w:line="360" w:lineRule="auto"/>
        <w:ind w:firstLine="482" w:firstLineChars="200"/>
        <w:rPr>
          <w:rFonts w:ascii="宋体" w:hAnsi="宋体" w:cs="宋体"/>
          <w:b/>
          <w:bCs/>
          <w:color w:val="auto"/>
          <w:sz w:val="24"/>
          <w:highlight w:val="none"/>
        </w:rPr>
      </w:pPr>
      <w:bookmarkStart w:id="5" w:name="_Toc35393621"/>
      <w:bookmarkStart w:id="6" w:name="_Toc35393790"/>
      <w:bookmarkStart w:id="7" w:name="_Toc28359079"/>
      <w:bookmarkStart w:id="8" w:name="_Toc28359002"/>
      <w:bookmarkStart w:id="9" w:name="_Hlk24379207"/>
      <w:r>
        <w:rPr>
          <w:rFonts w:hint="eastAsia" w:ascii="宋体" w:hAnsi="宋体" w:cs="宋体"/>
          <w:b/>
          <w:bCs/>
          <w:color w:val="auto"/>
          <w:sz w:val="24"/>
          <w:highlight w:val="none"/>
        </w:rPr>
        <w:t>一、项目基本情况</w:t>
      </w:r>
      <w:bookmarkEnd w:id="5"/>
      <w:bookmarkEnd w:id="6"/>
      <w:bookmarkEnd w:id="7"/>
      <w:bookmarkEnd w:id="8"/>
    </w:p>
    <w:bookmarkEnd w:id="9"/>
    <w:p w14:paraId="3EC94273">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rPr>
        <w:t>项目编号：</w:t>
      </w:r>
      <w:r>
        <w:rPr>
          <w:rFonts w:hint="eastAsia" w:ascii="宋体" w:hAnsi="宋体" w:cs="宋体"/>
          <w:color w:val="auto"/>
          <w:sz w:val="24"/>
          <w:highlight w:val="none"/>
          <w:lang w:eastAsia="zh-CN"/>
        </w:rPr>
        <w:t>GXZC2024-G1-005575-KWZB</w:t>
      </w:r>
    </w:p>
    <w:p w14:paraId="0FF2AF2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政府采购计划编号：广西政采[2024]9522号-001、广西政采[2024]9522号-002</w:t>
      </w:r>
    </w:p>
    <w:p w14:paraId="65FD82D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项目名称：综合业务安全接入系统升级及维保服务项目</w:t>
      </w:r>
    </w:p>
    <w:p w14:paraId="377248E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预算金额：400万元，其中1分标254万元，2分标146万元</w:t>
      </w:r>
    </w:p>
    <w:p w14:paraId="0DAA69B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最高限价：同采购预算</w:t>
      </w:r>
    </w:p>
    <w:p w14:paraId="48CA30F8">
      <w:pPr>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采购需求：</w:t>
      </w:r>
    </w:p>
    <w:tbl>
      <w:tblPr>
        <w:tblStyle w:val="48"/>
        <w:tblW w:w="94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6"/>
        <w:gridCol w:w="1591"/>
        <w:gridCol w:w="733"/>
        <w:gridCol w:w="639"/>
        <w:gridCol w:w="4424"/>
        <w:gridCol w:w="1555"/>
      </w:tblGrid>
      <w:tr w14:paraId="34DF4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536" w:type="dxa"/>
            <w:vAlign w:val="center"/>
          </w:tcPr>
          <w:p w14:paraId="6983A3BB">
            <w:pPr>
              <w:pStyle w:val="57"/>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1591" w:type="dxa"/>
            <w:vAlign w:val="center"/>
          </w:tcPr>
          <w:p w14:paraId="00EBA665">
            <w:pPr>
              <w:pStyle w:val="57"/>
              <w:jc w:val="center"/>
              <w:rPr>
                <w:rFonts w:ascii="宋体" w:hAnsi="宋体" w:cs="宋体"/>
                <w:color w:val="auto"/>
                <w:sz w:val="24"/>
                <w:szCs w:val="24"/>
                <w:highlight w:val="none"/>
              </w:rPr>
            </w:pPr>
            <w:r>
              <w:rPr>
                <w:rFonts w:hint="eastAsia" w:ascii="宋体" w:hAnsi="宋体" w:cs="宋体"/>
                <w:color w:val="auto"/>
                <w:sz w:val="24"/>
                <w:szCs w:val="24"/>
                <w:highlight w:val="none"/>
              </w:rPr>
              <w:t>标的名称</w:t>
            </w:r>
          </w:p>
        </w:tc>
        <w:tc>
          <w:tcPr>
            <w:tcW w:w="733" w:type="dxa"/>
            <w:vAlign w:val="center"/>
          </w:tcPr>
          <w:p w14:paraId="0746965C">
            <w:pPr>
              <w:pStyle w:val="57"/>
              <w:jc w:val="center"/>
              <w:rPr>
                <w:rFonts w:ascii="宋体" w:hAnsi="宋体" w:cs="宋体"/>
                <w:color w:val="auto"/>
                <w:sz w:val="24"/>
                <w:szCs w:val="24"/>
                <w:highlight w:val="none"/>
              </w:rPr>
            </w:pPr>
            <w:r>
              <w:rPr>
                <w:rFonts w:hint="eastAsia" w:ascii="宋体" w:hAnsi="宋体" w:cs="宋体"/>
                <w:color w:val="auto"/>
                <w:sz w:val="24"/>
                <w:szCs w:val="24"/>
                <w:highlight w:val="none"/>
              </w:rPr>
              <w:t>数量</w:t>
            </w:r>
          </w:p>
        </w:tc>
        <w:tc>
          <w:tcPr>
            <w:tcW w:w="639" w:type="dxa"/>
            <w:vAlign w:val="center"/>
          </w:tcPr>
          <w:p w14:paraId="0AE73AE7">
            <w:pPr>
              <w:pStyle w:val="57"/>
              <w:jc w:val="center"/>
              <w:rPr>
                <w:rFonts w:ascii="宋体" w:hAnsi="宋体" w:cs="宋体"/>
                <w:color w:val="auto"/>
                <w:sz w:val="24"/>
                <w:szCs w:val="24"/>
                <w:highlight w:val="none"/>
              </w:rPr>
            </w:pPr>
            <w:r>
              <w:rPr>
                <w:rFonts w:hint="eastAsia" w:ascii="宋体" w:hAnsi="宋体" w:cs="宋体"/>
                <w:color w:val="auto"/>
                <w:sz w:val="24"/>
                <w:szCs w:val="24"/>
                <w:highlight w:val="none"/>
              </w:rPr>
              <w:t>单位</w:t>
            </w:r>
          </w:p>
        </w:tc>
        <w:tc>
          <w:tcPr>
            <w:tcW w:w="4424" w:type="dxa"/>
            <w:vAlign w:val="center"/>
          </w:tcPr>
          <w:p w14:paraId="072AFB62">
            <w:pPr>
              <w:pStyle w:val="57"/>
              <w:jc w:val="center"/>
              <w:rPr>
                <w:rFonts w:ascii="宋体" w:hAnsi="宋体" w:cs="宋体"/>
                <w:color w:val="auto"/>
                <w:sz w:val="24"/>
                <w:szCs w:val="24"/>
                <w:highlight w:val="none"/>
              </w:rPr>
            </w:pPr>
            <w:r>
              <w:rPr>
                <w:rFonts w:hint="eastAsia" w:ascii="宋体" w:hAnsi="宋体" w:cs="宋体"/>
                <w:color w:val="auto"/>
                <w:sz w:val="24"/>
                <w:szCs w:val="24"/>
                <w:highlight w:val="none"/>
              </w:rPr>
              <w:t>技术参数摘要</w:t>
            </w:r>
          </w:p>
        </w:tc>
        <w:tc>
          <w:tcPr>
            <w:tcW w:w="1555" w:type="dxa"/>
            <w:vAlign w:val="center"/>
          </w:tcPr>
          <w:p w14:paraId="6C83B6AD">
            <w:pPr>
              <w:pStyle w:val="57"/>
              <w:jc w:val="center"/>
              <w:rPr>
                <w:rFonts w:ascii="宋体" w:hAnsi="宋体" w:cs="宋体"/>
                <w:color w:val="auto"/>
                <w:sz w:val="24"/>
                <w:szCs w:val="24"/>
                <w:highlight w:val="none"/>
              </w:rPr>
            </w:pPr>
            <w:r>
              <w:rPr>
                <w:rFonts w:hint="eastAsia" w:ascii="宋体" w:hAnsi="宋体" w:cs="宋体"/>
                <w:color w:val="auto"/>
                <w:sz w:val="24"/>
                <w:szCs w:val="24"/>
                <w:highlight w:val="none"/>
              </w:rPr>
              <w:t>单项预算（元）</w:t>
            </w:r>
          </w:p>
        </w:tc>
      </w:tr>
      <w:tr w14:paraId="0A23B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9478" w:type="dxa"/>
            <w:gridSpan w:val="6"/>
            <w:vAlign w:val="center"/>
          </w:tcPr>
          <w:p w14:paraId="0743F122">
            <w:pPr>
              <w:widowControl/>
              <w:spacing w:line="360" w:lineRule="auto"/>
              <w:jc w:val="center"/>
              <w:rPr>
                <w:rFonts w:ascii="宋体" w:hAnsi="宋体" w:cs="宋体"/>
                <w:color w:val="auto"/>
                <w:sz w:val="24"/>
                <w:highlight w:val="none"/>
              </w:rPr>
            </w:pPr>
            <w:r>
              <w:rPr>
                <w:rFonts w:hint="eastAsia" w:ascii="宋体" w:hAnsi="宋体" w:cs="宋体"/>
                <w:color w:val="auto"/>
                <w:sz w:val="24"/>
                <w:highlight w:val="none"/>
              </w:rPr>
              <w:t>1分标：综合业务安全接入系统设备升级，采购预算254万元</w:t>
            </w:r>
          </w:p>
        </w:tc>
      </w:tr>
      <w:tr w14:paraId="144ED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jc w:val="center"/>
        </w:trPr>
        <w:tc>
          <w:tcPr>
            <w:tcW w:w="536" w:type="dxa"/>
            <w:shd w:val="clear" w:color="auto" w:fill="auto"/>
            <w:vAlign w:val="center"/>
          </w:tcPr>
          <w:p w14:paraId="63F17501">
            <w:pPr>
              <w:tabs>
                <w:tab w:val="left" w:pos="180"/>
                <w:tab w:val="left" w:pos="1620"/>
              </w:tabs>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591" w:type="dxa"/>
            <w:shd w:val="clear" w:color="auto" w:fill="auto"/>
            <w:vAlign w:val="center"/>
          </w:tcPr>
          <w:p w14:paraId="0FEFEED0">
            <w:pPr>
              <w:pStyle w:val="5"/>
              <w:numPr>
                <w:ilvl w:val="2"/>
                <w:numId w:val="0"/>
              </w:numPr>
              <w:spacing w:before="312" w:after="312" w:line="360" w:lineRule="auto"/>
              <w:jc w:val="center"/>
              <w:outlineLvl w:val="2"/>
              <w:rPr>
                <w:rFonts w:ascii="宋体" w:hAnsi="宋体" w:cs="宋体"/>
                <w:color w:val="auto"/>
                <w:kern w:val="2"/>
                <w:sz w:val="24"/>
                <w:szCs w:val="24"/>
                <w:highlight w:val="none"/>
              </w:rPr>
            </w:pPr>
            <w:r>
              <w:rPr>
                <w:rFonts w:hint="eastAsia" w:ascii="宋体" w:hAnsi="宋体" w:cs="宋体"/>
                <w:b w:val="0"/>
                <w:bCs w:val="0"/>
                <w:color w:val="auto"/>
                <w:sz w:val="24"/>
                <w:szCs w:val="24"/>
                <w:highlight w:val="none"/>
              </w:rPr>
              <w:t>综合业务安全接入系统运行平台</w:t>
            </w:r>
          </w:p>
        </w:tc>
        <w:tc>
          <w:tcPr>
            <w:tcW w:w="733" w:type="dxa"/>
            <w:shd w:val="clear" w:color="auto" w:fill="auto"/>
            <w:vAlign w:val="center"/>
          </w:tcPr>
          <w:p w14:paraId="769D89D2">
            <w:pPr>
              <w:jc w:val="center"/>
              <w:rPr>
                <w:rFonts w:ascii="宋体" w:hAnsi="宋体" w:cs="宋体"/>
                <w:color w:val="auto"/>
                <w:sz w:val="24"/>
                <w:highlight w:val="none"/>
              </w:rPr>
            </w:pPr>
            <w:r>
              <w:rPr>
                <w:rFonts w:hint="eastAsia" w:ascii="宋体" w:hAnsi="宋体" w:cs="宋体"/>
                <w:color w:val="auto"/>
                <w:sz w:val="24"/>
                <w:highlight w:val="none"/>
              </w:rPr>
              <w:t>2</w:t>
            </w:r>
          </w:p>
        </w:tc>
        <w:tc>
          <w:tcPr>
            <w:tcW w:w="639" w:type="dxa"/>
            <w:shd w:val="clear" w:color="auto" w:fill="auto"/>
            <w:vAlign w:val="center"/>
          </w:tcPr>
          <w:p w14:paraId="300B5159">
            <w:pPr>
              <w:jc w:val="center"/>
              <w:rPr>
                <w:rFonts w:ascii="宋体" w:hAnsi="宋体" w:cs="宋体"/>
                <w:color w:val="auto"/>
                <w:sz w:val="24"/>
                <w:highlight w:val="none"/>
              </w:rPr>
            </w:pPr>
            <w:r>
              <w:rPr>
                <w:rFonts w:hint="eastAsia" w:ascii="宋体" w:hAnsi="宋体" w:cs="宋体"/>
                <w:color w:val="auto"/>
                <w:sz w:val="24"/>
                <w:highlight w:val="none"/>
              </w:rPr>
              <w:t>套</w:t>
            </w:r>
          </w:p>
        </w:tc>
        <w:tc>
          <w:tcPr>
            <w:tcW w:w="4424" w:type="dxa"/>
            <w:vAlign w:val="center"/>
          </w:tcPr>
          <w:p w14:paraId="37DC86C6">
            <w:pPr>
              <w:spacing w:line="360" w:lineRule="auto"/>
              <w:jc w:val="center"/>
              <w:rPr>
                <w:rFonts w:ascii="宋体" w:hAnsi="宋体" w:cs="宋体"/>
                <w:color w:val="auto"/>
                <w:sz w:val="24"/>
                <w:highlight w:val="none"/>
              </w:rPr>
            </w:pPr>
            <w:r>
              <w:rPr>
                <w:rFonts w:hint="eastAsia" w:ascii="宋体" w:hAnsi="宋体" w:cs="宋体"/>
                <w:color w:val="auto"/>
                <w:sz w:val="24"/>
                <w:highlight w:val="none"/>
              </w:rPr>
              <w:t>不低于7U机框式万兆硬件平台，采用符合PICMG3.0标准的ATCA架构。</w:t>
            </w:r>
          </w:p>
        </w:tc>
        <w:tc>
          <w:tcPr>
            <w:tcW w:w="1555" w:type="dxa"/>
            <w:vAlign w:val="center"/>
          </w:tcPr>
          <w:p w14:paraId="71B2C8C4">
            <w:pPr>
              <w:widowControl/>
              <w:spacing w:line="360" w:lineRule="auto"/>
              <w:jc w:val="center"/>
              <w:rPr>
                <w:rFonts w:ascii="宋体" w:hAnsi="宋体" w:cs="宋体"/>
                <w:color w:val="auto"/>
                <w:sz w:val="24"/>
                <w:highlight w:val="none"/>
              </w:rPr>
            </w:pPr>
            <w:r>
              <w:rPr>
                <w:rFonts w:hint="eastAsia" w:ascii="宋体" w:hAnsi="宋体" w:cs="宋体"/>
                <w:color w:val="auto"/>
                <w:sz w:val="24"/>
                <w:highlight w:val="none"/>
              </w:rPr>
              <w:t>280000.00</w:t>
            </w:r>
          </w:p>
        </w:tc>
      </w:tr>
      <w:tr w14:paraId="75D70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536" w:type="dxa"/>
            <w:shd w:val="clear" w:color="auto" w:fill="auto"/>
            <w:vAlign w:val="center"/>
          </w:tcPr>
          <w:p w14:paraId="012965AF">
            <w:pPr>
              <w:tabs>
                <w:tab w:val="left" w:pos="180"/>
                <w:tab w:val="left" w:pos="1620"/>
              </w:tabs>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591" w:type="dxa"/>
            <w:shd w:val="clear" w:color="auto" w:fill="auto"/>
            <w:vAlign w:val="center"/>
          </w:tcPr>
          <w:p w14:paraId="4FB6838C">
            <w:pPr>
              <w:pStyle w:val="5"/>
              <w:numPr>
                <w:ilvl w:val="2"/>
                <w:numId w:val="0"/>
              </w:numPr>
              <w:spacing w:before="312" w:after="312" w:line="360" w:lineRule="auto"/>
              <w:jc w:val="center"/>
              <w:outlineLvl w:val="2"/>
              <w:rPr>
                <w:rFonts w:ascii="宋体" w:hAnsi="宋体" w:cs="宋体"/>
                <w:color w:val="auto"/>
                <w:kern w:val="2"/>
                <w:sz w:val="24"/>
                <w:szCs w:val="24"/>
                <w:highlight w:val="none"/>
              </w:rPr>
            </w:pPr>
            <w:r>
              <w:rPr>
                <w:rFonts w:hint="eastAsia" w:ascii="宋体" w:hAnsi="宋体" w:cs="宋体"/>
                <w:b w:val="0"/>
                <w:bCs w:val="0"/>
                <w:color w:val="auto"/>
                <w:sz w:val="24"/>
                <w:szCs w:val="24"/>
                <w:highlight w:val="none"/>
              </w:rPr>
              <w:t>安全管理系统</w:t>
            </w:r>
          </w:p>
        </w:tc>
        <w:tc>
          <w:tcPr>
            <w:tcW w:w="733" w:type="dxa"/>
            <w:shd w:val="clear" w:color="auto" w:fill="auto"/>
            <w:vAlign w:val="center"/>
          </w:tcPr>
          <w:p w14:paraId="54406677">
            <w:pPr>
              <w:jc w:val="center"/>
              <w:rPr>
                <w:rFonts w:ascii="宋体" w:hAnsi="宋体" w:cs="宋体"/>
                <w:color w:val="auto"/>
                <w:sz w:val="24"/>
                <w:highlight w:val="none"/>
              </w:rPr>
            </w:pPr>
            <w:r>
              <w:rPr>
                <w:rFonts w:hint="eastAsia" w:ascii="宋体" w:hAnsi="宋体" w:cs="宋体"/>
                <w:color w:val="auto"/>
                <w:sz w:val="24"/>
                <w:highlight w:val="none"/>
              </w:rPr>
              <w:t>2</w:t>
            </w:r>
          </w:p>
        </w:tc>
        <w:tc>
          <w:tcPr>
            <w:tcW w:w="639" w:type="dxa"/>
            <w:shd w:val="clear" w:color="auto" w:fill="auto"/>
            <w:vAlign w:val="center"/>
          </w:tcPr>
          <w:p w14:paraId="16A8A84C">
            <w:pPr>
              <w:jc w:val="center"/>
              <w:rPr>
                <w:rFonts w:ascii="宋体" w:hAnsi="宋体" w:cs="宋体"/>
                <w:color w:val="auto"/>
                <w:sz w:val="24"/>
                <w:highlight w:val="none"/>
              </w:rPr>
            </w:pPr>
            <w:r>
              <w:rPr>
                <w:rFonts w:hint="eastAsia" w:ascii="宋体" w:hAnsi="宋体" w:cs="宋体"/>
                <w:color w:val="auto"/>
                <w:sz w:val="24"/>
                <w:highlight w:val="none"/>
              </w:rPr>
              <w:t>套</w:t>
            </w:r>
          </w:p>
        </w:tc>
        <w:tc>
          <w:tcPr>
            <w:tcW w:w="4424" w:type="dxa"/>
            <w:vAlign w:val="center"/>
          </w:tcPr>
          <w:p w14:paraId="5CF7D21F">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国产操作系统负责整个网络环境中代销网点安全接入设备的证书发放、身份认证和管理。</w:t>
            </w:r>
          </w:p>
        </w:tc>
        <w:tc>
          <w:tcPr>
            <w:tcW w:w="1555" w:type="dxa"/>
            <w:vAlign w:val="center"/>
          </w:tcPr>
          <w:p w14:paraId="3A316FAD">
            <w:pPr>
              <w:widowControl/>
              <w:spacing w:line="360" w:lineRule="auto"/>
              <w:jc w:val="center"/>
              <w:rPr>
                <w:rFonts w:ascii="宋体" w:hAnsi="宋体" w:cs="宋体"/>
                <w:color w:val="auto"/>
                <w:sz w:val="24"/>
                <w:highlight w:val="none"/>
              </w:rPr>
            </w:pPr>
            <w:r>
              <w:rPr>
                <w:rFonts w:hint="eastAsia" w:ascii="宋体" w:hAnsi="宋体" w:cs="宋体"/>
                <w:color w:val="auto"/>
                <w:sz w:val="24"/>
                <w:highlight w:val="none"/>
              </w:rPr>
              <w:t>220000.00</w:t>
            </w:r>
          </w:p>
        </w:tc>
      </w:tr>
      <w:tr w14:paraId="422AE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536" w:type="dxa"/>
            <w:shd w:val="clear" w:color="auto" w:fill="auto"/>
            <w:vAlign w:val="center"/>
          </w:tcPr>
          <w:p w14:paraId="3B85B540">
            <w:pPr>
              <w:tabs>
                <w:tab w:val="left" w:pos="180"/>
                <w:tab w:val="left" w:pos="1620"/>
              </w:tabs>
              <w:spacing w:line="360" w:lineRule="auto"/>
              <w:jc w:val="center"/>
              <w:rPr>
                <w:rFonts w:ascii="宋体" w:hAnsi="宋体" w:cs="宋体"/>
                <w:color w:val="auto"/>
                <w:sz w:val="24"/>
                <w:highlight w:val="none"/>
              </w:rPr>
            </w:pPr>
            <w:r>
              <w:rPr>
                <w:rFonts w:hint="eastAsia" w:ascii="宋体" w:hAnsi="宋体" w:cs="宋体"/>
                <w:color w:val="auto"/>
                <w:sz w:val="24"/>
                <w:highlight w:val="none"/>
              </w:rPr>
              <w:t>3</w:t>
            </w:r>
          </w:p>
        </w:tc>
        <w:tc>
          <w:tcPr>
            <w:tcW w:w="1591" w:type="dxa"/>
            <w:shd w:val="clear" w:color="auto" w:fill="auto"/>
            <w:vAlign w:val="center"/>
          </w:tcPr>
          <w:p w14:paraId="1166CF38">
            <w:pPr>
              <w:tabs>
                <w:tab w:val="left" w:pos="180"/>
                <w:tab w:val="left" w:pos="1620"/>
              </w:tabs>
              <w:spacing w:line="360" w:lineRule="auto"/>
              <w:jc w:val="center"/>
              <w:rPr>
                <w:rFonts w:ascii="宋体" w:hAnsi="宋体" w:cs="宋体"/>
                <w:color w:val="auto"/>
                <w:sz w:val="24"/>
                <w:highlight w:val="none"/>
              </w:rPr>
            </w:pPr>
            <w:r>
              <w:rPr>
                <w:rFonts w:hint="eastAsia" w:ascii="宋体" w:hAnsi="宋体" w:cs="宋体"/>
                <w:color w:val="auto"/>
                <w:sz w:val="24"/>
                <w:highlight w:val="none"/>
              </w:rPr>
              <w:t>注册认证系统</w:t>
            </w:r>
          </w:p>
        </w:tc>
        <w:tc>
          <w:tcPr>
            <w:tcW w:w="733" w:type="dxa"/>
            <w:shd w:val="clear" w:color="auto" w:fill="auto"/>
            <w:vAlign w:val="center"/>
          </w:tcPr>
          <w:p w14:paraId="5C51A4E9">
            <w:pPr>
              <w:jc w:val="center"/>
              <w:rPr>
                <w:rFonts w:ascii="宋体" w:hAnsi="宋体" w:cs="宋体"/>
                <w:color w:val="auto"/>
                <w:sz w:val="24"/>
                <w:highlight w:val="none"/>
              </w:rPr>
            </w:pPr>
            <w:r>
              <w:rPr>
                <w:rFonts w:hint="eastAsia" w:ascii="宋体" w:hAnsi="宋体" w:cs="宋体"/>
                <w:color w:val="auto"/>
                <w:sz w:val="24"/>
                <w:highlight w:val="none"/>
              </w:rPr>
              <w:t>2</w:t>
            </w:r>
          </w:p>
        </w:tc>
        <w:tc>
          <w:tcPr>
            <w:tcW w:w="639" w:type="dxa"/>
            <w:shd w:val="clear" w:color="auto" w:fill="auto"/>
            <w:vAlign w:val="center"/>
          </w:tcPr>
          <w:p w14:paraId="618393BE">
            <w:pPr>
              <w:jc w:val="center"/>
              <w:rPr>
                <w:rFonts w:ascii="宋体" w:hAnsi="宋体" w:cs="宋体"/>
                <w:color w:val="auto"/>
                <w:sz w:val="24"/>
                <w:highlight w:val="none"/>
              </w:rPr>
            </w:pPr>
            <w:r>
              <w:rPr>
                <w:rFonts w:hint="eastAsia" w:ascii="宋体" w:hAnsi="宋体" w:cs="宋体"/>
                <w:color w:val="auto"/>
                <w:sz w:val="24"/>
                <w:highlight w:val="none"/>
              </w:rPr>
              <w:t>套</w:t>
            </w:r>
          </w:p>
        </w:tc>
        <w:tc>
          <w:tcPr>
            <w:tcW w:w="4424" w:type="dxa"/>
            <w:vAlign w:val="center"/>
          </w:tcPr>
          <w:p w14:paraId="176CE63C">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具备对代销投注站安全接入终端设备的身份认证功能。</w:t>
            </w:r>
          </w:p>
        </w:tc>
        <w:tc>
          <w:tcPr>
            <w:tcW w:w="1555" w:type="dxa"/>
            <w:vAlign w:val="center"/>
          </w:tcPr>
          <w:p w14:paraId="344481FD">
            <w:pPr>
              <w:widowControl/>
              <w:spacing w:line="360" w:lineRule="auto"/>
              <w:jc w:val="center"/>
              <w:rPr>
                <w:rFonts w:ascii="宋体" w:hAnsi="宋体" w:cs="宋体"/>
                <w:color w:val="auto"/>
                <w:sz w:val="24"/>
                <w:highlight w:val="none"/>
              </w:rPr>
            </w:pPr>
            <w:r>
              <w:rPr>
                <w:rFonts w:hint="eastAsia" w:ascii="宋体" w:hAnsi="宋体" w:cs="宋体"/>
                <w:color w:val="auto"/>
                <w:sz w:val="24"/>
                <w:highlight w:val="none"/>
              </w:rPr>
              <w:t>220000.00</w:t>
            </w:r>
          </w:p>
        </w:tc>
      </w:tr>
      <w:tr w14:paraId="791FF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jc w:val="center"/>
        </w:trPr>
        <w:tc>
          <w:tcPr>
            <w:tcW w:w="536" w:type="dxa"/>
            <w:shd w:val="clear" w:color="auto" w:fill="auto"/>
            <w:vAlign w:val="center"/>
          </w:tcPr>
          <w:p w14:paraId="034CC348">
            <w:pPr>
              <w:tabs>
                <w:tab w:val="left" w:pos="180"/>
                <w:tab w:val="left" w:pos="1620"/>
              </w:tabs>
              <w:spacing w:line="360" w:lineRule="auto"/>
              <w:jc w:val="center"/>
              <w:rPr>
                <w:rFonts w:ascii="宋体" w:hAnsi="宋体" w:cs="宋体"/>
                <w:color w:val="auto"/>
                <w:sz w:val="24"/>
                <w:highlight w:val="none"/>
              </w:rPr>
            </w:pPr>
            <w:r>
              <w:rPr>
                <w:rFonts w:hint="eastAsia" w:ascii="宋体" w:hAnsi="宋体" w:cs="宋体"/>
                <w:color w:val="auto"/>
                <w:sz w:val="24"/>
                <w:highlight w:val="none"/>
              </w:rPr>
              <w:t>4</w:t>
            </w:r>
          </w:p>
        </w:tc>
        <w:tc>
          <w:tcPr>
            <w:tcW w:w="1591" w:type="dxa"/>
            <w:shd w:val="clear" w:color="auto" w:fill="auto"/>
            <w:vAlign w:val="center"/>
          </w:tcPr>
          <w:p w14:paraId="640877E1">
            <w:pPr>
              <w:tabs>
                <w:tab w:val="left" w:pos="180"/>
                <w:tab w:val="left" w:pos="1620"/>
              </w:tabs>
              <w:spacing w:line="360" w:lineRule="auto"/>
              <w:jc w:val="center"/>
              <w:rPr>
                <w:rFonts w:ascii="宋体" w:hAnsi="宋体" w:cs="宋体"/>
                <w:color w:val="auto"/>
                <w:sz w:val="24"/>
                <w:highlight w:val="none"/>
              </w:rPr>
            </w:pPr>
            <w:r>
              <w:rPr>
                <w:rFonts w:hint="eastAsia" w:ascii="宋体" w:hAnsi="宋体" w:cs="宋体"/>
                <w:color w:val="auto"/>
                <w:sz w:val="24"/>
                <w:highlight w:val="none"/>
              </w:rPr>
              <w:t>业务均衡系统</w:t>
            </w:r>
          </w:p>
        </w:tc>
        <w:tc>
          <w:tcPr>
            <w:tcW w:w="733" w:type="dxa"/>
            <w:shd w:val="clear" w:color="auto" w:fill="auto"/>
            <w:vAlign w:val="center"/>
          </w:tcPr>
          <w:p w14:paraId="5E6C246B">
            <w:pPr>
              <w:jc w:val="center"/>
              <w:rPr>
                <w:rFonts w:ascii="宋体" w:hAnsi="宋体" w:cs="宋体"/>
                <w:color w:val="auto"/>
                <w:sz w:val="24"/>
                <w:highlight w:val="none"/>
              </w:rPr>
            </w:pPr>
            <w:r>
              <w:rPr>
                <w:rFonts w:hint="eastAsia" w:ascii="宋体" w:hAnsi="宋体" w:cs="宋体"/>
                <w:color w:val="auto"/>
                <w:sz w:val="24"/>
                <w:highlight w:val="none"/>
              </w:rPr>
              <w:t>2</w:t>
            </w:r>
          </w:p>
        </w:tc>
        <w:tc>
          <w:tcPr>
            <w:tcW w:w="639" w:type="dxa"/>
            <w:shd w:val="clear" w:color="auto" w:fill="auto"/>
            <w:vAlign w:val="center"/>
          </w:tcPr>
          <w:p w14:paraId="7093B82A">
            <w:pPr>
              <w:jc w:val="center"/>
              <w:rPr>
                <w:rFonts w:ascii="宋体" w:hAnsi="宋体" w:cs="宋体"/>
                <w:color w:val="auto"/>
                <w:sz w:val="24"/>
                <w:highlight w:val="none"/>
              </w:rPr>
            </w:pPr>
            <w:r>
              <w:rPr>
                <w:rFonts w:hint="eastAsia" w:ascii="宋体" w:hAnsi="宋体" w:cs="宋体"/>
                <w:color w:val="auto"/>
                <w:sz w:val="24"/>
                <w:highlight w:val="none"/>
              </w:rPr>
              <w:t>套</w:t>
            </w:r>
          </w:p>
        </w:tc>
        <w:tc>
          <w:tcPr>
            <w:tcW w:w="4424" w:type="dxa"/>
            <w:vAlign w:val="center"/>
          </w:tcPr>
          <w:p w14:paraId="5FC5DC9F">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支持多链路接入，能根据ISP智能选路；支持链路保持，使访问服务入栈和出栈链路保持一致。</w:t>
            </w:r>
          </w:p>
        </w:tc>
        <w:tc>
          <w:tcPr>
            <w:tcW w:w="1555" w:type="dxa"/>
            <w:vAlign w:val="center"/>
          </w:tcPr>
          <w:p w14:paraId="6A7EF555">
            <w:pPr>
              <w:widowControl/>
              <w:spacing w:line="360" w:lineRule="auto"/>
              <w:jc w:val="center"/>
              <w:rPr>
                <w:rFonts w:ascii="宋体" w:hAnsi="宋体" w:cs="宋体"/>
                <w:color w:val="auto"/>
                <w:sz w:val="24"/>
                <w:highlight w:val="none"/>
              </w:rPr>
            </w:pPr>
            <w:r>
              <w:rPr>
                <w:rFonts w:hint="eastAsia" w:ascii="宋体" w:hAnsi="宋体" w:cs="宋体"/>
                <w:color w:val="auto"/>
                <w:sz w:val="24"/>
                <w:highlight w:val="none"/>
              </w:rPr>
              <w:t>200000.00</w:t>
            </w:r>
          </w:p>
        </w:tc>
      </w:tr>
      <w:tr w14:paraId="64808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jc w:val="center"/>
        </w:trPr>
        <w:tc>
          <w:tcPr>
            <w:tcW w:w="536" w:type="dxa"/>
            <w:shd w:val="clear" w:color="auto" w:fill="auto"/>
            <w:vAlign w:val="center"/>
          </w:tcPr>
          <w:p w14:paraId="282DEC92">
            <w:pPr>
              <w:tabs>
                <w:tab w:val="left" w:pos="180"/>
                <w:tab w:val="left" w:pos="1620"/>
              </w:tabs>
              <w:spacing w:line="360" w:lineRule="auto"/>
              <w:jc w:val="center"/>
              <w:rPr>
                <w:rFonts w:ascii="宋体" w:hAnsi="宋体" w:cs="宋体"/>
                <w:color w:val="auto"/>
                <w:sz w:val="24"/>
                <w:highlight w:val="none"/>
              </w:rPr>
            </w:pPr>
            <w:r>
              <w:rPr>
                <w:rFonts w:hint="eastAsia" w:ascii="宋体" w:hAnsi="宋体" w:cs="宋体"/>
                <w:color w:val="auto"/>
                <w:sz w:val="24"/>
                <w:highlight w:val="none"/>
              </w:rPr>
              <w:t>5</w:t>
            </w:r>
          </w:p>
        </w:tc>
        <w:tc>
          <w:tcPr>
            <w:tcW w:w="1591" w:type="dxa"/>
            <w:shd w:val="clear" w:color="auto" w:fill="auto"/>
            <w:vAlign w:val="center"/>
          </w:tcPr>
          <w:p w14:paraId="33754D2C">
            <w:pPr>
              <w:pStyle w:val="5"/>
              <w:numPr>
                <w:ilvl w:val="2"/>
                <w:numId w:val="0"/>
              </w:numPr>
              <w:spacing w:before="312" w:after="312" w:line="360" w:lineRule="auto"/>
              <w:jc w:val="center"/>
              <w:outlineLvl w:val="2"/>
              <w:rPr>
                <w:rFonts w:ascii="宋体" w:hAnsi="宋体" w:cs="宋体"/>
                <w:color w:val="auto"/>
                <w:kern w:val="2"/>
                <w:sz w:val="24"/>
                <w:szCs w:val="24"/>
                <w:highlight w:val="none"/>
              </w:rPr>
            </w:pPr>
            <w:r>
              <w:rPr>
                <w:rFonts w:hint="eastAsia" w:ascii="宋体" w:hAnsi="宋体" w:cs="宋体"/>
                <w:b w:val="0"/>
                <w:bCs w:val="0"/>
                <w:color w:val="auto"/>
                <w:sz w:val="24"/>
                <w:szCs w:val="24"/>
                <w:highlight w:val="none"/>
              </w:rPr>
              <w:t>安全接入系统</w:t>
            </w:r>
          </w:p>
        </w:tc>
        <w:tc>
          <w:tcPr>
            <w:tcW w:w="733" w:type="dxa"/>
            <w:shd w:val="clear" w:color="auto" w:fill="auto"/>
            <w:vAlign w:val="center"/>
          </w:tcPr>
          <w:p w14:paraId="7E1F0A9A">
            <w:pPr>
              <w:jc w:val="center"/>
              <w:rPr>
                <w:rFonts w:ascii="宋体" w:hAnsi="宋体" w:cs="宋体"/>
                <w:color w:val="auto"/>
                <w:sz w:val="24"/>
                <w:highlight w:val="none"/>
              </w:rPr>
            </w:pPr>
            <w:r>
              <w:rPr>
                <w:rFonts w:hint="eastAsia" w:ascii="宋体" w:hAnsi="宋体" w:cs="宋体"/>
                <w:color w:val="auto"/>
                <w:sz w:val="24"/>
                <w:highlight w:val="none"/>
              </w:rPr>
              <w:t>4</w:t>
            </w:r>
          </w:p>
        </w:tc>
        <w:tc>
          <w:tcPr>
            <w:tcW w:w="639" w:type="dxa"/>
            <w:shd w:val="clear" w:color="auto" w:fill="auto"/>
            <w:vAlign w:val="center"/>
          </w:tcPr>
          <w:p w14:paraId="78D04DF0">
            <w:pPr>
              <w:jc w:val="center"/>
              <w:rPr>
                <w:rFonts w:ascii="宋体" w:hAnsi="宋体" w:cs="宋体"/>
                <w:color w:val="auto"/>
                <w:sz w:val="24"/>
                <w:highlight w:val="none"/>
              </w:rPr>
            </w:pPr>
            <w:r>
              <w:rPr>
                <w:rFonts w:hint="eastAsia" w:ascii="宋体" w:hAnsi="宋体" w:cs="宋体"/>
                <w:color w:val="auto"/>
                <w:sz w:val="24"/>
                <w:highlight w:val="none"/>
              </w:rPr>
              <w:t>套</w:t>
            </w:r>
          </w:p>
        </w:tc>
        <w:tc>
          <w:tcPr>
            <w:tcW w:w="4424" w:type="dxa"/>
            <w:vAlign w:val="center"/>
          </w:tcPr>
          <w:p w14:paraId="1D2B0006">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支持国密加密算法SM2、SM3、SM4等，做到系统、应用和算法多层面的国产替代，实现加密通信安全自主可控法</w:t>
            </w:r>
          </w:p>
        </w:tc>
        <w:tc>
          <w:tcPr>
            <w:tcW w:w="1555" w:type="dxa"/>
            <w:vAlign w:val="center"/>
          </w:tcPr>
          <w:p w14:paraId="77DDE335">
            <w:pPr>
              <w:widowControl/>
              <w:spacing w:line="360" w:lineRule="auto"/>
              <w:jc w:val="center"/>
              <w:rPr>
                <w:rFonts w:ascii="宋体" w:hAnsi="宋体" w:cs="宋体"/>
                <w:color w:val="auto"/>
                <w:sz w:val="24"/>
                <w:highlight w:val="none"/>
              </w:rPr>
            </w:pPr>
            <w:r>
              <w:rPr>
                <w:rFonts w:hint="eastAsia" w:ascii="宋体" w:hAnsi="宋体" w:cs="宋体"/>
                <w:color w:val="auto"/>
                <w:sz w:val="24"/>
                <w:highlight w:val="none"/>
              </w:rPr>
              <w:t>400000.00</w:t>
            </w:r>
          </w:p>
        </w:tc>
      </w:tr>
      <w:tr w14:paraId="2F8B2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536" w:type="dxa"/>
            <w:shd w:val="clear" w:color="auto" w:fill="auto"/>
            <w:vAlign w:val="center"/>
          </w:tcPr>
          <w:p w14:paraId="7A49BCCE">
            <w:pPr>
              <w:tabs>
                <w:tab w:val="left" w:pos="180"/>
                <w:tab w:val="left" w:pos="1620"/>
              </w:tabs>
              <w:spacing w:line="360" w:lineRule="auto"/>
              <w:jc w:val="center"/>
              <w:rPr>
                <w:rFonts w:ascii="宋体" w:hAnsi="宋体" w:cs="宋体"/>
                <w:color w:val="auto"/>
                <w:sz w:val="24"/>
                <w:highlight w:val="none"/>
              </w:rPr>
            </w:pPr>
            <w:r>
              <w:rPr>
                <w:rFonts w:hint="eastAsia" w:ascii="宋体" w:hAnsi="宋体" w:cs="宋体"/>
                <w:color w:val="auto"/>
                <w:sz w:val="24"/>
                <w:highlight w:val="none"/>
              </w:rPr>
              <w:t>6</w:t>
            </w:r>
          </w:p>
        </w:tc>
        <w:tc>
          <w:tcPr>
            <w:tcW w:w="1591" w:type="dxa"/>
            <w:shd w:val="clear" w:color="auto" w:fill="auto"/>
            <w:vAlign w:val="center"/>
          </w:tcPr>
          <w:p w14:paraId="6C40FC15">
            <w:pPr>
              <w:tabs>
                <w:tab w:val="left" w:pos="180"/>
                <w:tab w:val="left" w:pos="1620"/>
              </w:tabs>
              <w:spacing w:line="360" w:lineRule="auto"/>
              <w:jc w:val="center"/>
              <w:rPr>
                <w:rFonts w:ascii="宋体" w:hAnsi="宋体" w:cs="宋体"/>
                <w:color w:val="auto"/>
                <w:sz w:val="24"/>
                <w:highlight w:val="none"/>
              </w:rPr>
            </w:pPr>
            <w:r>
              <w:rPr>
                <w:rFonts w:hint="eastAsia" w:ascii="宋体" w:hAnsi="宋体" w:cs="宋体"/>
                <w:color w:val="auto"/>
                <w:sz w:val="24"/>
                <w:highlight w:val="none"/>
              </w:rPr>
              <w:t>边界防护设备</w:t>
            </w:r>
          </w:p>
        </w:tc>
        <w:tc>
          <w:tcPr>
            <w:tcW w:w="733" w:type="dxa"/>
            <w:shd w:val="clear" w:color="auto" w:fill="auto"/>
            <w:vAlign w:val="center"/>
          </w:tcPr>
          <w:p w14:paraId="200BFE2A">
            <w:pPr>
              <w:jc w:val="center"/>
              <w:rPr>
                <w:rFonts w:ascii="宋体" w:hAnsi="宋体" w:cs="宋体"/>
                <w:color w:val="auto"/>
                <w:sz w:val="24"/>
                <w:highlight w:val="none"/>
              </w:rPr>
            </w:pPr>
            <w:r>
              <w:rPr>
                <w:rFonts w:hint="eastAsia" w:ascii="宋体" w:hAnsi="宋体" w:cs="宋体"/>
                <w:color w:val="auto"/>
                <w:sz w:val="24"/>
                <w:highlight w:val="none"/>
              </w:rPr>
              <w:t>2</w:t>
            </w:r>
          </w:p>
        </w:tc>
        <w:tc>
          <w:tcPr>
            <w:tcW w:w="639" w:type="dxa"/>
            <w:shd w:val="clear" w:color="auto" w:fill="auto"/>
            <w:vAlign w:val="center"/>
          </w:tcPr>
          <w:p w14:paraId="6570109D">
            <w:pPr>
              <w:jc w:val="center"/>
              <w:rPr>
                <w:rFonts w:ascii="宋体" w:hAnsi="宋体" w:cs="宋体"/>
                <w:color w:val="auto"/>
                <w:sz w:val="24"/>
                <w:highlight w:val="none"/>
              </w:rPr>
            </w:pPr>
            <w:r>
              <w:rPr>
                <w:rFonts w:hint="eastAsia" w:ascii="宋体" w:hAnsi="宋体" w:cs="宋体"/>
                <w:color w:val="auto"/>
                <w:sz w:val="24"/>
                <w:highlight w:val="none"/>
              </w:rPr>
              <w:t>台</w:t>
            </w:r>
          </w:p>
        </w:tc>
        <w:tc>
          <w:tcPr>
            <w:tcW w:w="4424" w:type="dxa"/>
            <w:vAlign w:val="center"/>
          </w:tcPr>
          <w:p w14:paraId="72936CA1">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支持ADSL、专线、宽带等多种静态/动态接入方式。</w:t>
            </w:r>
          </w:p>
        </w:tc>
        <w:tc>
          <w:tcPr>
            <w:tcW w:w="1555" w:type="dxa"/>
            <w:vAlign w:val="center"/>
          </w:tcPr>
          <w:p w14:paraId="61DD3AEB">
            <w:pPr>
              <w:widowControl/>
              <w:spacing w:line="360" w:lineRule="auto"/>
              <w:jc w:val="center"/>
              <w:rPr>
                <w:rFonts w:ascii="宋体" w:hAnsi="宋体" w:cs="宋体"/>
                <w:color w:val="auto"/>
                <w:sz w:val="24"/>
                <w:highlight w:val="none"/>
              </w:rPr>
            </w:pPr>
            <w:r>
              <w:rPr>
                <w:rFonts w:hint="eastAsia" w:ascii="宋体" w:hAnsi="宋体" w:cs="宋体"/>
                <w:color w:val="auto"/>
                <w:sz w:val="24"/>
                <w:highlight w:val="none"/>
              </w:rPr>
              <w:t>70000.00</w:t>
            </w:r>
          </w:p>
        </w:tc>
      </w:tr>
      <w:tr w14:paraId="39A67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536" w:type="dxa"/>
            <w:shd w:val="clear" w:color="auto" w:fill="auto"/>
            <w:vAlign w:val="center"/>
          </w:tcPr>
          <w:p w14:paraId="7CE3850E">
            <w:pPr>
              <w:tabs>
                <w:tab w:val="left" w:pos="180"/>
                <w:tab w:val="left" w:pos="1620"/>
              </w:tabs>
              <w:spacing w:line="360" w:lineRule="auto"/>
              <w:jc w:val="center"/>
              <w:rPr>
                <w:rFonts w:ascii="宋体" w:hAnsi="宋体" w:cs="宋体"/>
                <w:color w:val="auto"/>
                <w:sz w:val="24"/>
                <w:highlight w:val="none"/>
              </w:rPr>
            </w:pPr>
            <w:r>
              <w:rPr>
                <w:rFonts w:hint="eastAsia" w:ascii="宋体" w:hAnsi="宋体" w:cs="宋体"/>
                <w:color w:val="auto"/>
                <w:sz w:val="24"/>
                <w:highlight w:val="none"/>
              </w:rPr>
              <w:t>7</w:t>
            </w:r>
          </w:p>
        </w:tc>
        <w:tc>
          <w:tcPr>
            <w:tcW w:w="1591" w:type="dxa"/>
            <w:shd w:val="clear" w:color="auto" w:fill="auto"/>
            <w:vAlign w:val="center"/>
          </w:tcPr>
          <w:p w14:paraId="39A5E090">
            <w:pPr>
              <w:tabs>
                <w:tab w:val="left" w:pos="180"/>
                <w:tab w:val="left" w:pos="1620"/>
              </w:tabs>
              <w:spacing w:line="360" w:lineRule="auto"/>
              <w:jc w:val="center"/>
              <w:rPr>
                <w:rFonts w:ascii="宋体" w:hAnsi="宋体" w:cs="宋体"/>
                <w:color w:val="auto"/>
                <w:sz w:val="24"/>
                <w:highlight w:val="none"/>
              </w:rPr>
            </w:pPr>
            <w:r>
              <w:rPr>
                <w:rFonts w:hint="eastAsia" w:ascii="宋体" w:hAnsi="宋体" w:cs="宋体"/>
                <w:color w:val="auto"/>
                <w:sz w:val="24"/>
                <w:highlight w:val="none"/>
              </w:rPr>
              <w:t>投注站安全接入终端</w:t>
            </w:r>
          </w:p>
        </w:tc>
        <w:tc>
          <w:tcPr>
            <w:tcW w:w="733" w:type="dxa"/>
            <w:shd w:val="clear" w:color="auto" w:fill="auto"/>
            <w:vAlign w:val="center"/>
          </w:tcPr>
          <w:p w14:paraId="6A91EDA6">
            <w:pPr>
              <w:jc w:val="center"/>
              <w:rPr>
                <w:rFonts w:ascii="宋体" w:hAnsi="宋体" w:cs="宋体"/>
                <w:color w:val="auto"/>
                <w:sz w:val="24"/>
                <w:highlight w:val="none"/>
              </w:rPr>
            </w:pPr>
            <w:r>
              <w:rPr>
                <w:rFonts w:hint="eastAsia" w:ascii="宋体" w:hAnsi="宋体" w:cs="宋体"/>
                <w:color w:val="auto"/>
                <w:sz w:val="24"/>
                <w:highlight w:val="none"/>
              </w:rPr>
              <w:t>1000</w:t>
            </w:r>
          </w:p>
        </w:tc>
        <w:tc>
          <w:tcPr>
            <w:tcW w:w="639" w:type="dxa"/>
            <w:shd w:val="clear" w:color="auto" w:fill="auto"/>
            <w:vAlign w:val="center"/>
          </w:tcPr>
          <w:p w14:paraId="580A23D5">
            <w:pPr>
              <w:jc w:val="center"/>
              <w:rPr>
                <w:rFonts w:ascii="宋体" w:hAnsi="宋体" w:cs="宋体"/>
                <w:color w:val="auto"/>
                <w:sz w:val="24"/>
                <w:highlight w:val="none"/>
              </w:rPr>
            </w:pPr>
            <w:r>
              <w:rPr>
                <w:rFonts w:hint="eastAsia" w:ascii="宋体" w:hAnsi="宋体" w:cs="宋体"/>
                <w:color w:val="auto"/>
                <w:sz w:val="24"/>
                <w:highlight w:val="none"/>
              </w:rPr>
              <w:t>台</w:t>
            </w:r>
          </w:p>
        </w:tc>
        <w:tc>
          <w:tcPr>
            <w:tcW w:w="4424" w:type="dxa"/>
            <w:vAlign w:val="center"/>
          </w:tcPr>
          <w:p w14:paraId="09429AEE">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外联网络接入：支持ADSL、专线、宽带等多种静态/动态接入方式。</w:t>
            </w:r>
          </w:p>
        </w:tc>
        <w:tc>
          <w:tcPr>
            <w:tcW w:w="1555" w:type="dxa"/>
            <w:vAlign w:val="center"/>
          </w:tcPr>
          <w:p w14:paraId="50E6F273">
            <w:pPr>
              <w:widowControl/>
              <w:spacing w:line="360" w:lineRule="auto"/>
              <w:jc w:val="center"/>
              <w:rPr>
                <w:rFonts w:ascii="宋体" w:hAnsi="宋体" w:cs="宋体"/>
                <w:color w:val="auto"/>
                <w:sz w:val="24"/>
                <w:highlight w:val="none"/>
              </w:rPr>
            </w:pPr>
            <w:r>
              <w:rPr>
                <w:rFonts w:hint="eastAsia" w:ascii="宋体" w:hAnsi="宋体" w:cs="宋体"/>
                <w:color w:val="auto"/>
                <w:sz w:val="24"/>
                <w:highlight w:val="none"/>
              </w:rPr>
              <w:t>1150000.00</w:t>
            </w:r>
          </w:p>
        </w:tc>
      </w:tr>
      <w:tr w14:paraId="6335E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9478" w:type="dxa"/>
            <w:gridSpan w:val="6"/>
            <w:vAlign w:val="center"/>
          </w:tcPr>
          <w:p w14:paraId="71BF15E5">
            <w:pPr>
              <w:widowControl/>
              <w:spacing w:line="360" w:lineRule="auto"/>
              <w:jc w:val="center"/>
              <w:rPr>
                <w:rFonts w:ascii="宋体" w:hAnsi="宋体" w:cs="宋体"/>
                <w:color w:val="auto"/>
                <w:sz w:val="24"/>
                <w:highlight w:val="none"/>
              </w:rPr>
            </w:pPr>
            <w:r>
              <w:rPr>
                <w:rFonts w:hint="eastAsia" w:ascii="宋体" w:hAnsi="宋体" w:cs="宋体"/>
                <w:color w:val="auto"/>
                <w:sz w:val="24"/>
                <w:highlight w:val="none"/>
              </w:rPr>
              <w:t>2分标 综合业务安全接入系统技术维保服务采购预算146万元</w:t>
            </w:r>
          </w:p>
        </w:tc>
      </w:tr>
      <w:tr w14:paraId="25544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536" w:type="dxa"/>
            <w:vAlign w:val="center"/>
          </w:tcPr>
          <w:p w14:paraId="10D80265">
            <w:pPr>
              <w:tabs>
                <w:tab w:val="left" w:pos="180"/>
                <w:tab w:val="left" w:pos="1620"/>
              </w:tabs>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591" w:type="dxa"/>
            <w:vAlign w:val="center"/>
          </w:tcPr>
          <w:p w14:paraId="74B1BBE6">
            <w:pPr>
              <w:tabs>
                <w:tab w:val="left" w:pos="180"/>
                <w:tab w:val="left" w:pos="1620"/>
              </w:tabs>
              <w:spacing w:line="360" w:lineRule="auto"/>
              <w:jc w:val="center"/>
              <w:rPr>
                <w:rFonts w:ascii="宋体" w:hAnsi="宋体" w:cs="宋体"/>
                <w:color w:val="auto"/>
                <w:sz w:val="24"/>
                <w:highlight w:val="none"/>
              </w:rPr>
            </w:pPr>
            <w:r>
              <w:rPr>
                <w:rFonts w:hint="eastAsia" w:ascii="宋体" w:hAnsi="宋体" w:cs="宋体"/>
                <w:color w:val="auto"/>
                <w:sz w:val="24"/>
                <w:highlight w:val="none"/>
              </w:rPr>
              <w:t>综合业务安全接入系统及5200台投注站安全接入终端销售网点数据通信技术服务</w:t>
            </w:r>
          </w:p>
        </w:tc>
        <w:tc>
          <w:tcPr>
            <w:tcW w:w="733" w:type="dxa"/>
            <w:vAlign w:val="center"/>
          </w:tcPr>
          <w:p w14:paraId="191D2801">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639" w:type="dxa"/>
            <w:vAlign w:val="center"/>
          </w:tcPr>
          <w:p w14:paraId="1F2FC4B5">
            <w:pPr>
              <w:spacing w:line="360" w:lineRule="auto"/>
              <w:jc w:val="center"/>
              <w:rPr>
                <w:rFonts w:ascii="宋体" w:hAnsi="宋体" w:cs="宋体"/>
                <w:color w:val="auto"/>
                <w:sz w:val="24"/>
                <w:highlight w:val="none"/>
              </w:rPr>
            </w:pPr>
            <w:r>
              <w:rPr>
                <w:rFonts w:hint="eastAsia" w:ascii="宋体" w:hAnsi="宋体" w:cs="宋体"/>
                <w:color w:val="auto"/>
                <w:sz w:val="24"/>
                <w:highlight w:val="none"/>
              </w:rPr>
              <w:t>项</w:t>
            </w:r>
          </w:p>
        </w:tc>
        <w:tc>
          <w:tcPr>
            <w:tcW w:w="4424" w:type="dxa"/>
            <w:vAlign w:val="center"/>
          </w:tcPr>
          <w:p w14:paraId="6D5CF65A">
            <w:pPr>
              <w:spacing w:line="360" w:lineRule="auto"/>
              <w:jc w:val="center"/>
              <w:rPr>
                <w:rFonts w:ascii="宋体" w:hAnsi="宋体" w:cs="宋体"/>
                <w:color w:val="auto"/>
                <w:sz w:val="24"/>
                <w:highlight w:val="none"/>
              </w:rPr>
            </w:pPr>
            <w:r>
              <w:rPr>
                <w:rFonts w:hint="eastAsia" w:ascii="宋体" w:hAnsi="宋体" w:cs="宋体"/>
                <w:color w:val="auto"/>
                <w:sz w:val="24"/>
                <w:highlight w:val="none"/>
              </w:rPr>
              <w:t>福利彩票综合安全接入系统两套（主备系统各一套）、销售投注站安全接入终端5200台的软硬件维护及与网络运营商的数据通信对接。</w:t>
            </w:r>
          </w:p>
        </w:tc>
        <w:tc>
          <w:tcPr>
            <w:tcW w:w="1555" w:type="dxa"/>
            <w:vAlign w:val="center"/>
          </w:tcPr>
          <w:p w14:paraId="6D912548">
            <w:pPr>
              <w:widowControl/>
              <w:spacing w:line="360" w:lineRule="auto"/>
              <w:jc w:val="center"/>
              <w:rPr>
                <w:rFonts w:ascii="宋体" w:hAnsi="宋体" w:cs="宋体"/>
                <w:color w:val="auto"/>
                <w:sz w:val="24"/>
                <w:highlight w:val="none"/>
              </w:rPr>
            </w:pPr>
            <w:r>
              <w:rPr>
                <w:rFonts w:hint="eastAsia" w:ascii="宋体" w:hAnsi="宋体" w:cs="宋体"/>
                <w:color w:val="auto"/>
                <w:sz w:val="24"/>
                <w:highlight w:val="none"/>
              </w:rPr>
              <w:t>1460000.00</w:t>
            </w:r>
          </w:p>
        </w:tc>
      </w:tr>
    </w:tbl>
    <w:p w14:paraId="309FDE27">
      <w:pPr>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详见第二章采购需求表。</w:t>
      </w:r>
    </w:p>
    <w:p w14:paraId="5BEA26A5">
      <w:pPr>
        <w:spacing w:line="360" w:lineRule="auto"/>
        <w:ind w:firstLine="480" w:firstLineChars="200"/>
        <w:rPr>
          <w:rFonts w:ascii="宋体" w:hAnsi="宋体" w:cs="宋体"/>
          <w:bCs/>
          <w:color w:val="auto"/>
          <w:sz w:val="24"/>
          <w:highlight w:val="none"/>
        </w:rPr>
      </w:pPr>
      <w:r>
        <w:rPr>
          <w:rFonts w:hint="eastAsia" w:ascii="宋体" w:hAnsi="宋体" w:cs="宋体"/>
          <w:color w:val="auto"/>
          <w:sz w:val="24"/>
          <w:highlight w:val="none"/>
        </w:rPr>
        <w:t>合同履行期限：</w:t>
      </w:r>
      <w:r>
        <w:rPr>
          <w:rFonts w:hint="eastAsia" w:ascii="宋体" w:hAnsi="宋体" w:cs="宋体"/>
          <w:color w:val="auto"/>
          <w:sz w:val="24"/>
          <w:highlight w:val="none"/>
          <w:lang w:val="en-US" w:eastAsia="zh-CN"/>
        </w:rPr>
        <w:t>详见商务条款</w:t>
      </w:r>
      <w:r>
        <w:rPr>
          <w:rFonts w:hint="eastAsia" w:ascii="宋体" w:hAnsi="宋体" w:cs="宋体"/>
          <w:bCs/>
          <w:color w:val="auto"/>
          <w:sz w:val="24"/>
          <w:highlight w:val="none"/>
        </w:rPr>
        <w:t>。</w:t>
      </w:r>
    </w:p>
    <w:p w14:paraId="149668B9">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本项目是否接受联合体投标：否。</w:t>
      </w:r>
    </w:p>
    <w:p w14:paraId="5CBA886D">
      <w:pPr>
        <w:spacing w:line="360" w:lineRule="auto"/>
        <w:ind w:firstLine="482" w:firstLineChars="200"/>
        <w:rPr>
          <w:rFonts w:ascii="宋体" w:hAnsi="宋体" w:cs="宋体"/>
          <w:b/>
          <w:bCs/>
          <w:color w:val="auto"/>
          <w:sz w:val="24"/>
          <w:highlight w:val="none"/>
        </w:rPr>
      </w:pPr>
      <w:bookmarkStart w:id="10" w:name="_Toc35393791"/>
      <w:bookmarkStart w:id="11" w:name="_Toc35393622"/>
      <w:bookmarkStart w:id="12" w:name="_Toc28359003"/>
      <w:bookmarkStart w:id="13" w:name="_Toc28359080"/>
      <w:r>
        <w:rPr>
          <w:rFonts w:hint="eastAsia" w:ascii="宋体" w:hAnsi="宋体" w:cs="宋体"/>
          <w:b/>
          <w:bCs/>
          <w:color w:val="auto"/>
          <w:sz w:val="24"/>
          <w:highlight w:val="none"/>
        </w:rPr>
        <w:t>二、申请人的资格要求：</w:t>
      </w:r>
      <w:bookmarkEnd w:id="10"/>
      <w:bookmarkEnd w:id="11"/>
      <w:bookmarkEnd w:id="12"/>
      <w:bookmarkEnd w:id="13"/>
    </w:p>
    <w:p w14:paraId="10E3B7C3">
      <w:pPr>
        <w:spacing w:line="360" w:lineRule="auto"/>
        <w:ind w:firstLine="480" w:firstLineChars="200"/>
        <w:rPr>
          <w:rFonts w:ascii="宋体" w:hAnsi="宋体" w:cs="宋体"/>
          <w:color w:val="auto"/>
          <w:sz w:val="24"/>
          <w:highlight w:val="none"/>
        </w:rPr>
      </w:pPr>
      <w:bookmarkStart w:id="14" w:name="_Hlk51746371"/>
      <w:r>
        <w:rPr>
          <w:rFonts w:hint="eastAsia" w:ascii="宋体" w:hAnsi="宋体" w:cs="宋体"/>
          <w:color w:val="auto"/>
          <w:sz w:val="24"/>
          <w:highlight w:val="none"/>
        </w:rPr>
        <w:t>1.满足《中华人民共和国政府采购法》第二十二条规定；</w:t>
      </w:r>
    </w:p>
    <w:p w14:paraId="232D1169">
      <w:pPr>
        <w:spacing w:line="360" w:lineRule="auto"/>
        <w:ind w:firstLine="480" w:firstLineChars="200"/>
        <w:rPr>
          <w:rFonts w:ascii="宋体" w:hAnsi="宋体"/>
          <w:color w:val="auto"/>
          <w:sz w:val="24"/>
          <w:highlight w:val="none"/>
        </w:rPr>
      </w:pPr>
      <w:bookmarkStart w:id="15" w:name="_Toc28359004"/>
      <w:bookmarkStart w:id="16" w:name="_Toc28359081"/>
      <w:r>
        <w:rPr>
          <w:rFonts w:hint="eastAsia" w:ascii="宋体" w:hAnsi="宋体" w:cs="宋体"/>
          <w:color w:val="auto"/>
          <w:sz w:val="24"/>
          <w:highlight w:val="none"/>
        </w:rPr>
        <w:t>2.落实政府采购政策需满足的资格要求：</w:t>
      </w:r>
      <w:r>
        <w:rPr>
          <w:rFonts w:hint="eastAsia" w:ascii="宋体" w:hAnsi="宋体"/>
          <w:color w:val="auto"/>
          <w:sz w:val="24"/>
          <w:highlight w:val="none"/>
        </w:rPr>
        <w:t>专门面向中小企业采购（监狱企业或残疾人福利性单位视同中小企业）；</w:t>
      </w:r>
    </w:p>
    <w:p w14:paraId="7B3013E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3.本项目的特定资格要求：</w:t>
      </w:r>
      <w:bookmarkEnd w:id="14"/>
      <w:r>
        <w:rPr>
          <w:rFonts w:hint="eastAsia" w:ascii="宋体" w:hAnsi="宋体" w:cs="宋体"/>
          <w:color w:val="auto"/>
          <w:sz w:val="24"/>
          <w:highlight w:val="none"/>
        </w:rPr>
        <w:t>无。</w:t>
      </w:r>
    </w:p>
    <w:p w14:paraId="508ACB51">
      <w:pPr>
        <w:spacing w:line="360" w:lineRule="auto"/>
        <w:ind w:firstLine="482" w:firstLineChars="200"/>
        <w:rPr>
          <w:rFonts w:ascii="宋体" w:hAnsi="宋体" w:cs="宋体"/>
          <w:b/>
          <w:bCs/>
          <w:color w:val="auto"/>
          <w:sz w:val="24"/>
          <w:highlight w:val="none"/>
        </w:rPr>
      </w:pPr>
      <w:bookmarkStart w:id="17" w:name="_Toc35393792"/>
      <w:bookmarkStart w:id="18" w:name="_Toc35393623"/>
      <w:r>
        <w:rPr>
          <w:rFonts w:hint="eastAsia" w:ascii="宋体" w:hAnsi="宋体" w:cs="宋体"/>
          <w:b/>
          <w:bCs/>
          <w:color w:val="auto"/>
          <w:sz w:val="24"/>
          <w:highlight w:val="none"/>
        </w:rPr>
        <w:t>三、获取招标文件</w:t>
      </w:r>
      <w:bookmarkEnd w:id="15"/>
      <w:bookmarkEnd w:id="16"/>
      <w:bookmarkEnd w:id="17"/>
      <w:bookmarkEnd w:id="18"/>
    </w:p>
    <w:p w14:paraId="4531FFB1">
      <w:pPr>
        <w:spacing w:line="360" w:lineRule="auto"/>
        <w:ind w:firstLine="480" w:firstLineChars="200"/>
        <w:rPr>
          <w:rFonts w:ascii="宋体" w:hAnsi="宋体" w:cs="宋体"/>
          <w:bCs/>
          <w:color w:val="auto"/>
          <w:kern w:val="0"/>
          <w:sz w:val="24"/>
          <w:highlight w:val="none"/>
        </w:rPr>
      </w:pPr>
      <w:r>
        <w:rPr>
          <w:rFonts w:hint="eastAsia" w:ascii="宋体" w:hAnsi="宋体" w:cs="宋体"/>
          <w:bCs/>
          <w:color w:val="auto"/>
          <w:kern w:val="0"/>
          <w:sz w:val="24"/>
          <w:highlight w:val="none"/>
        </w:rPr>
        <w:t>时间：2024</w:t>
      </w:r>
      <w:r>
        <w:rPr>
          <w:rFonts w:ascii="宋体" w:hAnsi="宋体" w:cs="宋体"/>
          <w:color w:val="auto"/>
          <w:sz w:val="24"/>
          <w:highlight w:val="none"/>
        </w:rPr>
        <w:t>年</w:t>
      </w:r>
      <w:r>
        <w:rPr>
          <w:rFonts w:hint="eastAsia" w:ascii="宋体" w:hAnsi="宋体" w:cs="宋体"/>
          <w:color w:val="auto"/>
          <w:sz w:val="24"/>
          <w:highlight w:val="none"/>
          <w:lang w:val="en-US" w:eastAsia="zh-CN"/>
        </w:rPr>
        <w:t>9</w:t>
      </w:r>
      <w:r>
        <w:rPr>
          <w:rFonts w:ascii="宋体" w:hAnsi="宋体" w:cs="宋体"/>
          <w:color w:val="auto"/>
          <w:sz w:val="24"/>
          <w:highlight w:val="none"/>
        </w:rPr>
        <w:t>月</w:t>
      </w:r>
      <w:r>
        <w:rPr>
          <w:rFonts w:hint="eastAsia" w:ascii="宋体" w:hAnsi="宋体" w:cs="宋体"/>
          <w:color w:val="auto"/>
          <w:sz w:val="24"/>
          <w:highlight w:val="none"/>
          <w:lang w:val="en-US" w:eastAsia="zh-CN"/>
        </w:rPr>
        <w:t>30</w:t>
      </w:r>
      <w:r>
        <w:rPr>
          <w:rFonts w:ascii="宋体" w:hAnsi="宋体" w:cs="宋体"/>
          <w:color w:val="auto"/>
          <w:sz w:val="24"/>
          <w:highlight w:val="none"/>
        </w:rPr>
        <w:t>日至</w:t>
      </w:r>
      <w:r>
        <w:rPr>
          <w:rFonts w:hint="eastAsia" w:ascii="宋体" w:hAnsi="宋体" w:cs="宋体"/>
          <w:color w:val="auto"/>
          <w:sz w:val="24"/>
          <w:highlight w:val="none"/>
        </w:rPr>
        <w:t>2024</w:t>
      </w:r>
      <w:r>
        <w:rPr>
          <w:rFonts w:ascii="宋体" w:hAnsi="宋体" w:cs="宋体"/>
          <w:color w:val="auto"/>
          <w:sz w:val="24"/>
          <w:highlight w:val="none"/>
        </w:rPr>
        <w:t>年</w:t>
      </w:r>
      <w:r>
        <w:rPr>
          <w:rFonts w:hint="eastAsia" w:ascii="宋体" w:hAnsi="宋体" w:cs="宋体"/>
          <w:color w:val="auto"/>
          <w:sz w:val="24"/>
          <w:highlight w:val="none"/>
          <w:lang w:val="en-US" w:eastAsia="zh-CN"/>
        </w:rPr>
        <w:t>10</w:t>
      </w:r>
      <w:r>
        <w:rPr>
          <w:rFonts w:ascii="宋体" w:hAnsi="宋体" w:cs="宋体"/>
          <w:color w:val="auto"/>
          <w:sz w:val="24"/>
          <w:highlight w:val="none"/>
        </w:rPr>
        <w:t>月</w:t>
      </w:r>
      <w:r>
        <w:rPr>
          <w:rFonts w:hint="eastAsia" w:ascii="宋体" w:hAnsi="宋体" w:cs="宋体"/>
          <w:color w:val="auto"/>
          <w:sz w:val="24"/>
          <w:highlight w:val="none"/>
          <w:lang w:val="en-US" w:eastAsia="zh-CN"/>
        </w:rPr>
        <w:t>12</w:t>
      </w:r>
      <w:r>
        <w:rPr>
          <w:rFonts w:ascii="宋体" w:hAnsi="宋体" w:cs="宋体"/>
          <w:color w:val="auto"/>
          <w:sz w:val="24"/>
          <w:highlight w:val="none"/>
        </w:rPr>
        <w:t>日</w:t>
      </w:r>
      <w:r>
        <w:rPr>
          <w:rFonts w:hint="eastAsia" w:ascii="宋体" w:hAnsi="宋体" w:cs="宋体"/>
          <w:color w:val="auto"/>
          <w:sz w:val="24"/>
          <w:highlight w:val="none"/>
        </w:rPr>
        <w:t>，</w:t>
      </w:r>
      <w:r>
        <w:rPr>
          <w:rFonts w:ascii="宋体" w:hAnsi="宋体" w:cs="宋体"/>
          <w:color w:val="auto"/>
          <w:sz w:val="24"/>
          <w:highlight w:val="none"/>
        </w:rPr>
        <w:t>每天上午00</w:t>
      </w:r>
      <w:r>
        <w:rPr>
          <w:rFonts w:hint="eastAsia" w:ascii="宋体" w:hAnsi="宋体" w:cs="宋体"/>
          <w:color w:val="auto"/>
          <w:sz w:val="24"/>
          <w:highlight w:val="none"/>
        </w:rPr>
        <w:t>:</w:t>
      </w:r>
      <w:r>
        <w:rPr>
          <w:rFonts w:ascii="宋体" w:hAnsi="宋体" w:cs="宋体"/>
          <w:color w:val="auto"/>
          <w:sz w:val="24"/>
          <w:highlight w:val="none"/>
        </w:rPr>
        <w:t>00至12</w:t>
      </w:r>
      <w:r>
        <w:rPr>
          <w:rFonts w:hint="eastAsia" w:ascii="宋体" w:hAnsi="宋体" w:cs="宋体"/>
          <w:color w:val="auto"/>
          <w:sz w:val="24"/>
          <w:highlight w:val="none"/>
        </w:rPr>
        <w:t>:</w:t>
      </w:r>
      <w:r>
        <w:rPr>
          <w:rFonts w:ascii="宋体" w:hAnsi="宋体" w:cs="宋体"/>
          <w:color w:val="auto"/>
          <w:sz w:val="24"/>
          <w:highlight w:val="none"/>
        </w:rPr>
        <w:t>00 ，下午12</w:t>
      </w:r>
      <w:r>
        <w:rPr>
          <w:rFonts w:hint="eastAsia" w:ascii="宋体" w:hAnsi="宋体" w:cs="宋体"/>
          <w:color w:val="auto"/>
          <w:sz w:val="24"/>
          <w:highlight w:val="none"/>
        </w:rPr>
        <w:t>:</w:t>
      </w:r>
      <w:r>
        <w:rPr>
          <w:rFonts w:ascii="宋体" w:hAnsi="宋体" w:cs="宋体"/>
          <w:color w:val="auto"/>
          <w:sz w:val="24"/>
          <w:highlight w:val="none"/>
        </w:rPr>
        <w:t>00至23</w:t>
      </w:r>
      <w:r>
        <w:rPr>
          <w:rFonts w:hint="eastAsia" w:ascii="宋体" w:hAnsi="宋体" w:cs="宋体"/>
          <w:color w:val="auto"/>
          <w:sz w:val="24"/>
          <w:highlight w:val="none"/>
        </w:rPr>
        <w:t>:</w:t>
      </w:r>
      <w:r>
        <w:rPr>
          <w:rFonts w:ascii="宋体" w:hAnsi="宋体" w:cs="宋体"/>
          <w:color w:val="auto"/>
          <w:sz w:val="24"/>
          <w:highlight w:val="none"/>
        </w:rPr>
        <w:t>59</w:t>
      </w:r>
      <w:r>
        <w:rPr>
          <w:rFonts w:hint="eastAsia" w:ascii="宋体" w:hAnsi="宋体" w:cs="宋体"/>
          <w:color w:val="auto"/>
          <w:sz w:val="24"/>
          <w:highlight w:val="none"/>
        </w:rPr>
        <w:t>（北京时间，法定节假日除外）</w:t>
      </w:r>
    </w:p>
    <w:p w14:paraId="213B95F2">
      <w:pPr>
        <w:spacing w:line="360" w:lineRule="auto"/>
        <w:ind w:firstLine="480" w:firstLineChars="200"/>
        <w:rPr>
          <w:rFonts w:ascii="宋体" w:hAnsi="宋体" w:cs="宋体"/>
          <w:bCs/>
          <w:color w:val="auto"/>
          <w:kern w:val="0"/>
          <w:sz w:val="24"/>
          <w:highlight w:val="none"/>
        </w:rPr>
      </w:pPr>
      <w:r>
        <w:rPr>
          <w:rFonts w:hint="eastAsia" w:ascii="宋体" w:hAnsi="宋体" w:cs="宋体"/>
          <w:bCs/>
          <w:color w:val="auto"/>
          <w:kern w:val="0"/>
          <w:sz w:val="24"/>
          <w:highlight w:val="none"/>
        </w:rPr>
        <w:t>地点：</w:t>
      </w:r>
      <w:r>
        <w:rPr>
          <w:rFonts w:hint="eastAsia" w:ascii="宋体" w:hAnsi="宋体" w:cs="宋体"/>
          <w:color w:val="auto"/>
          <w:sz w:val="24"/>
          <w:highlight w:val="none"/>
        </w:rPr>
        <w:t>广西政府采购云平台</w:t>
      </w:r>
      <w:r>
        <w:rPr>
          <w:rFonts w:hint="eastAsia" w:ascii="宋体" w:hAnsi="宋体" w:cs="宋体"/>
          <w:bCs/>
          <w:color w:val="auto"/>
          <w:kern w:val="0"/>
          <w:sz w:val="24"/>
          <w:highlight w:val="none"/>
        </w:rPr>
        <w:t>（</w:t>
      </w:r>
      <w:r>
        <w:rPr>
          <w:rFonts w:hint="eastAsia" w:ascii="宋体" w:hAnsi="宋体" w:cs="宋体"/>
          <w:color w:val="auto"/>
          <w:sz w:val="24"/>
          <w:highlight w:val="none"/>
        </w:rPr>
        <w:t>https://www.gcy.zfcg.gxzf.gov.cn/</w:t>
      </w:r>
      <w:r>
        <w:rPr>
          <w:rFonts w:hint="eastAsia" w:ascii="宋体" w:hAnsi="宋体" w:cs="宋体"/>
          <w:bCs/>
          <w:color w:val="auto"/>
          <w:kern w:val="0"/>
          <w:sz w:val="24"/>
          <w:highlight w:val="none"/>
        </w:rPr>
        <w:t>）</w:t>
      </w:r>
    </w:p>
    <w:p w14:paraId="316427F3">
      <w:pPr>
        <w:spacing w:line="360" w:lineRule="auto"/>
        <w:ind w:firstLine="480" w:firstLineChars="200"/>
        <w:rPr>
          <w:rFonts w:ascii="宋体" w:hAnsi="宋体" w:cs="宋体"/>
          <w:bCs/>
          <w:color w:val="auto"/>
          <w:kern w:val="0"/>
          <w:sz w:val="24"/>
          <w:highlight w:val="none"/>
        </w:rPr>
      </w:pPr>
      <w:r>
        <w:rPr>
          <w:rFonts w:hint="eastAsia" w:ascii="宋体" w:hAnsi="宋体" w:cs="宋体"/>
          <w:bCs/>
          <w:color w:val="auto"/>
          <w:kern w:val="0"/>
          <w:sz w:val="24"/>
          <w:highlight w:val="none"/>
        </w:rPr>
        <w:t>方式：网上下载。本项目不发放纸质文件，供应商应自行在</w:t>
      </w:r>
      <w:r>
        <w:rPr>
          <w:color w:val="auto"/>
          <w:highlight w:val="none"/>
        </w:rPr>
        <w:fldChar w:fldCharType="begin"/>
      </w:r>
      <w:r>
        <w:rPr>
          <w:color w:val="auto"/>
          <w:highlight w:val="none"/>
        </w:rPr>
        <w:instrText xml:space="preserve"> HYPERLINK </w:instrText>
      </w:r>
      <w:r>
        <w:rPr>
          <w:color w:val="auto"/>
          <w:highlight w:val="none"/>
        </w:rPr>
        <w:fldChar w:fldCharType="separate"/>
      </w:r>
      <w:r>
        <w:rPr>
          <w:color w:val="auto"/>
          <w:highlight w:val="none"/>
        </w:rPr>
        <w:fldChar w:fldCharType="end"/>
      </w:r>
      <w:r>
        <w:rPr>
          <w:rFonts w:hint="eastAsia" w:ascii="宋体" w:hAnsi="宋体" w:cs="宋体"/>
          <w:color w:val="auto"/>
          <w:sz w:val="24"/>
          <w:highlight w:val="none"/>
        </w:rPr>
        <w:t>广西政府采购云平台</w:t>
      </w:r>
      <w:r>
        <w:rPr>
          <w:rFonts w:hint="eastAsia" w:ascii="宋体" w:hAnsi="宋体" w:cs="宋体"/>
          <w:bCs/>
          <w:color w:val="auto"/>
          <w:kern w:val="0"/>
          <w:sz w:val="24"/>
          <w:highlight w:val="none"/>
        </w:rPr>
        <w:t>（</w:t>
      </w:r>
      <w:r>
        <w:rPr>
          <w:rFonts w:hint="eastAsia" w:ascii="宋体" w:hAnsi="宋体" w:cs="宋体"/>
          <w:color w:val="auto"/>
          <w:sz w:val="24"/>
          <w:highlight w:val="none"/>
        </w:rPr>
        <w:t>https://www.gcy.zfcg.gxzf.gov.cn/</w:t>
      </w:r>
      <w:r>
        <w:rPr>
          <w:rFonts w:hint="eastAsia" w:ascii="宋体" w:hAnsi="宋体" w:cs="宋体"/>
          <w:bCs/>
          <w:color w:val="auto"/>
          <w:kern w:val="0"/>
          <w:sz w:val="24"/>
          <w:highlight w:val="none"/>
        </w:rPr>
        <w:t>）下载招标文件（操作路径：登录</w:t>
      </w:r>
      <w:r>
        <w:rPr>
          <w:rFonts w:hint="eastAsia" w:ascii="宋体" w:hAnsi="宋体" w:cs="宋体"/>
          <w:color w:val="auto"/>
          <w:sz w:val="24"/>
          <w:highlight w:val="none"/>
        </w:rPr>
        <w:t>广西政府采购云平台</w:t>
      </w:r>
      <w:r>
        <w:rPr>
          <w:rFonts w:hint="eastAsia" w:ascii="宋体" w:hAnsi="宋体" w:cs="宋体"/>
          <w:bCs/>
          <w:color w:val="auto"/>
          <w:kern w:val="0"/>
          <w:sz w:val="24"/>
          <w:highlight w:val="none"/>
        </w:rPr>
        <w:t>-项目采购-获取采购文件-找到本项目-点击“申请获取采购文件”），电子投标文件制作需要基于</w:t>
      </w:r>
      <w:r>
        <w:rPr>
          <w:rFonts w:hint="eastAsia" w:ascii="宋体" w:hAnsi="宋体" w:cs="宋体"/>
          <w:color w:val="auto"/>
          <w:sz w:val="24"/>
          <w:highlight w:val="none"/>
        </w:rPr>
        <w:t>广西政府采购云平台</w:t>
      </w:r>
      <w:r>
        <w:rPr>
          <w:rFonts w:hint="eastAsia" w:ascii="宋体" w:hAnsi="宋体" w:cs="宋体"/>
          <w:bCs/>
          <w:color w:val="auto"/>
          <w:kern w:val="0"/>
          <w:sz w:val="24"/>
          <w:highlight w:val="none"/>
        </w:rPr>
        <w:t>获取的招标文件编制，通过其他方式获取招标文件的，将有可能导致供应商无法在</w:t>
      </w:r>
      <w:r>
        <w:rPr>
          <w:rFonts w:hint="eastAsia" w:ascii="宋体" w:hAnsi="宋体" w:cs="宋体"/>
          <w:color w:val="auto"/>
          <w:sz w:val="24"/>
          <w:highlight w:val="none"/>
        </w:rPr>
        <w:t>广西政府采购云平台</w:t>
      </w:r>
      <w:r>
        <w:rPr>
          <w:rFonts w:hint="eastAsia" w:ascii="宋体" w:hAnsi="宋体" w:cs="宋体"/>
          <w:bCs/>
          <w:color w:val="auto"/>
          <w:kern w:val="0"/>
          <w:sz w:val="24"/>
          <w:highlight w:val="none"/>
        </w:rPr>
        <w:t>编制及上传投标文件。</w:t>
      </w:r>
    </w:p>
    <w:p w14:paraId="104B5FA9">
      <w:pPr>
        <w:spacing w:line="360" w:lineRule="auto"/>
        <w:ind w:firstLine="480" w:firstLineChars="200"/>
        <w:rPr>
          <w:rFonts w:ascii="宋体" w:hAnsi="宋体" w:cs="宋体"/>
          <w:color w:val="auto"/>
          <w:sz w:val="24"/>
          <w:highlight w:val="none"/>
        </w:rPr>
      </w:pPr>
      <w:r>
        <w:rPr>
          <w:rFonts w:hint="eastAsia" w:ascii="宋体" w:hAnsi="宋体" w:cs="宋体"/>
          <w:bCs/>
          <w:color w:val="auto"/>
          <w:kern w:val="0"/>
          <w:sz w:val="24"/>
          <w:highlight w:val="none"/>
        </w:rPr>
        <w:t>售价：0元。</w:t>
      </w:r>
    </w:p>
    <w:p w14:paraId="34AD819D">
      <w:pPr>
        <w:spacing w:line="360" w:lineRule="auto"/>
        <w:ind w:firstLine="482" w:firstLineChars="200"/>
        <w:rPr>
          <w:rFonts w:ascii="宋体" w:hAnsi="宋体" w:cs="宋体"/>
          <w:b/>
          <w:bCs/>
          <w:color w:val="auto"/>
          <w:sz w:val="24"/>
          <w:highlight w:val="none"/>
        </w:rPr>
      </w:pPr>
      <w:bookmarkStart w:id="19" w:name="_Toc28359082"/>
      <w:bookmarkStart w:id="20" w:name="_Toc28359005"/>
      <w:bookmarkStart w:id="21" w:name="_Toc35393624"/>
      <w:bookmarkStart w:id="22" w:name="_Toc35393793"/>
      <w:r>
        <w:rPr>
          <w:rFonts w:hint="eastAsia" w:ascii="宋体" w:hAnsi="宋体" w:cs="宋体"/>
          <w:b/>
          <w:bCs/>
          <w:color w:val="auto"/>
          <w:sz w:val="24"/>
          <w:highlight w:val="none"/>
        </w:rPr>
        <w:t>四、提交投标文件</w:t>
      </w:r>
      <w:bookmarkEnd w:id="19"/>
      <w:bookmarkEnd w:id="20"/>
      <w:r>
        <w:rPr>
          <w:rFonts w:hint="eastAsia" w:ascii="宋体" w:hAnsi="宋体" w:cs="宋体"/>
          <w:b/>
          <w:bCs/>
          <w:color w:val="auto"/>
          <w:sz w:val="24"/>
          <w:highlight w:val="none"/>
        </w:rPr>
        <w:t>截止时间、开标时间和地点</w:t>
      </w:r>
      <w:bookmarkEnd w:id="21"/>
      <w:bookmarkEnd w:id="22"/>
    </w:p>
    <w:p w14:paraId="6CB4CA5D">
      <w:pPr>
        <w:spacing w:line="360" w:lineRule="auto"/>
        <w:ind w:firstLine="480" w:firstLineChars="200"/>
        <w:rPr>
          <w:rFonts w:ascii="宋体" w:hAnsi="宋体" w:cs="宋体"/>
          <w:color w:val="auto"/>
          <w:sz w:val="24"/>
          <w:highlight w:val="none"/>
        </w:rPr>
      </w:pPr>
      <w:bookmarkStart w:id="23" w:name="_Toc28359007"/>
      <w:bookmarkStart w:id="24" w:name="_Toc28359084"/>
      <w:bookmarkStart w:id="25" w:name="_Toc35393625"/>
      <w:bookmarkStart w:id="26" w:name="_Toc35393794"/>
      <w:r>
        <w:rPr>
          <w:rFonts w:hint="eastAsia" w:ascii="宋体" w:hAnsi="宋体" w:cs="宋体"/>
          <w:color w:val="auto"/>
          <w:sz w:val="24"/>
          <w:highlight w:val="none"/>
        </w:rPr>
        <w:t>1.提交投标文件</w:t>
      </w:r>
      <w:r>
        <w:rPr>
          <w:rFonts w:hint="eastAsia" w:ascii="宋体" w:hAnsi="宋体" w:cs="宋体"/>
          <w:color w:val="auto"/>
          <w:sz w:val="24"/>
          <w:highlight w:val="none"/>
          <w:lang w:bidi="ar"/>
        </w:rPr>
        <w:t>截止时间：</w:t>
      </w:r>
      <w:r>
        <w:rPr>
          <w:rFonts w:hint="eastAsia" w:ascii="宋体" w:hAnsi="宋体" w:cs="宋体"/>
          <w:color w:val="auto"/>
          <w:sz w:val="24"/>
          <w:highlight w:val="none"/>
          <w:lang w:eastAsia="zh-CN"/>
        </w:rPr>
        <w:t>2024年10月23日09时30分</w:t>
      </w:r>
      <w:r>
        <w:rPr>
          <w:rFonts w:hint="eastAsia" w:ascii="宋体" w:hAnsi="宋体" w:cs="宋体"/>
          <w:color w:val="auto"/>
          <w:sz w:val="24"/>
          <w:highlight w:val="none"/>
        </w:rPr>
        <w:t>（北京时间）</w:t>
      </w:r>
    </w:p>
    <w:p w14:paraId="19B3A66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bidi="ar"/>
        </w:rPr>
        <w:t>开标时间</w:t>
      </w:r>
      <w:r>
        <w:rPr>
          <w:rFonts w:hint="eastAsia" w:ascii="宋体" w:hAnsi="宋体" w:cs="宋体"/>
          <w:color w:val="auto"/>
          <w:sz w:val="24"/>
          <w:highlight w:val="none"/>
        </w:rPr>
        <w:t>：</w:t>
      </w:r>
      <w:r>
        <w:rPr>
          <w:rFonts w:hint="eastAsia" w:ascii="宋体" w:hAnsi="宋体" w:cs="宋体"/>
          <w:color w:val="auto"/>
          <w:sz w:val="24"/>
          <w:highlight w:val="none"/>
          <w:lang w:eastAsia="zh-CN"/>
        </w:rPr>
        <w:t>2024年10月23日09时30分</w:t>
      </w:r>
      <w:r>
        <w:rPr>
          <w:rFonts w:hint="eastAsia" w:ascii="宋体" w:hAnsi="宋体" w:cs="宋体"/>
          <w:color w:val="auto"/>
          <w:sz w:val="24"/>
          <w:highlight w:val="none"/>
        </w:rPr>
        <w:t>（北京时间）</w:t>
      </w:r>
    </w:p>
    <w:p w14:paraId="6AA72B51">
      <w:pPr>
        <w:spacing w:line="360" w:lineRule="auto"/>
        <w:ind w:firstLine="480" w:firstLineChars="200"/>
        <w:rPr>
          <w:rFonts w:ascii="宋体" w:hAnsi="宋体" w:cs="宋体"/>
          <w:color w:val="auto"/>
          <w:sz w:val="24"/>
          <w:highlight w:val="none"/>
          <w:lang w:bidi="ar"/>
        </w:rPr>
      </w:pPr>
      <w:r>
        <w:rPr>
          <w:rFonts w:ascii="宋体" w:hAnsi="宋体" w:cs="宋体"/>
          <w:color w:val="auto"/>
          <w:sz w:val="24"/>
          <w:highlight w:val="none"/>
        </w:rPr>
        <w:t>3</w:t>
      </w:r>
      <w:r>
        <w:rPr>
          <w:rFonts w:hint="eastAsia" w:ascii="宋体" w:hAnsi="宋体" w:cs="宋体"/>
          <w:color w:val="auto"/>
          <w:sz w:val="24"/>
          <w:highlight w:val="none"/>
        </w:rPr>
        <w:t>.地点：广西政府采购云平台</w:t>
      </w:r>
      <w:r>
        <w:rPr>
          <w:rFonts w:hint="eastAsia" w:ascii="宋体" w:hAnsi="宋体" w:cs="宋体"/>
          <w:color w:val="auto"/>
          <w:sz w:val="24"/>
          <w:highlight w:val="none"/>
          <w:lang w:bidi="ar"/>
        </w:rPr>
        <w:t>电子开标大厅。</w:t>
      </w:r>
    </w:p>
    <w:p w14:paraId="735EAA52">
      <w:pPr>
        <w:widowControl/>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五、开启</w:t>
      </w:r>
    </w:p>
    <w:p w14:paraId="484B1131">
      <w:pPr>
        <w:spacing w:line="360" w:lineRule="auto"/>
        <w:ind w:firstLine="480" w:firstLineChars="200"/>
        <w:rPr>
          <w:rFonts w:ascii="宋体" w:hAnsi="宋体" w:cs="宋体"/>
          <w:bCs/>
          <w:color w:val="auto"/>
          <w:sz w:val="24"/>
          <w:highlight w:val="none"/>
          <w:u w:val="single"/>
        </w:rPr>
      </w:pPr>
      <w:r>
        <w:rPr>
          <w:rFonts w:hint="eastAsia" w:ascii="宋体" w:hAnsi="宋体" w:cs="宋体"/>
          <w:color w:val="auto"/>
          <w:sz w:val="24"/>
          <w:highlight w:val="none"/>
        </w:rPr>
        <w:t>1</w:t>
      </w:r>
      <w:r>
        <w:rPr>
          <w:rFonts w:hint="eastAsia" w:ascii="宋体" w:hAnsi="宋体"/>
          <w:color w:val="auto"/>
          <w:sz w:val="24"/>
          <w:highlight w:val="none"/>
        </w:rPr>
        <w:t>.投标</w:t>
      </w:r>
      <w:r>
        <w:rPr>
          <w:rFonts w:hint="eastAsia" w:ascii="宋体" w:hAnsi="宋体" w:cs="宋体"/>
          <w:color w:val="auto"/>
          <w:sz w:val="24"/>
          <w:highlight w:val="none"/>
        </w:rPr>
        <w:t>文件开启时间：</w:t>
      </w:r>
      <w:r>
        <w:rPr>
          <w:rFonts w:hint="eastAsia" w:ascii="宋体" w:hAnsi="宋体" w:cs="宋体"/>
          <w:bCs/>
          <w:color w:val="auto"/>
          <w:kern w:val="0"/>
          <w:sz w:val="24"/>
          <w:highlight w:val="none"/>
          <w:lang w:eastAsia="zh-CN"/>
        </w:rPr>
        <w:t>2024年10月23日09时30分</w:t>
      </w:r>
      <w:r>
        <w:rPr>
          <w:rFonts w:hint="eastAsia" w:ascii="宋体" w:hAnsi="宋体" w:cs="宋体"/>
          <w:bCs/>
          <w:color w:val="auto"/>
          <w:kern w:val="0"/>
          <w:sz w:val="24"/>
          <w:highlight w:val="none"/>
        </w:rPr>
        <w:t>（北京时间）</w:t>
      </w:r>
    </w:p>
    <w:p w14:paraId="334CE73D">
      <w:pPr>
        <w:spacing w:line="360" w:lineRule="auto"/>
        <w:ind w:firstLine="480" w:firstLineChars="200"/>
        <w:rPr>
          <w:color w:val="auto"/>
          <w:highlight w:val="none"/>
          <w:lang w:bidi="ar"/>
        </w:rPr>
      </w:pPr>
      <w:r>
        <w:rPr>
          <w:rFonts w:hint="eastAsia" w:ascii="宋体" w:hAnsi="宋体" w:cs="宋体"/>
          <w:color w:val="auto"/>
          <w:sz w:val="24"/>
          <w:highlight w:val="none"/>
        </w:rPr>
        <w:t>2</w:t>
      </w:r>
      <w:r>
        <w:rPr>
          <w:rFonts w:hint="eastAsia" w:ascii="宋体" w:hAnsi="宋体"/>
          <w:color w:val="auto"/>
          <w:sz w:val="24"/>
          <w:highlight w:val="none"/>
        </w:rPr>
        <w:t>.</w:t>
      </w:r>
      <w:r>
        <w:rPr>
          <w:rFonts w:hint="eastAsia" w:ascii="宋体" w:hAnsi="宋体" w:cs="宋体"/>
          <w:color w:val="auto"/>
          <w:sz w:val="24"/>
          <w:highlight w:val="none"/>
        </w:rPr>
        <w:t>地点：</w:t>
      </w:r>
      <w:r>
        <w:rPr>
          <w:rFonts w:hint="eastAsia" w:ascii="宋体" w:hAnsi="宋体" w:cs="宋体"/>
          <w:color w:val="auto"/>
          <w:sz w:val="24"/>
          <w:highlight w:val="none"/>
          <w:lang w:bidi="ar"/>
        </w:rPr>
        <w:t>本项目将在</w:t>
      </w:r>
      <w:r>
        <w:rPr>
          <w:rFonts w:hint="eastAsia" w:ascii="宋体" w:hAnsi="宋体" w:cs="宋体"/>
          <w:color w:val="auto"/>
          <w:sz w:val="24"/>
          <w:highlight w:val="none"/>
        </w:rPr>
        <w:t>广西政府采购云平台</w:t>
      </w:r>
      <w:r>
        <w:rPr>
          <w:rFonts w:hint="eastAsia" w:ascii="宋体" w:hAnsi="宋体" w:cs="宋体"/>
          <w:color w:val="auto"/>
          <w:sz w:val="24"/>
          <w:highlight w:val="none"/>
          <w:lang w:bidi="ar"/>
        </w:rPr>
        <w:t>电子开标大厅解密、开启。</w:t>
      </w:r>
    </w:p>
    <w:p w14:paraId="10849CFD">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六、公告期限</w:t>
      </w:r>
      <w:bookmarkEnd w:id="23"/>
      <w:bookmarkEnd w:id="24"/>
      <w:bookmarkEnd w:id="25"/>
      <w:bookmarkEnd w:id="26"/>
    </w:p>
    <w:p w14:paraId="01C95382">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自本公告发布之日起5个工作日。</w:t>
      </w:r>
    </w:p>
    <w:p w14:paraId="059E4897">
      <w:pPr>
        <w:spacing w:line="360" w:lineRule="auto"/>
        <w:ind w:firstLine="482" w:firstLineChars="200"/>
        <w:rPr>
          <w:rFonts w:ascii="宋体" w:hAnsi="宋体" w:cs="宋体"/>
          <w:b/>
          <w:bCs/>
          <w:color w:val="auto"/>
          <w:sz w:val="24"/>
          <w:highlight w:val="none"/>
        </w:rPr>
      </w:pPr>
      <w:bookmarkStart w:id="27" w:name="_Hlk37429674"/>
      <w:r>
        <w:rPr>
          <w:rFonts w:hint="eastAsia" w:ascii="宋体" w:hAnsi="宋体" w:cs="宋体"/>
          <w:b/>
          <w:bCs/>
          <w:color w:val="auto"/>
          <w:sz w:val="24"/>
          <w:highlight w:val="none"/>
        </w:rPr>
        <w:t>七、其他补充事宜：</w:t>
      </w:r>
    </w:p>
    <w:p w14:paraId="21D7D004">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69BDEF56">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2.根据财政部《关于在政府采购活动中查询及使用信用记录有关问题的通知》（财库〔2016〕125号）的规定，对在“信用中国”网站(www.creditchina.gov.cn)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56CE77D6">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3.网上查询地址：中国政府采购网（www.ccgp.gov.cn）、广西政府采购网（zfcg.gxzf.gov.cn）、广西公共资源交易中心网站（</w:t>
      </w:r>
      <w:r>
        <w:rPr>
          <w:rFonts w:ascii="宋体" w:hAnsi="宋体" w:cs="宋体"/>
          <w:color w:val="auto"/>
          <w:kern w:val="0"/>
          <w:sz w:val="24"/>
          <w:highlight w:val="none"/>
        </w:rPr>
        <w:t>http://gxggzy.gxzf.gov.cn）</w:t>
      </w:r>
      <w:r>
        <w:rPr>
          <w:rFonts w:hint="eastAsia" w:ascii="宋体" w:hAnsi="宋体" w:cs="宋体"/>
          <w:color w:val="auto"/>
          <w:kern w:val="0"/>
          <w:sz w:val="24"/>
          <w:highlight w:val="none"/>
        </w:rPr>
        <w:t>。</w:t>
      </w:r>
    </w:p>
    <w:p w14:paraId="4AC79DF2">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4.本项目需要落实的政府采购政策：</w:t>
      </w:r>
    </w:p>
    <w:p w14:paraId="64F157BF">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（1）政府采购促进中小企业发展。</w:t>
      </w:r>
    </w:p>
    <w:p w14:paraId="6CD9330A">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（2）政府采购支持采用本国产品的政策。</w:t>
      </w:r>
    </w:p>
    <w:p w14:paraId="58E8E01F">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（3）强制采购节能产品；优先采购节能产品、环境标志产品。</w:t>
      </w:r>
    </w:p>
    <w:p w14:paraId="102C078F">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（4）政府采购促进残疾人就业政策。</w:t>
      </w:r>
    </w:p>
    <w:p w14:paraId="525DCA63">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（5）政府采购支持监狱企业发展。</w:t>
      </w:r>
    </w:p>
    <w:p w14:paraId="0D106F15">
      <w:pPr>
        <w:widowControl/>
        <w:spacing w:line="360" w:lineRule="auto"/>
        <w:ind w:firstLine="480" w:firstLineChars="200"/>
        <w:rPr>
          <w:rFonts w:ascii="宋体" w:hAnsi="宋体" w:cs="宋体"/>
          <w:color w:val="auto"/>
          <w:sz w:val="24"/>
          <w:highlight w:val="none"/>
          <w:lang w:bidi="ar"/>
        </w:rPr>
      </w:pPr>
      <w:r>
        <w:rPr>
          <w:rFonts w:hint="eastAsia" w:ascii="宋体" w:hAnsi="宋体" w:cs="宋体"/>
          <w:color w:val="auto"/>
          <w:sz w:val="24"/>
          <w:highlight w:val="none"/>
          <w:lang w:bidi="ar"/>
        </w:rPr>
        <w:t>5.投标注意事项：</w:t>
      </w:r>
    </w:p>
    <w:p w14:paraId="583CEAB4">
      <w:pPr>
        <w:widowControl/>
        <w:spacing w:line="360" w:lineRule="auto"/>
        <w:ind w:firstLine="480" w:firstLineChars="200"/>
        <w:rPr>
          <w:rFonts w:ascii="宋体" w:hAnsi="宋体" w:cs="宋体"/>
          <w:bCs/>
          <w:color w:val="auto"/>
          <w:sz w:val="24"/>
          <w:highlight w:val="none"/>
        </w:rPr>
      </w:pPr>
      <w:r>
        <w:rPr>
          <w:rFonts w:hint="eastAsia" w:ascii="宋体" w:hAnsi="宋体" w:cs="宋体"/>
          <w:color w:val="auto"/>
          <w:sz w:val="24"/>
          <w:highlight w:val="none"/>
          <w:lang w:bidi="ar"/>
        </w:rPr>
        <w:t>（1）投标文件提交方式：本项目为全流程电子化政府采购项目，通过</w:t>
      </w:r>
      <w:r>
        <w:rPr>
          <w:rFonts w:hint="eastAsia" w:ascii="宋体" w:hAnsi="宋体" w:cs="宋体"/>
          <w:color w:val="auto"/>
          <w:sz w:val="24"/>
          <w:highlight w:val="none"/>
        </w:rPr>
        <w:t>广西政府采购云平台</w:t>
      </w:r>
      <w:r>
        <w:rPr>
          <w:rFonts w:hint="eastAsia" w:ascii="宋体" w:hAnsi="宋体" w:cs="宋体"/>
          <w:color w:val="auto"/>
          <w:sz w:val="24"/>
          <w:highlight w:val="none"/>
          <w:lang w:bidi="ar"/>
        </w:rPr>
        <w:t>（</w:t>
      </w:r>
      <w:r>
        <w:rPr>
          <w:rFonts w:hint="eastAsia" w:ascii="宋体" w:hAnsi="宋体" w:cs="宋体"/>
          <w:color w:val="auto"/>
          <w:sz w:val="24"/>
          <w:highlight w:val="none"/>
        </w:rPr>
        <w:t>https://www.gcy.zfcg.gxzf.gov.cn/</w:t>
      </w:r>
      <w:r>
        <w:rPr>
          <w:rFonts w:hint="eastAsia" w:ascii="宋体" w:hAnsi="宋体" w:cs="宋体"/>
          <w:color w:val="auto"/>
          <w:sz w:val="24"/>
          <w:highlight w:val="none"/>
          <w:lang w:bidi="ar"/>
        </w:rPr>
        <w:t>）实行在线电子投标，供应商应先安装“</w:t>
      </w:r>
      <w:r>
        <w:rPr>
          <w:rFonts w:hint="eastAsia" w:ascii="宋体" w:hAnsi="宋体" w:cs="宋体"/>
          <w:color w:val="auto"/>
          <w:sz w:val="24"/>
          <w:highlight w:val="none"/>
        </w:rPr>
        <w:t>广西政府采购云平台</w:t>
      </w:r>
      <w:r>
        <w:rPr>
          <w:rFonts w:hint="eastAsia" w:ascii="宋体" w:hAnsi="宋体" w:cs="宋体"/>
          <w:color w:val="auto"/>
          <w:sz w:val="24"/>
          <w:highlight w:val="none"/>
          <w:lang w:bidi="ar"/>
        </w:rPr>
        <w:t>电子交易客户端”（请自行前往</w:t>
      </w:r>
      <w:r>
        <w:rPr>
          <w:rFonts w:hint="eastAsia" w:ascii="宋体" w:hAnsi="宋体" w:cs="宋体"/>
          <w:color w:val="auto"/>
          <w:sz w:val="24"/>
          <w:highlight w:val="none"/>
        </w:rPr>
        <w:t>广西政府采购云平台</w:t>
      </w:r>
      <w:r>
        <w:rPr>
          <w:rFonts w:hint="eastAsia" w:ascii="宋体" w:hAnsi="宋体" w:cs="宋体"/>
          <w:color w:val="auto"/>
          <w:sz w:val="24"/>
          <w:highlight w:val="none"/>
          <w:lang w:bidi="ar"/>
        </w:rPr>
        <w:t>进行下载），并按照本项目招标文件和</w:t>
      </w:r>
      <w:r>
        <w:rPr>
          <w:rFonts w:hint="eastAsia" w:ascii="宋体" w:hAnsi="宋体" w:cs="宋体"/>
          <w:color w:val="auto"/>
          <w:sz w:val="24"/>
          <w:highlight w:val="none"/>
        </w:rPr>
        <w:t>广西政府采购云平台</w:t>
      </w:r>
      <w:r>
        <w:rPr>
          <w:rFonts w:hint="eastAsia" w:ascii="宋体" w:hAnsi="宋体" w:cs="宋体"/>
          <w:color w:val="auto"/>
          <w:sz w:val="24"/>
          <w:highlight w:val="none"/>
          <w:lang w:bidi="ar"/>
        </w:rPr>
        <w:t>的要求编制、加密后在投标截止时间前通过网络上传至</w:t>
      </w:r>
      <w:r>
        <w:rPr>
          <w:rFonts w:hint="eastAsia" w:ascii="宋体" w:hAnsi="宋体" w:cs="宋体"/>
          <w:color w:val="auto"/>
          <w:sz w:val="24"/>
          <w:highlight w:val="none"/>
        </w:rPr>
        <w:t>广西政府采购云平台</w:t>
      </w:r>
      <w:r>
        <w:rPr>
          <w:rFonts w:hint="eastAsia" w:ascii="宋体" w:hAnsi="宋体" w:cs="宋体"/>
          <w:color w:val="auto"/>
          <w:sz w:val="24"/>
          <w:highlight w:val="none"/>
          <w:lang w:bidi="ar"/>
        </w:rPr>
        <w:t>，</w:t>
      </w:r>
      <w:r>
        <w:rPr>
          <w:rFonts w:hint="eastAsia" w:ascii="宋体" w:hAnsi="宋体" w:cs="宋体"/>
          <w:b/>
          <w:color w:val="auto"/>
          <w:sz w:val="24"/>
          <w:highlight w:val="none"/>
          <w:lang w:bidi="ar"/>
        </w:rPr>
        <w:t>供应商在广西政府采购云平台提交电子版投标文件时，请填写参加远程开标活动经办人联系方式。</w:t>
      </w:r>
    </w:p>
    <w:p w14:paraId="6E4FF478">
      <w:pPr>
        <w:widowControl/>
        <w:spacing w:line="360" w:lineRule="auto"/>
        <w:ind w:firstLine="480" w:firstLineChars="200"/>
        <w:rPr>
          <w:rFonts w:ascii="宋体" w:hAnsi="宋体" w:cs="宋体"/>
          <w:color w:val="auto"/>
          <w:sz w:val="24"/>
          <w:highlight w:val="none"/>
          <w:lang w:bidi="ar"/>
        </w:rPr>
      </w:pPr>
      <w:r>
        <w:rPr>
          <w:rFonts w:hint="eastAsia" w:ascii="宋体" w:hAnsi="宋体" w:cs="宋体"/>
          <w:color w:val="auto"/>
          <w:sz w:val="24"/>
          <w:highlight w:val="none"/>
          <w:lang w:bidi="ar"/>
        </w:rPr>
        <w:t>（2）供应商应及时熟悉掌握电子标系统操作指南（见</w:t>
      </w:r>
      <w:r>
        <w:rPr>
          <w:rFonts w:hint="eastAsia" w:ascii="宋体" w:hAnsi="宋体" w:cs="宋体"/>
          <w:color w:val="auto"/>
          <w:sz w:val="24"/>
          <w:highlight w:val="none"/>
        </w:rPr>
        <w:t>广西政府采购云平台</w:t>
      </w:r>
      <w:r>
        <w:rPr>
          <w:rFonts w:hint="eastAsia" w:ascii="宋体" w:hAnsi="宋体" w:cs="宋体"/>
          <w:color w:val="auto"/>
          <w:sz w:val="24"/>
          <w:highlight w:val="none"/>
          <w:lang w:bidi="ar"/>
        </w:rPr>
        <w:t>电子卖场首页右上角—服务中心—帮助文档—项目采购）；及时完成CA申领和绑定（见广西壮族自治区政府采购网—办事服务—下载专区-</w:t>
      </w:r>
      <w:r>
        <w:rPr>
          <w:rFonts w:hint="eastAsia" w:ascii="宋体" w:hAnsi="宋体" w:cs="宋体"/>
          <w:color w:val="auto"/>
          <w:sz w:val="24"/>
          <w:highlight w:val="none"/>
        </w:rPr>
        <w:t>广西政府采购云平台</w:t>
      </w:r>
      <w:r>
        <w:rPr>
          <w:rFonts w:hint="eastAsia" w:ascii="宋体" w:hAnsi="宋体" w:cs="宋体"/>
          <w:color w:val="auto"/>
          <w:sz w:val="24"/>
          <w:highlight w:val="none"/>
          <w:lang w:bidi="ar"/>
        </w:rPr>
        <w:t>CA证书办理操作指南）。</w:t>
      </w:r>
    </w:p>
    <w:p w14:paraId="1F8EEC4F">
      <w:pPr>
        <w:widowControl/>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bidi="ar"/>
        </w:rPr>
        <w:t>（3）未进行网上注册并办理数字证书（CA认证）的供应商将无法参与本项目政府采购活动，潜在供应商应当在投标截止时间前，完成电子交易平台上的CA数字证书办理及投标文件的提交。完成CA数字证书办理预计7日左右，投标人只需办理其中一家CA数字证书及签章，建议各投标人抓紧时间办理。</w:t>
      </w:r>
    </w:p>
    <w:p w14:paraId="4371525F">
      <w:pPr>
        <w:widowControl/>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bidi="ar"/>
        </w:rPr>
        <w:t>（4）为确保网上操作合法、有效和安全，请投标人确保在电子投标过程中能够对相关数据电文进行加密和使用电子签章，妥善保管CA数字证书并使用有效的CA数字证书参与整个采购活动。</w:t>
      </w:r>
    </w:p>
    <w:p w14:paraId="10504E5A">
      <w:pPr>
        <w:widowControl/>
        <w:spacing w:line="360" w:lineRule="auto"/>
        <w:ind w:firstLine="482" w:firstLineChars="200"/>
        <w:rPr>
          <w:rFonts w:ascii="楷体" w:hAnsi="楷体" w:eastAsia="楷体" w:cs="宋体"/>
          <w:color w:val="auto"/>
          <w:sz w:val="24"/>
          <w:highlight w:val="none"/>
          <w:lang w:bidi="ar"/>
        </w:rPr>
      </w:pPr>
      <w:r>
        <w:rPr>
          <w:rFonts w:hint="eastAsia" w:ascii="楷体" w:hAnsi="楷体" w:eastAsia="楷体" w:cs="宋体"/>
          <w:b/>
          <w:bCs/>
          <w:color w:val="auto"/>
          <w:sz w:val="24"/>
          <w:highlight w:val="none"/>
          <w:lang w:bidi="ar"/>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14:paraId="145BDADA">
      <w:pPr>
        <w:widowControl/>
        <w:spacing w:line="360" w:lineRule="auto"/>
        <w:ind w:firstLine="480" w:firstLineChars="200"/>
        <w:rPr>
          <w:rFonts w:ascii="宋体" w:hAnsi="宋体" w:cs="宋体"/>
          <w:color w:val="auto"/>
          <w:kern w:val="0"/>
          <w:sz w:val="24"/>
          <w:highlight w:val="none"/>
        </w:rPr>
      </w:pPr>
      <w:r>
        <w:rPr>
          <w:rFonts w:hint="eastAsia" w:ascii="宋体" w:hAnsi="宋体" w:cs="宋体"/>
          <w:color w:val="auto"/>
          <w:sz w:val="24"/>
          <w:highlight w:val="none"/>
          <w:lang w:bidi="ar"/>
        </w:rPr>
        <w:t>6.CA证书在线解密：供应商投标时，需携带制作投标文件时用来加</w:t>
      </w:r>
      <w:r>
        <w:rPr>
          <w:rFonts w:hint="eastAsia" w:ascii="宋体" w:hAnsi="宋体" w:cs="宋体"/>
          <w:color w:val="auto"/>
          <w:kern w:val="0"/>
          <w:sz w:val="24"/>
          <w:highlight w:val="none"/>
          <w:lang w:bidi="ar"/>
        </w:rPr>
        <w:t>密的有效数字证书（CA认证）登录</w:t>
      </w:r>
      <w:r>
        <w:rPr>
          <w:rFonts w:hint="eastAsia" w:ascii="宋体" w:hAnsi="宋体" w:cs="宋体"/>
          <w:color w:val="auto"/>
          <w:sz w:val="24"/>
          <w:highlight w:val="none"/>
        </w:rPr>
        <w:t>广西政府采购云平台</w:t>
      </w:r>
      <w:r>
        <w:rPr>
          <w:rFonts w:hint="eastAsia" w:ascii="宋体" w:hAnsi="宋体" w:cs="宋体"/>
          <w:color w:val="auto"/>
          <w:kern w:val="0"/>
          <w:sz w:val="24"/>
          <w:highlight w:val="none"/>
          <w:lang w:bidi="ar"/>
        </w:rPr>
        <w:t>电子开标大厅现场按规定时间对加密的投标文件进行解密，否则后果自负。</w:t>
      </w:r>
    </w:p>
    <w:p w14:paraId="5DD29DAB">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7.若对项目采购电子交易系统操作有疑问，可登录</w:t>
      </w:r>
      <w:r>
        <w:rPr>
          <w:rFonts w:hint="eastAsia" w:ascii="宋体" w:hAnsi="宋体" w:cs="宋体"/>
          <w:color w:val="auto"/>
          <w:sz w:val="24"/>
          <w:highlight w:val="none"/>
        </w:rPr>
        <w:t>广西政府采购云平台</w:t>
      </w:r>
      <w:r>
        <w:rPr>
          <w:rFonts w:hint="eastAsia" w:ascii="宋体" w:hAnsi="宋体" w:cs="宋体"/>
          <w:color w:val="auto"/>
          <w:kern w:val="0"/>
          <w:sz w:val="24"/>
          <w:highlight w:val="none"/>
        </w:rPr>
        <w:t>（</w:t>
      </w:r>
      <w:r>
        <w:rPr>
          <w:rFonts w:hint="eastAsia" w:ascii="宋体" w:hAnsi="宋体" w:cs="宋体"/>
          <w:color w:val="auto"/>
          <w:sz w:val="24"/>
          <w:highlight w:val="none"/>
        </w:rPr>
        <w:t>https://www.gcy.zfcg.gxzf.gov.cn/</w:t>
      </w:r>
      <w:r>
        <w:rPr>
          <w:rFonts w:hint="eastAsia" w:ascii="宋体" w:hAnsi="宋体" w:cs="宋体"/>
          <w:color w:val="auto"/>
          <w:kern w:val="0"/>
          <w:sz w:val="24"/>
          <w:highlight w:val="none"/>
        </w:rPr>
        <w:t>），点击右侧咨询小采，获取采小蜜智能服务管家帮助，或拨打</w:t>
      </w:r>
      <w:r>
        <w:rPr>
          <w:rFonts w:hint="eastAsia" w:ascii="宋体" w:hAnsi="宋体" w:cs="宋体"/>
          <w:color w:val="auto"/>
          <w:sz w:val="24"/>
          <w:highlight w:val="none"/>
        </w:rPr>
        <w:t>广西政府采购云平台</w:t>
      </w:r>
      <w:r>
        <w:rPr>
          <w:rFonts w:hint="eastAsia" w:ascii="宋体" w:hAnsi="宋体" w:cs="宋体"/>
          <w:color w:val="auto"/>
          <w:kern w:val="0"/>
          <w:sz w:val="24"/>
          <w:highlight w:val="none"/>
        </w:rPr>
        <w:t>服务热线</w:t>
      </w:r>
      <w:r>
        <w:rPr>
          <w:rFonts w:ascii="宋体" w:hAnsi="宋体" w:cs="宋体"/>
          <w:color w:val="auto"/>
          <w:kern w:val="0"/>
          <w:sz w:val="24"/>
          <w:highlight w:val="none"/>
        </w:rPr>
        <w:t>95763</w:t>
      </w:r>
      <w:r>
        <w:rPr>
          <w:rFonts w:hint="eastAsia" w:ascii="宋体" w:hAnsi="宋体" w:cs="宋体"/>
          <w:color w:val="auto"/>
          <w:kern w:val="0"/>
          <w:sz w:val="24"/>
          <w:highlight w:val="none"/>
        </w:rPr>
        <w:t>获取热线服务帮助。</w:t>
      </w:r>
      <w:bookmarkEnd w:id="27"/>
    </w:p>
    <w:p w14:paraId="31E2C496">
      <w:pPr>
        <w:spacing w:line="360" w:lineRule="auto"/>
        <w:ind w:firstLine="482" w:firstLineChars="200"/>
        <w:rPr>
          <w:rFonts w:ascii="宋体" w:hAnsi="宋体" w:cs="宋体"/>
          <w:b/>
          <w:bCs/>
          <w:color w:val="auto"/>
          <w:sz w:val="24"/>
          <w:highlight w:val="none"/>
        </w:rPr>
      </w:pPr>
      <w:bookmarkStart w:id="28" w:name="_Toc28359008"/>
      <w:bookmarkStart w:id="29" w:name="_Toc35393627"/>
      <w:bookmarkStart w:id="30" w:name="_Toc35393796"/>
      <w:bookmarkStart w:id="31" w:name="_Toc28359085"/>
      <w:r>
        <w:rPr>
          <w:rFonts w:hint="eastAsia" w:ascii="宋体" w:hAnsi="宋体" w:cs="宋体"/>
          <w:b/>
          <w:bCs/>
          <w:color w:val="auto"/>
          <w:sz w:val="24"/>
          <w:highlight w:val="none"/>
        </w:rPr>
        <w:t>八、对本次招标提出询问，请按以下方式联系。</w:t>
      </w:r>
      <w:bookmarkEnd w:id="28"/>
      <w:bookmarkEnd w:id="29"/>
      <w:bookmarkEnd w:id="30"/>
      <w:bookmarkEnd w:id="31"/>
    </w:p>
    <w:p w14:paraId="6A702B21">
      <w:pPr>
        <w:spacing w:line="360" w:lineRule="auto"/>
        <w:ind w:firstLine="648" w:firstLineChars="270"/>
        <w:jc w:val="left"/>
        <w:rPr>
          <w:rFonts w:ascii="宋体" w:hAnsi="宋体" w:cs="宋体"/>
          <w:color w:val="auto"/>
          <w:sz w:val="24"/>
          <w:highlight w:val="none"/>
        </w:rPr>
      </w:pPr>
      <w:r>
        <w:rPr>
          <w:rFonts w:hint="eastAsia" w:ascii="宋体" w:hAnsi="宋体" w:cs="宋体"/>
          <w:color w:val="auto"/>
          <w:sz w:val="24"/>
          <w:highlight w:val="none"/>
        </w:rPr>
        <w:t>1.采购人信息</w:t>
      </w:r>
    </w:p>
    <w:p w14:paraId="7A13A1C8">
      <w:pPr>
        <w:spacing w:line="360" w:lineRule="auto"/>
        <w:ind w:firstLine="648" w:firstLineChars="270"/>
        <w:jc w:val="left"/>
        <w:rPr>
          <w:rFonts w:ascii="宋体" w:hAnsi="宋体" w:cs="宋体"/>
          <w:color w:val="auto"/>
          <w:sz w:val="24"/>
          <w:highlight w:val="none"/>
        </w:rPr>
      </w:pPr>
      <w:r>
        <w:rPr>
          <w:rFonts w:hint="eastAsia" w:ascii="宋体" w:hAnsi="宋体" w:cs="宋体"/>
          <w:color w:val="auto"/>
          <w:sz w:val="24"/>
          <w:highlight w:val="none"/>
        </w:rPr>
        <w:t xml:space="preserve">名 称：广西福利彩票发行中心         </w:t>
      </w:r>
    </w:p>
    <w:p w14:paraId="288F3E8C">
      <w:pPr>
        <w:spacing w:line="360" w:lineRule="auto"/>
        <w:ind w:firstLine="648" w:firstLineChars="270"/>
        <w:jc w:val="left"/>
        <w:rPr>
          <w:rFonts w:ascii="宋体" w:hAnsi="宋体" w:cs="宋体"/>
          <w:color w:val="auto"/>
          <w:sz w:val="24"/>
          <w:highlight w:val="none"/>
        </w:rPr>
      </w:pPr>
      <w:r>
        <w:rPr>
          <w:rFonts w:hint="eastAsia" w:ascii="宋体" w:hAnsi="宋体" w:cs="宋体"/>
          <w:color w:val="auto"/>
          <w:sz w:val="24"/>
          <w:highlight w:val="none"/>
        </w:rPr>
        <w:t>地址：广西壮族自治区南宁市青秀区葛村路23号</w:t>
      </w:r>
    </w:p>
    <w:p w14:paraId="2376A73F">
      <w:pPr>
        <w:spacing w:line="360" w:lineRule="auto"/>
        <w:ind w:firstLine="648" w:firstLineChars="270"/>
        <w:jc w:val="left"/>
        <w:rPr>
          <w:rFonts w:ascii="宋体" w:hAnsi="宋体" w:cs="宋体"/>
          <w:color w:val="auto"/>
          <w:sz w:val="24"/>
          <w:highlight w:val="none"/>
        </w:rPr>
      </w:pPr>
      <w:r>
        <w:rPr>
          <w:rFonts w:hint="eastAsia" w:ascii="宋体" w:hAnsi="宋体" w:cs="宋体"/>
          <w:color w:val="auto"/>
          <w:sz w:val="24"/>
          <w:highlight w:val="none"/>
        </w:rPr>
        <w:t>联系人：侯媛元         联系电话：0771-2441989　　　</w:t>
      </w:r>
    </w:p>
    <w:p w14:paraId="1CFD4014">
      <w:pPr>
        <w:spacing w:line="360" w:lineRule="auto"/>
        <w:ind w:firstLine="648" w:firstLineChars="270"/>
        <w:jc w:val="left"/>
        <w:rPr>
          <w:rFonts w:ascii="宋体" w:hAnsi="宋体" w:cs="宋体"/>
          <w:color w:val="auto"/>
          <w:sz w:val="24"/>
          <w:highlight w:val="none"/>
        </w:rPr>
      </w:pPr>
      <w:r>
        <w:rPr>
          <w:rFonts w:hint="eastAsia" w:ascii="宋体" w:hAnsi="宋体" w:cs="宋体"/>
          <w:color w:val="auto"/>
          <w:sz w:val="24"/>
          <w:highlight w:val="none"/>
        </w:rPr>
        <w:t>2.采购代理机构信息</w:t>
      </w:r>
    </w:p>
    <w:p w14:paraId="0EFA92F7">
      <w:pPr>
        <w:spacing w:line="360" w:lineRule="auto"/>
        <w:ind w:firstLine="648" w:firstLineChars="270"/>
        <w:jc w:val="left"/>
        <w:rPr>
          <w:rFonts w:ascii="宋体" w:hAnsi="宋体" w:cs="宋体"/>
          <w:color w:val="auto"/>
          <w:sz w:val="24"/>
          <w:highlight w:val="none"/>
        </w:rPr>
      </w:pPr>
      <w:r>
        <w:rPr>
          <w:rFonts w:hint="eastAsia" w:ascii="宋体" w:hAnsi="宋体" w:cs="宋体"/>
          <w:color w:val="auto"/>
          <w:sz w:val="24"/>
          <w:highlight w:val="none"/>
        </w:rPr>
        <w:t xml:space="preserve">名 称：广西科文招标有限公司  </w:t>
      </w:r>
    </w:p>
    <w:p w14:paraId="3D61D930">
      <w:pPr>
        <w:spacing w:line="360" w:lineRule="auto"/>
        <w:ind w:firstLine="648" w:firstLineChars="270"/>
        <w:jc w:val="left"/>
        <w:rPr>
          <w:rFonts w:ascii="宋体" w:hAnsi="宋体" w:cs="宋体"/>
          <w:color w:val="auto"/>
          <w:sz w:val="24"/>
          <w:highlight w:val="none"/>
        </w:rPr>
      </w:pPr>
      <w:r>
        <w:rPr>
          <w:rFonts w:hint="eastAsia" w:ascii="宋体" w:hAnsi="宋体" w:cs="宋体"/>
          <w:color w:val="auto"/>
          <w:sz w:val="24"/>
          <w:highlight w:val="none"/>
        </w:rPr>
        <w:t>地 址：广西壮族自治区南宁市民族大道141号中鼎万象东方D区五层</w:t>
      </w:r>
    </w:p>
    <w:p w14:paraId="26DE4554">
      <w:pPr>
        <w:spacing w:line="360" w:lineRule="auto"/>
        <w:ind w:firstLine="648" w:firstLineChars="270"/>
        <w:jc w:val="left"/>
        <w:rPr>
          <w:rFonts w:ascii="宋体" w:hAnsi="宋体" w:cs="宋体"/>
          <w:color w:val="auto"/>
          <w:sz w:val="24"/>
          <w:highlight w:val="none"/>
        </w:rPr>
      </w:pPr>
      <w:bookmarkStart w:id="32" w:name="_Toc28359087"/>
      <w:bookmarkStart w:id="33" w:name="_Toc28359010"/>
      <w:r>
        <w:rPr>
          <w:rFonts w:hint="eastAsia" w:ascii="宋体" w:hAnsi="宋体" w:cs="宋体"/>
          <w:color w:val="auto"/>
          <w:sz w:val="24"/>
          <w:highlight w:val="none"/>
        </w:rPr>
        <w:t xml:space="preserve">联系人：梁伟贞         联系电话：0771-2023650  </w:t>
      </w:r>
    </w:p>
    <w:p w14:paraId="517F1DB4">
      <w:pPr>
        <w:spacing w:line="360" w:lineRule="auto"/>
        <w:ind w:firstLine="648" w:firstLineChars="270"/>
        <w:jc w:val="left"/>
        <w:rPr>
          <w:rFonts w:ascii="宋体" w:hAnsi="宋体" w:cs="宋体"/>
          <w:color w:val="auto"/>
          <w:sz w:val="24"/>
          <w:highlight w:val="none"/>
        </w:rPr>
      </w:pPr>
      <w:r>
        <w:rPr>
          <w:rFonts w:hint="eastAsia" w:ascii="宋体" w:hAnsi="宋体" w:cs="宋体"/>
          <w:color w:val="auto"/>
          <w:sz w:val="24"/>
          <w:highlight w:val="none"/>
        </w:rPr>
        <w:t>3.项目联系方式</w:t>
      </w:r>
      <w:bookmarkEnd w:id="32"/>
      <w:bookmarkEnd w:id="33"/>
    </w:p>
    <w:p w14:paraId="066D1692">
      <w:pPr>
        <w:spacing w:line="360" w:lineRule="auto"/>
        <w:ind w:firstLine="648" w:firstLineChars="270"/>
        <w:jc w:val="left"/>
        <w:rPr>
          <w:rFonts w:ascii="宋体" w:hAnsi="宋体" w:cs="宋体"/>
          <w:color w:val="auto"/>
          <w:sz w:val="24"/>
          <w:highlight w:val="none"/>
        </w:rPr>
      </w:pPr>
      <w:r>
        <w:rPr>
          <w:rFonts w:hint="eastAsia" w:ascii="宋体" w:hAnsi="宋体" w:cs="宋体"/>
          <w:color w:val="auto"/>
          <w:sz w:val="24"/>
          <w:highlight w:val="none"/>
        </w:rPr>
        <w:t>联系人：梁伟贞     联系电话：0771-2023650</w:t>
      </w:r>
    </w:p>
    <w:p w14:paraId="52A43667">
      <w:pPr>
        <w:spacing w:line="360" w:lineRule="auto"/>
        <w:ind w:firstLine="648" w:firstLineChars="270"/>
        <w:rPr>
          <w:rFonts w:ascii="宋体" w:hAnsi="宋体" w:cs="宋体"/>
          <w:color w:val="auto"/>
          <w:sz w:val="24"/>
          <w:highlight w:val="none"/>
        </w:rPr>
      </w:pPr>
      <w:r>
        <w:rPr>
          <w:rFonts w:ascii="宋体" w:hAnsi="宋体" w:cs="宋体"/>
          <w:color w:val="auto"/>
          <w:sz w:val="24"/>
          <w:highlight w:val="none"/>
        </w:rPr>
        <w:t xml:space="preserve">      </w:t>
      </w:r>
    </w:p>
    <w:p w14:paraId="5787EAE6">
      <w:pPr>
        <w:spacing w:line="360" w:lineRule="auto"/>
        <w:ind w:firstLine="482"/>
        <w:jc w:val="right"/>
        <w:rPr>
          <w:rFonts w:ascii="宋体" w:hAnsi="宋体" w:cs="宋体"/>
          <w:color w:val="auto"/>
          <w:sz w:val="24"/>
          <w:highlight w:val="none"/>
        </w:rPr>
      </w:pPr>
      <w:r>
        <w:rPr>
          <w:rFonts w:hint="eastAsia" w:ascii="宋体" w:hAnsi="宋体" w:cs="宋体"/>
          <w:color w:val="auto"/>
          <w:sz w:val="24"/>
          <w:highlight w:val="none"/>
        </w:rPr>
        <w:t>广西科文招标有限公司</w:t>
      </w:r>
    </w:p>
    <w:p w14:paraId="34727E6E">
      <w:pPr>
        <w:wordWrap w:val="0"/>
        <w:snapToGrid w:val="0"/>
        <w:spacing w:line="360" w:lineRule="auto"/>
        <w:ind w:left="238"/>
        <w:jc w:val="right"/>
        <w:rPr>
          <w:rFonts w:ascii="宋体" w:hAnsi="宋体" w:cs="宋体"/>
          <w:color w:val="auto"/>
          <w:sz w:val="24"/>
          <w:highlight w:val="none"/>
        </w:rPr>
      </w:pPr>
      <w:r>
        <w:rPr>
          <w:rFonts w:ascii="宋体" w:hAnsi="宋体" w:cs="宋体"/>
          <w:color w:val="auto"/>
          <w:sz w:val="24"/>
          <w:highlight w:val="none"/>
        </w:rPr>
        <w:t>202</w:t>
      </w:r>
      <w:r>
        <w:rPr>
          <w:rFonts w:hint="eastAsia" w:ascii="宋体" w:hAnsi="宋体" w:cs="宋体"/>
          <w:color w:val="auto"/>
          <w:sz w:val="24"/>
          <w:highlight w:val="none"/>
        </w:rPr>
        <w:t>4年</w:t>
      </w:r>
      <w:r>
        <w:rPr>
          <w:rFonts w:hint="eastAsia" w:ascii="宋体" w:hAnsi="宋体" w:cs="宋体"/>
          <w:color w:val="auto"/>
          <w:sz w:val="24"/>
          <w:highlight w:val="none"/>
          <w:lang w:val="en-US" w:eastAsia="zh-CN"/>
        </w:rPr>
        <w:t>9</w:t>
      </w:r>
      <w:r>
        <w:rPr>
          <w:rFonts w:hint="eastAsia" w:ascii="宋体" w:hAnsi="宋体" w:cs="宋体"/>
          <w:color w:val="auto"/>
          <w:sz w:val="24"/>
          <w:highlight w:val="none"/>
        </w:rPr>
        <w:t>月</w:t>
      </w:r>
      <w:r>
        <w:rPr>
          <w:rFonts w:hint="eastAsia" w:ascii="宋体" w:hAnsi="宋体" w:cs="宋体"/>
          <w:color w:val="auto"/>
          <w:sz w:val="24"/>
          <w:highlight w:val="none"/>
          <w:lang w:val="en-US" w:eastAsia="zh-CN"/>
        </w:rPr>
        <w:t>30</w:t>
      </w:r>
      <w:r>
        <w:rPr>
          <w:rFonts w:hint="eastAsia" w:ascii="宋体" w:hAnsi="宋体" w:cs="宋体"/>
          <w:color w:val="auto"/>
          <w:sz w:val="24"/>
          <w:highlight w:val="none"/>
        </w:rPr>
        <w:t xml:space="preserve">日 </w:t>
      </w:r>
    </w:p>
    <w:p w14:paraId="2114AF0F">
      <w:pPr>
        <w:wordWrap w:val="0"/>
        <w:snapToGrid w:val="0"/>
        <w:spacing w:line="360" w:lineRule="auto"/>
        <w:ind w:left="238"/>
        <w:jc w:val="right"/>
        <w:rPr>
          <w:rFonts w:ascii="宋体" w:hAnsi="宋体" w:cs="宋体"/>
          <w:color w:val="auto"/>
          <w:highlight w:val="none"/>
        </w:rPr>
      </w:pPr>
      <w:r>
        <w:rPr>
          <w:rFonts w:hint="eastAsia" w:ascii="宋体" w:hAnsi="宋体" w:cs="宋体"/>
          <w:color w:val="auto"/>
          <w:sz w:val="24"/>
          <w:highlight w:val="none"/>
        </w:rPr>
        <w:t xml:space="preserve"> </w:t>
      </w:r>
      <w:bookmarkStart w:id="34" w:name="_Toc74320801"/>
      <w:r>
        <w:rPr>
          <w:rFonts w:hint="eastAsia" w:ascii="宋体" w:hAnsi="宋体" w:cs="宋体"/>
          <w:color w:val="auto"/>
          <w:highlight w:val="none"/>
        </w:rPr>
        <w:br w:type="page"/>
      </w:r>
    </w:p>
    <w:p w14:paraId="2C9887A9">
      <w:pPr>
        <w:pStyle w:val="3"/>
        <w:spacing w:line="240" w:lineRule="auto"/>
        <w:jc w:val="center"/>
        <w:rPr>
          <w:rFonts w:ascii="宋体" w:hAnsi="宋体" w:cs="宋体"/>
          <w:color w:val="auto"/>
          <w:highlight w:val="none"/>
        </w:rPr>
      </w:pPr>
      <w:r>
        <w:rPr>
          <w:rFonts w:hint="eastAsia" w:ascii="宋体" w:hAnsi="宋体" w:cs="宋体"/>
          <w:color w:val="auto"/>
          <w:highlight w:val="none"/>
        </w:rPr>
        <w:t>第二章  采购需求</w:t>
      </w:r>
      <w:bookmarkEnd w:id="34"/>
    </w:p>
    <w:p w14:paraId="171C8952">
      <w:pPr>
        <w:jc w:val="left"/>
        <w:rPr>
          <w:rFonts w:ascii="宋体" w:hAnsi="宋体" w:cs="宋体"/>
          <w:bCs/>
          <w:color w:val="auto"/>
          <w:sz w:val="24"/>
          <w:highlight w:val="none"/>
        </w:rPr>
      </w:pPr>
      <w:bookmarkStart w:id="35" w:name="_Toc254970490"/>
      <w:bookmarkStart w:id="36" w:name="_Toc254970631"/>
      <w:r>
        <w:rPr>
          <w:rFonts w:hint="eastAsia" w:ascii="宋体" w:hAnsi="宋体" w:cs="宋体"/>
          <w:bCs/>
          <w:color w:val="auto"/>
          <w:sz w:val="24"/>
          <w:highlight w:val="none"/>
        </w:rPr>
        <w:t>说明：</w:t>
      </w:r>
    </w:p>
    <w:p w14:paraId="799DA828">
      <w:pPr>
        <w:spacing w:line="360" w:lineRule="auto"/>
        <w:ind w:left="-10" w:leftChars="-5" w:right="2" w:rightChars="1" w:firstLine="480" w:firstLineChars="200"/>
        <w:rPr>
          <w:bCs/>
          <w:color w:val="auto"/>
          <w:sz w:val="24"/>
          <w:highlight w:val="none"/>
        </w:rPr>
      </w:pPr>
      <w:r>
        <w:rPr>
          <w:bCs/>
          <w:color w:val="auto"/>
          <w:sz w:val="24"/>
          <w:highlight w:val="none"/>
        </w:rPr>
        <w:t>1</w:t>
      </w:r>
      <w:r>
        <w:rPr>
          <w:rFonts w:hint="eastAsia"/>
          <w:bCs/>
          <w:color w:val="auto"/>
          <w:sz w:val="24"/>
          <w:highlight w:val="none"/>
        </w:rPr>
        <w:t>．</w:t>
      </w:r>
      <w:r>
        <w:rPr>
          <w:bCs/>
          <w:color w:val="auto"/>
          <w:sz w:val="24"/>
          <w:highlight w:val="none"/>
        </w:rPr>
        <w:t>采购需求中如出现品牌、型号或者生产厂家等均仅起参考作用，不属于指定品牌、型号或者生产厂家的情形，投标人可参照或者选用其他相当的品牌、型号或者生产供应商替代。但投标人的产品实质上应相当于或优于本</w:t>
      </w:r>
      <w:r>
        <w:rPr>
          <w:rFonts w:hint="eastAsia"/>
          <w:bCs/>
          <w:color w:val="auto"/>
          <w:sz w:val="24"/>
          <w:highlight w:val="none"/>
        </w:rPr>
        <w:t>《采购</w:t>
      </w:r>
      <w:r>
        <w:rPr>
          <w:bCs/>
          <w:color w:val="auto"/>
          <w:sz w:val="24"/>
          <w:highlight w:val="none"/>
        </w:rPr>
        <w:t>需求</w:t>
      </w:r>
      <w:r>
        <w:rPr>
          <w:rFonts w:hint="eastAsia"/>
          <w:bCs/>
          <w:color w:val="auto"/>
          <w:sz w:val="24"/>
          <w:highlight w:val="none"/>
        </w:rPr>
        <w:t>》</w:t>
      </w:r>
      <w:r>
        <w:rPr>
          <w:bCs/>
          <w:color w:val="auto"/>
          <w:sz w:val="24"/>
          <w:highlight w:val="none"/>
        </w:rPr>
        <w:t>中的技术要求。</w:t>
      </w:r>
    </w:p>
    <w:p w14:paraId="3F3A1F0D">
      <w:pPr>
        <w:spacing w:line="360" w:lineRule="auto"/>
        <w:ind w:left="-10" w:leftChars="-5" w:right="2" w:rightChars="1" w:firstLine="480" w:firstLineChars="200"/>
        <w:rPr>
          <w:bCs/>
          <w:color w:val="auto"/>
          <w:sz w:val="24"/>
          <w:highlight w:val="none"/>
        </w:rPr>
      </w:pPr>
      <w:r>
        <w:rPr>
          <w:bCs/>
          <w:color w:val="auto"/>
          <w:sz w:val="24"/>
          <w:highlight w:val="none"/>
        </w:rPr>
        <w:t>2</w:t>
      </w:r>
      <w:r>
        <w:rPr>
          <w:rFonts w:hint="eastAsia"/>
          <w:bCs/>
          <w:color w:val="auto"/>
          <w:sz w:val="24"/>
          <w:highlight w:val="none"/>
        </w:rPr>
        <w:t>．</w:t>
      </w:r>
      <w:r>
        <w:rPr>
          <w:bCs/>
          <w:color w:val="auto"/>
          <w:sz w:val="24"/>
          <w:highlight w:val="none"/>
        </w:rPr>
        <w:t>凡在“技术要求”中表述为“标配”或“标准配置”的设备，投标人应在投标设备性能配置清单中将其标配参数详细列明。</w:t>
      </w:r>
    </w:p>
    <w:p w14:paraId="1ABA4D16">
      <w:pPr>
        <w:spacing w:line="360" w:lineRule="auto"/>
        <w:ind w:left="-10" w:leftChars="-5" w:right="2" w:rightChars="1" w:firstLine="480" w:firstLineChars="200"/>
        <w:rPr>
          <w:bCs/>
          <w:color w:val="auto"/>
          <w:sz w:val="24"/>
          <w:highlight w:val="none"/>
        </w:rPr>
      </w:pPr>
      <w:r>
        <w:rPr>
          <w:bCs/>
          <w:color w:val="auto"/>
          <w:sz w:val="24"/>
          <w:highlight w:val="none"/>
        </w:rPr>
        <w:t>3</w:t>
      </w:r>
      <w:r>
        <w:rPr>
          <w:rFonts w:hint="eastAsia"/>
          <w:bCs/>
          <w:color w:val="auto"/>
          <w:sz w:val="24"/>
          <w:highlight w:val="none"/>
        </w:rPr>
        <w:t>．</w:t>
      </w:r>
      <w:r>
        <w:rPr>
          <w:bCs/>
          <w:color w:val="auto"/>
          <w:sz w:val="24"/>
          <w:highlight w:val="none"/>
        </w:rPr>
        <w:t>根据《财政部发展改革委生态环境部市场监管总局关于调整优化节能产品、环境标志产品政府采购执行机制的通知》（财库〔2019〕9 号）和《关于印发节能产品政府采购品目清单的通知》（财库〔2019〕19 号）的规定，采购需求中的产品属于节能产品政府采购品目清单内标注“</w:t>
      </w:r>
      <w:r>
        <w:rPr>
          <w:rFonts w:hint="eastAsia" w:ascii="Segoe UI Symbol" w:hAnsi="Segoe UI Symbol" w:cs="Segoe UI Symbol"/>
          <w:bCs/>
          <w:color w:val="auto"/>
          <w:sz w:val="24"/>
          <w:highlight w:val="none"/>
        </w:rPr>
        <w:t>★</w:t>
      </w:r>
      <w:r>
        <w:rPr>
          <w:bCs/>
          <w:color w:val="auto"/>
          <w:sz w:val="24"/>
          <w:highlight w:val="none"/>
        </w:rPr>
        <w:t>”的（详见本章后附的节能产品政府采购品目清单），投标人的投标货物必须使用政府强制采购的节能产品，否则投标文件作无效处理。</w:t>
      </w:r>
    </w:p>
    <w:p w14:paraId="28E94447">
      <w:pPr>
        <w:spacing w:line="360" w:lineRule="auto"/>
        <w:ind w:left="-10" w:leftChars="-5" w:right="2" w:rightChars="1" w:firstLine="480" w:firstLineChars="200"/>
        <w:rPr>
          <w:bCs/>
          <w:color w:val="auto"/>
          <w:sz w:val="24"/>
          <w:highlight w:val="none"/>
        </w:rPr>
      </w:pPr>
      <w:r>
        <w:rPr>
          <w:bCs/>
          <w:color w:val="auto"/>
          <w:sz w:val="24"/>
          <w:highlight w:val="none"/>
        </w:rPr>
        <w:t>4</w:t>
      </w:r>
      <w:r>
        <w:rPr>
          <w:rFonts w:hint="eastAsia"/>
          <w:bCs/>
          <w:color w:val="auto"/>
          <w:sz w:val="24"/>
          <w:highlight w:val="none"/>
        </w:rPr>
        <w:t>．</w:t>
      </w:r>
      <w:r>
        <w:rPr>
          <w:bCs/>
          <w:color w:val="auto"/>
          <w:sz w:val="24"/>
          <w:highlight w:val="none"/>
        </w:rPr>
        <w:t>如投标人投标产品存在侵犯他人的知识产权或者专利成果行为的，由投标人自行承担相应法律责任。</w:t>
      </w:r>
    </w:p>
    <w:p w14:paraId="3076F0CF">
      <w:pPr>
        <w:spacing w:line="360" w:lineRule="auto"/>
        <w:ind w:left="-10" w:leftChars="-5" w:right="2" w:rightChars="1" w:firstLine="480" w:firstLineChars="200"/>
        <w:rPr>
          <w:bCs/>
          <w:color w:val="auto"/>
          <w:sz w:val="24"/>
          <w:highlight w:val="none"/>
          <w:u w:val="single"/>
        </w:rPr>
      </w:pPr>
      <w:r>
        <w:rPr>
          <w:bCs/>
          <w:color w:val="auto"/>
          <w:sz w:val="24"/>
          <w:highlight w:val="none"/>
        </w:rPr>
        <w:t>5</w:t>
      </w:r>
      <w:r>
        <w:rPr>
          <w:rFonts w:hint="eastAsia"/>
          <w:bCs/>
          <w:color w:val="auto"/>
          <w:sz w:val="24"/>
          <w:highlight w:val="none"/>
        </w:rPr>
        <w:t>．“</w:t>
      </w:r>
      <w:r>
        <w:rPr>
          <w:bCs/>
          <w:color w:val="auto"/>
          <w:sz w:val="24"/>
          <w:highlight w:val="none"/>
        </w:rPr>
        <w:t>实质性要求</w:t>
      </w:r>
      <w:r>
        <w:rPr>
          <w:rFonts w:hint="eastAsia"/>
          <w:bCs/>
          <w:color w:val="auto"/>
          <w:sz w:val="24"/>
          <w:highlight w:val="none"/>
        </w:rPr>
        <w:t>”</w:t>
      </w:r>
      <w:r>
        <w:rPr>
          <w:bCs/>
          <w:color w:val="auto"/>
          <w:sz w:val="24"/>
          <w:highlight w:val="none"/>
        </w:rPr>
        <w:t>是指招标文件中已经指明不满足则投标无效的条款，或者不</w:t>
      </w:r>
      <w:r>
        <w:rPr>
          <w:rFonts w:hint="eastAsia"/>
          <w:bCs/>
          <w:color w:val="auto"/>
          <w:sz w:val="24"/>
          <w:highlight w:val="none"/>
        </w:rPr>
        <w:t>容许</w:t>
      </w:r>
      <w:r>
        <w:rPr>
          <w:bCs/>
          <w:color w:val="auto"/>
          <w:sz w:val="24"/>
          <w:highlight w:val="none"/>
        </w:rPr>
        <w:t>负偏离的条款。</w:t>
      </w:r>
      <w:r>
        <w:rPr>
          <w:rFonts w:hint="eastAsia"/>
          <w:bCs/>
          <w:color w:val="auto"/>
          <w:sz w:val="24"/>
          <w:highlight w:val="none"/>
        </w:rPr>
        <w:t>单个分标</w:t>
      </w:r>
      <w:r>
        <w:rPr>
          <w:bCs/>
          <w:color w:val="auto"/>
          <w:sz w:val="24"/>
          <w:highlight w:val="none"/>
          <w:u w:val="single"/>
        </w:rPr>
        <w:t>带“</w:t>
      </w:r>
      <w:r>
        <w:rPr>
          <w:rFonts w:hint="eastAsia"/>
          <w:bCs/>
          <w:color w:val="auto"/>
          <w:sz w:val="24"/>
          <w:highlight w:val="none"/>
          <w:u w:val="single"/>
        </w:rPr>
        <w:t>▲</w:t>
      </w:r>
      <w:r>
        <w:rPr>
          <w:bCs/>
          <w:color w:val="auto"/>
          <w:sz w:val="24"/>
          <w:highlight w:val="none"/>
          <w:u w:val="single"/>
        </w:rPr>
        <w:t>”的</w:t>
      </w:r>
      <w:r>
        <w:rPr>
          <w:rFonts w:hint="eastAsia"/>
          <w:bCs/>
          <w:color w:val="auto"/>
          <w:sz w:val="24"/>
          <w:highlight w:val="none"/>
          <w:u w:val="single"/>
        </w:rPr>
        <w:t>非实质性</w:t>
      </w:r>
      <w:r>
        <w:rPr>
          <w:bCs/>
          <w:color w:val="auto"/>
          <w:sz w:val="24"/>
          <w:highlight w:val="none"/>
          <w:u w:val="single"/>
        </w:rPr>
        <w:t>条款</w:t>
      </w:r>
      <w:r>
        <w:rPr>
          <w:rFonts w:hint="eastAsia" w:ascii="宋体" w:hAnsi="宋体" w:cs="宋体"/>
          <w:color w:val="auto"/>
          <w:sz w:val="24"/>
          <w:highlight w:val="none"/>
          <w:u w:val="single"/>
        </w:rPr>
        <w:t>允许负偏离的条款数为1项，2项及以上的负偏离则投标无效。</w:t>
      </w:r>
    </w:p>
    <w:p w14:paraId="4F44D8FB">
      <w:pPr>
        <w:spacing w:line="360" w:lineRule="auto"/>
        <w:ind w:left="-10" w:leftChars="-5" w:right="2" w:rightChars="1" w:firstLine="480" w:firstLineChars="200"/>
        <w:rPr>
          <w:bCs/>
          <w:color w:val="auto"/>
          <w:sz w:val="24"/>
          <w:highlight w:val="none"/>
        </w:rPr>
      </w:pPr>
      <w:r>
        <w:rPr>
          <w:bCs/>
          <w:color w:val="auto"/>
          <w:sz w:val="24"/>
          <w:highlight w:val="none"/>
        </w:rPr>
        <w:t>采购预算：详见采购公告</w:t>
      </w:r>
    </w:p>
    <w:p w14:paraId="3BAEE66B">
      <w:pPr>
        <w:spacing w:line="360" w:lineRule="auto"/>
        <w:ind w:left="-10" w:leftChars="-5" w:right="2" w:rightChars="1" w:firstLine="480" w:firstLineChars="200"/>
        <w:rPr>
          <w:bCs/>
          <w:color w:val="auto"/>
          <w:sz w:val="24"/>
          <w:highlight w:val="none"/>
        </w:rPr>
      </w:pPr>
      <w:r>
        <w:rPr>
          <w:rFonts w:hint="eastAsia"/>
          <w:bCs/>
          <w:color w:val="auto"/>
          <w:sz w:val="24"/>
          <w:highlight w:val="none"/>
        </w:rPr>
        <w:t>1分标</w:t>
      </w:r>
      <w:r>
        <w:rPr>
          <w:bCs/>
          <w:color w:val="auto"/>
          <w:sz w:val="24"/>
          <w:highlight w:val="none"/>
        </w:rPr>
        <w:t>所属行业：</w:t>
      </w:r>
      <w:r>
        <w:rPr>
          <w:rFonts w:hint="eastAsia"/>
          <w:color w:val="auto"/>
          <w:sz w:val="24"/>
          <w:highlight w:val="none"/>
        </w:rPr>
        <w:t>工业</w:t>
      </w:r>
      <w:r>
        <w:rPr>
          <w:rFonts w:hint="eastAsia"/>
          <w:bCs/>
          <w:color w:val="auto"/>
          <w:sz w:val="24"/>
          <w:highlight w:val="none"/>
        </w:rPr>
        <w:t>。</w:t>
      </w:r>
    </w:p>
    <w:p w14:paraId="000B7631">
      <w:pPr>
        <w:spacing w:line="360" w:lineRule="auto"/>
        <w:ind w:left="-10" w:leftChars="-5" w:right="2" w:rightChars="1" w:firstLine="480" w:firstLineChars="200"/>
        <w:rPr>
          <w:bCs/>
          <w:color w:val="auto"/>
          <w:sz w:val="24"/>
          <w:highlight w:val="none"/>
        </w:rPr>
      </w:pPr>
      <w:r>
        <w:rPr>
          <w:rFonts w:hint="eastAsia"/>
          <w:bCs/>
          <w:color w:val="auto"/>
          <w:sz w:val="24"/>
          <w:highlight w:val="none"/>
        </w:rPr>
        <w:t>2分标所属行业：软件与信息技术服务业。</w:t>
      </w:r>
    </w:p>
    <w:tbl>
      <w:tblPr>
        <w:tblStyle w:val="47"/>
        <w:tblW w:w="8922" w:type="dxa"/>
        <w:jc w:val="center"/>
        <w:tblLayout w:type="fixed"/>
        <w:tblCellMar>
          <w:top w:w="0" w:type="dxa"/>
          <w:left w:w="0" w:type="dxa"/>
          <w:bottom w:w="0" w:type="dxa"/>
          <w:right w:w="0" w:type="dxa"/>
        </w:tblCellMar>
      </w:tblPr>
      <w:tblGrid>
        <w:gridCol w:w="579"/>
        <w:gridCol w:w="912"/>
        <w:gridCol w:w="450"/>
        <w:gridCol w:w="480"/>
        <w:gridCol w:w="6501"/>
      </w:tblGrid>
      <w:tr w14:paraId="17BB640F">
        <w:tblPrEx>
          <w:tblCellMar>
            <w:top w:w="0" w:type="dxa"/>
            <w:left w:w="0" w:type="dxa"/>
            <w:bottom w:w="0" w:type="dxa"/>
            <w:right w:w="0" w:type="dxa"/>
          </w:tblCellMar>
        </w:tblPrEx>
        <w:trPr>
          <w:trHeight w:val="20" w:hRule="atLeast"/>
          <w:jc w:val="center"/>
        </w:trPr>
        <w:tc>
          <w:tcPr>
            <w:tcW w:w="8922" w:type="dxa"/>
            <w:gridSpan w:val="5"/>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18EF96DE">
            <w:pPr>
              <w:widowControl/>
              <w:spacing w:line="360" w:lineRule="auto"/>
              <w:jc w:val="center"/>
              <w:textAlignment w:val="center"/>
              <w:rPr>
                <w:rFonts w:ascii="宋体" w:hAnsi="宋体" w:cs="宋体"/>
                <w:bCs/>
                <w:color w:val="auto"/>
                <w:kern w:val="0"/>
                <w:sz w:val="24"/>
                <w:highlight w:val="none"/>
              </w:rPr>
            </w:pPr>
            <w:r>
              <w:rPr>
                <w:rFonts w:hint="eastAsia" w:ascii="宋体" w:hAnsi="宋体" w:cs="宋体"/>
                <w:b/>
                <w:color w:val="auto"/>
                <w:kern w:val="0"/>
                <w:sz w:val="24"/>
                <w:highlight w:val="none"/>
              </w:rPr>
              <w:t>1分标：综合业务安全接入系统设备升级，采购预算254万元</w:t>
            </w:r>
          </w:p>
        </w:tc>
      </w:tr>
      <w:tr w14:paraId="308861AE">
        <w:tblPrEx>
          <w:tblCellMar>
            <w:top w:w="0" w:type="dxa"/>
            <w:left w:w="0" w:type="dxa"/>
            <w:bottom w:w="0" w:type="dxa"/>
            <w:right w:w="0" w:type="dxa"/>
          </w:tblCellMar>
        </w:tblPrEx>
        <w:trPr>
          <w:trHeight w:val="20" w:hRule="atLeast"/>
          <w:jc w:val="center"/>
        </w:trPr>
        <w:tc>
          <w:tcPr>
            <w:tcW w:w="8922" w:type="dxa"/>
            <w:gridSpan w:val="5"/>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2DBB6FAE">
            <w:pPr>
              <w:widowControl/>
              <w:numPr>
                <w:ilvl w:val="0"/>
                <w:numId w:val="3"/>
              </w:numPr>
              <w:spacing w:line="360" w:lineRule="auto"/>
              <w:jc w:val="left"/>
              <w:textAlignment w:val="center"/>
              <w:rPr>
                <w:rFonts w:ascii="宋体" w:hAnsi="宋体" w:cs="宋体"/>
                <w:b/>
                <w:color w:val="auto"/>
                <w:kern w:val="0"/>
                <w:sz w:val="24"/>
                <w:highlight w:val="none"/>
              </w:rPr>
            </w:pPr>
            <w:r>
              <w:rPr>
                <w:rFonts w:hint="eastAsia" w:ascii="宋体" w:hAnsi="宋体" w:cs="宋体"/>
                <w:b/>
                <w:color w:val="auto"/>
                <w:kern w:val="0"/>
                <w:sz w:val="24"/>
                <w:highlight w:val="none"/>
              </w:rPr>
              <w:t>总体要求：</w:t>
            </w:r>
          </w:p>
          <w:p w14:paraId="420BCDFE">
            <w:pPr>
              <w:widowControl/>
              <w:spacing w:line="360" w:lineRule="auto"/>
              <w:jc w:val="left"/>
              <w:textAlignment w:val="center"/>
              <w:rPr>
                <w:rFonts w:ascii="宋体" w:hAnsi="宋体" w:cs="宋体"/>
                <w:bCs/>
                <w:color w:val="auto"/>
                <w:kern w:val="0"/>
                <w:sz w:val="24"/>
                <w:highlight w:val="none"/>
              </w:rPr>
            </w:pPr>
            <w:r>
              <w:rPr>
                <w:rFonts w:hint="eastAsia" w:ascii="宋体" w:hAnsi="宋体" w:cs="宋体"/>
                <w:b/>
                <w:color w:val="auto"/>
                <w:kern w:val="0"/>
                <w:sz w:val="24"/>
                <w:highlight w:val="none"/>
              </w:rPr>
              <w:t xml:space="preserve">    </w:t>
            </w:r>
            <w:r>
              <w:rPr>
                <w:rFonts w:hint="eastAsia" w:ascii="宋体" w:hAnsi="宋体" w:cs="宋体"/>
                <w:bCs/>
                <w:color w:val="auto"/>
                <w:kern w:val="0"/>
                <w:sz w:val="24"/>
                <w:highlight w:val="none"/>
              </w:rPr>
              <w:t xml:space="preserve">通过对区中心核心网络接入系统进行技术安全升级改造，同时为站点配备终端接入设备，一方面在销售网中构建基于专线、互联网等多种网络传输的注册认证及安全策略加密机制，从而提升全区站点销售、兑奖等数据网络传输的完整性与安全性；另一方面为解决站点通讯资源受限，实现站点只开通一条互联网线，便可复用同时接入全区彩票销售系统、网络视频播放业务系统，以及互联网应用的同时访问。 </w:t>
            </w:r>
          </w:p>
          <w:p w14:paraId="1FBF03FC">
            <w:pPr>
              <w:widowControl/>
              <w:spacing w:line="360" w:lineRule="auto"/>
              <w:jc w:val="left"/>
              <w:textAlignment w:val="center"/>
              <w:rPr>
                <w:rFonts w:ascii="宋体" w:hAnsi="宋体" w:cs="宋体"/>
                <w:bCs/>
                <w:color w:val="auto"/>
                <w:kern w:val="0"/>
                <w:sz w:val="24"/>
                <w:highlight w:val="none"/>
              </w:rPr>
            </w:pPr>
            <w:r>
              <w:rPr>
                <w:rFonts w:hint="eastAsia" w:ascii="宋体" w:hAnsi="宋体" w:cs="宋体"/>
                <w:bCs/>
                <w:color w:val="auto"/>
                <w:kern w:val="0"/>
                <w:sz w:val="24"/>
                <w:highlight w:val="none"/>
              </w:rPr>
              <w:t xml:space="preserve">▲（一）定制开发：对现有“综合业务安全接入系统（详细内容见2分标的采购需求）”进行升级改造，保证与现行业务系统无缝兼容。（投标文件中需提供兼容承诺函。） </w:t>
            </w:r>
          </w:p>
          <w:p w14:paraId="1A08240F">
            <w:pPr>
              <w:widowControl/>
              <w:spacing w:line="360" w:lineRule="auto"/>
              <w:jc w:val="left"/>
              <w:textAlignment w:val="center"/>
              <w:rPr>
                <w:rFonts w:ascii="宋体" w:hAnsi="宋体" w:cs="宋体"/>
                <w:bCs/>
                <w:color w:val="auto"/>
                <w:kern w:val="0"/>
                <w:sz w:val="24"/>
                <w:highlight w:val="none"/>
              </w:rPr>
            </w:pPr>
            <w:r>
              <w:rPr>
                <w:rFonts w:hint="eastAsia" w:ascii="宋体" w:hAnsi="宋体" w:cs="宋体"/>
                <w:bCs/>
                <w:color w:val="auto"/>
                <w:kern w:val="0"/>
                <w:sz w:val="24"/>
                <w:highlight w:val="none"/>
              </w:rPr>
              <w:t xml:space="preserve">▲（二）与现有“综合业务安全接入系统”进行核心数据迁移，采取集群方式部署达到新旧系统双机热备，保证数据完整性、一致性以及业务的连续性。 （投标文件中需提供承诺函） </w:t>
            </w:r>
          </w:p>
          <w:p w14:paraId="471D9A78">
            <w:pPr>
              <w:widowControl/>
              <w:spacing w:line="360" w:lineRule="auto"/>
              <w:jc w:val="left"/>
              <w:textAlignment w:val="center"/>
              <w:rPr>
                <w:rFonts w:ascii="宋体" w:hAnsi="宋体" w:cs="宋体"/>
                <w:bCs/>
                <w:color w:val="auto"/>
                <w:kern w:val="0"/>
                <w:sz w:val="24"/>
                <w:highlight w:val="none"/>
              </w:rPr>
            </w:pPr>
            <w:r>
              <w:rPr>
                <w:rFonts w:hint="eastAsia" w:ascii="宋体" w:hAnsi="宋体" w:cs="宋体"/>
                <w:bCs/>
                <w:color w:val="auto"/>
                <w:kern w:val="0"/>
                <w:sz w:val="24"/>
                <w:highlight w:val="none"/>
              </w:rPr>
              <w:t>▲（三）全程保障与现有销售系统及其相关业务应用系统的安全割接，出现问题及时处理解决。（投标文件中需提供承诺函）</w:t>
            </w:r>
          </w:p>
          <w:p w14:paraId="57E83729">
            <w:pPr>
              <w:widowControl/>
              <w:spacing w:line="360" w:lineRule="auto"/>
              <w:jc w:val="left"/>
              <w:textAlignment w:val="center"/>
              <w:rPr>
                <w:rFonts w:ascii="宋体" w:hAnsi="宋体" w:cs="宋体"/>
                <w:b/>
                <w:color w:val="auto"/>
                <w:kern w:val="0"/>
                <w:sz w:val="24"/>
                <w:highlight w:val="none"/>
              </w:rPr>
            </w:pPr>
            <w:r>
              <w:rPr>
                <w:rFonts w:hint="eastAsia" w:ascii="宋体" w:hAnsi="宋体" w:cs="宋体"/>
                <w:bCs/>
                <w:color w:val="auto"/>
                <w:kern w:val="0"/>
                <w:sz w:val="24"/>
                <w:highlight w:val="none"/>
              </w:rPr>
              <w:t xml:space="preserve">▲（四）升级改造后的“综合业务安全接入系统”应同时兼容全区现有5200台销售投注站安全接入终端设备，并满足新旧安全接入终端设备的同时接入使用及统一管理。（投标文件中需提供承诺函）  </w:t>
            </w:r>
          </w:p>
        </w:tc>
      </w:tr>
      <w:tr w14:paraId="6E32DFC3">
        <w:tblPrEx>
          <w:tblCellMar>
            <w:top w:w="0" w:type="dxa"/>
            <w:left w:w="0" w:type="dxa"/>
            <w:bottom w:w="0" w:type="dxa"/>
            <w:right w:w="0" w:type="dxa"/>
          </w:tblCellMar>
        </w:tblPrEx>
        <w:trPr>
          <w:trHeight w:val="20" w:hRule="atLeast"/>
          <w:jc w:val="center"/>
        </w:trPr>
        <w:tc>
          <w:tcPr>
            <w:tcW w:w="579" w:type="dxa"/>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022995A1">
            <w:pPr>
              <w:widowControl/>
              <w:spacing w:line="360" w:lineRule="auto"/>
              <w:jc w:val="center"/>
              <w:textAlignment w:val="center"/>
              <w:rPr>
                <w:rFonts w:ascii="宋体" w:hAnsi="宋体" w:cs="宋体"/>
                <w:b/>
                <w:color w:val="auto"/>
                <w:sz w:val="24"/>
                <w:highlight w:val="none"/>
              </w:rPr>
            </w:pPr>
            <w:r>
              <w:rPr>
                <w:rFonts w:hint="eastAsia" w:ascii="宋体" w:hAnsi="宋体" w:cs="宋体"/>
                <w:b/>
                <w:color w:val="auto"/>
                <w:kern w:val="0"/>
                <w:sz w:val="24"/>
                <w:highlight w:val="none"/>
              </w:rPr>
              <w:t>项号</w:t>
            </w:r>
          </w:p>
        </w:tc>
        <w:tc>
          <w:tcPr>
            <w:tcW w:w="912" w:type="dxa"/>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4C50B403">
            <w:pPr>
              <w:widowControl/>
              <w:spacing w:line="360" w:lineRule="auto"/>
              <w:jc w:val="center"/>
              <w:textAlignment w:val="center"/>
              <w:rPr>
                <w:rFonts w:ascii="宋体" w:hAnsi="宋体" w:cs="宋体"/>
                <w:b/>
                <w:color w:val="auto"/>
                <w:sz w:val="24"/>
                <w:highlight w:val="none"/>
              </w:rPr>
            </w:pPr>
            <w:r>
              <w:rPr>
                <w:rFonts w:hint="eastAsia" w:ascii="宋体" w:hAnsi="宋体" w:cs="宋体"/>
                <w:b/>
                <w:color w:val="auto"/>
                <w:kern w:val="0"/>
                <w:sz w:val="24"/>
                <w:highlight w:val="none"/>
              </w:rPr>
              <w:t>标的名称</w:t>
            </w:r>
          </w:p>
        </w:tc>
        <w:tc>
          <w:tcPr>
            <w:tcW w:w="450" w:type="dxa"/>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0323CAFD">
            <w:pPr>
              <w:widowControl/>
              <w:spacing w:line="360" w:lineRule="auto"/>
              <w:jc w:val="center"/>
              <w:textAlignment w:val="center"/>
              <w:rPr>
                <w:rFonts w:ascii="宋体" w:hAnsi="宋体" w:cs="宋体"/>
                <w:b/>
                <w:color w:val="auto"/>
                <w:sz w:val="24"/>
                <w:highlight w:val="none"/>
              </w:rPr>
            </w:pPr>
            <w:r>
              <w:rPr>
                <w:rFonts w:hint="eastAsia" w:ascii="宋体" w:hAnsi="宋体" w:cs="宋体"/>
                <w:b/>
                <w:color w:val="auto"/>
                <w:kern w:val="0"/>
                <w:sz w:val="24"/>
                <w:highlight w:val="none"/>
              </w:rPr>
              <w:t>数量</w:t>
            </w:r>
          </w:p>
        </w:tc>
        <w:tc>
          <w:tcPr>
            <w:tcW w:w="480" w:type="dxa"/>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292BAC89">
            <w:pPr>
              <w:widowControl/>
              <w:spacing w:line="360" w:lineRule="auto"/>
              <w:jc w:val="center"/>
              <w:textAlignment w:val="center"/>
              <w:rPr>
                <w:rFonts w:ascii="宋体" w:hAnsi="宋体" w:cs="宋体"/>
                <w:b/>
                <w:color w:val="auto"/>
                <w:sz w:val="24"/>
                <w:highlight w:val="none"/>
              </w:rPr>
            </w:pPr>
            <w:r>
              <w:rPr>
                <w:rFonts w:hint="eastAsia" w:ascii="宋体" w:hAnsi="宋体" w:cs="宋体"/>
                <w:b/>
                <w:color w:val="auto"/>
                <w:kern w:val="0"/>
                <w:sz w:val="24"/>
                <w:highlight w:val="none"/>
              </w:rPr>
              <w:t>单位</w:t>
            </w:r>
          </w:p>
        </w:tc>
        <w:tc>
          <w:tcPr>
            <w:tcW w:w="6501" w:type="dxa"/>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414B4C91">
            <w:pPr>
              <w:widowControl/>
              <w:spacing w:line="360" w:lineRule="auto"/>
              <w:jc w:val="center"/>
              <w:textAlignment w:val="center"/>
              <w:rPr>
                <w:rFonts w:ascii="宋体" w:hAnsi="宋体" w:cs="宋体"/>
                <w:b/>
                <w:color w:val="auto"/>
                <w:sz w:val="24"/>
                <w:highlight w:val="none"/>
              </w:rPr>
            </w:pPr>
            <w:r>
              <w:rPr>
                <w:rFonts w:hint="eastAsia" w:ascii="宋体" w:hAnsi="宋体" w:cs="宋体"/>
                <w:b/>
                <w:color w:val="auto"/>
                <w:kern w:val="0"/>
                <w:sz w:val="24"/>
                <w:highlight w:val="none"/>
              </w:rPr>
              <w:t>技术参数及性能（配置）要求</w:t>
            </w:r>
          </w:p>
        </w:tc>
      </w:tr>
      <w:tr w14:paraId="1EA01585">
        <w:tblPrEx>
          <w:tblCellMar>
            <w:top w:w="0" w:type="dxa"/>
            <w:left w:w="0" w:type="dxa"/>
            <w:bottom w:w="0" w:type="dxa"/>
            <w:right w:w="0" w:type="dxa"/>
          </w:tblCellMar>
        </w:tblPrEx>
        <w:trPr>
          <w:trHeight w:val="20" w:hRule="atLeast"/>
          <w:jc w:val="center"/>
        </w:trPr>
        <w:tc>
          <w:tcPr>
            <w:tcW w:w="579" w:type="dxa"/>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4B7F0A8B">
            <w:pPr>
              <w:tabs>
                <w:tab w:val="left" w:pos="180"/>
                <w:tab w:val="left" w:pos="1620"/>
              </w:tabs>
              <w:spacing w:line="360" w:lineRule="auto"/>
              <w:jc w:val="center"/>
              <w:rPr>
                <w:rFonts w:ascii="宋体" w:hAnsi="宋体" w:cs="宋体"/>
                <w:color w:val="auto"/>
                <w:sz w:val="24"/>
                <w:highlight w:val="none"/>
              </w:rPr>
            </w:pPr>
          </w:p>
          <w:p w14:paraId="50FE2D57">
            <w:pPr>
              <w:tabs>
                <w:tab w:val="left" w:pos="180"/>
                <w:tab w:val="left" w:pos="1620"/>
              </w:tabs>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912" w:type="dxa"/>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7148F906">
            <w:pPr>
              <w:pStyle w:val="5"/>
              <w:numPr>
                <w:ilvl w:val="2"/>
                <w:numId w:val="0"/>
              </w:numPr>
              <w:spacing w:before="312" w:after="312" w:line="360" w:lineRule="auto"/>
              <w:jc w:val="center"/>
              <w:rPr>
                <w:rFonts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综合业务安全接入系统运行平台</w:t>
            </w:r>
          </w:p>
          <w:p w14:paraId="7F0EAC32">
            <w:pPr>
              <w:tabs>
                <w:tab w:val="left" w:pos="180"/>
                <w:tab w:val="left" w:pos="1620"/>
              </w:tabs>
              <w:spacing w:line="360" w:lineRule="auto"/>
              <w:jc w:val="center"/>
              <w:rPr>
                <w:rFonts w:ascii="宋体" w:hAnsi="宋体" w:cs="宋体"/>
                <w:color w:val="auto"/>
                <w:sz w:val="24"/>
                <w:highlight w:val="none"/>
              </w:rPr>
            </w:pPr>
          </w:p>
        </w:tc>
        <w:tc>
          <w:tcPr>
            <w:tcW w:w="450" w:type="dxa"/>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13032B8E">
            <w:pPr>
              <w:tabs>
                <w:tab w:val="left" w:pos="180"/>
                <w:tab w:val="left" w:pos="1620"/>
              </w:tabs>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480" w:type="dxa"/>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793C6D84">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套</w:t>
            </w:r>
          </w:p>
        </w:tc>
        <w:tc>
          <w:tcPr>
            <w:tcW w:w="6501" w:type="dxa"/>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7FD23429">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1.不低于7U机框式万兆硬件平台，采用符合PICMG3.0标准的ATCA架构，该平台可通过热插拔物理板卡方式集成实现各种业务板卡协同工作，支持可插拔物理板卡数量不少于6个，设备标配双电源模块、双风扇模块，万兆交换板。</w:t>
            </w:r>
          </w:p>
          <w:p w14:paraId="62C012A4">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2.电源模块功率不小于3000W；</w:t>
            </w:r>
          </w:p>
          <w:p w14:paraId="6B06BF40">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3.智能风扇，每槽位散热不小于300W。</w:t>
            </w:r>
          </w:p>
          <w:p w14:paraId="0885D4C8">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4.单槽12路10GbE业务面、12路GbEBASE面交换板，背板带6个GbE电口6个GbE光接口；</w:t>
            </w:r>
          </w:p>
          <w:p w14:paraId="6346FAC3">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5.双槽交换板ATCA架构。</w:t>
            </w:r>
          </w:p>
          <w:p w14:paraId="634FA152">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6.可支持8000个销售网点设备的安全接入和管理能力。</w:t>
            </w:r>
          </w:p>
        </w:tc>
      </w:tr>
      <w:tr w14:paraId="02AB1328">
        <w:tblPrEx>
          <w:tblCellMar>
            <w:top w:w="0" w:type="dxa"/>
            <w:left w:w="0" w:type="dxa"/>
            <w:bottom w:w="0" w:type="dxa"/>
            <w:right w:w="0" w:type="dxa"/>
          </w:tblCellMar>
        </w:tblPrEx>
        <w:trPr>
          <w:trHeight w:val="20" w:hRule="atLeast"/>
          <w:jc w:val="center"/>
        </w:trPr>
        <w:tc>
          <w:tcPr>
            <w:tcW w:w="579" w:type="dxa"/>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60E7E5A0">
            <w:pPr>
              <w:tabs>
                <w:tab w:val="left" w:pos="180"/>
                <w:tab w:val="left" w:pos="1620"/>
              </w:tabs>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912" w:type="dxa"/>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08BC2129">
            <w:pPr>
              <w:pStyle w:val="5"/>
              <w:numPr>
                <w:ilvl w:val="2"/>
                <w:numId w:val="0"/>
              </w:numPr>
              <w:spacing w:before="312" w:after="312" w:line="360" w:lineRule="auto"/>
              <w:jc w:val="center"/>
              <w:rPr>
                <w:rFonts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安全管理系统</w:t>
            </w:r>
          </w:p>
          <w:p w14:paraId="23F084E4">
            <w:pPr>
              <w:tabs>
                <w:tab w:val="left" w:pos="180"/>
                <w:tab w:val="left" w:pos="1620"/>
              </w:tabs>
              <w:spacing w:line="360" w:lineRule="auto"/>
              <w:jc w:val="center"/>
              <w:rPr>
                <w:rFonts w:ascii="宋体" w:hAnsi="宋体" w:cs="宋体"/>
                <w:color w:val="auto"/>
                <w:sz w:val="24"/>
                <w:highlight w:val="none"/>
              </w:rPr>
            </w:pPr>
          </w:p>
        </w:tc>
        <w:tc>
          <w:tcPr>
            <w:tcW w:w="450" w:type="dxa"/>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15319DF2">
            <w:pPr>
              <w:tabs>
                <w:tab w:val="left" w:pos="180"/>
                <w:tab w:val="left" w:pos="1620"/>
              </w:tabs>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480" w:type="dxa"/>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37B77811">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套</w:t>
            </w:r>
          </w:p>
        </w:tc>
        <w:tc>
          <w:tcPr>
            <w:tcW w:w="6501" w:type="dxa"/>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1C94B885">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1.系统要求：国产操作系统负责整个网络环境中代销网点安全接入设备的证书发放、身份认证和管理。</w:t>
            </w:r>
          </w:p>
          <w:p w14:paraId="5668F344">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2.远程管理：支持安全管理业务板管理端和安全管理业务板服务端分别安装于不同的主机。</w:t>
            </w:r>
          </w:p>
          <w:p w14:paraId="4BDBC3F1">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3.加密通信：支持对称／非对称相结合的数据加密方式，证书管理采用遵循X.509格式的数字证书作为认证载体；支持将安全管理中心服务端作为证书签发机构（CA）来使用。</w:t>
            </w:r>
          </w:p>
          <w:p w14:paraId="3BE05530">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4.安全认证：支持符合X.509标准的第三方CA；支持DES、3DES、AES等通用加密算法，支持国密办批准的国产算法，支持用户指定的行业加密算法。</w:t>
            </w:r>
          </w:p>
          <w:p w14:paraId="32B5DEE6">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5.设备管理：支持对代销投注站安全接入终端设备的增、删、改及分域管理；支持代销投注站安全接入终端设备在线状态监控，支持代销投注站安全接入终端设备的启用、禁用。</w:t>
            </w:r>
          </w:p>
          <w:p w14:paraId="14D951DE">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6.隧道管理：具备创建、修改、删除、启用和禁用隧道功能；具有容错功能，具有明确的错误提示功能，对于重要的参数被错误地更改时系统会自动恢复到原来正确的设置，防止因升级失败或其他异常操作造成系统无法正常工作。</w:t>
            </w:r>
          </w:p>
          <w:p w14:paraId="1B5B07EA">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7.通信策略管理：对代销投注站安全接入终端设备进行身份认证、统一管理。可以对整个业务网络中的隧道策略进行集中定义和下发，能够详细定义每条隧道的协商参数、认证方式、加密算法等。</w:t>
            </w:r>
          </w:p>
          <w:p w14:paraId="0D29C2F6">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▲8.在线监控：能够对代销投注站安全接入终端设备在线状态信息进行实时监控、当前网络地址信息监控、并对设备的隧道信息状态进行监控。</w:t>
            </w:r>
          </w:p>
          <w:p w14:paraId="0214A84D">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9.容错功能：具有明确的错误提示功能；对于重要参数被错误地更改时系统会自动恢复到原来正确的设置；防止因升级失败或其他异常操作造成系统无法正常工作。</w:t>
            </w:r>
          </w:p>
          <w:p w14:paraId="1247B351">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10.管理员管理：支持对管理员的管理和授权，支持管理员分级。</w:t>
            </w:r>
          </w:p>
          <w:p w14:paraId="489EE62E">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11.分组管理：支持对代销投注站安全接入终端设备按照一定的规则分组进行管理。</w:t>
            </w:r>
          </w:p>
          <w:p w14:paraId="56116F8A">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12.审计功能：记录、统计整个系统的运作信息记录，统计管理员的历史操作进行审计，保障网络运行的安全提供有利的分析数据。</w:t>
            </w:r>
          </w:p>
          <w:p w14:paraId="700FE14E">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▲13.运行平台：基于ATCA架构的物理板卡方式，并根据实际应用物理板卡数量可叠加扩展，性能线性增加，支持热插拔；内部2路10GbE网口、2路GbE网口；2个外置GbE电口。</w:t>
            </w:r>
          </w:p>
          <w:p w14:paraId="62840CAD">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 xml:space="preserve">14.产品须合法合规，不涉及任何法律纠纷，投标文件中提供该产品的《计算机系统著作权登记证书》或其他合法使用的有效证明材料（如项目产品授权书、公司代理合作协议等）。 </w:t>
            </w:r>
          </w:p>
        </w:tc>
      </w:tr>
      <w:tr w14:paraId="525455FD">
        <w:tblPrEx>
          <w:tblCellMar>
            <w:top w:w="0" w:type="dxa"/>
            <w:left w:w="0" w:type="dxa"/>
            <w:bottom w:w="0" w:type="dxa"/>
            <w:right w:w="0" w:type="dxa"/>
          </w:tblCellMar>
        </w:tblPrEx>
        <w:trPr>
          <w:trHeight w:val="20" w:hRule="atLeast"/>
          <w:jc w:val="center"/>
        </w:trPr>
        <w:tc>
          <w:tcPr>
            <w:tcW w:w="579" w:type="dxa"/>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1F12FF5F">
            <w:pPr>
              <w:tabs>
                <w:tab w:val="left" w:pos="180"/>
                <w:tab w:val="left" w:pos="1620"/>
              </w:tabs>
              <w:spacing w:line="360" w:lineRule="auto"/>
              <w:jc w:val="center"/>
              <w:rPr>
                <w:rFonts w:ascii="宋体" w:hAnsi="宋体" w:cs="宋体"/>
                <w:color w:val="auto"/>
                <w:sz w:val="24"/>
                <w:highlight w:val="none"/>
              </w:rPr>
            </w:pPr>
            <w:r>
              <w:rPr>
                <w:rFonts w:hint="eastAsia" w:ascii="宋体" w:hAnsi="宋体" w:cs="宋体"/>
                <w:color w:val="auto"/>
                <w:sz w:val="24"/>
                <w:highlight w:val="none"/>
              </w:rPr>
              <w:t>3</w:t>
            </w:r>
          </w:p>
        </w:tc>
        <w:tc>
          <w:tcPr>
            <w:tcW w:w="912" w:type="dxa"/>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1FD0FFE7">
            <w:pPr>
              <w:tabs>
                <w:tab w:val="left" w:pos="180"/>
                <w:tab w:val="left" w:pos="1620"/>
              </w:tabs>
              <w:spacing w:line="360" w:lineRule="auto"/>
              <w:jc w:val="center"/>
              <w:rPr>
                <w:rFonts w:ascii="宋体" w:hAnsi="宋体" w:cs="宋体"/>
                <w:color w:val="auto"/>
                <w:sz w:val="24"/>
                <w:highlight w:val="none"/>
              </w:rPr>
            </w:pPr>
            <w:r>
              <w:rPr>
                <w:rFonts w:hint="eastAsia" w:ascii="宋体" w:hAnsi="宋体" w:cs="宋体"/>
                <w:color w:val="auto"/>
                <w:sz w:val="24"/>
                <w:highlight w:val="none"/>
              </w:rPr>
              <w:t>注册认证系统</w:t>
            </w:r>
          </w:p>
        </w:tc>
        <w:tc>
          <w:tcPr>
            <w:tcW w:w="450" w:type="dxa"/>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0F688848">
            <w:pPr>
              <w:tabs>
                <w:tab w:val="left" w:pos="180"/>
                <w:tab w:val="left" w:pos="1620"/>
              </w:tabs>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480" w:type="dxa"/>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22DE1991">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套</w:t>
            </w:r>
          </w:p>
        </w:tc>
        <w:tc>
          <w:tcPr>
            <w:tcW w:w="6501" w:type="dxa"/>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2B69A24A">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1.系统要求：国产操作系统通过验证代销投注站安全接入终端设备的序列号、绑定的投注机特征码、获取的证书号，对代销投注站安全接入终端设备进行初始化注册管理，保证每台代销投注站安全接入终端设备是经过福彩中心注册认可和有效的。</w:t>
            </w:r>
          </w:p>
          <w:p w14:paraId="4D8D1EA6">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2.设备注册认证：具备对代销投注站安全接入终端设备的身份认证功能。</w:t>
            </w:r>
          </w:p>
          <w:p w14:paraId="7540A59C">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3.配置信息下载：具备对代销投注站安全接入终端设备自动下载所需信息进行配置功能，支持远程配置代销投注站安全接入终端设备功能。</w:t>
            </w:r>
          </w:p>
          <w:p w14:paraId="44C77875">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4.设备证书下载：具有对代销投注站安全接入终端设备进行身份认证，分发临时证书功能。</w:t>
            </w:r>
          </w:p>
          <w:p w14:paraId="7CDD091D">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5.信息自动修改：具备对代销投注站安全接入终端设备配置信息修改后自动下载功能。</w:t>
            </w:r>
          </w:p>
          <w:p w14:paraId="44F7CCBF">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6.设备信息绑定：具备对代销投注站安全接入终端设备上所需接入的投注机特征信息绑定功能。</w:t>
            </w:r>
          </w:p>
          <w:p w14:paraId="19E26E46">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7.设备统一管理：具备对代销投注站安全接入终端设备统一管理功能。</w:t>
            </w:r>
          </w:p>
          <w:p w14:paraId="1A5B65FF">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8.系统统一自动升级：支持对代销投注站安全接入终端设备远程控制统一自动系统升级功能。</w:t>
            </w:r>
          </w:p>
          <w:p w14:paraId="04C4909D">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▲9.运行平台：基于ATCA架构的物理板卡方式，并根据实际应用物理板卡数量可叠加扩展，性能线性增加，支持热插拔；内部2路10GbE网口、2路GbE网口；2个外置GbE电口。</w:t>
            </w:r>
          </w:p>
          <w:p w14:paraId="72989D28">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 xml:space="preserve">10.产品须合法合规，不涉及任何法律纠纷，响应文件中提供该产品的《计算机系统著作权登记证书》或其他合法使用的有效证明材料（如项目产品授权书、公司代理合作协议等）。 </w:t>
            </w:r>
          </w:p>
        </w:tc>
      </w:tr>
      <w:tr w14:paraId="487059A3">
        <w:tblPrEx>
          <w:tblCellMar>
            <w:top w:w="0" w:type="dxa"/>
            <w:left w:w="0" w:type="dxa"/>
            <w:bottom w:w="0" w:type="dxa"/>
            <w:right w:w="0" w:type="dxa"/>
          </w:tblCellMar>
        </w:tblPrEx>
        <w:trPr>
          <w:trHeight w:val="20" w:hRule="atLeast"/>
          <w:jc w:val="center"/>
        </w:trPr>
        <w:tc>
          <w:tcPr>
            <w:tcW w:w="579" w:type="dxa"/>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5C5AC6DF">
            <w:pPr>
              <w:tabs>
                <w:tab w:val="left" w:pos="180"/>
                <w:tab w:val="left" w:pos="1620"/>
              </w:tabs>
              <w:spacing w:line="360" w:lineRule="auto"/>
              <w:jc w:val="center"/>
              <w:rPr>
                <w:rFonts w:ascii="宋体" w:hAnsi="宋体" w:cs="宋体"/>
                <w:color w:val="auto"/>
                <w:sz w:val="24"/>
                <w:highlight w:val="none"/>
              </w:rPr>
            </w:pPr>
            <w:r>
              <w:rPr>
                <w:rFonts w:hint="eastAsia" w:ascii="宋体" w:hAnsi="宋体" w:cs="宋体"/>
                <w:color w:val="auto"/>
                <w:sz w:val="24"/>
                <w:highlight w:val="none"/>
              </w:rPr>
              <w:t>4</w:t>
            </w:r>
          </w:p>
        </w:tc>
        <w:tc>
          <w:tcPr>
            <w:tcW w:w="912" w:type="dxa"/>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648D46C7">
            <w:pPr>
              <w:tabs>
                <w:tab w:val="left" w:pos="180"/>
                <w:tab w:val="left" w:pos="1620"/>
              </w:tabs>
              <w:spacing w:line="360" w:lineRule="auto"/>
              <w:jc w:val="center"/>
              <w:rPr>
                <w:rFonts w:ascii="宋体" w:hAnsi="宋体" w:cs="宋体"/>
                <w:color w:val="auto"/>
                <w:sz w:val="24"/>
                <w:highlight w:val="none"/>
              </w:rPr>
            </w:pPr>
            <w:r>
              <w:rPr>
                <w:rFonts w:hint="eastAsia" w:ascii="宋体" w:hAnsi="宋体" w:cs="宋体"/>
                <w:color w:val="auto"/>
                <w:sz w:val="24"/>
                <w:highlight w:val="none"/>
              </w:rPr>
              <w:t>业务均衡系统</w:t>
            </w:r>
          </w:p>
        </w:tc>
        <w:tc>
          <w:tcPr>
            <w:tcW w:w="450" w:type="dxa"/>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3984EDDB">
            <w:pPr>
              <w:tabs>
                <w:tab w:val="left" w:pos="180"/>
                <w:tab w:val="left" w:pos="1620"/>
              </w:tabs>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480" w:type="dxa"/>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6224276C">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套</w:t>
            </w:r>
          </w:p>
        </w:tc>
        <w:tc>
          <w:tcPr>
            <w:tcW w:w="6501" w:type="dxa"/>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05BE9B6F">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1.系统要求：国产操作系统支持不同ISP链路接入，实现多链路均衡，确保用户inbound和outbound双向动态选路与均衡，为用户选择最优链路，提高链路品质。</w:t>
            </w:r>
          </w:p>
          <w:p w14:paraId="01D279A0">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2.部署方式：支持路由模式、透明模式和旁路模式部署，适用于各种复杂的网络环境；支持策略路由，能满足复杂环境下的部署。</w:t>
            </w:r>
          </w:p>
          <w:p w14:paraId="4B3C3A7F">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3.多链路支持：支持多链路接入，能根据ISP智能选路；支持链路保持，使访问服务入栈和出栈链路保持一致。</w:t>
            </w:r>
          </w:p>
          <w:p w14:paraId="135FC1AF">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4.链路均衡：支持动态链路均衡和热备，提高多运营商网络接入时网络可靠性支持入站/出站流量均衡，能根据链路健康度动态选路；内置ISP地址库和国内省份IP地址库，可依据ISP、省份进行链路选择和均衡。</w:t>
            </w:r>
          </w:p>
          <w:p w14:paraId="350913A7">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5.智能DNS：支持智能DNS,无需第三方产品/服务即可实现智能DNS解析功能。</w:t>
            </w:r>
          </w:p>
          <w:p w14:paraId="1FF4351D">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6.Layer4均衡：支持应用负载均衡功能，支持平均分发，压力分发，请求分发等算法；支持全透明L4均衡，能保留原始客户端的地址支持三角传输模式均衡，服务响应不经过交付网关，避免应用交付设备成为瓶颈。</w:t>
            </w:r>
          </w:p>
          <w:p w14:paraId="7D533371">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7.Layer7均衡：支持HTTP/HTTPS/RDP/常规TCP应用均衡发布，支持平均分发，压力分发，请求分发等算法；</w:t>
            </w:r>
          </w:p>
          <w:p w14:paraId="3092163F">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8.支持基于HTTP请求页面、请求参数和请求头对WEB服务器进行均衡；</w:t>
            </w:r>
          </w:p>
          <w:p w14:paraId="6E1156AE">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9.支持基于Cookie或Session对WEB均衡进行会话保持。</w:t>
            </w:r>
          </w:p>
          <w:p w14:paraId="6E239D68">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10.ESP协议均衡：能够支持单独的ESP协议与加密传输加密调度到相同的目的地址。</w:t>
            </w:r>
          </w:p>
          <w:p w14:paraId="6FCB3722">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11.内容交换：支持基于规则的内容交换，可依据条件的逻辑判断结果或组合选择提供服务的服务器；条件支持请求头、请求页面、请求方法、客户端源地址、COOKIE、服务端证书颁发者与DN、客户端证书颁发者与DN等；逻辑判断支持等于、开始、结尾、包含、正则等方式；可为应用服务器提供工作与备用机等多种服务模式。</w:t>
            </w:r>
          </w:p>
          <w:p w14:paraId="0C516688">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12.应用控制：支持SSL卸载，可以分担应用服务器SSL运算压力，有效提升服务器处理能；支持SNI，允许多域名虚拟主机同时进行SSL/TLS认证；支持与后台服务器基于SSL连接通信；支持连接保持功能，实现多连接复用，减小服务器压力；能对Web应用数据进行实时智能压缩，改善终端用户性能，提高带宽利用率；可灵活依据域名和URI对应用内容高速缓存，降低服务器I/O压力，提升页面响应速。可定义每个服务器的最大并发连接和每秒连接能力，防护服务浪涌，避免过量请求造成服务器缓慢；可设置TCP保活、TCPMSS、TCP连接回收、TCP内容缓冲的细粒度参数，适应不同形态的WEB应用。</w:t>
            </w:r>
          </w:p>
          <w:p w14:paraId="53A3A734">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13.健康检查：支持多种ICMP、TCP和HTTP等健康检查方；支持自定义健康检查；支持对链路进行健康检查,能根据健康度动态均衡策略调整；支持对服务器进行健康检查，能根据健康度进行动态均衡策略调整。</w:t>
            </w:r>
          </w:p>
          <w:p w14:paraId="4CB27D3C">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▲14.运行平台：基于ATCA架构的物理板卡方式，并根据实际应用物理板卡数量可叠加扩展，性能线性增加，支持热插拔；内部2路10GbE网口、2路GbE网口；2个外置GbE电口。</w:t>
            </w:r>
          </w:p>
          <w:p w14:paraId="2F66F106">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15.产品须合法合规，不涉及任何法律纠纷，响应文件中提供该产品的《计算机系统著作权登记证书》或其他合法使用的有效证明材料（如项目产品授权书、公司代理合作协议等）。</w:t>
            </w:r>
          </w:p>
        </w:tc>
      </w:tr>
      <w:tr w14:paraId="26B78131">
        <w:tblPrEx>
          <w:tblCellMar>
            <w:top w:w="0" w:type="dxa"/>
            <w:left w:w="0" w:type="dxa"/>
            <w:bottom w:w="0" w:type="dxa"/>
            <w:right w:w="0" w:type="dxa"/>
          </w:tblCellMar>
        </w:tblPrEx>
        <w:trPr>
          <w:trHeight w:val="20" w:hRule="atLeast"/>
          <w:jc w:val="center"/>
        </w:trPr>
        <w:tc>
          <w:tcPr>
            <w:tcW w:w="579" w:type="dxa"/>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00BEF025">
            <w:pPr>
              <w:tabs>
                <w:tab w:val="left" w:pos="180"/>
                <w:tab w:val="left" w:pos="1620"/>
              </w:tabs>
              <w:spacing w:line="360" w:lineRule="auto"/>
              <w:jc w:val="center"/>
              <w:rPr>
                <w:rFonts w:ascii="宋体" w:hAnsi="宋体" w:cs="宋体"/>
                <w:color w:val="auto"/>
                <w:sz w:val="24"/>
                <w:highlight w:val="none"/>
              </w:rPr>
            </w:pPr>
            <w:r>
              <w:rPr>
                <w:rFonts w:hint="eastAsia" w:ascii="宋体" w:hAnsi="宋体" w:cs="宋体"/>
                <w:color w:val="auto"/>
                <w:sz w:val="24"/>
                <w:highlight w:val="none"/>
              </w:rPr>
              <w:t>5</w:t>
            </w:r>
          </w:p>
        </w:tc>
        <w:tc>
          <w:tcPr>
            <w:tcW w:w="912" w:type="dxa"/>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5842A713">
            <w:pPr>
              <w:pStyle w:val="5"/>
              <w:numPr>
                <w:ilvl w:val="2"/>
                <w:numId w:val="0"/>
              </w:numPr>
              <w:spacing w:before="312" w:after="312" w:line="360" w:lineRule="auto"/>
              <w:jc w:val="center"/>
              <w:rPr>
                <w:rFonts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安全接入系统</w:t>
            </w:r>
          </w:p>
          <w:p w14:paraId="71E14D1B">
            <w:pPr>
              <w:tabs>
                <w:tab w:val="left" w:pos="180"/>
                <w:tab w:val="left" w:pos="1620"/>
              </w:tabs>
              <w:spacing w:line="360" w:lineRule="auto"/>
              <w:jc w:val="center"/>
              <w:rPr>
                <w:rFonts w:ascii="宋体" w:hAnsi="宋体" w:cs="宋体"/>
                <w:color w:val="auto"/>
                <w:sz w:val="24"/>
                <w:highlight w:val="none"/>
              </w:rPr>
            </w:pPr>
          </w:p>
        </w:tc>
        <w:tc>
          <w:tcPr>
            <w:tcW w:w="450" w:type="dxa"/>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27C22ADE">
            <w:pPr>
              <w:tabs>
                <w:tab w:val="left" w:pos="180"/>
                <w:tab w:val="left" w:pos="1620"/>
              </w:tabs>
              <w:spacing w:line="360" w:lineRule="auto"/>
              <w:jc w:val="center"/>
              <w:rPr>
                <w:rFonts w:ascii="宋体" w:hAnsi="宋体" w:cs="宋体"/>
                <w:color w:val="auto"/>
                <w:sz w:val="24"/>
                <w:highlight w:val="none"/>
              </w:rPr>
            </w:pPr>
            <w:r>
              <w:rPr>
                <w:rFonts w:hint="eastAsia" w:ascii="宋体" w:hAnsi="宋体" w:cs="宋体"/>
                <w:color w:val="auto"/>
                <w:sz w:val="24"/>
                <w:highlight w:val="none"/>
              </w:rPr>
              <w:t>4</w:t>
            </w:r>
          </w:p>
        </w:tc>
        <w:tc>
          <w:tcPr>
            <w:tcW w:w="480" w:type="dxa"/>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1280D581">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套</w:t>
            </w:r>
          </w:p>
        </w:tc>
        <w:tc>
          <w:tcPr>
            <w:tcW w:w="6501" w:type="dxa"/>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7BCF8637">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1.系统要求：国产操作系统负责各代销投注站安全接入终端设备的接入和统一管理。</w:t>
            </w:r>
          </w:p>
          <w:p w14:paraId="6D71A9A1">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2.网络模式：支持多种网络接入，互联网宽带、ADSL、DHCP等</w:t>
            </w:r>
          </w:p>
          <w:p w14:paraId="13B25B6F">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3.安全传输：支持国密加密算法SM2、SM3、SM4等，做到系统、应用和算法多层面的国产替代，实现加密通信安全自主可控法；支持用户定制的行业加密算法；密隧道管理：支持与安全管理业务板通信，实时自动下载加密隧道信息，实时查看隧道运行情况；加密隧道信息和非加密隧道信息的带宽管理；加密隧道密钥采用动态密钥协商技术，能够定期协商新的加密密钥。</w:t>
            </w:r>
          </w:p>
          <w:p w14:paraId="7AA1603C">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4.访问控制：采用双重访问控制技术，具备阻断来自网络内部用户的攻击功能。</w:t>
            </w:r>
          </w:p>
          <w:p w14:paraId="2939E3D8">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5.安全机制认证：支持行业数字证书。采用双重访问控制技术，具备阻断来自网络内部用户的攻击功能。支持DNS、DDNS，支持双向NAT，支持深层次状态检测，阻止来自应用层的攻击，支持IP与MAC地址绑定功能；可防止常见的DoS/DDoS攻击。</w:t>
            </w:r>
          </w:p>
          <w:p w14:paraId="2822346F">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6.访问控制功能：支持DNS、DDNS；支持双向NAT；支持深层次状态检测，阻止来自应用层的攻击；支持IP与MAC地址绑定功能；支持时间、用户、协议、安全域、内容访问控制，防止常见的DoS/DDoS攻击。</w:t>
            </w:r>
          </w:p>
          <w:p w14:paraId="68530266">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7.设备管理功能：具备WEB方式的配置与管理功能；具备基于角色的分级管理功能；支持配置导入导出；具备分组日志审计功能。</w:t>
            </w:r>
          </w:p>
          <w:p w14:paraId="70253F4C">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8.配置管理：自动从安全注册认证业务板下载配置信息。</w:t>
            </w:r>
          </w:p>
          <w:p w14:paraId="3005904E">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▲9.运行平台：基于ATCA架构的物理板卡方式，并根据实际应用物理板卡数量可叠加扩展，性能线性增加，支持热插拔；内部2路10GbE网口、2路GbE网口；2个外置GbE电口。隧道并发：每秒最大并发隧道数&gt;=2000条。</w:t>
            </w:r>
          </w:p>
          <w:p w14:paraId="4903BE22">
            <w:pPr>
              <w:pStyle w:val="6"/>
              <w:spacing w:line="360" w:lineRule="auto"/>
              <w:ind w:firstLine="420"/>
              <w:rPr>
                <w:rFonts w:ascii="宋体" w:hAnsi="宋体" w:cs="宋体"/>
                <w:color w:val="auto"/>
                <w:sz w:val="24"/>
                <w:szCs w:val="24"/>
                <w:highlight w:val="none"/>
              </w:rPr>
            </w:pPr>
            <w:r>
              <w:rPr>
                <w:rFonts w:hint="eastAsia" w:ascii="宋体" w:hAnsi="宋体" w:cs="宋体"/>
                <w:color w:val="auto"/>
                <w:sz w:val="24"/>
                <w:szCs w:val="24"/>
                <w:highlight w:val="none"/>
              </w:rPr>
              <w:t>▲10.定制开发：通过定制开发能够满足全国彩票销售系统统一后及新增游戏的安全接入，进行无缝兼容和对接，符合 《彩票管理条例》和彩票行业技术要求</w:t>
            </w:r>
            <w:r>
              <w:rPr>
                <w:rFonts w:hint="eastAsia" w:ascii="宋体" w:hAnsi="宋体" w:cs="宋体"/>
                <w:bCs/>
                <w:color w:val="auto"/>
                <w:kern w:val="0"/>
                <w:sz w:val="24"/>
                <w:szCs w:val="24"/>
                <w:highlight w:val="none"/>
              </w:rPr>
              <w:t>（投标文件中需提供承诺函）</w:t>
            </w:r>
            <w:r>
              <w:rPr>
                <w:rFonts w:hint="eastAsia" w:ascii="宋体" w:hAnsi="宋体" w:cs="宋体"/>
                <w:color w:val="auto"/>
                <w:sz w:val="24"/>
                <w:szCs w:val="24"/>
                <w:highlight w:val="none"/>
              </w:rPr>
              <w:t>。</w:t>
            </w:r>
          </w:p>
          <w:p w14:paraId="031EB867">
            <w:pPr>
              <w:tabs>
                <w:tab w:val="left" w:pos="180"/>
                <w:tab w:val="left" w:pos="1620"/>
              </w:tabs>
              <w:spacing w:line="360" w:lineRule="auto"/>
              <w:rPr>
                <w:rFonts w:ascii="宋体" w:hAnsi="宋体" w:cs="宋体"/>
                <w:color w:val="auto"/>
                <w:sz w:val="24"/>
                <w:highlight w:val="none"/>
              </w:rPr>
            </w:pPr>
            <w:r>
              <w:rPr>
                <w:rFonts w:hint="eastAsia" w:ascii="宋体" w:hAnsi="宋体" w:cs="宋体"/>
                <w:color w:val="auto"/>
                <w:sz w:val="24"/>
                <w:highlight w:val="none"/>
              </w:rPr>
              <w:t xml:space="preserve">11.产品须合法合规，不涉及任何法律纠纷，响应文件中提供该产品的《计算机系统著作权登记证书》或其他合法使用的有效证明材料（如项目产品授权书、公司代理合作协议等）。  </w:t>
            </w:r>
          </w:p>
        </w:tc>
      </w:tr>
      <w:tr w14:paraId="39D22C9B">
        <w:tblPrEx>
          <w:tblCellMar>
            <w:top w:w="0" w:type="dxa"/>
            <w:left w:w="0" w:type="dxa"/>
            <w:bottom w:w="0" w:type="dxa"/>
            <w:right w:w="0" w:type="dxa"/>
          </w:tblCellMar>
        </w:tblPrEx>
        <w:trPr>
          <w:trHeight w:val="20" w:hRule="atLeast"/>
          <w:jc w:val="center"/>
        </w:trPr>
        <w:tc>
          <w:tcPr>
            <w:tcW w:w="579" w:type="dxa"/>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176BB722">
            <w:pPr>
              <w:tabs>
                <w:tab w:val="left" w:pos="180"/>
                <w:tab w:val="left" w:pos="1620"/>
              </w:tabs>
              <w:spacing w:line="360" w:lineRule="auto"/>
              <w:jc w:val="center"/>
              <w:rPr>
                <w:rFonts w:ascii="宋体" w:hAnsi="宋体" w:cs="宋体"/>
                <w:color w:val="auto"/>
                <w:sz w:val="24"/>
                <w:highlight w:val="none"/>
              </w:rPr>
            </w:pPr>
            <w:r>
              <w:rPr>
                <w:rFonts w:hint="eastAsia" w:ascii="宋体" w:hAnsi="宋体" w:cs="宋体"/>
                <w:color w:val="auto"/>
                <w:sz w:val="24"/>
                <w:highlight w:val="none"/>
              </w:rPr>
              <w:t>6</w:t>
            </w:r>
          </w:p>
        </w:tc>
        <w:tc>
          <w:tcPr>
            <w:tcW w:w="912" w:type="dxa"/>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27FFF44D">
            <w:pPr>
              <w:tabs>
                <w:tab w:val="left" w:pos="180"/>
                <w:tab w:val="left" w:pos="1620"/>
              </w:tabs>
              <w:spacing w:line="360" w:lineRule="auto"/>
              <w:jc w:val="center"/>
              <w:rPr>
                <w:rFonts w:ascii="宋体" w:hAnsi="宋体" w:cs="宋体"/>
                <w:color w:val="auto"/>
                <w:sz w:val="24"/>
                <w:highlight w:val="none"/>
              </w:rPr>
            </w:pPr>
            <w:r>
              <w:rPr>
                <w:rFonts w:hint="eastAsia" w:ascii="宋体" w:hAnsi="宋体" w:cs="宋体"/>
                <w:color w:val="auto"/>
                <w:sz w:val="24"/>
                <w:highlight w:val="none"/>
              </w:rPr>
              <w:t>边界防护设备</w:t>
            </w:r>
          </w:p>
        </w:tc>
        <w:tc>
          <w:tcPr>
            <w:tcW w:w="450" w:type="dxa"/>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7F552A68">
            <w:pPr>
              <w:tabs>
                <w:tab w:val="left" w:pos="180"/>
                <w:tab w:val="left" w:pos="1620"/>
              </w:tabs>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480" w:type="dxa"/>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374065FB">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台</w:t>
            </w:r>
          </w:p>
        </w:tc>
        <w:tc>
          <w:tcPr>
            <w:tcW w:w="6501" w:type="dxa"/>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115984A9">
            <w:pPr>
              <w:pStyle w:val="6"/>
              <w:spacing w:line="360" w:lineRule="auto"/>
              <w:ind w:firstLine="0"/>
              <w:rPr>
                <w:rFonts w:ascii="宋体" w:hAnsi="宋体" w:cs="宋体"/>
                <w:color w:val="auto"/>
                <w:sz w:val="24"/>
                <w:szCs w:val="24"/>
                <w:highlight w:val="none"/>
              </w:rPr>
            </w:pPr>
            <w:r>
              <w:rPr>
                <w:rFonts w:hint="eastAsia" w:ascii="Calibri" w:hAnsi="Calibri" w:cs="Calibri"/>
                <w:color w:val="auto"/>
                <w:sz w:val="24"/>
                <w:szCs w:val="24"/>
                <w:highlight w:val="none"/>
              </w:rPr>
              <w:t>1</w:t>
            </w:r>
            <w:r>
              <w:rPr>
                <w:rFonts w:hint="eastAsia" w:ascii="宋体" w:hAnsi="宋体" w:cs="宋体"/>
                <w:color w:val="auto"/>
                <w:sz w:val="24"/>
                <w:szCs w:val="24"/>
                <w:highlight w:val="none"/>
              </w:rPr>
              <w:t>.系统要求：负责综合业务安全接入系统的安全防护和控制</w:t>
            </w:r>
          </w:p>
          <w:p w14:paraId="6A8EE893">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2.网络接入：支持ADSL、专线、宽带等多种静态/动态接入方式。</w:t>
            </w:r>
          </w:p>
          <w:p w14:paraId="7B22B6A9">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3.访问控制：</w:t>
            </w:r>
          </w:p>
          <w:p w14:paraId="22264ECB">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可针对IP 、MAC、端口、时间对象设定基于应用、网络服务（非网络端口）的安全过滤</w:t>
            </w:r>
          </w:p>
          <w:p w14:paraId="29E2379A">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4.入侵防御：包括蠕虫/木马/后门/DoS/DDoS攻击探测/扫描/间谍软件/利用漏洞的攻击/缓冲区 溢出攻击/协议异常/IPS逃逸攻击等。</w:t>
            </w:r>
          </w:p>
          <w:p w14:paraId="29809929">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5.DOS防护：支持防御SYNFlood 、ICMPFlood 、UDPFlood 、TCP报文标志位不合法攻击防范</w:t>
            </w:r>
          </w:p>
          <w:p w14:paraId="4763129E">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6.应用识别：支持不少于1000种应用识别，可以识别P2P,OA，操作系统、网络协议、通讯工具、 媒体软件、视频工具、游戏、下载工具等协议</w:t>
            </w:r>
          </w:p>
          <w:p w14:paraId="2ECD6132">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7.流量管理：支持上下行带宽通道独享，支持IP带宽的平均分配、自由抢占，支持基于访问行为的目标IP的分配与管理</w:t>
            </w:r>
          </w:p>
          <w:p w14:paraId="18AE55FA">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8.流量分析：支持基于流量的TOP100用户和TOP100应用的流量曲线图</w:t>
            </w:r>
          </w:p>
          <w:p w14:paraId="69A845CF">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9.日志管理：支持访问控制、 DOS攻击、入侵检测、 MAC绑定、ARP攻击、网络外连等多种安全日志查询， 能够记录IP来源， 目的IP，源端口，目的端口协议</w:t>
            </w:r>
          </w:p>
          <w:p w14:paraId="16F78FE5">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10.设备管理功能：具备B/S架构的配置界；支持统一集中管理；支持统一集中配置。</w:t>
            </w:r>
          </w:p>
          <w:p w14:paraId="591C0438">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11.运行平台：专用机架式硬件设备；网口不少于1000BASE-T*8,SFP*4；吞吐量：不小于10Gbps；并发连接：不小于2,000,000；新建连接：不小于50,000。</w:t>
            </w:r>
          </w:p>
          <w:p w14:paraId="7F8D2CB7">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 xml:space="preserve">12.产品须合法合规，不涉及任何法律纠纷，响应文件中提供该产品的《计算机系统著作权登记证书》或其他合法使用的有效证明材料（如项目产品授权书、公司代理合作协议等）。 </w:t>
            </w:r>
          </w:p>
        </w:tc>
      </w:tr>
      <w:tr w14:paraId="14E6AFA9">
        <w:tblPrEx>
          <w:tblCellMar>
            <w:top w:w="0" w:type="dxa"/>
            <w:left w:w="0" w:type="dxa"/>
            <w:bottom w:w="0" w:type="dxa"/>
            <w:right w:w="0" w:type="dxa"/>
          </w:tblCellMar>
        </w:tblPrEx>
        <w:trPr>
          <w:trHeight w:val="20" w:hRule="atLeast"/>
          <w:jc w:val="center"/>
        </w:trPr>
        <w:tc>
          <w:tcPr>
            <w:tcW w:w="579" w:type="dxa"/>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750A053E">
            <w:pPr>
              <w:tabs>
                <w:tab w:val="left" w:pos="180"/>
                <w:tab w:val="left" w:pos="1620"/>
              </w:tabs>
              <w:spacing w:line="360" w:lineRule="auto"/>
              <w:jc w:val="center"/>
              <w:rPr>
                <w:rFonts w:ascii="宋体" w:hAnsi="宋体" w:cs="宋体"/>
                <w:color w:val="auto"/>
                <w:sz w:val="24"/>
                <w:highlight w:val="none"/>
              </w:rPr>
            </w:pPr>
            <w:r>
              <w:rPr>
                <w:rFonts w:hint="eastAsia" w:ascii="宋体" w:hAnsi="宋体" w:cs="宋体"/>
                <w:color w:val="auto"/>
                <w:sz w:val="24"/>
                <w:highlight w:val="none"/>
              </w:rPr>
              <w:t>7</w:t>
            </w:r>
          </w:p>
        </w:tc>
        <w:tc>
          <w:tcPr>
            <w:tcW w:w="912" w:type="dxa"/>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00FDB325">
            <w:pPr>
              <w:tabs>
                <w:tab w:val="left" w:pos="180"/>
                <w:tab w:val="left" w:pos="1620"/>
              </w:tabs>
              <w:spacing w:line="360" w:lineRule="auto"/>
              <w:jc w:val="center"/>
              <w:rPr>
                <w:rFonts w:ascii="宋体" w:hAnsi="宋体" w:cs="宋体"/>
                <w:color w:val="auto"/>
                <w:sz w:val="24"/>
                <w:highlight w:val="none"/>
              </w:rPr>
            </w:pPr>
            <w:r>
              <w:rPr>
                <w:rFonts w:hint="eastAsia" w:ascii="宋体" w:hAnsi="宋体" w:cs="宋体"/>
                <w:color w:val="auto"/>
                <w:sz w:val="24"/>
                <w:highlight w:val="none"/>
              </w:rPr>
              <w:t>投注站安全接入终端</w:t>
            </w:r>
          </w:p>
        </w:tc>
        <w:tc>
          <w:tcPr>
            <w:tcW w:w="450" w:type="dxa"/>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7C700FCB">
            <w:pPr>
              <w:tabs>
                <w:tab w:val="left" w:pos="180"/>
                <w:tab w:val="left" w:pos="1620"/>
              </w:tabs>
              <w:spacing w:line="360" w:lineRule="auto"/>
              <w:jc w:val="center"/>
              <w:rPr>
                <w:rFonts w:ascii="宋体" w:hAnsi="宋体" w:cs="宋体"/>
                <w:color w:val="auto"/>
                <w:sz w:val="24"/>
                <w:highlight w:val="none"/>
              </w:rPr>
            </w:pPr>
            <w:r>
              <w:rPr>
                <w:rFonts w:hint="eastAsia" w:ascii="宋体" w:hAnsi="宋体" w:cs="宋体"/>
                <w:color w:val="auto"/>
                <w:sz w:val="24"/>
                <w:highlight w:val="none"/>
              </w:rPr>
              <w:t>1000</w:t>
            </w:r>
          </w:p>
        </w:tc>
        <w:tc>
          <w:tcPr>
            <w:tcW w:w="480" w:type="dxa"/>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5BB656EF">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台</w:t>
            </w:r>
          </w:p>
        </w:tc>
        <w:tc>
          <w:tcPr>
            <w:tcW w:w="6501" w:type="dxa"/>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7AE0E3E3">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1.系统要求：专用操作系统是面向投注站等彩票销售网点的终端安全接入系统，负责与安全接入系统建立加密隧道并进行安全通信和接入管理。</w:t>
            </w:r>
          </w:p>
          <w:p w14:paraId="4765B637">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2.外联网络接入：支持ADSL、专线、宽带等多种静态/动态接入方式。</w:t>
            </w:r>
          </w:p>
          <w:p w14:paraId="04BD1A53">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3.业务系统接入：支持投注机接入身份认证以及特征码绑定，实现投注机通过加密隧道接入业务系统，支持即开票扫描枪以WIFI方式接入，并和即开票业务系统实现对接。</w:t>
            </w:r>
          </w:p>
          <w:p w14:paraId="3A7431CC">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4.网络视频接入：支持网络视频终端以及PC电脑接入互联网，并且实现与投注机网络的逻辑隔离。</w:t>
            </w:r>
          </w:p>
          <w:p w14:paraId="44CD5BCA">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5.无线WIFI接入：支持双SSID，分别接入互联网和彩票业务网络，接入互联网的WIFI接入要求能够支持无线WEB认证方式接入，接入业务网络的WIFI要求能够每天自动改变接入WIFI网络的动态密钥，支持4G、5G模块接入。支持IEEE80211b/g/n，2T2R，/IEEE802.1lac，2T2R。WIFI传输速率&gt;=300Mbps。</w:t>
            </w:r>
          </w:p>
          <w:p w14:paraId="723446D3">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6.手机热点备份：当投注站通讯线路出现故障，可以利用在福彩中心备案的代销者手机，通过手机热点服务提供临时性通讯方案，确保售彩业务的正常开展。</w:t>
            </w:r>
          </w:p>
          <w:p w14:paraId="53B17FCF">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7.认证方式：支持数字证书认证方式，支持符合X.509标准的第三方CA。</w:t>
            </w:r>
          </w:p>
          <w:p w14:paraId="50B9320B">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8.安全加密：支持与安全管理业务板通信，能够自动下载设备的隧道信息，自动与中心安全接入业务板建立安全加密传输隧道。</w:t>
            </w:r>
          </w:p>
          <w:p w14:paraId="28B4CF7A">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▲9.安全传输：支持国密加密算法SM2、SM3、SM4等，做到系统、应用和算法多层面的国产替代，实现加密通信安全自主可控，包括SM2、SM3、SM4等密码算法；支持加密链路自动检测；支持加密WiFi。</w:t>
            </w:r>
          </w:p>
          <w:p w14:paraId="4E12E4A5">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10.地址管理：支持隧道接入，DHCP的动态地址分配技术。</w:t>
            </w:r>
          </w:p>
          <w:p w14:paraId="0F641625">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11.远程认证管理：支持与安全注册认证业务板通信，能够自动下载该设备的配置信息，端口绑定投注机信息以及网络接口配置信息等，能够通过中心进行设备的统一管理配置。</w:t>
            </w:r>
          </w:p>
          <w:p w14:paraId="2E8F50F4">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12.带宽管理：支持分级流控，优先保证投注机出票业务，其次保证网络视频业务，然后再保证上网需求。</w:t>
            </w:r>
          </w:p>
          <w:p w14:paraId="2DD93D26">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13.访问控制：支持DNS，DDNS；支持深层次状态检测，可以有效阻止来自应用层的攻击。具备双向NAT功能，支持NAT/PAT。支持IP与MAC地址绑定功能。</w:t>
            </w:r>
          </w:p>
          <w:p w14:paraId="1A097158">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14.设备管理及定位：具备B/S架构的配置界面；支持统一集中管理；支持统一集中配置，采用配置模版动态配置，不同分组不同需求应用不同模版，终端管理粒度更精细，配置和管理更加灵活便捷.支持基于wifi的设备定位功能以及设备移机短信告警功能。</w:t>
            </w:r>
          </w:p>
          <w:p w14:paraId="602A9016">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15.自动更新：支持与注册认证业务板通信以及安全管理业务板通信，实现配置自动下载更新、策略自动分发、接口VLAN划分；支持配置导入导出；支持本地/远程升级。</w:t>
            </w:r>
          </w:p>
          <w:p w14:paraId="72E97271">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16.运行平台：采用嵌入式系统开发，低功耗，高稳定性的桌面型安全接入网关。</w:t>
            </w:r>
          </w:p>
          <w:p w14:paraId="5F8538C0">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17.接口配置：①以太网口不少于5个，可进行VLAN划分，其中1个接口作为外联接口，其余4个接口可根据业务需要分别划分为不同的工作区域。业务区接口不少于2个，分别接入彩票投注机、扫描枪等；辅助投注区接口不少于2个，可以接入视频、监控、走势图；互联网区接口不少于1个，分别接入互联网或增值业务，各个区域之间进行逻辑隔离，不能互通。②USB口≥1个，用于支持扩展3G/4G/5G无线网卡（模块需另配）。</w:t>
            </w:r>
          </w:p>
          <w:p w14:paraId="20DE6896">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▲18.</w:t>
            </w:r>
            <w:r>
              <w:rPr>
                <w:rFonts w:hint="eastAsia" w:ascii="宋体" w:hAnsi="宋体" w:cs="宋体"/>
                <w:color w:val="auto"/>
                <w:sz w:val="28"/>
                <w:szCs w:val="28"/>
                <w:highlight w:val="none"/>
              </w:rPr>
              <w:t>定制开发</w:t>
            </w:r>
            <w:r>
              <w:rPr>
                <w:rFonts w:hint="eastAsia" w:ascii="宋体" w:hAnsi="宋体" w:cs="宋体"/>
                <w:color w:val="auto"/>
                <w:sz w:val="24"/>
                <w:szCs w:val="24"/>
                <w:highlight w:val="none"/>
              </w:rPr>
              <w:t>支持新游戏对接能力：通过定制开发能够满足现有游戏及全国性新游戏的安全接入要求（提供承诺函）。包括：通讯、认证和支付系统，可与中福彩行业安全通讯系统、安全认证系统、安全支付系统等进行无缝兼容和对接，符合《彩票管理条例》和彩票行业技术要求。</w:t>
            </w:r>
          </w:p>
          <w:p w14:paraId="3DA9FD79">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19.智能物联网：支持可有效对接站点现有摄像头及其它智能设备的统一接入，以支撑中心通过视频监控对门店运营情况进行统一的监督、管理和控制。支持通过站点监控资源的统一接入，为店主等提供手机远程看店服务。支持有机对接投注站电视机资源的统一接入，结合第三方信息发布系统，为福彩中心提供统一发布平台，支持格式包括视频、图片等。</w:t>
            </w:r>
          </w:p>
          <w:p w14:paraId="5DC6A633">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 xml:space="preserve">20.产品须合法合规，不涉及任何法律纠纷，响应文件中提供该产品的《计算机系统著作权登记证书》或其他合法使用的有效证明材料（如项目产品授权书、公司代理合作协议等）。 </w:t>
            </w:r>
          </w:p>
        </w:tc>
      </w:tr>
      <w:tr w14:paraId="268D29F3">
        <w:tblPrEx>
          <w:tblCellMar>
            <w:top w:w="0" w:type="dxa"/>
            <w:left w:w="0" w:type="dxa"/>
            <w:bottom w:w="0" w:type="dxa"/>
            <w:right w:w="0" w:type="dxa"/>
          </w:tblCellMar>
        </w:tblPrEx>
        <w:trPr>
          <w:trHeight w:val="20" w:hRule="atLeast"/>
          <w:jc w:val="center"/>
        </w:trPr>
        <w:tc>
          <w:tcPr>
            <w:tcW w:w="8922" w:type="dxa"/>
            <w:gridSpan w:val="5"/>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10BF5043">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商务条款</w:t>
            </w:r>
          </w:p>
        </w:tc>
      </w:tr>
      <w:tr w14:paraId="2329E818">
        <w:tblPrEx>
          <w:tblCellMar>
            <w:top w:w="0" w:type="dxa"/>
            <w:left w:w="0" w:type="dxa"/>
            <w:bottom w:w="0" w:type="dxa"/>
            <w:right w:w="0" w:type="dxa"/>
          </w:tblCellMar>
        </w:tblPrEx>
        <w:trPr>
          <w:trHeight w:val="20" w:hRule="atLeast"/>
          <w:jc w:val="center"/>
        </w:trPr>
        <w:tc>
          <w:tcPr>
            <w:tcW w:w="1491" w:type="dxa"/>
            <w:gridSpan w:val="2"/>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13F2D3D9">
            <w:pPr>
              <w:pStyle w:val="6"/>
              <w:spacing w:line="360" w:lineRule="auto"/>
              <w:ind w:firstLine="0"/>
              <w:jc w:val="center"/>
              <w:rPr>
                <w:rFonts w:ascii="宋体" w:hAnsi="宋体" w:cs="宋体"/>
                <w:color w:val="auto"/>
                <w:sz w:val="24"/>
                <w:szCs w:val="24"/>
                <w:highlight w:val="none"/>
              </w:rPr>
            </w:pPr>
            <w:r>
              <w:rPr>
                <w:rFonts w:hint="eastAsia" w:ascii="宋体" w:hAnsi="宋体" w:cs="宋体"/>
                <w:color w:val="auto"/>
                <w:sz w:val="24"/>
                <w:szCs w:val="24"/>
                <w:highlight w:val="none"/>
              </w:rPr>
              <w:t>报价要求</w:t>
            </w:r>
          </w:p>
        </w:tc>
        <w:tc>
          <w:tcPr>
            <w:tcW w:w="7431" w:type="dxa"/>
            <w:gridSpan w:val="3"/>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5C76F00E">
            <w:pPr>
              <w:pStyle w:val="6"/>
              <w:spacing w:line="360" w:lineRule="auto"/>
              <w:ind w:left="218" w:leftChars="104" w:right="57" w:rightChars="27" w:firstLine="0"/>
              <w:rPr>
                <w:rFonts w:ascii="宋体" w:hAnsi="宋体" w:cs="宋体"/>
                <w:color w:val="auto"/>
                <w:sz w:val="24"/>
                <w:szCs w:val="24"/>
                <w:highlight w:val="none"/>
              </w:rPr>
            </w:pPr>
            <w:r>
              <w:rPr>
                <w:rFonts w:hint="eastAsia" w:ascii="宋体" w:hAnsi="宋体" w:cs="宋体"/>
                <w:color w:val="auto"/>
                <w:sz w:val="24"/>
                <w:szCs w:val="24"/>
                <w:highlight w:val="none"/>
              </w:rPr>
              <w:t>报价必须含以下部分，包括（但不限于）：</w:t>
            </w:r>
          </w:p>
          <w:p w14:paraId="2AE8D806">
            <w:pPr>
              <w:pStyle w:val="6"/>
              <w:spacing w:line="360" w:lineRule="auto"/>
              <w:ind w:left="218" w:leftChars="104" w:right="57" w:rightChars="27" w:firstLine="0"/>
              <w:rPr>
                <w:rFonts w:ascii="宋体" w:hAnsi="宋体" w:cs="宋体"/>
                <w:color w:val="auto"/>
                <w:sz w:val="24"/>
                <w:szCs w:val="24"/>
                <w:highlight w:val="none"/>
              </w:rPr>
            </w:pPr>
            <w:r>
              <w:rPr>
                <w:rFonts w:hint="eastAsia" w:ascii="宋体" w:hAnsi="宋体" w:cs="宋体"/>
                <w:color w:val="auto"/>
                <w:sz w:val="24"/>
                <w:szCs w:val="24"/>
                <w:highlight w:val="none"/>
              </w:rPr>
              <w:t>1.完成供货及安装、调试等所有配套服务的全部价格；</w:t>
            </w:r>
          </w:p>
          <w:p w14:paraId="022A9857">
            <w:pPr>
              <w:pStyle w:val="6"/>
              <w:spacing w:line="360" w:lineRule="auto"/>
              <w:ind w:left="218" w:leftChars="104" w:right="57" w:rightChars="27" w:firstLine="0"/>
              <w:rPr>
                <w:rFonts w:ascii="宋体" w:hAnsi="宋体" w:cs="宋体"/>
                <w:color w:val="auto"/>
                <w:sz w:val="24"/>
                <w:szCs w:val="24"/>
                <w:highlight w:val="none"/>
              </w:rPr>
            </w:pPr>
            <w:r>
              <w:rPr>
                <w:rFonts w:hint="eastAsia" w:ascii="宋体" w:hAnsi="宋体" w:cs="宋体"/>
                <w:color w:val="auto"/>
                <w:sz w:val="24"/>
                <w:szCs w:val="24"/>
                <w:highlight w:val="none"/>
              </w:rPr>
              <w:t>2.必要的保险费用和各项税金；</w:t>
            </w:r>
          </w:p>
          <w:p w14:paraId="323744D6">
            <w:pPr>
              <w:pStyle w:val="6"/>
              <w:spacing w:line="360" w:lineRule="auto"/>
              <w:ind w:left="218" w:leftChars="104" w:right="57" w:rightChars="27" w:firstLine="0"/>
              <w:rPr>
                <w:rFonts w:ascii="宋体" w:hAnsi="宋体" w:cs="宋体"/>
                <w:color w:val="auto"/>
                <w:sz w:val="24"/>
                <w:szCs w:val="24"/>
                <w:highlight w:val="none"/>
              </w:rPr>
            </w:pPr>
            <w:r>
              <w:rPr>
                <w:rFonts w:hint="eastAsia" w:ascii="宋体" w:hAnsi="宋体" w:cs="宋体"/>
                <w:color w:val="auto"/>
                <w:sz w:val="24"/>
                <w:szCs w:val="24"/>
                <w:highlight w:val="none"/>
              </w:rPr>
              <w:t>3.其他（如调试、培训、技术支持、售后服务、更新升级等所有项目费用）项目实施过程中的合同价不作调整。</w:t>
            </w:r>
          </w:p>
        </w:tc>
      </w:tr>
      <w:tr w14:paraId="0904297B">
        <w:tblPrEx>
          <w:tblCellMar>
            <w:top w:w="0" w:type="dxa"/>
            <w:left w:w="0" w:type="dxa"/>
            <w:bottom w:w="0" w:type="dxa"/>
            <w:right w:w="0" w:type="dxa"/>
          </w:tblCellMar>
        </w:tblPrEx>
        <w:trPr>
          <w:trHeight w:val="20" w:hRule="atLeast"/>
          <w:jc w:val="center"/>
        </w:trPr>
        <w:tc>
          <w:tcPr>
            <w:tcW w:w="1491" w:type="dxa"/>
            <w:gridSpan w:val="2"/>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7FBF05EF">
            <w:pPr>
              <w:widowControl/>
              <w:spacing w:line="360" w:lineRule="auto"/>
              <w:jc w:val="center"/>
              <w:rPr>
                <w:rFonts w:ascii="宋体" w:hAnsi="宋体" w:cs="宋体"/>
                <w:color w:val="auto"/>
                <w:sz w:val="24"/>
                <w:highlight w:val="none"/>
              </w:rPr>
            </w:pPr>
            <w:r>
              <w:rPr>
                <w:rFonts w:hint="eastAsia" w:ascii="宋体" w:hAnsi="宋体" w:cs="宋体"/>
                <w:color w:val="auto"/>
                <w:sz w:val="24"/>
                <w:highlight w:val="none"/>
              </w:rPr>
              <w:t>合同签订时间</w:t>
            </w:r>
          </w:p>
        </w:tc>
        <w:tc>
          <w:tcPr>
            <w:tcW w:w="7431" w:type="dxa"/>
            <w:gridSpan w:val="3"/>
            <w:tcBorders>
              <w:top w:val="single" w:color="000000" w:sz="4" w:space="0"/>
              <w:left w:val="single" w:color="000000" w:sz="4" w:space="0"/>
              <w:bottom w:val="single" w:color="000000" w:sz="4" w:space="0"/>
              <w:right w:val="single" w:color="000000" w:sz="4" w:space="0"/>
            </w:tcBorders>
            <w:noWrap/>
            <w:tcMar>
              <w:top w:w="7" w:type="dxa"/>
              <w:left w:w="7" w:type="dxa"/>
              <w:right w:w="7" w:type="dxa"/>
            </w:tcMar>
          </w:tcPr>
          <w:p w14:paraId="72C607B3">
            <w:pPr>
              <w:widowControl/>
              <w:spacing w:line="360" w:lineRule="auto"/>
              <w:ind w:left="218" w:leftChars="104" w:right="57" w:rightChars="27"/>
              <w:rPr>
                <w:rFonts w:ascii="宋体" w:hAnsi="宋体" w:cs="宋体"/>
                <w:color w:val="auto"/>
                <w:sz w:val="24"/>
                <w:highlight w:val="none"/>
              </w:rPr>
            </w:pPr>
            <w:r>
              <w:rPr>
                <w:rFonts w:hint="eastAsia" w:ascii="宋体" w:hAnsi="宋体" w:cs="宋体"/>
                <w:color w:val="auto"/>
                <w:sz w:val="24"/>
                <w:highlight w:val="none"/>
              </w:rPr>
              <w:t>自中标通知书发出之日起25日内。</w:t>
            </w:r>
          </w:p>
        </w:tc>
      </w:tr>
      <w:tr w14:paraId="1C27FE27">
        <w:tblPrEx>
          <w:tblCellMar>
            <w:top w:w="0" w:type="dxa"/>
            <w:left w:w="0" w:type="dxa"/>
            <w:bottom w:w="0" w:type="dxa"/>
            <w:right w:w="0" w:type="dxa"/>
          </w:tblCellMar>
        </w:tblPrEx>
        <w:trPr>
          <w:trHeight w:val="20" w:hRule="atLeast"/>
          <w:jc w:val="center"/>
        </w:trPr>
        <w:tc>
          <w:tcPr>
            <w:tcW w:w="1491" w:type="dxa"/>
            <w:gridSpan w:val="2"/>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7EC7501D">
            <w:pPr>
              <w:spacing w:line="360" w:lineRule="auto"/>
              <w:jc w:val="center"/>
              <w:rPr>
                <w:rFonts w:ascii="宋体" w:hAnsi="宋体" w:cs="宋体"/>
                <w:color w:val="auto"/>
                <w:sz w:val="24"/>
                <w:highlight w:val="none"/>
              </w:rPr>
            </w:pPr>
            <w:r>
              <w:rPr>
                <w:rFonts w:hint="eastAsia" w:ascii="宋体" w:hAnsi="宋体" w:cs="宋体"/>
                <w:color w:val="auto"/>
                <w:sz w:val="24"/>
                <w:highlight w:val="none"/>
              </w:rPr>
              <w:t>交货时间及地点</w:t>
            </w:r>
          </w:p>
        </w:tc>
        <w:tc>
          <w:tcPr>
            <w:tcW w:w="7431" w:type="dxa"/>
            <w:gridSpan w:val="3"/>
            <w:tcBorders>
              <w:top w:val="single" w:color="000000" w:sz="4" w:space="0"/>
              <w:left w:val="single" w:color="000000" w:sz="4" w:space="0"/>
              <w:bottom w:val="single" w:color="000000" w:sz="4" w:space="0"/>
              <w:right w:val="single" w:color="000000" w:sz="4" w:space="0"/>
            </w:tcBorders>
            <w:noWrap/>
            <w:tcMar>
              <w:top w:w="7" w:type="dxa"/>
              <w:left w:w="7" w:type="dxa"/>
              <w:right w:w="7" w:type="dxa"/>
            </w:tcMar>
          </w:tcPr>
          <w:p w14:paraId="2331074A">
            <w:pPr>
              <w:tabs>
                <w:tab w:val="left" w:pos="420"/>
              </w:tabs>
              <w:spacing w:line="360" w:lineRule="auto"/>
              <w:ind w:left="218" w:leftChars="104" w:right="57" w:rightChars="27"/>
              <w:rPr>
                <w:rFonts w:ascii="宋体" w:hAnsi="宋体" w:cs="宋体"/>
                <w:color w:val="auto"/>
                <w:sz w:val="24"/>
                <w:highlight w:val="none"/>
              </w:rPr>
            </w:pPr>
            <w:r>
              <w:rPr>
                <w:rFonts w:hint="eastAsia" w:ascii="宋体" w:hAnsi="宋体" w:cs="宋体"/>
                <w:color w:val="auto"/>
                <w:sz w:val="24"/>
                <w:highlight w:val="none"/>
              </w:rPr>
              <w:t>交货时间：自签订合同之日起</w:t>
            </w:r>
            <w:r>
              <w:rPr>
                <w:rFonts w:hint="eastAsia"/>
                <w:color w:val="auto"/>
                <w:highlight w:val="none"/>
              </w:rPr>
              <w:t>45</w:t>
            </w:r>
            <w:r>
              <w:rPr>
                <w:rFonts w:hint="eastAsia" w:ascii="宋体" w:hAnsi="宋体" w:cs="宋体"/>
                <w:color w:val="auto"/>
                <w:sz w:val="24"/>
                <w:highlight w:val="none"/>
              </w:rPr>
              <w:t>日历天内到货安装调试完成并通过验收。</w:t>
            </w:r>
          </w:p>
          <w:p w14:paraId="2EDF8649">
            <w:pPr>
              <w:tabs>
                <w:tab w:val="left" w:pos="420"/>
              </w:tabs>
              <w:spacing w:line="360" w:lineRule="auto"/>
              <w:ind w:left="218" w:leftChars="104" w:right="57" w:rightChars="27"/>
              <w:rPr>
                <w:rFonts w:ascii="宋体" w:hAnsi="宋体" w:cs="宋体"/>
                <w:color w:val="auto"/>
                <w:sz w:val="24"/>
                <w:highlight w:val="none"/>
              </w:rPr>
            </w:pPr>
            <w:r>
              <w:rPr>
                <w:rFonts w:hint="eastAsia" w:ascii="宋体" w:hAnsi="宋体" w:cs="宋体"/>
                <w:color w:val="auto"/>
                <w:sz w:val="24"/>
                <w:highlight w:val="none"/>
              </w:rPr>
              <w:t>交货地点：</w:t>
            </w:r>
            <w:r>
              <w:rPr>
                <w:rFonts w:hint="eastAsia" w:ascii="宋体" w:hAnsi="宋体" w:cs="宋体"/>
                <w:bCs/>
                <w:color w:val="auto"/>
                <w:sz w:val="24"/>
                <w:highlight w:val="none"/>
              </w:rPr>
              <w:t>广西南宁市内采购人指定地点。</w:t>
            </w:r>
          </w:p>
        </w:tc>
      </w:tr>
      <w:tr w14:paraId="5C9CA845">
        <w:tblPrEx>
          <w:tblCellMar>
            <w:top w:w="0" w:type="dxa"/>
            <w:left w:w="0" w:type="dxa"/>
            <w:bottom w:w="0" w:type="dxa"/>
            <w:right w:w="0" w:type="dxa"/>
          </w:tblCellMar>
        </w:tblPrEx>
        <w:trPr>
          <w:trHeight w:val="20" w:hRule="atLeast"/>
          <w:jc w:val="center"/>
        </w:trPr>
        <w:tc>
          <w:tcPr>
            <w:tcW w:w="1491" w:type="dxa"/>
            <w:gridSpan w:val="2"/>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51F3AD85">
            <w:pPr>
              <w:pStyle w:val="6"/>
              <w:spacing w:line="360" w:lineRule="auto"/>
              <w:ind w:firstLine="0"/>
              <w:jc w:val="center"/>
              <w:rPr>
                <w:rFonts w:ascii="宋体" w:hAnsi="宋体" w:cs="宋体"/>
                <w:bCs/>
                <w:color w:val="auto"/>
                <w:sz w:val="24"/>
                <w:szCs w:val="24"/>
                <w:highlight w:val="none"/>
              </w:rPr>
            </w:pPr>
            <w:r>
              <w:rPr>
                <w:rFonts w:hint="eastAsia" w:ascii="宋体" w:hAnsi="宋体" w:cs="宋体"/>
                <w:bCs/>
                <w:color w:val="auto"/>
                <w:sz w:val="24"/>
                <w:szCs w:val="24"/>
                <w:highlight w:val="none"/>
              </w:rPr>
              <w:t>货物质保</w:t>
            </w:r>
          </w:p>
        </w:tc>
        <w:tc>
          <w:tcPr>
            <w:tcW w:w="7431" w:type="dxa"/>
            <w:gridSpan w:val="3"/>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0E2D06F2">
            <w:pPr>
              <w:pStyle w:val="6"/>
              <w:spacing w:line="360" w:lineRule="auto"/>
              <w:ind w:left="218" w:leftChars="104" w:right="57" w:rightChars="27" w:firstLine="0"/>
              <w:jc w:val="left"/>
              <w:rPr>
                <w:rFonts w:ascii="宋体" w:hAnsi="宋体" w:cs="宋体"/>
                <w:bCs/>
                <w:color w:val="auto"/>
                <w:sz w:val="24"/>
                <w:szCs w:val="24"/>
                <w:highlight w:val="none"/>
              </w:rPr>
            </w:pPr>
            <w:r>
              <w:rPr>
                <w:rFonts w:hint="eastAsia" w:ascii="宋体" w:hAnsi="宋体" w:cs="宋体"/>
                <w:bCs/>
                <w:color w:val="auto"/>
                <w:sz w:val="24"/>
                <w:szCs w:val="24"/>
                <w:highlight w:val="none"/>
              </w:rPr>
              <w:t>1.按国家有关产品“三包”规定执行“三包”政策，提供原厂质量保证期1年（分项货物或配置有明确要求的按分项要求；生产厂家承诺的质量保证期更长的按生产厂家的承诺），交货验收合格之日起计。</w:t>
            </w:r>
          </w:p>
          <w:p w14:paraId="7066E022">
            <w:pPr>
              <w:spacing w:line="360" w:lineRule="auto"/>
              <w:ind w:left="218" w:leftChars="104" w:right="57" w:rightChars="27"/>
              <w:jc w:val="left"/>
              <w:rPr>
                <w:rFonts w:ascii="宋体" w:hAnsi="宋体" w:cs="宋体"/>
                <w:bCs/>
                <w:color w:val="auto"/>
                <w:sz w:val="24"/>
                <w:highlight w:val="none"/>
              </w:rPr>
            </w:pPr>
            <w:r>
              <w:rPr>
                <w:rFonts w:hint="eastAsia" w:ascii="宋体" w:hAnsi="宋体" w:cs="宋体"/>
                <w:bCs/>
                <w:color w:val="auto"/>
                <w:sz w:val="24"/>
                <w:highlight w:val="none"/>
              </w:rPr>
              <w:t>2.在质量保证期，由成交供应商对出现的任何故障及损失免费维修、更换配件，并负责对供应货物进行软件更新升级、系统维护和远程服务。</w:t>
            </w:r>
          </w:p>
          <w:p w14:paraId="3C9A445B">
            <w:pPr>
              <w:pStyle w:val="6"/>
              <w:spacing w:line="360" w:lineRule="auto"/>
              <w:ind w:left="218" w:leftChars="104" w:right="57" w:rightChars="27" w:firstLine="0"/>
              <w:jc w:val="left"/>
              <w:rPr>
                <w:rFonts w:ascii="宋体" w:hAnsi="宋体" w:cs="宋体"/>
                <w:bCs/>
                <w:color w:val="auto"/>
                <w:sz w:val="24"/>
                <w:szCs w:val="24"/>
                <w:highlight w:val="none"/>
              </w:rPr>
            </w:pPr>
            <w:r>
              <w:rPr>
                <w:rFonts w:hint="eastAsia" w:ascii="宋体" w:hAnsi="宋体" w:cs="宋体"/>
                <w:bCs/>
                <w:color w:val="auto"/>
                <w:sz w:val="24"/>
                <w:szCs w:val="24"/>
                <w:highlight w:val="none"/>
              </w:rPr>
              <w:t>3.质量保证期满后，终身维护，且以市场最优惠价格提供维修和备件更换、软件更新升级，且承诺为用户提供的终身技术咨询服务。</w:t>
            </w:r>
          </w:p>
        </w:tc>
      </w:tr>
      <w:tr w14:paraId="44540B93">
        <w:tblPrEx>
          <w:tblCellMar>
            <w:top w:w="0" w:type="dxa"/>
            <w:left w:w="0" w:type="dxa"/>
            <w:bottom w:w="0" w:type="dxa"/>
            <w:right w:w="0" w:type="dxa"/>
          </w:tblCellMar>
        </w:tblPrEx>
        <w:trPr>
          <w:trHeight w:val="20" w:hRule="atLeast"/>
          <w:jc w:val="center"/>
        </w:trPr>
        <w:tc>
          <w:tcPr>
            <w:tcW w:w="1491" w:type="dxa"/>
            <w:gridSpan w:val="2"/>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148FAEEA">
            <w:pPr>
              <w:pStyle w:val="6"/>
              <w:spacing w:line="360" w:lineRule="auto"/>
              <w:ind w:firstLine="0"/>
              <w:jc w:val="center"/>
              <w:rPr>
                <w:rFonts w:ascii="宋体" w:hAnsi="宋体" w:cs="宋体"/>
                <w:color w:val="auto"/>
                <w:sz w:val="24"/>
                <w:szCs w:val="24"/>
                <w:highlight w:val="none"/>
              </w:rPr>
            </w:pPr>
            <w:r>
              <w:rPr>
                <w:rFonts w:hint="eastAsia" w:ascii="宋体" w:hAnsi="宋体" w:cs="宋体"/>
                <w:color w:val="auto"/>
                <w:sz w:val="24"/>
                <w:szCs w:val="24"/>
                <w:highlight w:val="none"/>
              </w:rPr>
              <w:t>货物验收</w:t>
            </w:r>
          </w:p>
        </w:tc>
        <w:tc>
          <w:tcPr>
            <w:tcW w:w="7431" w:type="dxa"/>
            <w:gridSpan w:val="3"/>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24159B0E">
            <w:pPr>
              <w:pStyle w:val="6"/>
              <w:spacing w:line="360" w:lineRule="auto"/>
              <w:ind w:left="218" w:leftChars="104" w:right="57" w:rightChars="27" w:firstLine="0"/>
              <w:jc w:val="left"/>
              <w:rPr>
                <w:rFonts w:ascii="宋体" w:hAnsi="宋体" w:cs="宋体"/>
                <w:color w:val="auto"/>
                <w:sz w:val="24"/>
                <w:szCs w:val="24"/>
                <w:highlight w:val="none"/>
              </w:rPr>
            </w:pPr>
            <w:r>
              <w:rPr>
                <w:rFonts w:hint="eastAsia" w:ascii="宋体" w:hAnsi="宋体" w:cs="宋体"/>
                <w:color w:val="auto"/>
                <w:sz w:val="24"/>
                <w:szCs w:val="24"/>
                <w:highlight w:val="none"/>
              </w:rPr>
              <w:t>1.符合现行国家相关标准、行业标准、地方标准或者其他标准、规范。</w:t>
            </w:r>
          </w:p>
          <w:p w14:paraId="76F4A5DF">
            <w:pPr>
              <w:pStyle w:val="6"/>
              <w:spacing w:line="360" w:lineRule="auto"/>
              <w:ind w:left="218" w:leftChars="104" w:right="57" w:rightChars="27" w:firstLine="0"/>
              <w:jc w:val="left"/>
              <w:rPr>
                <w:rFonts w:ascii="宋体" w:hAnsi="宋体" w:cs="宋体"/>
                <w:color w:val="auto"/>
                <w:sz w:val="24"/>
                <w:szCs w:val="24"/>
                <w:highlight w:val="none"/>
              </w:rPr>
            </w:pPr>
            <w:r>
              <w:rPr>
                <w:rFonts w:hint="eastAsia" w:ascii="宋体" w:hAnsi="宋体" w:cs="宋体"/>
                <w:color w:val="auto"/>
                <w:sz w:val="24"/>
                <w:szCs w:val="24"/>
                <w:highlight w:val="none"/>
              </w:rPr>
              <w:t>2.验收过程中所产生的一切费用均包含在合同金额中。</w:t>
            </w:r>
          </w:p>
          <w:p w14:paraId="1D687AD5">
            <w:pPr>
              <w:pStyle w:val="6"/>
              <w:spacing w:line="360" w:lineRule="auto"/>
              <w:ind w:left="218" w:leftChars="104" w:right="57" w:rightChars="27" w:firstLine="0"/>
              <w:jc w:val="left"/>
              <w:rPr>
                <w:rFonts w:ascii="宋体" w:hAnsi="宋体" w:cs="宋体"/>
                <w:color w:val="auto"/>
                <w:sz w:val="24"/>
                <w:szCs w:val="24"/>
                <w:highlight w:val="none"/>
              </w:rPr>
            </w:pPr>
            <w:r>
              <w:rPr>
                <w:rFonts w:hint="eastAsia" w:ascii="宋体" w:hAnsi="宋体" w:cs="宋体"/>
                <w:color w:val="auto"/>
                <w:sz w:val="24"/>
                <w:szCs w:val="24"/>
                <w:highlight w:val="none"/>
              </w:rPr>
              <w:t>3.验收要求：</w:t>
            </w:r>
          </w:p>
          <w:p w14:paraId="7E743DBA">
            <w:pPr>
              <w:pStyle w:val="6"/>
              <w:numPr>
                <w:ilvl w:val="0"/>
                <w:numId w:val="4"/>
              </w:numPr>
              <w:spacing w:line="360" w:lineRule="auto"/>
              <w:ind w:left="218" w:leftChars="104" w:right="57" w:rightChars="27" w:firstLine="0"/>
              <w:jc w:val="left"/>
              <w:rPr>
                <w:rFonts w:ascii="宋体" w:hAnsi="宋体" w:cs="宋体"/>
                <w:color w:val="auto"/>
                <w:sz w:val="24"/>
                <w:szCs w:val="24"/>
                <w:highlight w:val="none"/>
              </w:rPr>
            </w:pPr>
            <w:r>
              <w:rPr>
                <w:rFonts w:hint="eastAsia" w:ascii="宋体" w:hAnsi="宋体" w:cs="宋体"/>
                <w:color w:val="auto"/>
                <w:sz w:val="24"/>
                <w:szCs w:val="24"/>
                <w:highlight w:val="none"/>
              </w:rPr>
              <w:t>提供产品需满足采购文件所规定的“产品需求”以及“技术参数与配置要求”。</w:t>
            </w:r>
          </w:p>
          <w:p w14:paraId="7BE3804B">
            <w:pPr>
              <w:pStyle w:val="6"/>
              <w:numPr>
                <w:ilvl w:val="0"/>
                <w:numId w:val="4"/>
              </w:numPr>
              <w:spacing w:line="360" w:lineRule="auto"/>
              <w:ind w:left="218" w:leftChars="104" w:right="57" w:rightChars="27" w:firstLine="0"/>
              <w:jc w:val="left"/>
              <w:rPr>
                <w:rFonts w:ascii="宋体" w:hAnsi="宋体" w:cs="宋体"/>
                <w:color w:val="auto"/>
                <w:sz w:val="24"/>
                <w:szCs w:val="24"/>
                <w:highlight w:val="none"/>
              </w:rPr>
            </w:pPr>
            <w:r>
              <w:rPr>
                <w:rFonts w:hint="eastAsia" w:ascii="宋体" w:hAnsi="宋体" w:cs="宋体"/>
                <w:color w:val="auto"/>
                <w:sz w:val="24"/>
                <w:szCs w:val="24"/>
                <w:highlight w:val="none"/>
              </w:rPr>
              <w:t>确保相关硬件与软件系统与现行业务系统无缝兼容。</w:t>
            </w:r>
          </w:p>
          <w:p w14:paraId="5BA07F81">
            <w:pPr>
              <w:pStyle w:val="6"/>
              <w:numPr>
                <w:ilvl w:val="0"/>
                <w:numId w:val="4"/>
              </w:numPr>
              <w:spacing w:line="360" w:lineRule="auto"/>
              <w:ind w:left="218" w:leftChars="104" w:right="57" w:rightChars="27" w:firstLine="0"/>
              <w:jc w:val="left"/>
              <w:rPr>
                <w:rFonts w:ascii="宋体" w:hAnsi="宋体" w:cs="宋体"/>
                <w:color w:val="auto"/>
                <w:sz w:val="24"/>
                <w:szCs w:val="24"/>
                <w:highlight w:val="none"/>
              </w:rPr>
            </w:pPr>
            <w:r>
              <w:rPr>
                <w:rFonts w:hint="eastAsia" w:ascii="宋体" w:hAnsi="宋体" w:cs="宋体"/>
                <w:color w:val="auto"/>
                <w:sz w:val="24"/>
                <w:szCs w:val="24"/>
                <w:highlight w:val="none"/>
              </w:rPr>
              <w:t>在合同约定期内完成供货及设备上架调试等工作。</w:t>
            </w:r>
          </w:p>
          <w:p w14:paraId="47A02889">
            <w:pPr>
              <w:pStyle w:val="6"/>
              <w:numPr>
                <w:ilvl w:val="0"/>
                <w:numId w:val="4"/>
              </w:numPr>
              <w:spacing w:line="360" w:lineRule="auto"/>
              <w:ind w:left="218" w:leftChars="104" w:right="57" w:rightChars="27" w:firstLine="0"/>
              <w:jc w:val="left"/>
              <w:rPr>
                <w:rFonts w:ascii="宋体" w:hAnsi="宋体" w:cs="宋体"/>
                <w:color w:val="auto"/>
                <w:sz w:val="24"/>
                <w:szCs w:val="24"/>
                <w:highlight w:val="none"/>
              </w:rPr>
            </w:pPr>
            <w:r>
              <w:rPr>
                <w:rFonts w:hint="eastAsia" w:ascii="宋体" w:hAnsi="宋体" w:cs="宋体"/>
                <w:color w:val="auto"/>
                <w:sz w:val="24"/>
                <w:szCs w:val="24"/>
                <w:highlight w:val="none"/>
              </w:rPr>
              <w:t>对现有“线路复用接入系统”核心进行数据迁移，保证数据完整性、一致性。</w:t>
            </w:r>
          </w:p>
          <w:p w14:paraId="0033E341">
            <w:pPr>
              <w:pStyle w:val="6"/>
              <w:numPr>
                <w:ilvl w:val="0"/>
                <w:numId w:val="4"/>
              </w:numPr>
              <w:spacing w:line="360" w:lineRule="auto"/>
              <w:ind w:left="218" w:leftChars="104" w:right="57" w:rightChars="27" w:firstLine="0"/>
              <w:jc w:val="left"/>
              <w:rPr>
                <w:rFonts w:ascii="宋体" w:hAnsi="宋体" w:cs="宋体"/>
                <w:color w:val="auto"/>
                <w:sz w:val="24"/>
                <w:szCs w:val="24"/>
                <w:highlight w:val="none"/>
              </w:rPr>
            </w:pPr>
            <w:r>
              <w:rPr>
                <w:rFonts w:hint="eastAsia" w:ascii="宋体" w:hAnsi="宋体" w:cs="宋体"/>
                <w:color w:val="auto"/>
                <w:sz w:val="24"/>
                <w:szCs w:val="24"/>
                <w:highlight w:val="none"/>
              </w:rPr>
              <w:t>全程保障与现有销售系统及其相关业务应用系统的安全割接，出现问题及时处理解决。</w:t>
            </w:r>
          </w:p>
          <w:p w14:paraId="1E3F37FD">
            <w:pPr>
              <w:pStyle w:val="6"/>
              <w:spacing w:line="360" w:lineRule="auto"/>
              <w:ind w:left="218" w:leftChars="104" w:right="57" w:rightChars="27" w:firstLine="0"/>
              <w:jc w:val="left"/>
              <w:rPr>
                <w:rFonts w:ascii="宋体" w:hAnsi="宋体" w:cs="宋体"/>
                <w:color w:val="auto"/>
                <w:sz w:val="24"/>
                <w:szCs w:val="24"/>
                <w:highlight w:val="none"/>
              </w:rPr>
            </w:pPr>
            <w:r>
              <w:rPr>
                <w:rFonts w:hint="eastAsia" w:ascii="宋体" w:hAnsi="宋体" w:cs="宋体"/>
                <w:color w:val="auto"/>
                <w:sz w:val="24"/>
                <w:szCs w:val="24"/>
                <w:highlight w:val="none"/>
              </w:rPr>
              <w:t>（6）升级改造后的“综合业务安全接入系统”应同时兼容市场现有安全接入终端设备，并满足新旧安全接入终端设备的同时接入使用。</w:t>
            </w:r>
          </w:p>
          <w:p w14:paraId="705C4BF9">
            <w:pPr>
              <w:pStyle w:val="6"/>
              <w:spacing w:line="360" w:lineRule="auto"/>
              <w:ind w:left="218" w:leftChars="104" w:right="57" w:rightChars="27" w:firstLine="0"/>
              <w:jc w:val="left"/>
              <w:rPr>
                <w:rFonts w:ascii="宋体" w:hAnsi="宋体" w:cs="宋体"/>
                <w:color w:val="auto"/>
                <w:sz w:val="24"/>
                <w:szCs w:val="24"/>
                <w:highlight w:val="none"/>
              </w:rPr>
            </w:pPr>
            <w:r>
              <w:rPr>
                <w:rFonts w:hint="eastAsia" w:ascii="宋体" w:hAnsi="宋体" w:cs="宋体"/>
                <w:color w:val="auto"/>
                <w:sz w:val="24"/>
                <w:szCs w:val="24"/>
                <w:highlight w:val="none"/>
              </w:rPr>
              <w:t>4.当满足以下条件时，采购人才向供应商签发货物验收报告：</w:t>
            </w:r>
          </w:p>
          <w:p w14:paraId="23DB47A8">
            <w:pPr>
              <w:pStyle w:val="6"/>
              <w:spacing w:line="360" w:lineRule="auto"/>
              <w:ind w:left="218" w:leftChars="104" w:right="57" w:rightChars="27" w:firstLine="0"/>
              <w:jc w:val="left"/>
              <w:rPr>
                <w:rFonts w:ascii="宋体" w:hAnsi="宋体" w:cs="宋体"/>
                <w:color w:val="auto"/>
                <w:sz w:val="24"/>
                <w:szCs w:val="24"/>
                <w:highlight w:val="none"/>
              </w:rPr>
            </w:pPr>
            <w:r>
              <w:rPr>
                <w:rFonts w:hint="eastAsia" w:ascii="宋体" w:hAnsi="宋体" w:cs="宋体"/>
                <w:color w:val="auto"/>
                <w:sz w:val="24"/>
                <w:szCs w:val="24"/>
                <w:highlight w:val="none"/>
              </w:rPr>
              <w:t>（1）中标人已按照合同规定提供了全部产品及完整的技术资料。</w:t>
            </w:r>
          </w:p>
          <w:p w14:paraId="62D6580F">
            <w:pPr>
              <w:pStyle w:val="6"/>
              <w:spacing w:line="360" w:lineRule="auto"/>
              <w:ind w:left="218" w:leftChars="104" w:right="57" w:rightChars="27" w:firstLine="0"/>
              <w:jc w:val="left"/>
              <w:rPr>
                <w:rFonts w:ascii="宋体" w:hAnsi="宋体" w:cs="宋体"/>
                <w:color w:val="auto"/>
                <w:sz w:val="24"/>
                <w:szCs w:val="24"/>
                <w:highlight w:val="none"/>
              </w:rPr>
            </w:pPr>
            <w:r>
              <w:rPr>
                <w:rFonts w:hint="eastAsia" w:ascii="宋体" w:hAnsi="宋体" w:cs="宋体"/>
                <w:color w:val="auto"/>
                <w:sz w:val="24"/>
                <w:szCs w:val="24"/>
                <w:highlight w:val="none"/>
              </w:rPr>
              <w:t>（2）货物各项参数完全符合《技术参数及性能（配置）要求》的要求，性能满足要求。</w:t>
            </w:r>
          </w:p>
          <w:p w14:paraId="7E1D503F">
            <w:pPr>
              <w:pStyle w:val="6"/>
              <w:spacing w:line="360" w:lineRule="auto"/>
              <w:ind w:left="218" w:leftChars="104" w:right="57" w:rightChars="27" w:firstLine="0"/>
              <w:jc w:val="left"/>
              <w:rPr>
                <w:rFonts w:ascii="宋体" w:hAnsi="宋体" w:cs="宋体"/>
                <w:color w:val="auto"/>
                <w:sz w:val="24"/>
                <w:szCs w:val="24"/>
                <w:highlight w:val="none"/>
              </w:rPr>
            </w:pPr>
            <w:r>
              <w:rPr>
                <w:rFonts w:hint="eastAsia" w:ascii="宋体" w:hAnsi="宋体" w:cs="宋体"/>
                <w:color w:val="auto"/>
                <w:sz w:val="24"/>
                <w:szCs w:val="24"/>
                <w:highlight w:val="none"/>
              </w:rPr>
              <w:t>（3）中标人需负责安装、调试（测试），并完成采购人的使用操作培训。</w:t>
            </w:r>
          </w:p>
          <w:p w14:paraId="0573D114">
            <w:pPr>
              <w:pStyle w:val="6"/>
              <w:spacing w:line="360" w:lineRule="auto"/>
              <w:ind w:left="218" w:leftChars="104" w:right="57" w:rightChars="27" w:firstLine="0"/>
              <w:jc w:val="left"/>
              <w:rPr>
                <w:rFonts w:ascii="宋体" w:hAnsi="宋体" w:cs="宋体"/>
                <w:color w:val="auto"/>
                <w:sz w:val="24"/>
                <w:szCs w:val="24"/>
                <w:highlight w:val="none"/>
              </w:rPr>
            </w:pPr>
            <w:r>
              <w:rPr>
                <w:rFonts w:hint="eastAsia" w:ascii="宋体" w:hAnsi="宋体" w:cs="宋体"/>
                <w:color w:val="auto"/>
                <w:sz w:val="24"/>
                <w:szCs w:val="24"/>
                <w:highlight w:val="none"/>
              </w:rPr>
              <w:t>5.中标产品及配套服务不能涉及任何法律纠纷。</w:t>
            </w:r>
          </w:p>
        </w:tc>
      </w:tr>
      <w:tr w14:paraId="6281E278">
        <w:tblPrEx>
          <w:tblCellMar>
            <w:top w:w="0" w:type="dxa"/>
            <w:left w:w="0" w:type="dxa"/>
            <w:bottom w:w="0" w:type="dxa"/>
            <w:right w:w="0" w:type="dxa"/>
          </w:tblCellMar>
        </w:tblPrEx>
        <w:trPr>
          <w:trHeight w:val="20" w:hRule="atLeast"/>
          <w:jc w:val="center"/>
        </w:trPr>
        <w:tc>
          <w:tcPr>
            <w:tcW w:w="1491" w:type="dxa"/>
            <w:gridSpan w:val="2"/>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4441B78C">
            <w:pPr>
              <w:pStyle w:val="6"/>
              <w:spacing w:line="360" w:lineRule="auto"/>
              <w:ind w:firstLine="0"/>
              <w:jc w:val="center"/>
              <w:rPr>
                <w:rFonts w:ascii="宋体" w:hAnsi="宋体" w:cs="宋体"/>
                <w:color w:val="auto"/>
                <w:sz w:val="24"/>
                <w:szCs w:val="24"/>
                <w:highlight w:val="none"/>
              </w:rPr>
            </w:pPr>
            <w:r>
              <w:rPr>
                <w:rFonts w:hint="eastAsia" w:ascii="宋体" w:hAnsi="宋体" w:cs="宋体"/>
                <w:color w:val="auto"/>
                <w:sz w:val="24"/>
                <w:szCs w:val="24"/>
                <w:highlight w:val="none"/>
              </w:rPr>
              <w:t>售后服务要求</w:t>
            </w:r>
          </w:p>
        </w:tc>
        <w:tc>
          <w:tcPr>
            <w:tcW w:w="7431" w:type="dxa"/>
            <w:gridSpan w:val="3"/>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6C7585F9">
            <w:pPr>
              <w:pStyle w:val="6"/>
              <w:spacing w:line="360" w:lineRule="auto"/>
              <w:ind w:left="218" w:leftChars="104" w:right="57" w:rightChars="27" w:firstLine="0"/>
              <w:rPr>
                <w:rFonts w:ascii="宋体" w:hAnsi="宋体" w:cs="宋体"/>
                <w:color w:val="auto"/>
                <w:sz w:val="24"/>
                <w:szCs w:val="24"/>
                <w:highlight w:val="none"/>
              </w:rPr>
            </w:pPr>
            <w:r>
              <w:rPr>
                <w:rFonts w:hint="eastAsia" w:ascii="宋体" w:hAnsi="宋体" w:cs="宋体"/>
                <w:color w:val="auto"/>
                <w:sz w:val="24"/>
                <w:szCs w:val="24"/>
                <w:highlight w:val="none"/>
              </w:rPr>
              <w:t>1.在质保期内，提供7×24小时的故障排除服务，在接到中心机房或站点维护员设备报修通知后，2小时内回复，4小时内到达指定现场；一般问题6小时解决，重大问题（中心系统部件损坏或可能造成系统宕机、销售通讯终断等问题）12小时内解决。投注站安全接入终端设备24小时不能修复的给予免费更换。维护人员持续跟进直到故障排除设备完全恢复正常使用为止。对于无法修复的，更换产品或免费提供代用产品。遇到重大技术问题，及时组织有关技术专家进行会诊，并采取相应措施以确保彩票销售的正常运行，并认真做好维保记录。</w:t>
            </w:r>
          </w:p>
          <w:p w14:paraId="5E483E4D">
            <w:pPr>
              <w:pStyle w:val="6"/>
              <w:spacing w:line="360" w:lineRule="auto"/>
              <w:ind w:left="218" w:leftChars="104" w:right="57" w:rightChars="27" w:firstLine="0"/>
              <w:rPr>
                <w:rFonts w:ascii="宋体" w:hAnsi="宋体" w:cs="宋体"/>
                <w:color w:val="auto"/>
                <w:sz w:val="24"/>
                <w:szCs w:val="24"/>
                <w:highlight w:val="none"/>
              </w:rPr>
            </w:pPr>
            <w:r>
              <w:rPr>
                <w:rFonts w:hint="eastAsia" w:ascii="宋体" w:hAnsi="宋体" w:cs="宋体"/>
                <w:color w:val="auto"/>
                <w:sz w:val="24"/>
                <w:szCs w:val="24"/>
                <w:highlight w:val="none"/>
              </w:rPr>
              <w:t>2.每月定期进行系统健康检查、系统巡检、系统专项维护等服务，对系统进行监测和分析，对发现的问题和隐患及时解决和采取防范措施加以预防，并提交相应的巡检服务报告。</w:t>
            </w:r>
          </w:p>
          <w:p w14:paraId="4B6ED349">
            <w:pPr>
              <w:pStyle w:val="6"/>
              <w:spacing w:line="360" w:lineRule="auto"/>
              <w:ind w:left="218" w:leftChars="104" w:right="57" w:rightChars="27" w:firstLine="0"/>
              <w:rPr>
                <w:rFonts w:ascii="宋体" w:hAnsi="宋体" w:cs="宋体"/>
                <w:color w:val="auto"/>
                <w:sz w:val="24"/>
                <w:szCs w:val="24"/>
                <w:highlight w:val="none"/>
              </w:rPr>
            </w:pPr>
            <w:r>
              <w:rPr>
                <w:rFonts w:hint="eastAsia" w:ascii="宋体" w:hAnsi="宋体" w:cs="宋体"/>
                <w:color w:val="auto"/>
                <w:sz w:val="24"/>
                <w:szCs w:val="24"/>
                <w:highlight w:val="none"/>
              </w:rPr>
              <w:t>3.根据采购人需求进行软件升级与增强，较大改动的软件升级与增强要求先进行试点工作，试点成功后再大面积推广。对于重大的升级，在产品升级的同时，对运维技术人员及时进行培训。积极主动开展技术支持工作，定期对用户的网络系统进行检测，预防系统故障发生。</w:t>
            </w:r>
          </w:p>
          <w:p w14:paraId="13014A76">
            <w:pPr>
              <w:pStyle w:val="6"/>
              <w:spacing w:line="360" w:lineRule="auto"/>
              <w:ind w:left="218" w:leftChars="104" w:right="57" w:rightChars="27" w:firstLine="0"/>
              <w:rPr>
                <w:rFonts w:ascii="宋体" w:hAnsi="宋体" w:cs="宋体"/>
                <w:color w:val="auto"/>
                <w:sz w:val="24"/>
                <w:szCs w:val="24"/>
                <w:highlight w:val="none"/>
              </w:rPr>
            </w:pPr>
            <w:r>
              <w:rPr>
                <w:rFonts w:hint="eastAsia" w:ascii="宋体" w:hAnsi="宋体" w:cs="宋体"/>
                <w:color w:val="auto"/>
                <w:sz w:val="24"/>
                <w:szCs w:val="24"/>
                <w:highlight w:val="none"/>
              </w:rPr>
              <w:t>4.中标人需在提供技术服务期内设立设备存储仓库，确保可及时更换不能现场修复的设备，对于不能修复的产品由中标人协调设备厂家进行更换，所产生相关费用均由中标人承担，常用总备货量不低于50台。</w:t>
            </w:r>
          </w:p>
          <w:p w14:paraId="044CCBEA">
            <w:pPr>
              <w:pStyle w:val="6"/>
              <w:spacing w:line="360" w:lineRule="auto"/>
              <w:ind w:left="218" w:leftChars="104" w:right="57" w:rightChars="27" w:firstLine="0"/>
              <w:rPr>
                <w:rFonts w:ascii="宋体" w:hAnsi="宋体" w:cs="宋体"/>
                <w:color w:val="auto"/>
                <w:sz w:val="24"/>
                <w:szCs w:val="24"/>
                <w:highlight w:val="none"/>
              </w:rPr>
            </w:pPr>
            <w:r>
              <w:rPr>
                <w:rFonts w:hint="eastAsia" w:ascii="宋体" w:hAnsi="宋体" w:cs="宋体"/>
                <w:color w:val="auto"/>
                <w:sz w:val="24"/>
                <w:szCs w:val="24"/>
                <w:highlight w:val="none"/>
              </w:rPr>
              <w:t>5.除驻中心机房至少1名运维人员外，全区14个市都需配备至少一名运维技术人员（实施管理人员）南宁市、柳州市、桂林市、梧州市、北海市、防城港市、钦州市、贵港市、玉林市、百色市、贺州市、河池市、来宾市、崇左市（采购人指定网点布设，中心机房设在南宁市。）</w:t>
            </w:r>
          </w:p>
        </w:tc>
      </w:tr>
      <w:tr w14:paraId="5C98553E">
        <w:tblPrEx>
          <w:tblCellMar>
            <w:top w:w="0" w:type="dxa"/>
            <w:left w:w="0" w:type="dxa"/>
            <w:bottom w:w="0" w:type="dxa"/>
            <w:right w:w="0" w:type="dxa"/>
          </w:tblCellMar>
        </w:tblPrEx>
        <w:trPr>
          <w:trHeight w:val="20" w:hRule="atLeast"/>
          <w:jc w:val="center"/>
        </w:trPr>
        <w:tc>
          <w:tcPr>
            <w:tcW w:w="1491" w:type="dxa"/>
            <w:gridSpan w:val="2"/>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210A5FD8">
            <w:pPr>
              <w:spacing w:line="360" w:lineRule="auto"/>
              <w:jc w:val="center"/>
              <w:rPr>
                <w:rFonts w:asciiTheme="majorEastAsia" w:hAnsiTheme="majorEastAsia" w:eastAsiaTheme="majorEastAsia" w:cstheme="majorEastAsia"/>
                <w:bCs/>
                <w:color w:val="auto"/>
                <w:sz w:val="24"/>
                <w:highlight w:val="none"/>
              </w:rPr>
            </w:pPr>
            <w:r>
              <w:rPr>
                <w:rStyle w:val="123"/>
                <w:rFonts w:hint="eastAsia" w:asciiTheme="majorEastAsia" w:hAnsiTheme="majorEastAsia" w:eastAsiaTheme="majorEastAsia" w:cstheme="majorEastAsia"/>
                <w:b w:val="0"/>
                <w:bCs/>
                <w:color w:val="auto"/>
                <w:sz w:val="24"/>
                <w:szCs w:val="24"/>
                <w:highlight w:val="none"/>
              </w:rPr>
              <w:t>履约保证金收取及退付</w:t>
            </w:r>
          </w:p>
        </w:tc>
        <w:tc>
          <w:tcPr>
            <w:tcW w:w="7431" w:type="dxa"/>
            <w:gridSpan w:val="3"/>
            <w:tcBorders>
              <w:top w:val="single" w:color="000000" w:sz="4" w:space="0"/>
              <w:left w:val="single" w:color="000000" w:sz="4" w:space="0"/>
              <w:bottom w:val="single" w:color="000000" w:sz="4" w:space="0"/>
              <w:right w:val="single" w:color="000000" w:sz="4" w:space="0"/>
            </w:tcBorders>
            <w:noWrap/>
            <w:tcMar>
              <w:top w:w="7" w:type="dxa"/>
              <w:left w:w="7" w:type="dxa"/>
              <w:right w:w="7" w:type="dxa"/>
            </w:tcMar>
          </w:tcPr>
          <w:p w14:paraId="31D96A1C">
            <w:pPr>
              <w:tabs>
                <w:tab w:val="left" w:pos="420"/>
              </w:tabs>
              <w:spacing w:line="360" w:lineRule="auto"/>
              <w:ind w:left="218" w:leftChars="104" w:right="57" w:rightChars="27"/>
              <w:rPr>
                <w:rFonts w:asciiTheme="majorEastAsia" w:hAnsiTheme="majorEastAsia" w:eastAsiaTheme="majorEastAsia" w:cstheme="majorEastAsia"/>
                <w:bCs/>
                <w:color w:val="auto"/>
                <w:sz w:val="24"/>
                <w:highlight w:val="none"/>
              </w:rPr>
            </w:pPr>
            <w:r>
              <w:rPr>
                <w:rFonts w:hint="eastAsia" w:asciiTheme="majorEastAsia" w:hAnsiTheme="majorEastAsia" w:eastAsiaTheme="majorEastAsia" w:cstheme="majorEastAsia"/>
                <w:bCs/>
                <w:color w:val="auto"/>
                <w:sz w:val="24"/>
                <w:highlight w:val="none"/>
              </w:rPr>
              <w:t>1.履约保证金金额：合同金额的2%；签订合同前交至指定账户，否则不予签订合同。</w:t>
            </w:r>
          </w:p>
          <w:p w14:paraId="09ADE445">
            <w:pPr>
              <w:tabs>
                <w:tab w:val="left" w:pos="420"/>
              </w:tabs>
              <w:spacing w:line="360" w:lineRule="auto"/>
              <w:ind w:left="218" w:leftChars="104" w:right="57" w:rightChars="27"/>
              <w:rPr>
                <w:rFonts w:asciiTheme="majorEastAsia" w:hAnsiTheme="majorEastAsia" w:eastAsiaTheme="majorEastAsia" w:cstheme="majorEastAsia"/>
                <w:bCs/>
                <w:color w:val="auto"/>
                <w:sz w:val="24"/>
                <w:highlight w:val="none"/>
              </w:rPr>
            </w:pPr>
            <w:r>
              <w:rPr>
                <w:rFonts w:hint="eastAsia" w:asciiTheme="majorEastAsia" w:hAnsiTheme="majorEastAsia" w:eastAsiaTheme="majorEastAsia" w:cstheme="majorEastAsia"/>
                <w:bCs/>
                <w:color w:val="auto"/>
                <w:sz w:val="24"/>
                <w:highlight w:val="none"/>
              </w:rPr>
              <w:t>2.履约保证金递交方式：银行转账、电汇或者银行出具的保函等非现金方式。由中标人在签订合同前按规定的金额直接缴入以下采购人账户。凭履约保证金缴纳凭证签订合同。</w:t>
            </w:r>
          </w:p>
          <w:p w14:paraId="53525464">
            <w:pPr>
              <w:tabs>
                <w:tab w:val="left" w:pos="420"/>
              </w:tabs>
              <w:spacing w:line="360" w:lineRule="auto"/>
              <w:ind w:left="218" w:leftChars="104" w:right="57" w:rightChars="27"/>
              <w:rPr>
                <w:rFonts w:asciiTheme="majorEastAsia" w:hAnsiTheme="majorEastAsia" w:eastAsiaTheme="majorEastAsia" w:cstheme="majorEastAsia"/>
                <w:bCs/>
                <w:color w:val="auto"/>
                <w:sz w:val="24"/>
                <w:highlight w:val="none"/>
              </w:rPr>
            </w:pPr>
            <w:r>
              <w:rPr>
                <w:rFonts w:hint="eastAsia" w:asciiTheme="majorEastAsia" w:hAnsiTheme="majorEastAsia" w:eastAsiaTheme="majorEastAsia" w:cstheme="majorEastAsia"/>
                <w:bCs/>
                <w:color w:val="auto"/>
                <w:sz w:val="24"/>
                <w:highlight w:val="none"/>
              </w:rPr>
              <w:t>3.履约保证金退付方式、时间及条件：中标人若不能完全履行合同，履约保证金不予退还；中标人若完全履行合同，全部合同义务履行完毕后，中标人凭履约保证金缴款凭证、退付意见书到采购人财务部门办理无息退还手续。</w:t>
            </w:r>
          </w:p>
          <w:p w14:paraId="359FD4AD">
            <w:pPr>
              <w:tabs>
                <w:tab w:val="left" w:pos="420"/>
              </w:tabs>
              <w:spacing w:line="360" w:lineRule="auto"/>
              <w:ind w:left="218" w:leftChars="104" w:right="57" w:rightChars="27"/>
              <w:rPr>
                <w:rFonts w:asciiTheme="majorEastAsia" w:hAnsiTheme="majorEastAsia" w:eastAsiaTheme="majorEastAsia" w:cstheme="majorEastAsia"/>
                <w:bCs/>
                <w:color w:val="auto"/>
                <w:sz w:val="24"/>
                <w:highlight w:val="none"/>
              </w:rPr>
            </w:pPr>
            <w:r>
              <w:rPr>
                <w:rFonts w:hint="eastAsia" w:asciiTheme="majorEastAsia" w:hAnsiTheme="majorEastAsia" w:eastAsiaTheme="majorEastAsia" w:cstheme="majorEastAsia"/>
                <w:bCs/>
                <w:color w:val="auto"/>
                <w:sz w:val="24"/>
                <w:highlight w:val="none"/>
              </w:rPr>
              <w:t>4.履约保证金不足额缴纳的，或银行出具的保函额度不足的或者银行保函有效期低于合同履行期限（即签订采购合同之日起至履行完合同约定的权利及义务之日止）的，不予签订合同。</w:t>
            </w:r>
          </w:p>
          <w:p w14:paraId="513BBBCC">
            <w:pPr>
              <w:tabs>
                <w:tab w:val="left" w:pos="420"/>
              </w:tabs>
              <w:spacing w:line="360" w:lineRule="auto"/>
              <w:ind w:left="218" w:leftChars="104" w:right="57" w:rightChars="27"/>
              <w:rPr>
                <w:rFonts w:asciiTheme="majorEastAsia" w:hAnsiTheme="majorEastAsia" w:eastAsiaTheme="majorEastAsia" w:cstheme="majorEastAsia"/>
                <w:bCs/>
                <w:color w:val="auto"/>
                <w:sz w:val="24"/>
                <w:highlight w:val="none"/>
              </w:rPr>
            </w:pPr>
            <w:r>
              <w:rPr>
                <w:rFonts w:hint="eastAsia" w:asciiTheme="majorEastAsia" w:hAnsiTheme="majorEastAsia" w:eastAsiaTheme="majorEastAsia" w:cstheme="majorEastAsia"/>
                <w:bCs/>
                <w:color w:val="auto"/>
                <w:sz w:val="24"/>
                <w:highlight w:val="none"/>
              </w:rPr>
              <w:t>5.采用银行出具的保函的，必须为无条件的银行保函，否则不予签订合同。</w:t>
            </w:r>
          </w:p>
        </w:tc>
      </w:tr>
      <w:tr w14:paraId="38CAF7A2">
        <w:tblPrEx>
          <w:tblCellMar>
            <w:top w:w="0" w:type="dxa"/>
            <w:left w:w="0" w:type="dxa"/>
            <w:bottom w:w="0" w:type="dxa"/>
            <w:right w:w="0" w:type="dxa"/>
          </w:tblCellMar>
        </w:tblPrEx>
        <w:trPr>
          <w:trHeight w:val="20" w:hRule="atLeast"/>
          <w:jc w:val="center"/>
        </w:trPr>
        <w:tc>
          <w:tcPr>
            <w:tcW w:w="1491" w:type="dxa"/>
            <w:gridSpan w:val="2"/>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226E3BF8">
            <w:pPr>
              <w:pStyle w:val="6"/>
              <w:spacing w:line="360" w:lineRule="auto"/>
              <w:ind w:firstLine="0"/>
              <w:jc w:val="center"/>
              <w:rPr>
                <w:rFonts w:ascii="宋体" w:hAnsi="宋体" w:cs="宋体"/>
                <w:bCs/>
                <w:color w:val="auto"/>
                <w:sz w:val="24"/>
                <w:szCs w:val="24"/>
                <w:highlight w:val="none"/>
              </w:rPr>
            </w:pPr>
            <w:r>
              <w:rPr>
                <w:rFonts w:hint="eastAsia" w:ascii="宋体" w:hAnsi="宋体" w:cs="宋体"/>
                <w:bCs/>
                <w:color w:val="auto"/>
                <w:sz w:val="24"/>
                <w:szCs w:val="24"/>
                <w:highlight w:val="none"/>
              </w:rPr>
              <w:t>付款方式</w:t>
            </w:r>
          </w:p>
        </w:tc>
        <w:tc>
          <w:tcPr>
            <w:tcW w:w="7431" w:type="dxa"/>
            <w:gridSpan w:val="3"/>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54F38D3F">
            <w:pPr>
              <w:pStyle w:val="6"/>
              <w:spacing w:line="360" w:lineRule="auto"/>
              <w:ind w:left="218" w:leftChars="104" w:right="57" w:rightChars="27" w:firstLine="0"/>
              <w:rPr>
                <w:rFonts w:ascii="宋体" w:hAnsi="宋体" w:cs="宋体"/>
                <w:bCs/>
                <w:color w:val="auto"/>
                <w:sz w:val="24"/>
                <w:szCs w:val="24"/>
                <w:highlight w:val="none"/>
              </w:rPr>
            </w:pPr>
            <w:r>
              <w:rPr>
                <w:rFonts w:hint="eastAsia" w:ascii="宋体" w:hAnsi="宋体" w:cs="宋体"/>
                <w:bCs/>
                <w:color w:val="auto"/>
                <w:sz w:val="24"/>
                <w:szCs w:val="24"/>
                <w:highlight w:val="none"/>
              </w:rPr>
              <w:t>本项目签订合同10个工作日内，采购人支付中标人30%合同金额的预付款（如遇预算经费不足情况，延续至预算经费到达后支付）；标的货物验收合格后采购人支付70%合同金额款；如遇重大技术调整或不可抗拒因素造成无法按时支付合同款的情况，付款结算方式双方协商而定。中标人每次收到合同款之日起三个工作日内开具发票给采购人。</w:t>
            </w:r>
          </w:p>
        </w:tc>
      </w:tr>
      <w:tr w14:paraId="73634C67">
        <w:tblPrEx>
          <w:tblCellMar>
            <w:top w:w="0" w:type="dxa"/>
            <w:left w:w="0" w:type="dxa"/>
            <w:bottom w:w="0" w:type="dxa"/>
            <w:right w:w="0" w:type="dxa"/>
          </w:tblCellMar>
        </w:tblPrEx>
        <w:trPr>
          <w:trHeight w:val="20" w:hRule="atLeast"/>
          <w:jc w:val="center"/>
        </w:trPr>
        <w:tc>
          <w:tcPr>
            <w:tcW w:w="1491" w:type="dxa"/>
            <w:gridSpan w:val="2"/>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6DE2A87F">
            <w:pPr>
              <w:spacing w:line="360" w:lineRule="auto"/>
              <w:jc w:val="center"/>
              <w:rPr>
                <w:rFonts w:ascii="宋体" w:hAnsi="宋体" w:cs="宋体"/>
                <w:color w:val="auto"/>
                <w:sz w:val="24"/>
                <w:highlight w:val="none"/>
              </w:rPr>
            </w:pPr>
            <w:r>
              <w:rPr>
                <w:rFonts w:hint="eastAsia" w:ascii="宋体" w:hAnsi="宋体" w:cs="宋体"/>
                <w:b/>
                <w:color w:val="auto"/>
                <w:sz w:val="24"/>
                <w:highlight w:val="none"/>
              </w:rPr>
              <w:t>其他要求</w:t>
            </w:r>
          </w:p>
        </w:tc>
        <w:tc>
          <w:tcPr>
            <w:tcW w:w="7431" w:type="dxa"/>
            <w:gridSpan w:val="3"/>
            <w:tcBorders>
              <w:top w:val="single" w:color="000000" w:sz="4" w:space="0"/>
              <w:left w:val="single" w:color="000000" w:sz="4" w:space="0"/>
              <w:bottom w:val="single" w:color="000000" w:sz="4" w:space="0"/>
              <w:right w:val="single" w:color="000000" w:sz="4" w:space="0"/>
            </w:tcBorders>
            <w:noWrap/>
            <w:tcMar>
              <w:top w:w="7" w:type="dxa"/>
              <w:left w:w="7" w:type="dxa"/>
              <w:right w:w="7" w:type="dxa"/>
            </w:tcMar>
          </w:tcPr>
          <w:p w14:paraId="7AAA3FC7">
            <w:pPr>
              <w:widowControl/>
              <w:spacing w:line="360" w:lineRule="auto"/>
              <w:ind w:left="218" w:leftChars="104" w:right="57" w:rightChars="27"/>
              <w:rPr>
                <w:rFonts w:ascii="宋体" w:hAnsi="宋体" w:cs="宋体"/>
                <w:color w:val="auto"/>
                <w:sz w:val="24"/>
                <w:highlight w:val="none"/>
              </w:rPr>
            </w:pPr>
            <w:r>
              <w:rPr>
                <w:rFonts w:hint="eastAsia" w:ascii="宋体" w:hAnsi="宋体" w:cs="宋体"/>
                <w:color w:val="auto"/>
                <w:sz w:val="24"/>
                <w:highlight w:val="none"/>
              </w:rPr>
              <w:t>1.要求供货产品是全新的、未经改装的、合格的、满足本项目技术需求及要求的货物。所有零部件、配件必须是未经使用的全新的并符合国家有关质量安全标准的产品。中标人负责提供设备使用培训、操作技能训练等；提供相关设备说明书、管理和配置指南手册、使用手册和故障定位/排除指南手册等</w:t>
            </w:r>
          </w:p>
          <w:p w14:paraId="00AB1FCE">
            <w:pPr>
              <w:widowControl/>
              <w:spacing w:line="360" w:lineRule="auto"/>
              <w:ind w:left="218" w:leftChars="104" w:right="57" w:rightChars="27"/>
              <w:rPr>
                <w:rFonts w:ascii="宋体" w:hAnsi="宋体" w:cs="宋体"/>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rPr>
              <w:t>.本项目实行总价包干制，投标报价包含设备、随配附件、备品备件、辅助材料、工具、运抵指定交货地点、材料运输及人工搬运费、装修施工垃圾清理及排放、完工清场清洁、保险、现场安装、培训、调试、验收及运行维护的各种费用和售后服务、人工费、税费及其他所有成本费用的总和。合同履行过程中，采购人不再支付合同以外的其他费用。</w:t>
            </w:r>
          </w:p>
          <w:p w14:paraId="645A5BEC">
            <w:pPr>
              <w:widowControl/>
              <w:spacing w:line="360" w:lineRule="auto"/>
              <w:ind w:left="218" w:leftChars="104" w:right="57" w:rightChars="27"/>
              <w:rPr>
                <w:rFonts w:ascii="宋体" w:hAnsi="宋体" w:cs="宋体"/>
                <w:color w:val="auto"/>
                <w:sz w:val="24"/>
                <w:highlight w:val="none"/>
              </w:rPr>
            </w:pPr>
            <w:r>
              <w:rPr>
                <w:rFonts w:ascii="宋体" w:hAnsi="宋体" w:cs="宋体"/>
                <w:color w:val="auto"/>
                <w:sz w:val="24"/>
                <w:highlight w:val="none"/>
              </w:rPr>
              <w:t>3</w:t>
            </w:r>
            <w:r>
              <w:rPr>
                <w:rFonts w:hint="eastAsia" w:ascii="宋体" w:hAnsi="宋体" w:cs="宋体"/>
                <w:color w:val="auto"/>
                <w:sz w:val="24"/>
                <w:highlight w:val="none"/>
              </w:rPr>
              <w:t>.中标人承担货物交付验收前的运输、安装等作业工人人身、设备安全责任；验收前，如果设备丢失、因投标人自身原因及第三人原因导致损坏，中标人应自行负责并承担不能交付货物的责任。</w:t>
            </w:r>
          </w:p>
          <w:p w14:paraId="5AFDE458">
            <w:pPr>
              <w:widowControl/>
              <w:spacing w:line="360" w:lineRule="auto"/>
              <w:ind w:left="218" w:leftChars="104" w:right="57" w:rightChars="27"/>
              <w:rPr>
                <w:color w:val="auto"/>
                <w:sz w:val="24"/>
                <w:highlight w:val="none"/>
              </w:rPr>
            </w:pPr>
            <w:r>
              <w:rPr>
                <w:rFonts w:ascii="宋体" w:hAnsi="宋体" w:cs="宋体"/>
                <w:color w:val="auto"/>
                <w:sz w:val="24"/>
                <w:highlight w:val="none"/>
              </w:rPr>
              <w:t>4</w:t>
            </w:r>
            <w:r>
              <w:rPr>
                <w:rFonts w:hint="eastAsia" w:ascii="宋体" w:hAnsi="宋体" w:cs="宋体"/>
                <w:color w:val="auto"/>
                <w:sz w:val="24"/>
                <w:highlight w:val="none"/>
              </w:rPr>
              <w:t>.</w:t>
            </w:r>
            <w:r>
              <w:rPr>
                <w:rFonts w:hint="eastAsia" w:hAnsi="宋体" w:cs="宋体"/>
                <w:color w:val="auto"/>
                <w:sz w:val="24"/>
                <w:highlight w:val="none"/>
              </w:rPr>
              <w:t>本项目货物不接受进口产品（即通过中国海关报关验放进入中国境内且产自关境外的产品）参与投标，如有此类产品参与投标的按无效标处理。</w:t>
            </w:r>
          </w:p>
        </w:tc>
      </w:tr>
      <w:tr w14:paraId="7A77D5A6">
        <w:tblPrEx>
          <w:tblCellMar>
            <w:top w:w="0" w:type="dxa"/>
            <w:left w:w="0" w:type="dxa"/>
            <w:bottom w:w="0" w:type="dxa"/>
            <w:right w:w="0" w:type="dxa"/>
          </w:tblCellMar>
        </w:tblPrEx>
        <w:trPr>
          <w:trHeight w:val="20" w:hRule="atLeast"/>
          <w:jc w:val="center"/>
        </w:trPr>
        <w:tc>
          <w:tcPr>
            <w:tcW w:w="1491" w:type="dxa"/>
            <w:gridSpan w:val="2"/>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5B5A4EE2">
            <w:pPr>
              <w:pStyle w:val="6"/>
              <w:spacing w:line="360" w:lineRule="auto"/>
              <w:ind w:firstLine="0"/>
              <w:jc w:val="center"/>
              <w:rPr>
                <w:rFonts w:ascii="宋体" w:hAnsi="宋体" w:cs="宋体"/>
                <w:color w:val="auto"/>
                <w:sz w:val="24"/>
                <w:szCs w:val="24"/>
                <w:highlight w:val="none"/>
              </w:rPr>
            </w:pPr>
            <w:r>
              <w:rPr>
                <w:rFonts w:hint="eastAsia" w:ascii="宋体" w:hAnsi="宋体" w:cs="宋体"/>
                <w:color w:val="auto"/>
                <w:sz w:val="24"/>
                <w:szCs w:val="24"/>
                <w:highlight w:val="none"/>
              </w:rPr>
              <w:t>核心产品</w:t>
            </w:r>
          </w:p>
        </w:tc>
        <w:tc>
          <w:tcPr>
            <w:tcW w:w="7431" w:type="dxa"/>
            <w:gridSpan w:val="3"/>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0DA27428">
            <w:pPr>
              <w:pStyle w:val="6"/>
              <w:spacing w:line="360" w:lineRule="auto"/>
              <w:ind w:firstLine="240" w:firstLineChars="100"/>
              <w:jc w:val="left"/>
              <w:rPr>
                <w:rFonts w:ascii="宋体" w:hAnsi="宋体" w:cs="宋体"/>
                <w:color w:val="auto"/>
                <w:sz w:val="24"/>
                <w:szCs w:val="24"/>
                <w:highlight w:val="none"/>
              </w:rPr>
            </w:pPr>
            <w:r>
              <w:rPr>
                <w:rFonts w:ascii="宋体" w:hAnsi="宋体" w:cs="宋体"/>
                <w:color w:val="auto"/>
                <w:sz w:val="24"/>
                <w:szCs w:val="24"/>
                <w:highlight w:val="none"/>
              </w:rPr>
              <w:t>投注站安全接入终端</w:t>
            </w:r>
          </w:p>
        </w:tc>
      </w:tr>
    </w:tbl>
    <w:p w14:paraId="1D8E493C">
      <w:pPr>
        <w:spacing w:line="360" w:lineRule="auto"/>
        <w:ind w:left="-10" w:leftChars="-5" w:right="2" w:rightChars="1" w:firstLine="480" w:firstLineChars="200"/>
        <w:rPr>
          <w:bCs/>
          <w:color w:val="auto"/>
          <w:sz w:val="24"/>
          <w:highlight w:val="none"/>
        </w:rPr>
      </w:pPr>
    </w:p>
    <w:p w14:paraId="6CA1BD52">
      <w:pPr>
        <w:spacing w:line="360" w:lineRule="auto"/>
        <w:ind w:left="-10" w:leftChars="-5" w:right="2" w:rightChars="1" w:firstLine="480" w:firstLineChars="200"/>
        <w:rPr>
          <w:bCs/>
          <w:color w:val="auto"/>
          <w:sz w:val="24"/>
          <w:highlight w:val="none"/>
        </w:rPr>
      </w:pPr>
    </w:p>
    <w:p w14:paraId="63524D58">
      <w:pPr>
        <w:pStyle w:val="2"/>
        <w:rPr>
          <w:bCs/>
          <w:color w:val="auto"/>
          <w:highlight w:val="none"/>
        </w:rPr>
      </w:pPr>
    </w:p>
    <w:p w14:paraId="5EDA2CC6">
      <w:pPr>
        <w:pStyle w:val="43"/>
        <w:rPr>
          <w:color w:val="auto"/>
          <w:sz w:val="24"/>
          <w:highlight w:val="none"/>
        </w:rPr>
      </w:pPr>
    </w:p>
    <w:p w14:paraId="1C11D7E7">
      <w:pPr>
        <w:widowControl/>
        <w:jc w:val="center"/>
        <w:rPr>
          <w:rFonts w:ascii="宋体" w:hAnsi="宋体" w:cs="宋体"/>
          <w:color w:val="auto"/>
          <w:kern w:val="0"/>
          <w:sz w:val="24"/>
          <w:highlight w:val="none"/>
        </w:rPr>
      </w:pPr>
    </w:p>
    <w:bookmarkEnd w:id="35"/>
    <w:bookmarkEnd w:id="36"/>
    <w:p w14:paraId="39C5180A">
      <w:pPr>
        <w:rPr>
          <w:rFonts w:hAnsi="宋体"/>
          <w:color w:val="auto"/>
          <w:highlight w:val="none"/>
        </w:rPr>
      </w:pPr>
      <w:bookmarkStart w:id="37" w:name="_Toc74320802"/>
      <w:r>
        <w:rPr>
          <w:rFonts w:hAnsi="宋体"/>
          <w:color w:val="auto"/>
          <w:highlight w:val="none"/>
        </w:rPr>
        <w:br w:type="page"/>
      </w:r>
    </w:p>
    <w:tbl>
      <w:tblPr>
        <w:tblStyle w:val="47"/>
        <w:tblW w:w="8922" w:type="dxa"/>
        <w:jc w:val="center"/>
        <w:tblLayout w:type="fixed"/>
        <w:tblCellMar>
          <w:top w:w="0" w:type="dxa"/>
          <w:left w:w="0" w:type="dxa"/>
          <w:bottom w:w="0" w:type="dxa"/>
          <w:right w:w="0" w:type="dxa"/>
        </w:tblCellMar>
      </w:tblPr>
      <w:tblGrid>
        <w:gridCol w:w="579"/>
        <w:gridCol w:w="964"/>
        <w:gridCol w:w="450"/>
        <w:gridCol w:w="450"/>
        <w:gridCol w:w="6479"/>
      </w:tblGrid>
      <w:tr w14:paraId="0E96847A">
        <w:tblPrEx>
          <w:tblCellMar>
            <w:top w:w="0" w:type="dxa"/>
            <w:left w:w="0" w:type="dxa"/>
            <w:bottom w:w="0" w:type="dxa"/>
            <w:right w:w="0" w:type="dxa"/>
          </w:tblCellMar>
        </w:tblPrEx>
        <w:trPr>
          <w:trHeight w:val="20" w:hRule="atLeast"/>
          <w:jc w:val="center"/>
        </w:trPr>
        <w:tc>
          <w:tcPr>
            <w:tcW w:w="8922" w:type="dxa"/>
            <w:gridSpan w:val="5"/>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7A9A0659">
            <w:pPr>
              <w:widowControl/>
              <w:spacing w:line="360" w:lineRule="auto"/>
              <w:jc w:val="center"/>
              <w:textAlignment w:val="center"/>
              <w:rPr>
                <w:rFonts w:ascii="宋体" w:hAnsi="宋体" w:cs="宋体"/>
                <w:bCs/>
                <w:color w:val="auto"/>
                <w:kern w:val="0"/>
                <w:sz w:val="24"/>
                <w:highlight w:val="none"/>
              </w:rPr>
            </w:pPr>
            <w:r>
              <w:rPr>
                <w:rFonts w:hint="eastAsia" w:ascii="宋体" w:hAnsi="宋体" w:cs="宋体"/>
                <w:b/>
                <w:color w:val="auto"/>
                <w:kern w:val="0"/>
                <w:sz w:val="24"/>
                <w:highlight w:val="none"/>
              </w:rPr>
              <w:t>2分标：综合业务安全接入系统技术维保服务采购预算146万元</w:t>
            </w:r>
          </w:p>
        </w:tc>
      </w:tr>
      <w:tr w14:paraId="4800640D">
        <w:tblPrEx>
          <w:tblCellMar>
            <w:top w:w="0" w:type="dxa"/>
            <w:left w:w="0" w:type="dxa"/>
            <w:bottom w:w="0" w:type="dxa"/>
            <w:right w:w="0" w:type="dxa"/>
          </w:tblCellMar>
        </w:tblPrEx>
        <w:trPr>
          <w:trHeight w:val="20" w:hRule="atLeast"/>
          <w:jc w:val="center"/>
        </w:trPr>
        <w:tc>
          <w:tcPr>
            <w:tcW w:w="8922" w:type="dxa"/>
            <w:gridSpan w:val="5"/>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7D8AB4FC">
            <w:pPr>
              <w:widowControl/>
              <w:spacing w:line="360" w:lineRule="auto"/>
              <w:jc w:val="left"/>
              <w:textAlignment w:val="center"/>
              <w:rPr>
                <w:rFonts w:ascii="宋体" w:hAnsi="宋体" w:cs="宋体"/>
                <w:b/>
                <w:color w:val="auto"/>
                <w:kern w:val="0"/>
                <w:sz w:val="24"/>
                <w:highlight w:val="none"/>
              </w:rPr>
            </w:pPr>
          </w:p>
        </w:tc>
      </w:tr>
      <w:tr w14:paraId="1C2833DC">
        <w:tblPrEx>
          <w:tblCellMar>
            <w:top w:w="0" w:type="dxa"/>
            <w:left w:w="0" w:type="dxa"/>
            <w:bottom w:w="0" w:type="dxa"/>
            <w:right w:w="0" w:type="dxa"/>
          </w:tblCellMar>
        </w:tblPrEx>
        <w:trPr>
          <w:trHeight w:val="20" w:hRule="atLeast"/>
          <w:jc w:val="center"/>
        </w:trPr>
        <w:tc>
          <w:tcPr>
            <w:tcW w:w="579" w:type="dxa"/>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428086C2">
            <w:pPr>
              <w:widowControl/>
              <w:spacing w:line="360" w:lineRule="auto"/>
              <w:jc w:val="center"/>
              <w:textAlignment w:val="center"/>
              <w:rPr>
                <w:rFonts w:ascii="宋体" w:hAnsi="宋体" w:cs="宋体"/>
                <w:b/>
                <w:color w:val="auto"/>
                <w:sz w:val="24"/>
                <w:highlight w:val="none"/>
              </w:rPr>
            </w:pPr>
            <w:r>
              <w:rPr>
                <w:rFonts w:hint="eastAsia" w:ascii="宋体" w:hAnsi="宋体" w:cs="宋体"/>
                <w:b/>
                <w:color w:val="auto"/>
                <w:kern w:val="0"/>
                <w:sz w:val="24"/>
                <w:highlight w:val="none"/>
              </w:rPr>
              <w:t>项号</w:t>
            </w:r>
          </w:p>
        </w:tc>
        <w:tc>
          <w:tcPr>
            <w:tcW w:w="964" w:type="dxa"/>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352A6DB8">
            <w:pPr>
              <w:widowControl/>
              <w:spacing w:line="360" w:lineRule="auto"/>
              <w:jc w:val="center"/>
              <w:textAlignment w:val="center"/>
              <w:rPr>
                <w:rFonts w:ascii="宋体" w:hAnsi="宋体" w:cs="宋体"/>
                <w:b/>
                <w:color w:val="auto"/>
                <w:kern w:val="0"/>
                <w:sz w:val="24"/>
                <w:highlight w:val="none"/>
              </w:rPr>
            </w:pPr>
            <w:r>
              <w:rPr>
                <w:rFonts w:hint="eastAsia" w:ascii="宋体" w:hAnsi="宋体" w:cs="宋体"/>
                <w:b/>
                <w:color w:val="auto"/>
                <w:kern w:val="0"/>
                <w:sz w:val="24"/>
                <w:highlight w:val="none"/>
              </w:rPr>
              <w:t>标的</w:t>
            </w:r>
          </w:p>
          <w:p w14:paraId="076020BE">
            <w:pPr>
              <w:widowControl/>
              <w:spacing w:line="360" w:lineRule="auto"/>
              <w:jc w:val="center"/>
              <w:textAlignment w:val="center"/>
              <w:rPr>
                <w:rFonts w:ascii="宋体" w:hAnsi="宋体" w:cs="宋体"/>
                <w:b/>
                <w:color w:val="auto"/>
                <w:sz w:val="24"/>
                <w:highlight w:val="none"/>
              </w:rPr>
            </w:pPr>
            <w:r>
              <w:rPr>
                <w:rFonts w:hint="eastAsia" w:ascii="宋体" w:hAnsi="宋体" w:cs="宋体"/>
                <w:b/>
                <w:color w:val="auto"/>
                <w:kern w:val="0"/>
                <w:sz w:val="24"/>
                <w:highlight w:val="none"/>
              </w:rPr>
              <w:t>名称</w:t>
            </w:r>
          </w:p>
        </w:tc>
        <w:tc>
          <w:tcPr>
            <w:tcW w:w="450" w:type="dxa"/>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1AC204E5">
            <w:pPr>
              <w:widowControl/>
              <w:spacing w:line="360" w:lineRule="auto"/>
              <w:jc w:val="center"/>
              <w:textAlignment w:val="center"/>
              <w:rPr>
                <w:rFonts w:ascii="宋体" w:hAnsi="宋体" w:cs="宋体"/>
                <w:b/>
                <w:color w:val="auto"/>
                <w:sz w:val="24"/>
                <w:highlight w:val="none"/>
              </w:rPr>
            </w:pPr>
            <w:r>
              <w:rPr>
                <w:rFonts w:hint="eastAsia" w:ascii="宋体" w:hAnsi="宋体" w:cs="宋体"/>
                <w:b/>
                <w:color w:val="auto"/>
                <w:kern w:val="0"/>
                <w:sz w:val="24"/>
                <w:highlight w:val="none"/>
              </w:rPr>
              <w:t>数量</w:t>
            </w:r>
          </w:p>
        </w:tc>
        <w:tc>
          <w:tcPr>
            <w:tcW w:w="450" w:type="dxa"/>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5B0B8696">
            <w:pPr>
              <w:widowControl/>
              <w:spacing w:line="360" w:lineRule="auto"/>
              <w:jc w:val="center"/>
              <w:textAlignment w:val="center"/>
              <w:rPr>
                <w:rFonts w:ascii="宋体" w:hAnsi="宋体" w:cs="宋体"/>
                <w:b/>
                <w:color w:val="auto"/>
                <w:sz w:val="24"/>
                <w:highlight w:val="none"/>
              </w:rPr>
            </w:pPr>
            <w:r>
              <w:rPr>
                <w:rFonts w:hint="eastAsia" w:ascii="宋体" w:hAnsi="宋体" w:cs="宋体"/>
                <w:b/>
                <w:color w:val="auto"/>
                <w:kern w:val="0"/>
                <w:sz w:val="24"/>
                <w:highlight w:val="none"/>
              </w:rPr>
              <w:t>单位</w:t>
            </w:r>
          </w:p>
        </w:tc>
        <w:tc>
          <w:tcPr>
            <w:tcW w:w="6479" w:type="dxa"/>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737E0DCF">
            <w:pPr>
              <w:widowControl/>
              <w:spacing w:line="360" w:lineRule="auto"/>
              <w:jc w:val="center"/>
              <w:textAlignment w:val="center"/>
              <w:rPr>
                <w:rFonts w:ascii="宋体" w:hAnsi="宋体" w:cs="宋体"/>
                <w:b/>
                <w:color w:val="auto"/>
                <w:sz w:val="24"/>
                <w:highlight w:val="none"/>
              </w:rPr>
            </w:pPr>
            <w:r>
              <w:rPr>
                <w:rFonts w:hint="eastAsia" w:ascii="宋体" w:hAnsi="宋体" w:cs="宋体"/>
                <w:b/>
                <w:color w:val="auto"/>
                <w:kern w:val="0"/>
                <w:sz w:val="24"/>
                <w:highlight w:val="none"/>
              </w:rPr>
              <w:t>技术参数及性能（配置）要求</w:t>
            </w:r>
          </w:p>
        </w:tc>
      </w:tr>
      <w:tr w14:paraId="1E679A08">
        <w:tblPrEx>
          <w:tblCellMar>
            <w:top w:w="0" w:type="dxa"/>
            <w:left w:w="0" w:type="dxa"/>
            <w:bottom w:w="0" w:type="dxa"/>
            <w:right w:w="0" w:type="dxa"/>
          </w:tblCellMar>
        </w:tblPrEx>
        <w:trPr>
          <w:trHeight w:val="20" w:hRule="atLeast"/>
          <w:jc w:val="center"/>
        </w:trPr>
        <w:tc>
          <w:tcPr>
            <w:tcW w:w="579" w:type="dxa"/>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4C4E3590">
            <w:pPr>
              <w:tabs>
                <w:tab w:val="left" w:pos="180"/>
                <w:tab w:val="left" w:pos="1620"/>
              </w:tabs>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964" w:type="dxa"/>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6ADD6E58">
            <w:pPr>
              <w:pStyle w:val="6"/>
              <w:rPr>
                <w:rFonts w:ascii="宋体" w:hAnsi="宋体" w:cs="宋体"/>
                <w:color w:val="auto"/>
                <w:highlight w:val="none"/>
              </w:rPr>
            </w:pPr>
          </w:p>
          <w:p w14:paraId="438FEC67">
            <w:pPr>
              <w:tabs>
                <w:tab w:val="left" w:pos="180"/>
                <w:tab w:val="left" w:pos="1620"/>
              </w:tabs>
              <w:jc w:val="center"/>
              <w:rPr>
                <w:rFonts w:ascii="宋体" w:hAnsi="宋体" w:cs="宋体"/>
                <w:color w:val="auto"/>
                <w:highlight w:val="none"/>
              </w:rPr>
            </w:pPr>
            <w:r>
              <w:rPr>
                <w:rFonts w:hint="eastAsia" w:ascii="宋体" w:hAnsi="宋体" w:cs="宋体"/>
                <w:color w:val="auto"/>
                <w:highlight w:val="none"/>
              </w:rPr>
              <w:t>综合业务安全接入系统及5200台投注站安全接入终端销售网点数据通信技术服务</w:t>
            </w:r>
          </w:p>
        </w:tc>
        <w:tc>
          <w:tcPr>
            <w:tcW w:w="450" w:type="dxa"/>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1EDD337A">
            <w:pPr>
              <w:tabs>
                <w:tab w:val="left" w:pos="180"/>
                <w:tab w:val="left" w:pos="1620"/>
              </w:tabs>
              <w:jc w:val="center"/>
              <w:rPr>
                <w:rFonts w:ascii="宋体" w:hAnsi="宋体" w:cs="宋体"/>
                <w:color w:val="auto"/>
                <w:highlight w:val="none"/>
              </w:rPr>
            </w:pPr>
            <w:r>
              <w:rPr>
                <w:rFonts w:hint="eastAsia" w:ascii="宋体" w:hAnsi="宋体" w:cs="宋体"/>
                <w:color w:val="auto"/>
                <w:highlight w:val="none"/>
              </w:rPr>
              <w:t>1</w:t>
            </w:r>
          </w:p>
        </w:tc>
        <w:tc>
          <w:tcPr>
            <w:tcW w:w="450" w:type="dxa"/>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201DA916">
            <w:pPr>
              <w:spacing w:line="360" w:lineRule="auto"/>
              <w:jc w:val="center"/>
              <w:rPr>
                <w:rFonts w:ascii="宋体" w:hAnsi="宋体" w:cs="宋体"/>
                <w:color w:val="auto"/>
                <w:sz w:val="24"/>
                <w:highlight w:val="none"/>
              </w:rPr>
            </w:pPr>
            <w:r>
              <w:rPr>
                <w:rFonts w:hint="eastAsia" w:ascii="宋体" w:hAnsi="宋体" w:cs="宋体"/>
                <w:color w:val="auto"/>
                <w:highlight w:val="none"/>
              </w:rPr>
              <w:t>项</w:t>
            </w:r>
          </w:p>
        </w:tc>
        <w:tc>
          <w:tcPr>
            <w:tcW w:w="6479" w:type="dxa"/>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7BB9449F">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一、技术需求</w:t>
            </w:r>
          </w:p>
          <w:p w14:paraId="0B6FA3BD">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1、项目背景</w:t>
            </w:r>
          </w:p>
          <w:p w14:paraId="36CB5656">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采购人于2016年、2017年分两批采购了西安天泰公司研发的福利彩票综合安全接入系统两套（主备系统各一套）及销售投注站安全接入终端5200台（产品信息见“二、技术参数”附件）。中心系统通过接入不同通信运营商的线路形成线路互备，投注站终端设备可实现投注站使用不同通讯运营商的宽带线路与中心机房安全数据通信，并支持有线、无线通讯的互备，现已在全区范围完全取代了广西电信VPN通讯方式。</w:t>
            </w:r>
          </w:p>
          <w:p w14:paraId="6950C9A7">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2、项目概述</w:t>
            </w:r>
          </w:p>
          <w:p w14:paraId="4A2CBE88">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技术维护服务项目包括：福利彩票综合安全接入系统两套（主备系统各一套）、销售投注站安全接入终端5200台的软硬件维护及与网络运营商的数据通信对接。</w:t>
            </w:r>
          </w:p>
          <w:p w14:paraId="18142A45">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3、技术服务的总体目标是：日常定期巡检确认硬件设备运行状况，及时发现硬件设备故障和隐患，并在发生故障时及时响应并排除故障；维护软件系统正常使用，根据需要进行软件系统升级，确保整套系统安全稳定运行；做好与网络运营商的数据通信对接，确保网络传输的连续顺畅。</w:t>
            </w:r>
          </w:p>
          <w:p w14:paraId="345413E0">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4、综合安全接入系统中心设备及综合管理平台的软硬件管理（包含硬件平台、安全管理中心、安全接入中心、安全注册认证中心、业务均衡系统、下一代防火墙）、全区5200台投注网点终端设备的维护及数据通讯技术服务，主要要求包含：</w:t>
            </w:r>
          </w:p>
          <w:p w14:paraId="4E90A933">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①投标人具有一定的软件开发能力可以对所维护设备与彩票销售系统、通讯系统等提供技术服务以实现系统兼容。必须做好与西安天泰公司的安全接入终端系统和深圳穗彩公司的热线销售系统之间进行技术衔接工作，随时解决系统衔接故障问题（具体技术衔接等工作由中标人与上述两家公司自行协商产生技术衔接费用包含在合同金额中，采购人不另外支付）。</w:t>
            </w:r>
          </w:p>
          <w:p w14:paraId="6DAF7F25">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②除驻中心机房运维人员外，全区14个市（详见商务条款其他要求的“服务地点”）都需设置运维网点，且每个网点应配备至少一名常驻运维技术人员，各地市运维网点设立专用报修联系电话，便于管理员及时沟通处理相关技术疑难问题。技术人员负责本地的设备运维、与当地网络运营商现场诊断协商就处理疑难通讯故障，定期总结设备故障并培训站点维护管理员。对于运维工作不认真，态度恶劣的运维技术人员，采购人有权要求中标人无条件更换人员，且不能影响项目进度。</w:t>
            </w:r>
          </w:p>
          <w:p w14:paraId="6B41029A">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③中标人需保证常用维保配件及终端设备的合理储备，备用设备储量不低于站点总终端数量的5%，确保维保工作的正常进行，避免因缺少零配件或可供更换的终端设备而延误维保时间。严格要求维修人员不得使用与产品技术要求和质量要求不符的零配件，同时认真做好维修记录，记录维修前故障和修理后的产品质量状况，服务期内配件更换费用包含在合同金额中甲方无需另外支付相关费用。</w:t>
            </w:r>
          </w:p>
          <w:p w14:paraId="2E58D1E8">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④在服务期内，提供7×24小时的故障排除服务，在接到中心机房或站点维护员设备报修通知后，2小时内回复，4小时内到达指定现场；一般问题6小时解决，重大问题12小时内解决。投注站安全接入终端设备24小时不能修复的给予免费更换。维护人员持续跟进直到故障排除设备完全恢复正常使用为止。对于无法修复的，更换产品或免费提供代用产品。遇到重大技术问题，及时组织有关技术专家进行会诊，并采取相应措施以确保彩票销售的正常运行，并认真做好维保记录。</w:t>
            </w:r>
          </w:p>
          <w:p w14:paraId="508B12D7">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⑤每月定期进行系统健康检查、系统巡检、系统专项维护等服务，对系统进行监测和分析，对发现的问题和隐患及时解决和采取防范措施加以预防，并提交相应的巡检服务报告。</w:t>
            </w:r>
          </w:p>
          <w:p w14:paraId="4FB15367">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⑥每月各驻地网点技术员应针对近期发生的通讯故障、系统更新等问题，进行至少1次对网点维护管理员的技术培训。</w:t>
            </w:r>
          </w:p>
          <w:p w14:paraId="3A28EAEF">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⑦根据采购人需求进行软件升级与增强，较大改动的软件升级与增强必须先进行试点工作，试点成功后再大面积推广。对于重大的升级，在产品升级的同时，对运维技术人员及时进行培训。积极主动开展技术支持工作，定期对用户的网络系统进行检测，预防系统故障发生。</w:t>
            </w:r>
          </w:p>
          <w:p w14:paraId="7ECB3092">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⑧中标人需在提供技术服务期内于各市运维网点设立设备存储仓库，确保可及时更换不能现场修复的设备，对于不能修复的产品由中标人协调设备厂家进行更换，所产生相关费用均由中标人承担，全区每个运维网点常用总备货量不低于5台。</w:t>
            </w:r>
          </w:p>
          <w:p w14:paraId="303079B9">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9.服务期限：2025年1月1日-2025年12月31日</w:t>
            </w:r>
          </w:p>
          <w:p w14:paraId="64731B84">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二、综合业务安全接入系统及5200台投注站安全接入终端技术参数附件：</w:t>
            </w:r>
          </w:p>
          <w:tbl>
            <w:tblPr>
              <w:tblStyle w:val="4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
              <w:gridCol w:w="1021"/>
              <w:gridCol w:w="4351"/>
              <w:gridCol w:w="595"/>
            </w:tblGrid>
            <w:tr w14:paraId="7821F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377" w:type="pct"/>
                  <w:vAlign w:val="center"/>
                </w:tcPr>
                <w:p w14:paraId="037AE797">
                  <w:pPr>
                    <w:adjustRightIn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编号</w:t>
                  </w:r>
                </w:p>
              </w:tc>
              <w:tc>
                <w:tcPr>
                  <w:tcW w:w="791" w:type="pct"/>
                  <w:vAlign w:val="center"/>
                </w:tcPr>
                <w:p w14:paraId="1599AF67">
                  <w:pPr>
                    <w:widowControl/>
                    <w:adjustRightIn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设备名称及型号</w:t>
                  </w:r>
                </w:p>
              </w:tc>
              <w:tc>
                <w:tcPr>
                  <w:tcW w:w="3369" w:type="pct"/>
                  <w:vAlign w:val="center"/>
                </w:tcPr>
                <w:p w14:paraId="62E98ECF">
                  <w:pPr>
                    <w:adjustRightIn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技术参数和配置</w:t>
                  </w:r>
                </w:p>
              </w:tc>
              <w:tc>
                <w:tcPr>
                  <w:tcW w:w="461" w:type="pct"/>
                  <w:vAlign w:val="center"/>
                </w:tcPr>
                <w:p w14:paraId="13BB1CE0">
                  <w:pPr>
                    <w:adjustRightIn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数量</w:t>
                  </w:r>
                </w:p>
              </w:tc>
            </w:tr>
            <w:tr w14:paraId="195FB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377" w:type="pct"/>
                  <w:vAlign w:val="center"/>
                </w:tcPr>
                <w:p w14:paraId="123459EB">
                  <w:pPr>
                    <w:adjustRightIn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791" w:type="pct"/>
                  <w:vAlign w:val="center"/>
                </w:tcPr>
                <w:p w14:paraId="15027465">
                  <w:pPr>
                    <w:adjustRightIn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硬件平台TSAS|1000</w:t>
                  </w:r>
                </w:p>
              </w:tc>
              <w:tc>
                <w:tcPr>
                  <w:tcW w:w="3369" w:type="pct"/>
                  <w:vAlign w:val="center"/>
                </w:tcPr>
                <w:p w14:paraId="7D78E24D">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ATCA架构万兆框架式平台，符合PICMG3.0标准，6U6槽双星10G背板；标配交换板1块:12路10GbE业务面、12路GbEBASE面交换板，背板带6个GbE电口、6个GbE光接口；标配2块3000W220V交流电源模块；12个智能风扇，每槽位散热350W；该平台可通过热插拔物理板卡方式集成实现各种业务板卡协同工作，支持可插拔物理板卡数量5个，支持热插拔更换。</w:t>
                  </w:r>
                </w:p>
              </w:tc>
              <w:tc>
                <w:tcPr>
                  <w:tcW w:w="461" w:type="pct"/>
                  <w:vAlign w:val="center"/>
                </w:tcPr>
                <w:p w14:paraId="0E100B81">
                  <w:pPr>
                    <w:adjustRightIn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2台</w:t>
                  </w:r>
                </w:p>
              </w:tc>
            </w:tr>
            <w:tr w14:paraId="585C2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377" w:type="pct"/>
                  <w:vAlign w:val="center"/>
                </w:tcPr>
                <w:p w14:paraId="3B0531FB">
                  <w:pPr>
                    <w:adjustRightIn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791" w:type="pct"/>
                  <w:vAlign w:val="center"/>
                </w:tcPr>
                <w:p w14:paraId="39DD52E3">
                  <w:pPr>
                    <w:adjustRightIn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安全管理中心TSM|1000G</w:t>
                  </w:r>
                </w:p>
              </w:tc>
              <w:tc>
                <w:tcPr>
                  <w:tcW w:w="3369" w:type="pct"/>
                  <w:vAlign w:val="center"/>
                </w:tcPr>
                <w:p w14:paraId="381C5E88">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1.组成：安全管理中心由安全管理软件和专用硬件平台组成。</w:t>
                  </w:r>
                </w:p>
                <w:p w14:paraId="7ED980FC">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2.运行平台：基于ATCA架构的物理板卡方式，并根据实际应用物理板卡数量可叠加扩展，性能线性增加，支持热插拔。</w:t>
                  </w:r>
                </w:p>
                <w:p w14:paraId="56128199">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3.性能参数：ATCA架构；2块XeonE5-2620LCPU；标配16G内存；内置16G存储卡；内部2路10GbE网口、2路GbE网口、2个外置GbE电口。</w:t>
                  </w:r>
                </w:p>
                <w:p w14:paraId="38F3DDAC">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4.软件要求：负责整个网络环境中终端用户接入服务管理器的证书发放、身份认证和管理。</w:t>
                  </w:r>
                </w:p>
                <w:p w14:paraId="0669000C">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5.远程管理：支持安全管理中心管理端和安全管理中心服务端分别安装于不同的主机。</w:t>
                  </w:r>
                </w:p>
                <w:p w14:paraId="15D515AA">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6.加密通信：支持对称／非对称相结合的数据加密方式，证书管理采用遵循X.509格式的数字证书作为认证载体；支持将安全管理中心服务端作为证书签发机构（CA）来使用。</w:t>
                  </w:r>
                </w:p>
                <w:p w14:paraId="22E41899">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7.设备管理：支持对用户接入服务管理器设备的增、删、改及分域管理；支持用户接入服务管理器设备在线状态监控，支持用户接入服务管理器设备的启用、禁用。</w:t>
                  </w:r>
                </w:p>
                <w:p w14:paraId="316A1FAA">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8.隧道管理：具备创建、修改、删除、启用和禁用隧道功能；具有容错功能，具有明确的错误提示功能，对于重要的参数被错误地更改时系统会自动恢复到原来正确的设置，防止因升级失败或其他异常操作造成系统无法正常工作。</w:t>
                  </w:r>
                </w:p>
                <w:p w14:paraId="3081507C">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9.通信策略管理：对用户接入服务管理器设备进行身份认证、统一管理。</w:t>
                  </w:r>
                </w:p>
                <w:p w14:paraId="4C5AF370">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可以对整个业务网络中的隧道策略进行集中定义和下发，能够详细定义每条隧道的协商参数、认证方式、加密算法等。</w:t>
                  </w:r>
                </w:p>
                <w:p w14:paraId="61328379">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10.在线监控：能够对用户接入服务管理器设备在线状态信息进行实时监控、当前网络地址信息监控、并对设备的隧道信息状态进行监控。</w:t>
                  </w:r>
                </w:p>
                <w:p w14:paraId="4E4A2C30">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11.容错功能：具有明确的错误提示功能；对于重要的参数被错误地更改时系统会自动恢复到原来正确的设置；防止因升级失败或其他异常操作造成系统无法正常工作。</w:t>
                  </w:r>
                </w:p>
                <w:p w14:paraId="675FC236">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12.管理员管理：支持对管理员的管理和授权，支持管理员分级。</w:t>
                  </w:r>
                </w:p>
                <w:p w14:paraId="09EC6A14">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13.分组管理：支持对用户接入服务管理器设备按照一定的规则分组进行管理。</w:t>
                  </w:r>
                </w:p>
                <w:p w14:paraId="54F1BC54">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14.审计功能：记录、统计整个系统的运作信息记录，统计管理员的历史操作进行审计，保障网络运行的安全提供有利的分析数据。</w:t>
                  </w:r>
                </w:p>
              </w:tc>
              <w:tc>
                <w:tcPr>
                  <w:tcW w:w="461" w:type="pct"/>
                  <w:vAlign w:val="center"/>
                </w:tcPr>
                <w:p w14:paraId="7BCC1E84">
                  <w:pPr>
                    <w:adjustRightIn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2套</w:t>
                  </w:r>
                </w:p>
              </w:tc>
            </w:tr>
            <w:tr w14:paraId="33BB8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377" w:type="pct"/>
                  <w:vAlign w:val="center"/>
                </w:tcPr>
                <w:p w14:paraId="40BA9692">
                  <w:pPr>
                    <w:adjustRightIn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3</w:t>
                  </w:r>
                </w:p>
              </w:tc>
              <w:tc>
                <w:tcPr>
                  <w:tcW w:w="791" w:type="pct"/>
                  <w:vAlign w:val="center"/>
                </w:tcPr>
                <w:p w14:paraId="3ED18BE7">
                  <w:pPr>
                    <w:adjustRightIn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安全接入中心TSM|1000G</w:t>
                  </w:r>
                </w:p>
              </w:tc>
              <w:tc>
                <w:tcPr>
                  <w:tcW w:w="3369" w:type="pct"/>
                  <w:vAlign w:val="center"/>
                </w:tcPr>
                <w:p w14:paraId="521AC8D6">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1.组成：安全接入中心由安全接入软件和专用硬件运行平台组成。</w:t>
                  </w:r>
                </w:p>
                <w:p w14:paraId="3857289F">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2.运行平台：基于ATCA架构的物理板卡方式，并根据实际应用物理板卡数量可叠加扩展，性能线性增加，支持热插拔。</w:t>
                  </w:r>
                </w:p>
                <w:p w14:paraId="47A7C92F">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3.性能参数：ATCA架构；2块XeonE5-2620LCPU；标配16G内存；内置16G存储卡；内部2路10GbE网口、2路GbE网口、2个外置GbE电口。</w:t>
                  </w:r>
                </w:p>
                <w:p w14:paraId="0C3C0436">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4.软件要求：是面向福彩省级中心的万兆级安全接入系统，负责各投注站终端安全接入服务器的安全接入和统一管理。</w:t>
                  </w:r>
                </w:p>
                <w:p w14:paraId="4FB57AC1">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5.网络模式：支持多种网络接入，小区宽带、ADSL、DHCP等。</w:t>
                  </w:r>
                </w:p>
                <w:p w14:paraId="05955DA3">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6.安全传输功能：支持IPSec，支持NAT穿越；支持3DES、DES、AES等多种加密算法；支持高速加密卡加速引擎；可根据用户需求定制加密算法。</w:t>
                  </w:r>
                </w:p>
                <w:p w14:paraId="053E6AFF">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加密隧道管理：支持与安全管理中心通信，实时自动下载加密隧道信息，实时查看隧道运行情况；加密隧道信息和非加密隧道信息的带宽管理；加密隧道密钥采用动态密钥协商技术，能够定期协商新的加密密钥。</w:t>
                  </w:r>
                </w:p>
                <w:p w14:paraId="2F969D8C">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8.访问控制：采用双重访问控制技术，具备阻断来自网络内部用户的攻击功能。</w:t>
                  </w:r>
                </w:p>
                <w:p w14:paraId="59D03342">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9.证书认证：支持数字证书。</w:t>
                  </w:r>
                </w:p>
                <w:p w14:paraId="70CA0935">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10.防火墙功能：支持DNS、DDNS；支持双向NAT；支持深层次状态检测，阻止来自应用层的攻击；支持IP与MAC地址绑定功能；支持时间、用户、协议、安全域、内容访问控制，防止常见的DoS/DDoS攻击。</w:t>
                  </w:r>
                </w:p>
                <w:p w14:paraId="7498C3E1">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11.设备管理功能：具备WEB方式的配置与管理功能；具备基于角色的分级管理功能；支持配置导入导出；具备分组日志审计功能。</w:t>
                  </w:r>
                </w:p>
                <w:p w14:paraId="4BDAB1B4">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12.配置管理：自动从安全注册认证中心下载配置信息。</w:t>
                  </w:r>
                </w:p>
                <w:p w14:paraId="069F2496">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13.隧道并发：每秒最大并发隧道数≥2000条。</w:t>
                  </w:r>
                </w:p>
              </w:tc>
              <w:tc>
                <w:tcPr>
                  <w:tcW w:w="461" w:type="pct"/>
                  <w:vAlign w:val="center"/>
                </w:tcPr>
                <w:p w14:paraId="7DF39B04">
                  <w:pPr>
                    <w:adjustRightIn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4套</w:t>
                  </w:r>
                </w:p>
              </w:tc>
            </w:tr>
            <w:tr w14:paraId="55CF4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377" w:type="pct"/>
                  <w:vAlign w:val="center"/>
                </w:tcPr>
                <w:p w14:paraId="0DEC4A99">
                  <w:pPr>
                    <w:adjustRightIn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4</w:t>
                  </w:r>
                </w:p>
              </w:tc>
              <w:tc>
                <w:tcPr>
                  <w:tcW w:w="791" w:type="pct"/>
                  <w:vAlign w:val="center"/>
                </w:tcPr>
                <w:p w14:paraId="38FE09BB">
                  <w:pPr>
                    <w:adjustRightIn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安全注册认证中心TRM|1000G</w:t>
                  </w:r>
                </w:p>
              </w:tc>
              <w:tc>
                <w:tcPr>
                  <w:tcW w:w="3369" w:type="pct"/>
                  <w:vAlign w:val="center"/>
                </w:tcPr>
                <w:p w14:paraId="58BA767C">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1.组成：安全注册认证中心由安全注册认证软件和专用硬件运行平台组成。</w:t>
                  </w:r>
                </w:p>
                <w:p w14:paraId="7DF514F1">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2.运行平台：基于ATCA架构的物理板卡方式，并根据实际应用物理板卡数量可叠加扩展，性能线性增加，支持热插拔。</w:t>
                  </w:r>
                </w:p>
                <w:p w14:paraId="579B7C2B">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3.性能参数：ATCA架构；2块XeonE5-2620LCPU；标配16G内存；内置16G存储卡；内部2路10GbE网口、2路GbE网口、2个外置GbE电口。</w:t>
                  </w:r>
                </w:p>
                <w:p w14:paraId="3E2E3F75">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4.软件要求：通过验证用户接入服务管理器设备的序列号、绑定的彩票机特征码、获取的证书号，对用户接入服务管理器设备进行初始化注册管理，保证每台用户接入服务管理器设备是有效的。</w:t>
                  </w:r>
                </w:p>
                <w:p w14:paraId="6A72026B">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5.设备注册认证：具备对用户接入服务管理器设备的身份认证功能。</w:t>
                  </w:r>
                </w:p>
                <w:p w14:paraId="3A7E3D4B">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6.配置信息下载：具备对用户接入服务管理器设备自动下载所需信息进行配置功能，支持远程配置用户接入服务管理器设备功能。</w:t>
                  </w:r>
                </w:p>
                <w:p w14:paraId="683C8777">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7.设备证书下载：具有对用户接入服务管理器设备进行身份认证，分发临时证书功能。</w:t>
                  </w:r>
                </w:p>
                <w:p w14:paraId="17F63179">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8.信息自动修改：具备对用户接入服务管理器设备配置信息修改后自动下载功能。</w:t>
                  </w:r>
                </w:p>
                <w:p w14:paraId="4A206B82">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9.设备信息绑定：具备对用户接入服务管理器设备上所需接入的彩票机特征信息绑定功能。</w:t>
                  </w:r>
                </w:p>
                <w:p w14:paraId="47790E40">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10.设备统一管理：具备对用户接入服务管理器设备统一管理功能。</w:t>
                  </w:r>
                </w:p>
                <w:p w14:paraId="758B34F0">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11.软件统一自动升级：支持对用户接入服务管理器设备远程控制统一自动软件升级功能。</w:t>
                  </w:r>
                </w:p>
              </w:tc>
              <w:tc>
                <w:tcPr>
                  <w:tcW w:w="461" w:type="pct"/>
                  <w:vAlign w:val="center"/>
                </w:tcPr>
                <w:p w14:paraId="4475013F">
                  <w:pPr>
                    <w:adjustRightIn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2套</w:t>
                  </w:r>
                </w:p>
              </w:tc>
            </w:tr>
            <w:tr w14:paraId="396FD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377" w:type="pct"/>
                  <w:vAlign w:val="center"/>
                </w:tcPr>
                <w:p w14:paraId="5BEA898B">
                  <w:pPr>
                    <w:adjustRightIn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5</w:t>
                  </w:r>
                </w:p>
              </w:tc>
              <w:tc>
                <w:tcPr>
                  <w:tcW w:w="791" w:type="pct"/>
                  <w:vAlign w:val="center"/>
                </w:tcPr>
                <w:p w14:paraId="0DA813E9">
                  <w:pPr>
                    <w:adjustRightIn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业务均衡系统TBG|1000G</w:t>
                  </w:r>
                </w:p>
              </w:tc>
              <w:tc>
                <w:tcPr>
                  <w:tcW w:w="3369" w:type="pct"/>
                  <w:vAlign w:val="center"/>
                </w:tcPr>
                <w:p w14:paraId="51BD41AA">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1.组成：业务均衡由业务均衡软件和专用硬件运行平台组成。</w:t>
                  </w:r>
                </w:p>
                <w:p w14:paraId="2C9CD129">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2.运行平台：基于ATCA架构的物理板卡方式，并根据实际应用物理板卡数量可叠加扩展，性能线性增加，支持热插拔。</w:t>
                  </w:r>
                </w:p>
                <w:p w14:paraId="41F5BBFC">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3.性能参数：ATCA架构；2块XeonE5-2658CPU；标配16G内存；内置16G存储卡；内部2路10GbE网口、2路GbE网、4个外置GbE电口。</w:t>
                  </w:r>
                </w:p>
                <w:p w14:paraId="7FAE4C64">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4.软件要求：支持不同ISP链路接入，实现多链路均衡，确保用户inbound和outbound 双向动态选路与均衡，为用户选择最优链路，提高链路品质。</w:t>
                  </w:r>
                </w:p>
                <w:p w14:paraId="383C36C4">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5.部署方式：支持路由模式、透明模式和旁路模式部署，适用于各种复杂的网络环境；支持策略路由，能满足复杂环境下的部署。</w:t>
                  </w:r>
                </w:p>
                <w:p w14:paraId="1844502F">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6.多链路支持：支持多链路接入，能根据ISP智能选路；支持链路保持，使访问服务入栈和出栈链路保持一致。</w:t>
                  </w:r>
                </w:p>
                <w:p w14:paraId="0E1CAC66">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7.链路均衡：支持动态链路均衡和热备，提高多运营商网络接入时网络可靠性支持入站/出站流量均衡，能根据链路健康度动态选路；内置ISP地址库和国内省份IP地址库，可依据ISP、省份进行链路选择和均衡。</w:t>
                  </w:r>
                </w:p>
                <w:p w14:paraId="39EE83B6">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8.智能DNS：支持智能DNS,无需第三方产品/服务即可实现智能DNS解析功能。</w:t>
                  </w:r>
                </w:p>
                <w:p w14:paraId="5503964B">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9.服务均衡：Layer4均衡</w:t>
                  </w:r>
                  <w:r>
                    <w:rPr>
                      <w:rFonts w:hint="eastAsia" w:ascii="宋体" w:hAnsi="宋体" w:cs="宋体"/>
                      <w:color w:val="auto"/>
                      <w:sz w:val="24"/>
                      <w:highlight w:val="none"/>
                    </w:rPr>
                    <w:tab/>
                  </w:r>
                  <w:r>
                    <w:rPr>
                      <w:rFonts w:hint="eastAsia" w:ascii="宋体" w:hAnsi="宋体" w:cs="宋体"/>
                      <w:color w:val="auto"/>
                      <w:sz w:val="24"/>
                      <w:highlight w:val="none"/>
                    </w:rPr>
                    <w:t>支持应用负载均衡功能，支持平均分发，压力分发，请求分发等算法；支持全透明L4均衡，能保留原始客户端的地址支持三角传输模式均衡，服务响应不经过交付网关，避免应用交付设备成为瓶颈。</w:t>
                  </w:r>
                </w:p>
                <w:p w14:paraId="2D0FFCF1">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10.Layer7均衡：支持HTTP/HTTPS/RDP/常规TCP应用均衡发布，支持平均分发，压力分发，请求分发等算法；支持基于HTTP请求页面、请求参数和请求头对WEB服务器进行均衡；支持基于Cookie或Session对WEB均衡进行会话保持。</w:t>
                  </w:r>
                </w:p>
                <w:p w14:paraId="085E1EF6">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11.ESP协议均衡：能够支持单独的ESP协议与IPSEC加密调度到相同的目的地址。</w:t>
                  </w:r>
                </w:p>
                <w:p w14:paraId="67B80832">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12.内容交换：支持基于规则的内容交换，可依据条件的逻辑判断结果或组合选择提供服务的服务器；条件支持请求头、请求页面、请求方法、客户端源地址、COOKIE、服务端证书颁发者与DN、客户端证书颁发者与DN等；逻辑判断支持等于、开始、结尾、包含、正则等方式可为应用服务器提供工作与备用机等多种服务模式。</w:t>
                  </w:r>
                </w:p>
                <w:p w14:paraId="2E98BF51">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13.应用加速与控制：支持SSL卸载，可以分担应用服务器SSL运算压力，有效提升服务器处理能；支持SNI，允许多域名虚拟主机同时进行SSL/TLS认证支持与后台服务器基于SSL连接通信；应用加速：支持连接保持功能，实现多连接复用，减小服务器压力能对Web应用数据进行实时智能压缩，改善终端用户性能，提高带宽利用率；可灵活依据域名和URI对应用内容高速缓存，降低服务器I/O压力，提升页面响应速。应用控制：可定义每个服务器的最大并发连接和每秒连接能力，防护服务浪涌，避免过量请求造成服务器缓慢；可设置TCP保活、TCP MSS、TCP连接回收、TCP内容缓冲的细粒度参数，适应不同形态的WEB应用。</w:t>
                  </w:r>
                </w:p>
                <w:p w14:paraId="56CC1A0D">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14.健康检查：支持多种ICMP、TCP和HTTP等健康检查方；支持自定义健康检查；支持对链路进行健康检查,能根据健康度动态均衡策略调整；支持对服务器进行健康检查，能根据健康度进行动态均衡策略调整。</w:t>
                  </w:r>
                </w:p>
              </w:tc>
              <w:tc>
                <w:tcPr>
                  <w:tcW w:w="461" w:type="pct"/>
                  <w:vAlign w:val="center"/>
                </w:tcPr>
                <w:p w14:paraId="6A2123A6">
                  <w:pPr>
                    <w:adjustRightIn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2套</w:t>
                  </w:r>
                </w:p>
              </w:tc>
            </w:tr>
            <w:tr w14:paraId="3E65A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377" w:type="pct"/>
                  <w:vAlign w:val="center"/>
                </w:tcPr>
                <w:p w14:paraId="13A129C7">
                  <w:pPr>
                    <w:adjustRightIn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6</w:t>
                  </w:r>
                </w:p>
                <w:p w14:paraId="245924CD">
                  <w:pPr>
                    <w:adjustRightInd w:val="0"/>
                    <w:spacing w:line="360" w:lineRule="auto"/>
                    <w:jc w:val="center"/>
                    <w:rPr>
                      <w:rFonts w:ascii="宋体" w:hAnsi="宋体" w:cs="宋体"/>
                      <w:color w:val="auto"/>
                      <w:sz w:val="24"/>
                      <w:highlight w:val="none"/>
                    </w:rPr>
                  </w:pPr>
                </w:p>
              </w:tc>
              <w:tc>
                <w:tcPr>
                  <w:tcW w:w="791" w:type="pct"/>
                  <w:vAlign w:val="center"/>
                </w:tcPr>
                <w:p w14:paraId="1100F246">
                  <w:pPr>
                    <w:adjustRightIn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下一代防火墙TNFW|1000</w:t>
                  </w:r>
                </w:p>
              </w:tc>
              <w:tc>
                <w:tcPr>
                  <w:tcW w:w="3369" w:type="pct"/>
                  <w:vAlign w:val="center"/>
                </w:tcPr>
                <w:p w14:paraId="53205CB0">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1.设备：外形2U 层高。</w:t>
                  </w:r>
                </w:p>
                <w:p w14:paraId="132679F2">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2.接口：千兆电口≥4个（可扩展电口或者光口）。</w:t>
                  </w:r>
                </w:p>
                <w:p w14:paraId="25F21130">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3.软件：负责综合业务安全接入系统自身的网络安全，提供基本的访问控制和安全隔离，有效防护对系统本身的非法攻击。</w:t>
                  </w:r>
                </w:p>
                <w:p w14:paraId="21C342F2">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4.部署方式：支持路由模式、透明模式和旁路模式部署，适用于各种复杂的网络环境；支持策略路由，能满足复杂环境下的部署。</w:t>
                  </w:r>
                </w:p>
                <w:p w14:paraId="5AB022E4">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5.访问控制：支持基于状态检测的动态包过滤技术；基于策略的HTTP、FTP、TELNET、SMTP、POP3等深度过滤；支持网络DOS防护，可防御SYN Flood、ICMP Flood、UDP Flood、TCP报文标志位不合法攻击防范；支持SYN-FIN攻击、SYN-RST攻击、X-Mas攻击、nmap FIN扫描、NULL标志攻击、ALL标志攻击；支持对指定对象的网络连接限制，能限制最大IP并发；支持应用访问控制，可基于来源/目的IP地址、请求方法(包括GET、HEAD、PUT、DELETE、POST、OPTIONS)、指定域名、路径等进行访问控制。</w:t>
                  </w:r>
                </w:p>
                <w:p w14:paraId="02AEA5AF">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6.入侵防御：漏洞特征库大于3000条以上，支持手动或自动更新；支持对蠕虫/木马/后门/DoS/DDoS攻击探测/扫描/间谍软件/利用漏洞的攻击/缓冲区溢出攻击/协议异常/ IPS逃逸攻击等；可根据源区域、目的区域、目的IP组，目的IP组支持多选进行IPS策略的配置；漏洞详细信息显示：漏洞ID、漏洞名称、漏洞描述、攻击对象、危险等级、参考信息、地址等内容。</w:t>
                  </w:r>
                </w:p>
                <w:p w14:paraId="610387A1">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用户认证：支持本地用户名、口令认证，支持证书认证，设备能够颁发认证证书，同时支持第三方CA颁发的证书提供认证；系统支持RADUIS、LDAP等多种第三方认证方式；支持用户账户与IP、MAC绑定，防止账户被盗用。</w:t>
                  </w:r>
                </w:p>
                <w:p w14:paraId="175459B0">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8.日志报表：能够识别网络连接及安全事件的TOP10统计；支持统计设备系统、网络数据、主机活动连接、DHCP、在线管理等整体运行状况；支持访问控制、DOS攻击、入侵检测、网络外连等多种安全日志，支持身份认证、用户管理配置、系统维护等系统日志；支持访问控制、IPS日志、DOS攻击日志、MAC绑定日志、网络外连日志、网络连接限制日志、系统管理日志等多种日志向多个日志中心外发。</w:t>
                  </w:r>
                </w:p>
              </w:tc>
              <w:tc>
                <w:tcPr>
                  <w:tcW w:w="461" w:type="pct"/>
                  <w:vAlign w:val="center"/>
                </w:tcPr>
                <w:p w14:paraId="2C62D7DF">
                  <w:pPr>
                    <w:adjustRightIn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2套</w:t>
                  </w:r>
                </w:p>
              </w:tc>
            </w:tr>
            <w:tr w14:paraId="13FB7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377" w:type="pct"/>
                  <w:vAlign w:val="center"/>
                </w:tcPr>
                <w:p w14:paraId="63E8A733">
                  <w:pPr>
                    <w:adjustRightIn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7</w:t>
                  </w:r>
                </w:p>
              </w:tc>
              <w:tc>
                <w:tcPr>
                  <w:tcW w:w="791" w:type="pct"/>
                  <w:vAlign w:val="center"/>
                </w:tcPr>
                <w:p w14:paraId="279B6B62">
                  <w:pPr>
                    <w:adjustRightIn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用户接入服务管理器（投注站安全接入终端）TSG|100G</w:t>
                  </w:r>
                </w:p>
              </w:tc>
              <w:tc>
                <w:tcPr>
                  <w:tcW w:w="3369" w:type="pct"/>
                  <w:vAlign w:val="center"/>
                </w:tcPr>
                <w:p w14:paraId="122BBC51">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1.组成：用户接入服务管理器由安全接入软件和专用硬件运行平台组成。</w:t>
                  </w:r>
                </w:p>
                <w:p w14:paraId="4859AB08">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2.运行平台：采用嵌入式系统开发，低功耗，高稳定性的桌面型安全接入网关。</w:t>
                  </w:r>
                </w:p>
                <w:p w14:paraId="1C70F49A">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3.网口：百兆网口≥5个，可进行VLAN划分，其中一个接口作为外联接口，其余4个接口可根据业务需要分别划分为不同的区域，彩票机接口采用加密隧道接入业务网络，各个区域之间进行逻辑隔离，不能互通。</w:t>
                  </w:r>
                </w:p>
                <w:p w14:paraId="71157436">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4.控制口：RJ45形式的RS-232口串口≥1个，用于设备的管理。</w:t>
                  </w:r>
                </w:p>
                <w:p w14:paraId="5E8D6200">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5.扩展口：USB口≥1个，用于支持扩展3G/4G无线网卡。</w:t>
                  </w:r>
                </w:p>
                <w:p w14:paraId="45B60997">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6.无线WIFI：WIFI传输速率≥300Mbps，要求支持双SSID，分别用于不同的业务接入。</w:t>
                  </w:r>
                </w:p>
                <w:p w14:paraId="100BA51B">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7.软件要求：是面向投注站等彩票销售网点的终端安全接入系统，负责与中心用户接入服务器建立加密隧道并进行安全通信和管理。</w:t>
                  </w:r>
                </w:p>
                <w:p w14:paraId="39A396EF">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8.外联网络接入：支持ADSL、专线、宽带、3G/4G等多种静态/动态接入方式，支持WIFI热点方式接入。</w:t>
                  </w:r>
                </w:p>
                <w:p w14:paraId="42FFC8E2">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9.业务系统认证接入：支持彩票机接入身份认证以及特征码绑定，实现彩票机通过加密隧道接入业务系统。</w:t>
                  </w:r>
                </w:p>
                <w:p w14:paraId="4E62BBD6">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10.网络视频接入功能：支持网络视频终端以及PC电脑接入互联网，并且实现与彩票机网络的逻辑隔离。</w:t>
                  </w:r>
                </w:p>
                <w:p w14:paraId="56D0B537">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11.无线WIFI接入：支持双SSID，分别接入互联网和彩票业务网络，接入互联网的WIFI接入要求能够支持无线WEB认证方式接入，接入业务网络的WIFI要求能够每天自动改变接入WIFI网络的动态密钥。</w:t>
                  </w:r>
                </w:p>
                <w:p w14:paraId="42B91F2E">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12.远程认证管理：支持与安全注册认证中心通信，能够自动下载该设备的配置信息，端口绑定彩票机信息以及网络接口配置信息等，能够通过中心进行设备的统一管理配置。</w:t>
                  </w:r>
                </w:p>
                <w:p w14:paraId="00E8B64B">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13.加密传输：支持与安全管理中心通信，能够自动下载设备的隧道信息，自动与中心用户接入管理器设备建立安全加密传输隧道。</w:t>
                  </w:r>
                </w:p>
                <w:p w14:paraId="4BD35ECC">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14.安全传输功能：支持IPSec、支持NAT穿越；支持3DES、DES、AES等多种加密算法；支持IPSec链路自动检测；支持IPSec加密WiFi。</w:t>
                  </w:r>
                </w:p>
                <w:p w14:paraId="2CFFF7E8">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15.地址管理功能：支持隧道接入，DHCP的动态地址分配技术。</w:t>
                  </w:r>
                </w:p>
                <w:p w14:paraId="2AC60516">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16.认证方式：支持数字证书认证方式。</w:t>
                  </w:r>
                </w:p>
                <w:p w14:paraId="2B1C8FA2">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17.Qos流量管理：支持分级流控，优先保证彩票机出票业务，其次保证网络视频业务，然后再保证上网需求。</w:t>
                  </w:r>
                </w:p>
                <w:p w14:paraId="30407427">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18.防火墙功能：支持DNS，DDNS；支持深层次状态检测，可以有效阻止来自应用层的攻击。具备双向NAT功能，支持NAT/PAT。支持IP与MAC地址绑定功能。</w:t>
                  </w:r>
                </w:p>
                <w:p w14:paraId="2FCAC17D">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19.设备管理功能：具备B/S架构的配置界；支持统一集中管理；支持统一集中配置。</w:t>
                  </w:r>
                </w:p>
                <w:p w14:paraId="7F7EF95B">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20.自动更新：支持与注册认证中心通信以及安全管理中心通信，实现配置自动下载更新、策略自动分发、接口VLAN划分；支持配置导入导出；支持本地/远程升级。</w:t>
                  </w:r>
                </w:p>
                <w:p w14:paraId="0C5A584C">
                  <w:pPr>
                    <w:adjustRightIn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21.兼容要求：要求与综合业务安全接入系统无缝兼容，实现互联互通。</w:t>
                  </w:r>
                </w:p>
              </w:tc>
              <w:tc>
                <w:tcPr>
                  <w:tcW w:w="461" w:type="pct"/>
                  <w:vAlign w:val="center"/>
                </w:tcPr>
                <w:p w14:paraId="3287C20E">
                  <w:pPr>
                    <w:adjustRightIn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5200台</w:t>
                  </w:r>
                </w:p>
              </w:tc>
            </w:tr>
          </w:tbl>
          <w:p w14:paraId="127156EC">
            <w:pPr>
              <w:pStyle w:val="6"/>
              <w:spacing w:line="360" w:lineRule="auto"/>
              <w:ind w:firstLine="0"/>
              <w:rPr>
                <w:rFonts w:ascii="宋体" w:hAnsi="宋体" w:cs="宋体"/>
                <w:color w:val="auto"/>
                <w:sz w:val="24"/>
                <w:szCs w:val="24"/>
                <w:highlight w:val="none"/>
              </w:rPr>
            </w:pPr>
          </w:p>
        </w:tc>
      </w:tr>
      <w:tr w14:paraId="60712B07">
        <w:tblPrEx>
          <w:tblCellMar>
            <w:top w:w="0" w:type="dxa"/>
            <w:left w:w="0" w:type="dxa"/>
            <w:bottom w:w="0" w:type="dxa"/>
            <w:right w:w="0" w:type="dxa"/>
          </w:tblCellMar>
        </w:tblPrEx>
        <w:trPr>
          <w:trHeight w:val="20" w:hRule="atLeast"/>
          <w:jc w:val="center"/>
        </w:trPr>
        <w:tc>
          <w:tcPr>
            <w:tcW w:w="8922" w:type="dxa"/>
            <w:gridSpan w:val="5"/>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28FECE2E">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商务条款</w:t>
            </w:r>
          </w:p>
        </w:tc>
      </w:tr>
      <w:tr w14:paraId="6BBC23CC">
        <w:tblPrEx>
          <w:tblCellMar>
            <w:top w:w="0" w:type="dxa"/>
            <w:left w:w="0" w:type="dxa"/>
            <w:bottom w:w="0" w:type="dxa"/>
            <w:right w:w="0" w:type="dxa"/>
          </w:tblCellMar>
        </w:tblPrEx>
        <w:trPr>
          <w:trHeight w:val="20" w:hRule="atLeast"/>
          <w:jc w:val="center"/>
        </w:trPr>
        <w:tc>
          <w:tcPr>
            <w:tcW w:w="1543" w:type="dxa"/>
            <w:gridSpan w:val="2"/>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4015D2EB">
            <w:pPr>
              <w:pStyle w:val="6"/>
              <w:spacing w:line="360" w:lineRule="auto"/>
              <w:ind w:firstLine="0"/>
              <w:jc w:val="center"/>
              <w:rPr>
                <w:rFonts w:ascii="宋体" w:hAnsi="宋体" w:cs="宋体"/>
                <w:color w:val="auto"/>
                <w:sz w:val="24"/>
                <w:szCs w:val="24"/>
                <w:highlight w:val="none"/>
              </w:rPr>
            </w:pPr>
            <w:r>
              <w:rPr>
                <w:rFonts w:hint="eastAsia" w:ascii="宋体" w:hAnsi="宋体" w:cs="宋体"/>
                <w:color w:val="auto"/>
                <w:sz w:val="24"/>
                <w:szCs w:val="24"/>
                <w:highlight w:val="none"/>
              </w:rPr>
              <w:t>报价要求</w:t>
            </w:r>
          </w:p>
        </w:tc>
        <w:tc>
          <w:tcPr>
            <w:tcW w:w="7379" w:type="dxa"/>
            <w:gridSpan w:val="3"/>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60AFB7BF">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报价必须含以下部分，包括（但不限于）：</w:t>
            </w:r>
          </w:p>
          <w:p w14:paraId="7C41E197">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1.服务期内提供服务的软硬件设备、劳务、交通、技术升级、设备维修及配件更换等等全部的价格；</w:t>
            </w:r>
          </w:p>
          <w:p w14:paraId="2C63D068">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2.必要的保险费用和各项税金；</w:t>
            </w:r>
          </w:p>
          <w:p w14:paraId="4EEC97D4">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3.其他（如调试、培训、技术支持、售后服务、更新升级等所有项目费用）项目实施过程中的合同价不作调整。</w:t>
            </w:r>
          </w:p>
          <w:p w14:paraId="00B8DB1B">
            <w:pPr>
              <w:pStyle w:val="6"/>
              <w:spacing w:line="360" w:lineRule="auto"/>
              <w:ind w:firstLine="0"/>
              <w:rPr>
                <w:rFonts w:ascii="宋体" w:hAnsi="宋体" w:cs="宋体"/>
                <w:color w:val="auto"/>
                <w:sz w:val="24"/>
                <w:szCs w:val="24"/>
                <w:highlight w:val="none"/>
              </w:rPr>
            </w:pPr>
            <w:r>
              <w:rPr>
                <w:rFonts w:hint="eastAsia" w:ascii="宋体" w:hAnsi="宋体" w:cs="宋体"/>
                <w:color w:val="auto"/>
                <w:sz w:val="24"/>
                <w:szCs w:val="24"/>
                <w:highlight w:val="none"/>
              </w:rPr>
              <w:t>4.在合同实施时，采购人将不予支付中标人没有列入的项目费用（如运输费、第三方开发费、突发情况造成损失的费用等），并认为此项目的费用已包括在合同价中。</w:t>
            </w:r>
          </w:p>
        </w:tc>
      </w:tr>
      <w:tr w14:paraId="5EAF86D8">
        <w:tblPrEx>
          <w:tblCellMar>
            <w:top w:w="0" w:type="dxa"/>
            <w:left w:w="0" w:type="dxa"/>
            <w:bottom w:w="0" w:type="dxa"/>
            <w:right w:w="0" w:type="dxa"/>
          </w:tblCellMar>
        </w:tblPrEx>
        <w:trPr>
          <w:trHeight w:val="20" w:hRule="atLeast"/>
          <w:jc w:val="center"/>
        </w:trPr>
        <w:tc>
          <w:tcPr>
            <w:tcW w:w="1543" w:type="dxa"/>
            <w:gridSpan w:val="2"/>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629CB119">
            <w:pPr>
              <w:widowControl/>
              <w:spacing w:line="360" w:lineRule="auto"/>
              <w:jc w:val="center"/>
              <w:rPr>
                <w:rFonts w:ascii="宋体" w:hAnsi="宋体" w:cs="宋体"/>
                <w:color w:val="auto"/>
                <w:sz w:val="24"/>
                <w:highlight w:val="none"/>
              </w:rPr>
            </w:pPr>
            <w:r>
              <w:rPr>
                <w:rFonts w:hint="eastAsia" w:ascii="宋体" w:hAnsi="宋体" w:cs="宋体"/>
                <w:color w:val="auto"/>
                <w:sz w:val="24"/>
                <w:highlight w:val="none"/>
              </w:rPr>
              <w:t>合同签订时间</w:t>
            </w:r>
          </w:p>
        </w:tc>
        <w:tc>
          <w:tcPr>
            <w:tcW w:w="7379" w:type="dxa"/>
            <w:gridSpan w:val="3"/>
            <w:tcBorders>
              <w:top w:val="single" w:color="000000" w:sz="4" w:space="0"/>
              <w:left w:val="single" w:color="000000" w:sz="4" w:space="0"/>
              <w:bottom w:val="single" w:color="000000" w:sz="4" w:space="0"/>
              <w:right w:val="single" w:color="000000" w:sz="4" w:space="0"/>
            </w:tcBorders>
            <w:noWrap/>
            <w:tcMar>
              <w:top w:w="7" w:type="dxa"/>
              <w:left w:w="7" w:type="dxa"/>
              <w:right w:w="7" w:type="dxa"/>
            </w:tcMar>
          </w:tcPr>
          <w:p w14:paraId="16D0A2E2">
            <w:pPr>
              <w:widowControl/>
              <w:spacing w:line="360" w:lineRule="auto"/>
              <w:rPr>
                <w:rFonts w:ascii="宋体" w:hAnsi="宋体" w:cs="宋体"/>
                <w:color w:val="auto"/>
                <w:sz w:val="24"/>
                <w:highlight w:val="none"/>
              </w:rPr>
            </w:pPr>
            <w:r>
              <w:rPr>
                <w:rFonts w:hint="eastAsia" w:ascii="宋体" w:hAnsi="宋体" w:cs="宋体"/>
                <w:color w:val="auto"/>
                <w:sz w:val="24"/>
                <w:highlight w:val="none"/>
              </w:rPr>
              <w:t>自中标通知书发出之日起25日内。</w:t>
            </w:r>
          </w:p>
        </w:tc>
      </w:tr>
      <w:tr w14:paraId="470E34B0">
        <w:tblPrEx>
          <w:tblCellMar>
            <w:top w:w="0" w:type="dxa"/>
            <w:left w:w="0" w:type="dxa"/>
            <w:bottom w:w="0" w:type="dxa"/>
            <w:right w:w="0" w:type="dxa"/>
          </w:tblCellMar>
        </w:tblPrEx>
        <w:trPr>
          <w:trHeight w:val="20" w:hRule="atLeast"/>
          <w:jc w:val="center"/>
        </w:trPr>
        <w:tc>
          <w:tcPr>
            <w:tcW w:w="1543" w:type="dxa"/>
            <w:gridSpan w:val="2"/>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3262647B">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服务时间及地点</w:t>
            </w:r>
          </w:p>
        </w:tc>
        <w:tc>
          <w:tcPr>
            <w:tcW w:w="7379" w:type="dxa"/>
            <w:gridSpan w:val="3"/>
            <w:tcBorders>
              <w:top w:val="single" w:color="000000" w:sz="4" w:space="0"/>
              <w:left w:val="single" w:color="000000" w:sz="4" w:space="0"/>
              <w:bottom w:val="single" w:color="000000" w:sz="4" w:space="0"/>
              <w:right w:val="single" w:color="000000" w:sz="4" w:space="0"/>
            </w:tcBorders>
            <w:noWrap/>
            <w:tcMar>
              <w:top w:w="7" w:type="dxa"/>
              <w:left w:w="7" w:type="dxa"/>
              <w:right w:w="7" w:type="dxa"/>
            </w:tcMar>
          </w:tcPr>
          <w:p w14:paraId="2728F327">
            <w:pPr>
              <w:tabs>
                <w:tab w:val="left" w:pos="420"/>
              </w:tabs>
              <w:spacing w:line="360" w:lineRule="auto"/>
              <w:rPr>
                <w:rFonts w:ascii="宋体" w:hAnsi="宋体" w:cs="宋体"/>
                <w:color w:val="auto"/>
                <w:sz w:val="24"/>
                <w:highlight w:val="none"/>
              </w:rPr>
            </w:pPr>
            <w:r>
              <w:rPr>
                <w:rFonts w:hint="eastAsia" w:ascii="宋体" w:hAnsi="宋体" w:cs="宋体"/>
                <w:color w:val="auto"/>
                <w:sz w:val="24"/>
                <w:highlight w:val="none"/>
              </w:rPr>
              <w:t>服务时间：自签订合同之日起</w:t>
            </w:r>
            <w:r>
              <w:rPr>
                <w:rFonts w:hint="eastAsia" w:ascii="宋体" w:hAnsi="宋体" w:cs="宋体"/>
                <w:color w:val="auto"/>
                <w:sz w:val="24"/>
                <w:highlight w:val="none"/>
                <w:u w:val="single"/>
              </w:rPr>
              <w:t>1年</w:t>
            </w:r>
            <w:r>
              <w:rPr>
                <w:rFonts w:hint="eastAsia" w:ascii="宋体" w:hAnsi="宋体" w:cs="宋体"/>
                <w:color w:val="auto"/>
                <w:sz w:val="24"/>
                <w:highlight w:val="none"/>
              </w:rPr>
              <w:t>。</w:t>
            </w:r>
          </w:p>
          <w:p w14:paraId="1F85265D">
            <w:pPr>
              <w:tabs>
                <w:tab w:val="left" w:pos="420"/>
              </w:tabs>
              <w:spacing w:line="360" w:lineRule="auto"/>
              <w:rPr>
                <w:rFonts w:ascii="宋体" w:hAnsi="宋体" w:cs="宋体"/>
                <w:color w:val="auto"/>
                <w:sz w:val="24"/>
                <w:highlight w:val="none"/>
              </w:rPr>
            </w:pPr>
            <w:r>
              <w:rPr>
                <w:rFonts w:hint="eastAsia" w:ascii="宋体" w:hAnsi="宋体" w:cs="宋体"/>
                <w:color w:val="auto"/>
                <w:sz w:val="24"/>
                <w:highlight w:val="none"/>
              </w:rPr>
              <w:t>服务地点：</w:t>
            </w:r>
            <w:r>
              <w:rPr>
                <w:rFonts w:hint="eastAsia" w:ascii="宋体" w:hAnsi="宋体" w:cs="宋体"/>
                <w:bCs/>
                <w:color w:val="auto"/>
                <w:sz w:val="24"/>
                <w:highlight w:val="none"/>
              </w:rPr>
              <w:t>广西南宁市内采购人指定地点，包含但不限于南宁市、柳州市、桂林市、梧州市、北海市、防城港市、钦州市、贵港市、玉林市、百色市、贺州市、河池市、来宾市、崇左市等所有采购人指定运维网点布设市，中心机房设在南宁市。</w:t>
            </w:r>
          </w:p>
        </w:tc>
      </w:tr>
      <w:tr w14:paraId="1183050A">
        <w:tblPrEx>
          <w:tblCellMar>
            <w:top w:w="0" w:type="dxa"/>
            <w:left w:w="0" w:type="dxa"/>
            <w:bottom w:w="0" w:type="dxa"/>
            <w:right w:w="0" w:type="dxa"/>
          </w:tblCellMar>
        </w:tblPrEx>
        <w:trPr>
          <w:trHeight w:val="20" w:hRule="atLeast"/>
          <w:jc w:val="center"/>
        </w:trPr>
        <w:tc>
          <w:tcPr>
            <w:tcW w:w="1543" w:type="dxa"/>
            <w:gridSpan w:val="2"/>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50ABF30F">
            <w:pPr>
              <w:pStyle w:val="17"/>
              <w:spacing w:line="360" w:lineRule="auto"/>
              <w:jc w:val="center"/>
              <w:rPr>
                <w:rFonts w:ascii="宋体" w:hAnsi="宋体" w:cs="宋体"/>
                <w:color w:val="auto"/>
                <w:sz w:val="24"/>
                <w:highlight w:val="none"/>
              </w:rPr>
            </w:pPr>
            <w:r>
              <w:rPr>
                <w:rFonts w:hint="eastAsia" w:ascii="宋体" w:hAnsi="宋体" w:cs="宋体"/>
                <w:color w:val="auto"/>
                <w:sz w:val="24"/>
                <w:highlight w:val="none"/>
              </w:rPr>
              <w:t>项目验收</w:t>
            </w:r>
          </w:p>
        </w:tc>
        <w:tc>
          <w:tcPr>
            <w:tcW w:w="7379" w:type="dxa"/>
            <w:gridSpan w:val="3"/>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784CB1CA">
            <w:pPr>
              <w:pStyle w:val="17"/>
              <w:spacing w:line="360" w:lineRule="auto"/>
              <w:rPr>
                <w:rFonts w:ascii="宋体" w:hAnsi="宋体" w:cs="宋体"/>
                <w:color w:val="auto"/>
                <w:sz w:val="24"/>
                <w:highlight w:val="none"/>
              </w:rPr>
            </w:pPr>
            <w:r>
              <w:rPr>
                <w:rFonts w:hint="eastAsia" w:ascii="宋体" w:hAnsi="宋体" w:cs="宋体"/>
                <w:color w:val="auto"/>
                <w:sz w:val="24"/>
                <w:highlight w:val="none"/>
              </w:rPr>
              <w:t>1.符合现行国家相关标准、行业标准、地方标准或者其他标准、规范。</w:t>
            </w:r>
          </w:p>
          <w:p w14:paraId="35F1C84E">
            <w:pPr>
              <w:pStyle w:val="17"/>
              <w:spacing w:line="360" w:lineRule="auto"/>
              <w:rPr>
                <w:rFonts w:ascii="宋体" w:hAnsi="宋体" w:cs="宋体"/>
                <w:color w:val="auto"/>
                <w:sz w:val="24"/>
                <w:highlight w:val="none"/>
              </w:rPr>
            </w:pPr>
            <w:r>
              <w:rPr>
                <w:rFonts w:hint="eastAsia" w:ascii="宋体" w:hAnsi="宋体" w:cs="宋体"/>
                <w:color w:val="auto"/>
                <w:sz w:val="24"/>
                <w:highlight w:val="none"/>
              </w:rPr>
              <w:t>2.验收过程中所产生的一切费用均包含在合同金额中。</w:t>
            </w:r>
          </w:p>
          <w:p w14:paraId="4FEEC3BC">
            <w:pPr>
              <w:pStyle w:val="17"/>
              <w:spacing w:line="360" w:lineRule="auto"/>
              <w:rPr>
                <w:rFonts w:ascii="宋体" w:hAnsi="宋体" w:cs="宋体"/>
                <w:color w:val="auto"/>
                <w:sz w:val="24"/>
                <w:highlight w:val="none"/>
              </w:rPr>
            </w:pPr>
            <w:r>
              <w:rPr>
                <w:rFonts w:hint="eastAsia" w:ascii="宋体" w:hAnsi="宋体" w:cs="宋体"/>
                <w:color w:val="auto"/>
                <w:sz w:val="24"/>
                <w:highlight w:val="none"/>
              </w:rPr>
              <w:t>3.项目验收时由采购人对照采购文件的《技术参数及性能（配置）要求》进行全面核对检验，对所有要求出具的文件和材料的原件进行核查，如不符合采购文件要求或提供虚假承诺的，采购人有权拒绝验收并认定中标人违约，中标人承担所有责任和费用，采购人保留进一步追究责任的权利。</w:t>
            </w:r>
          </w:p>
          <w:p w14:paraId="031770C0">
            <w:pPr>
              <w:pStyle w:val="17"/>
              <w:spacing w:line="360" w:lineRule="auto"/>
              <w:rPr>
                <w:rFonts w:ascii="宋体" w:hAnsi="宋体" w:cs="宋体"/>
                <w:color w:val="auto"/>
                <w:sz w:val="24"/>
                <w:highlight w:val="none"/>
              </w:rPr>
            </w:pPr>
            <w:r>
              <w:rPr>
                <w:rFonts w:hint="eastAsia" w:ascii="宋体" w:hAnsi="宋体" w:cs="宋体"/>
                <w:color w:val="auto"/>
                <w:sz w:val="24"/>
                <w:highlight w:val="none"/>
              </w:rPr>
              <w:t>4.中标产品不能涉及任何法律纠纷。</w:t>
            </w:r>
          </w:p>
        </w:tc>
      </w:tr>
      <w:tr w14:paraId="2F271A51">
        <w:tblPrEx>
          <w:tblCellMar>
            <w:top w:w="0" w:type="dxa"/>
            <w:left w:w="0" w:type="dxa"/>
            <w:bottom w:w="0" w:type="dxa"/>
            <w:right w:w="0" w:type="dxa"/>
          </w:tblCellMar>
        </w:tblPrEx>
        <w:trPr>
          <w:trHeight w:val="20" w:hRule="atLeast"/>
          <w:jc w:val="center"/>
        </w:trPr>
        <w:tc>
          <w:tcPr>
            <w:tcW w:w="1543" w:type="dxa"/>
            <w:gridSpan w:val="2"/>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057A9E5F">
            <w:pPr>
              <w:rPr>
                <w:color w:val="auto"/>
                <w:highlight w:val="none"/>
              </w:rPr>
            </w:pPr>
          </w:p>
        </w:tc>
        <w:tc>
          <w:tcPr>
            <w:tcW w:w="7379" w:type="dxa"/>
            <w:gridSpan w:val="3"/>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2AB0427F">
            <w:pPr>
              <w:pStyle w:val="58"/>
              <w:rPr>
                <w:color w:val="auto"/>
                <w:sz w:val="30"/>
                <w:szCs w:val="30"/>
                <w:highlight w:val="none"/>
              </w:rPr>
            </w:pPr>
            <w:r>
              <w:rPr>
                <w:rFonts w:hint="eastAsia"/>
                <w:color w:val="auto"/>
                <w:sz w:val="30"/>
                <w:szCs w:val="30"/>
                <w:highlight w:val="none"/>
              </w:rPr>
              <w:t>货物类</w:t>
            </w:r>
          </w:p>
        </w:tc>
      </w:tr>
      <w:tr w14:paraId="35EFE77A">
        <w:tblPrEx>
          <w:tblCellMar>
            <w:top w:w="0" w:type="dxa"/>
            <w:left w:w="0" w:type="dxa"/>
            <w:bottom w:w="0" w:type="dxa"/>
            <w:right w:w="0" w:type="dxa"/>
          </w:tblCellMar>
        </w:tblPrEx>
        <w:trPr>
          <w:trHeight w:val="20" w:hRule="atLeast"/>
          <w:jc w:val="center"/>
        </w:trPr>
        <w:tc>
          <w:tcPr>
            <w:tcW w:w="1543" w:type="dxa"/>
            <w:gridSpan w:val="2"/>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17BDFA94">
            <w:pPr>
              <w:pStyle w:val="17"/>
              <w:spacing w:line="360" w:lineRule="auto"/>
              <w:jc w:val="center"/>
              <w:rPr>
                <w:rFonts w:ascii="宋体" w:hAnsi="宋体" w:cs="宋体"/>
                <w:color w:val="auto"/>
                <w:sz w:val="24"/>
                <w:highlight w:val="none"/>
              </w:rPr>
            </w:pPr>
            <w:r>
              <w:rPr>
                <w:rFonts w:hint="eastAsia" w:ascii="宋体" w:hAnsi="宋体" w:cs="宋体"/>
                <w:color w:val="auto"/>
                <w:sz w:val="24"/>
                <w:highlight w:val="none"/>
              </w:rPr>
              <w:t>履约保证金收取及退付</w:t>
            </w:r>
          </w:p>
        </w:tc>
        <w:tc>
          <w:tcPr>
            <w:tcW w:w="7379" w:type="dxa"/>
            <w:gridSpan w:val="3"/>
            <w:tcBorders>
              <w:top w:val="single" w:color="000000" w:sz="4" w:space="0"/>
              <w:left w:val="single" w:color="000000" w:sz="4" w:space="0"/>
              <w:bottom w:val="single" w:color="000000" w:sz="4" w:space="0"/>
              <w:right w:val="single" w:color="000000" w:sz="4" w:space="0"/>
            </w:tcBorders>
            <w:noWrap/>
            <w:tcMar>
              <w:top w:w="7" w:type="dxa"/>
              <w:left w:w="7" w:type="dxa"/>
              <w:right w:w="7" w:type="dxa"/>
            </w:tcMar>
          </w:tcPr>
          <w:p w14:paraId="7DF77C2E">
            <w:pPr>
              <w:pStyle w:val="17"/>
              <w:spacing w:line="360" w:lineRule="auto"/>
              <w:rPr>
                <w:rFonts w:ascii="宋体" w:hAnsi="宋体" w:cs="宋体"/>
                <w:color w:val="auto"/>
                <w:sz w:val="24"/>
                <w:highlight w:val="none"/>
              </w:rPr>
            </w:pPr>
            <w:r>
              <w:rPr>
                <w:rFonts w:hint="eastAsia" w:ascii="宋体" w:hAnsi="宋体" w:cs="宋体"/>
                <w:color w:val="auto"/>
                <w:sz w:val="24"/>
                <w:highlight w:val="none"/>
              </w:rPr>
              <w:t>1.履约保证金金额：合同金额的2%；签订合同前交至指定账户，否则不予签订合同。</w:t>
            </w:r>
          </w:p>
          <w:p w14:paraId="1A7A0D51">
            <w:pPr>
              <w:pStyle w:val="17"/>
              <w:spacing w:line="360" w:lineRule="auto"/>
              <w:rPr>
                <w:rFonts w:ascii="宋体" w:hAnsi="宋体" w:cs="宋体"/>
                <w:color w:val="auto"/>
                <w:sz w:val="24"/>
                <w:highlight w:val="none"/>
              </w:rPr>
            </w:pPr>
            <w:r>
              <w:rPr>
                <w:rFonts w:hint="eastAsia" w:ascii="宋体" w:hAnsi="宋体" w:cs="宋体"/>
                <w:color w:val="auto"/>
                <w:sz w:val="24"/>
                <w:highlight w:val="none"/>
              </w:rPr>
              <w:t>2.履约保证金递交方式：银行转账、电汇或者银行出具的保函等非现金方式。由中标人在签订合同前按规定的金额直接缴入以下采购人账户。凭履约保证金缴纳凭证签订合同。</w:t>
            </w:r>
          </w:p>
          <w:p w14:paraId="0B5AB619">
            <w:pPr>
              <w:pStyle w:val="17"/>
              <w:spacing w:line="360" w:lineRule="auto"/>
              <w:rPr>
                <w:rFonts w:ascii="宋体" w:hAnsi="宋体" w:cs="宋体"/>
                <w:color w:val="auto"/>
                <w:sz w:val="24"/>
                <w:highlight w:val="none"/>
              </w:rPr>
            </w:pPr>
            <w:r>
              <w:rPr>
                <w:rFonts w:hint="eastAsia" w:ascii="宋体" w:hAnsi="宋体" w:cs="宋体"/>
                <w:color w:val="auto"/>
                <w:sz w:val="24"/>
                <w:highlight w:val="none"/>
              </w:rPr>
              <w:t>3.履约保证金退付方式、时间及条件：中标人若不能完全履行合同，履约保证金不予退还；中标人若完全履行合同，全部合同义务履行完毕后，中标人凭履约保证金缴款凭证、退付意见书到采购人财务部门办理无息退还手续。</w:t>
            </w:r>
          </w:p>
          <w:p w14:paraId="032836E5">
            <w:pPr>
              <w:pStyle w:val="17"/>
              <w:spacing w:line="360" w:lineRule="auto"/>
              <w:rPr>
                <w:rFonts w:ascii="宋体" w:hAnsi="宋体" w:cs="宋体"/>
                <w:color w:val="auto"/>
                <w:sz w:val="24"/>
                <w:highlight w:val="none"/>
              </w:rPr>
            </w:pPr>
            <w:r>
              <w:rPr>
                <w:rFonts w:hint="eastAsia" w:ascii="宋体" w:hAnsi="宋体" w:cs="宋体"/>
                <w:color w:val="auto"/>
                <w:sz w:val="24"/>
                <w:highlight w:val="none"/>
              </w:rPr>
              <w:t>4.履约保证金不足额缴纳的，或银行出具的保函额度不足的或者银行保函有效期低于合同履行期限（即签订采购合同之日起至履行完合同约定的权利及义务之日止）的，不予签订合同。</w:t>
            </w:r>
          </w:p>
          <w:p w14:paraId="4E528DFC">
            <w:pPr>
              <w:pStyle w:val="17"/>
              <w:spacing w:line="360" w:lineRule="auto"/>
              <w:rPr>
                <w:rFonts w:ascii="宋体" w:hAnsi="宋体" w:cs="宋体"/>
                <w:color w:val="auto"/>
                <w:sz w:val="24"/>
                <w:highlight w:val="none"/>
              </w:rPr>
            </w:pPr>
            <w:r>
              <w:rPr>
                <w:rFonts w:hint="eastAsia" w:ascii="宋体" w:hAnsi="宋体" w:cs="宋体"/>
                <w:color w:val="auto"/>
                <w:sz w:val="24"/>
                <w:highlight w:val="none"/>
              </w:rPr>
              <w:t>5.采用银行出具的保函的，必须为无条件的银行保函，否则不予签订合同。</w:t>
            </w:r>
          </w:p>
        </w:tc>
      </w:tr>
      <w:tr w14:paraId="4F5DA46C">
        <w:tblPrEx>
          <w:tblCellMar>
            <w:top w:w="0" w:type="dxa"/>
            <w:left w:w="0" w:type="dxa"/>
            <w:bottom w:w="0" w:type="dxa"/>
            <w:right w:w="0" w:type="dxa"/>
          </w:tblCellMar>
        </w:tblPrEx>
        <w:trPr>
          <w:trHeight w:val="20" w:hRule="atLeast"/>
          <w:jc w:val="center"/>
        </w:trPr>
        <w:tc>
          <w:tcPr>
            <w:tcW w:w="1543" w:type="dxa"/>
            <w:gridSpan w:val="2"/>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483FFDB0">
            <w:pPr>
              <w:pStyle w:val="6"/>
              <w:spacing w:line="360" w:lineRule="auto"/>
              <w:ind w:firstLine="0"/>
              <w:jc w:val="center"/>
              <w:rPr>
                <w:rFonts w:ascii="宋体" w:hAnsi="宋体" w:cs="宋体"/>
                <w:color w:val="auto"/>
                <w:sz w:val="24"/>
                <w:szCs w:val="24"/>
                <w:highlight w:val="none"/>
              </w:rPr>
            </w:pPr>
            <w:r>
              <w:rPr>
                <w:rFonts w:hint="eastAsia" w:ascii="宋体" w:hAnsi="宋体" w:cs="宋体"/>
                <w:color w:val="auto"/>
                <w:sz w:val="24"/>
                <w:szCs w:val="24"/>
                <w:highlight w:val="none"/>
              </w:rPr>
              <w:t>付款方式</w:t>
            </w:r>
          </w:p>
        </w:tc>
        <w:tc>
          <w:tcPr>
            <w:tcW w:w="7379" w:type="dxa"/>
            <w:gridSpan w:val="3"/>
            <w:tcBorders>
              <w:top w:val="single" w:color="000000" w:sz="4" w:space="0"/>
              <w:left w:val="single" w:color="000000" w:sz="4" w:space="0"/>
              <w:bottom w:val="single" w:color="000000" w:sz="4" w:space="0"/>
              <w:right w:val="single" w:color="000000" w:sz="4" w:space="0"/>
            </w:tcBorders>
            <w:noWrap/>
            <w:tcMar>
              <w:top w:w="7" w:type="dxa"/>
              <w:left w:w="7" w:type="dxa"/>
              <w:right w:w="7" w:type="dxa"/>
            </w:tcMar>
            <w:vAlign w:val="center"/>
          </w:tcPr>
          <w:p w14:paraId="2A509A76">
            <w:pPr>
              <w:pStyle w:val="6"/>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签订合同10个工作日内，采购人支付中标人不超过50%合同金额的预付款（如遇预算经费不足情况，延续至预算经费到达后支付）；剩余服务款项每三个月支付一次，中标人提供的服务经验收合格后，由采购人于10个工作日支付当季合同款；如遇重大技术调整或不可抗拒因素造成无法按季支付服务款的情况，付款结算方式双方协商而定。中标人每次收到合同款之日起三个工作日内开具发票给采购人。</w:t>
            </w:r>
          </w:p>
        </w:tc>
      </w:tr>
    </w:tbl>
    <w:p w14:paraId="7C7AB50B">
      <w:pPr>
        <w:spacing w:line="428" w:lineRule="exact"/>
        <w:ind w:left="119"/>
        <w:rPr>
          <w:rFonts w:hAnsi="宋体"/>
          <w:color w:val="auto"/>
          <w:highlight w:val="none"/>
        </w:rPr>
      </w:pPr>
      <w:r>
        <w:rPr>
          <w:rFonts w:hAnsi="宋体"/>
          <w:color w:val="auto"/>
          <w:highlight w:val="none"/>
        </w:rPr>
        <w:t xml:space="preserve"> </w:t>
      </w:r>
    </w:p>
    <w:p w14:paraId="03EB7669">
      <w:pPr>
        <w:rPr>
          <w:rFonts w:hAnsi="宋体"/>
          <w:color w:val="auto"/>
          <w:highlight w:val="none"/>
        </w:rPr>
      </w:pPr>
      <w:r>
        <w:rPr>
          <w:rFonts w:hAnsi="宋体"/>
          <w:color w:val="auto"/>
          <w:highlight w:val="none"/>
        </w:rPr>
        <w:br w:type="page"/>
      </w:r>
    </w:p>
    <w:p w14:paraId="0AEE6B9A">
      <w:pPr>
        <w:spacing w:line="428" w:lineRule="exact"/>
        <w:ind w:left="119"/>
        <w:rPr>
          <w:rFonts w:ascii="Arial Unicode MS" w:hAnsi="Arial Unicode MS" w:eastAsia="Arial Unicode MS" w:cs="Arial Unicode MS"/>
          <w:color w:val="auto"/>
          <w:sz w:val="32"/>
          <w:szCs w:val="32"/>
          <w:highlight w:val="none"/>
        </w:rPr>
      </w:pPr>
      <w:r>
        <w:rPr>
          <w:rFonts w:hint="eastAsia" w:ascii="微软雅黑" w:hAnsi="微软雅黑" w:eastAsia="微软雅黑" w:cs="微软雅黑"/>
          <w:color w:val="auto"/>
          <w:sz w:val="32"/>
          <w:szCs w:val="32"/>
          <w:highlight w:val="none"/>
        </w:rPr>
        <w:t>附件</w:t>
      </w:r>
      <w:r>
        <w:rPr>
          <w:rFonts w:ascii="Arial Unicode MS" w:hAnsi="Arial Unicode MS" w:eastAsia="Arial Unicode MS" w:cs="Arial Unicode MS"/>
          <w:color w:val="auto"/>
          <w:sz w:val="32"/>
          <w:szCs w:val="32"/>
          <w:highlight w:val="none"/>
        </w:rPr>
        <w:t>1</w:t>
      </w:r>
      <w:r>
        <w:rPr>
          <w:rFonts w:hint="eastAsia" w:ascii="微软雅黑" w:hAnsi="微软雅黑" w:eastAsia="微软雅黑" w:cs="微软雅黑"/>
          <w:color w:val="auto"/>
          <w:sz w:val="32"/>
          <w:szCs w:val="32"/>
          <w:highlight w:val="none"/>
        </w:rPr>
        <w:t>：</w:t>
      </w:r>
    </w:p>
    <w:p w14:paraId="0325A3A6">
      <w:pPr>
        <w:spacing w:before="7"/>
        <w:rPr>
          <w:rFonts w:ascii="Arial Unicode MS" w:hAnsi="Arial Unicode MS" w:eastAsia="Arial Unicode MS" w:cs="Arial Unicode MS"/>
          <w:color w:val="auto"/>
          <w:sz w:val="17"/>
          <w:szCs w:val="17"/>
          <w:highlight w:val="none"/>
        </w:rPr>
      </w:pPr>
    </w:p>
    <w:p w14:paraId="4671E62D">
      <w:pPr>
        <w:spacing w:line="528" w:lineRule="exact"/>
        <w:ind w:left="220"/>
        <w:jc w:val="center"/>
        <w:rPr>
          <w:rFonts w:ascii="宋体" w:hAnsi="宋体" w:cs="宋体"/>
          <w:b/>
          <w:bCs/>
          <w:color w:val="auto"/>
          <w:sz w:val="36"/>
          <w:szCs w:val="36"/>
          <w:highlight w:val="none"/>
        </w:rPr>
      </w:pPr>
      <w:r>
        <w:rPr>
          <w:rFonts w:hint="eastAsia" w:ascii="宋体" w:hAnsi="宋体" w:cs="宋体"/>
          <w:b/>
          <w:bCs/>
          <w:color w:val="auto"/>
          <w:sz w:val="36"/>
          <w:szCs w:val="36"/>
          <w:highlight w:val="none"/>
        </w:rPr>
        <w:t>节能产品政府采购品目清单</w:t>
      </w:r>
    </w:p>
    <w:tbl>
      <w:tblPr>
        <w:tblStyle w:val="47"/>
        <w:tblW w:w="9623" w:type="dxa"/>
        <w:tblInd w:w="93" w:type="dxa"/>
        <w:tblLayout w:type="fixed"/>
        <w:tblCellMar>
          <w:top w:w="0" w:type="dxa"/>
          <w:left w:w="108" w:type="dxa"/>
          <w:bottom w:w="0" w:type="dxa"/>
          <w:right w:w="108" w:type="dxa"/>
        </w:tblCellMar>
      </w:tblPr>
      <w:tblGrid>
        <w:gridCol w:w="589"/>
        <w:gridCol w:w="1296"/>
        <w:gridCol w:w="1776"/>
        <w:gridCol w:w="1776"/>
        <w:gridCol w:w="4186"/>
      </w:tblGrid>
      <w:tr w14:paraId="0F00EBB1">
        <w:tblPrEx>
          <w:tblCellMar>
            <w:top w:w="0" w:type="dxa"/>
            <w:left w:w="108" w:type="dxa"/>
            <w:bottom w:w="0" w:type="dxa"/>
            <w:right w:w="108" w:type="dxa"/>
          </w:tblCellMar>
        </w:tblPrEx>
        <w:trPr>
          <w:trHeight w:val="555" w:hRule="atLeast"/>
        </w:trPr>
        <w:tc>
          <w:tcPr>
            <w:tcW w:w="589" w:type="dxa"/>
            <w:tcBorders>
              <w:top w:val="single" w:color="000000" w:sz="8" w:space="0"/>
              <w:left w:val="single" w:color="000000" w:sz="8" w:space="0"/>
              <w:bottom w:val="nil"/>
              <w:right w:val="single" w:color="000000" w:sz="8" w:space="0"/>
            </w:tcBorders>
          </w:tcPr>
          <w:p w14:paraId="37869C14">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品目序号</w:t>
            </w:r>
          </w:p>
        </w:tc>
        <w:tc>
          <w:tcPr>
            <w:tcW w:w="4848" w:type="dxa"/>
            <w:gridSpan w:val="3"/>
            <w:tcBorders>
              <w:top w:val="single" w:color="000000" w:sz="8" w:space="0"/>
              <w:left w:val="nil"/>
              <w:bottom w:val="single" w:color="000000" w:sz="8" w:space="0"/>
              <w:right w:val="single" w:color="000000" w:sz="8" w:space="0"/>
            </w:tcBorders>
            <w:vAlign w:val="center"/>
          </w:tcPr>
          <w:p w14:paraId="3A1A9B48">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名称</w:t>
            </w:r>
          </w:p>
        </w:tc>
        <w:tc>
          <w:tcPr>
            <w:tcW w:w="4186" w:type="dxa"/>
            <w:tcBorders>
              <w:top w:val="single" w:color="000000" w:sz="8" w:space="0"/>
              <w:left w:val="nil"/>
              <w:bottom w:val="single" w:color="000000" w:sz="8" w:space="0"/>
              <w:right w:val="single" w:color="000000" w:sz="8" w:space="0"/>
            </w:tcBorders>
            <w:vAlign w:val="center"/>
          </w:tcPr>
          <w:p w14:paraId="57459299">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依据的标准</w:t>
            </w:r>
          </w:p>
        </w:tc>
      </w:tr>
      <w:tr w14:paraId="5CF2EA55">
        <w:tblPrEx>
          <w:tblCellMar>
            <w:top w:w="0" w:type="dxa"/>
            <w:left w:w="108" w:type="dxa"/>
            <w:bottom w:w="0" w:type="dxa"/>
            <w:right w:w="108" w:type="dxa"/>
          </w:tblCellMar>
        </w:tblPrEx>
        <w:trPr>
          <w:trHeight w:val="495" w:hRule="atLeast"/>
        </w:trPr>
        <w:tc>
          <w:tcPr>
            <w:tcW w:w="589" w:type="dxa"/>
            <w:vMerge w:val="restart"/>
            <w:tcBorders>
              <w:top w:val="single" w:color="000000" w:sz="8" w:space="0"/>
              <w:left w:val="single" w:color="000000" w:sz="8" w:space="0"/>
              <w:bottom w:val="single" w:color="000000" w:sz="8" w:space="0"/>
              <w:right w:val="single" w:color="000000" w:sz="8" w:space="0"/>
            </w:tcBorders>
            <w:vAlign w:val="center"/>
          </w:tcPr>
          <w:p w14:paraId="77C03F8B">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1296" w:type="dxa"/>
            <w:vMerge w:val="restart"/>
            <w:tcBorders>
              <w:top w:val="nil"/>
              <w:left w:val="single" w:color="000000" w:sz="8" w:space="0"/>
              <w:bottom w:val="single" w:color="000000" w:sz="8" w:space="0"/>
              <w:right w:val="single" w:color="000000" w:sz="8" w:space="0"/>
            </w:tcBorders>
            <w:vAlign w:val="center"/>
          </w:tcPr>
          <w:p w14:paraId="6909068B">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A020101计算机设备</w:t>
            </w:r>
          </w:p>
        </w:tc>
        <w:tc>
          <w:tcPr>
            <w:tcW w:w="1776" w:type="dxa"/>
            <w:tcBorders>
              <w:top w:val="nil"/>
              <w:left w:val="nil"/>
              <w:bottom w:val="single" w:color="000000" w:sz="8" w:space="0"/>
              <w:right w:val="single" w:color="000000" w:sz="8" w:space="0"/>
            </w:tcBorders>
            <w:vAlign w:val="center"/>
          </w:tcPr>
          <w:p w14:paraId="3238A105">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★A02010104台式计算机</w:t>
            </w:r>
          </w:p>
        </w:tc>
        <w:tc>
          <w:tcPr>
            <w:tcW w:w="1776" w:type="dxa"/>
            <w:tcBorders>
              <w:top w:val="nil"/>
              <w:left w:val="nil"/>
              <w:bottom w:val="single" w:color="000000" w:sz="8" w:space="0"/>
              <w:right w:val="single" w:color="000000" w:sz="8" w:space="0"/>
            </w:tcBorders>
            <w:vAlign w:val="center"/>
          </w:tcPr>
          <w:p w14:paraId="20C4CCED">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4186" w:type="dxa"/>
            <w:tcBorders>
              <w:top w:val="nil"/>
              <w:left w:val="nil"/>
              <w:bottom w:val="single" w:color="000000" w:sz="8" w:space="0"/>
              <w:right w:val="single" w:color="000000" w:sz="8" w:space="0"/>
            </w:tcBorders>
            <w:vAlign w:val="center"/>
          </w:tcPr>
          <w:p w14:paraId="35A7F90C">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《微型计算机能效限定值及能效等级》（GB28380）</w:t>
            </w:r>
          </w:p>
        </w:tc>
      </w:tr>
      <w:tr w14:paraId="1392C68E">
        <w:tblPrEx>
          <w:tblCellMar>
            <w:top w:w="0" w:type="dxa"/>
            <w:left w:w="108" w:type="dxa"/>
            <w:bottom w:w="0" w:type="dxa"/>
            <w:right w:w="108" w:type="dxa"/>
          </w:tblCellMar>
        </w:tblPrEx>
        <w:trPr>
          <w:trHeight w:val="495" w:hRule="atLeast"/>
        </w:trPr>
        <w:tc>
          <w:tcPr>
            <w:tcW w:w="589" w:type="dxa"/>
            <w:vMerge w:val="continue"/>
            <w:tcBorders>
              <w:top w:val="single" w:color="000000" w:sz="8" w:space="0"/>
              <w:left w:val="single" w:color="000000" w:sz="8" w:space="0"/>
              <w:bottom w:val="single" w:color="000000" w:sz="8" w:space="0"/>
              <w:right w:val="single" w:color="000000" w:sz="8" w:space="0"/>
            </w:tcBorders>
            <w:vAlign w:val="center"/>
          </w:tcPr>
          <w:p w14:paraId="24BF6217">
            <w:pPr>
              <w:widowControl/>
              <w:jc w:val="left"/>
              <w:rPr>
                <w:rFonts w:ascii="宋体" w:hAnsi="宋体" w:cs="宋体"/>
                <w:color w:val="auto"/>
                <w:kern w:val="0"/>
                <w:sz w:val="24"/>
                <w:highlight w:val="none"/>
              </w:rPr>
            </w:pPr>
          </w:p>
        </w:tc>
        <w:tc>
          <w:tcPr>
            <w:tcW w:w="1296" w:type="dxa"/>
            <w:vMerge w:val="continue"/>
            <w:tcBorders>
              <w:top w:val="nil"/>
              <w:left w:val="single" w:color="000000" w:sz="8" w:space="0"/>
              <w:bottom w:val="single" w:color="000000" w:sz="8" w:space="0"/>
              <w:right w:val="single" w:color="000000" w:sz="8" w:space="0"/>
            </w:tcBorders>
            <w:vAlign w:val="center"/>
          </w:tcPr>
          <w:p w14:paraId="32773C24">
            <w:pPr>
              <w:widowControl/>
              <w:jc w:val="left"/>
              <w:rPr>
                <w:rFonts w:ascii="宋体" w:hAnsi="宋体" w:cs="宋体"/>
                <w:color w:val="auto"/>
                <w:kern w:val="0"/>
                <w:sz w:val="24"/>
                <w:highlight w:val="none"/>
              </w:rPr>
            </w:pPr>
          </w:p>
        </w:tc>
        <w:tc>
          <w:tcPr>
            <w:tcW w:w="1776" w:type="dxa"/>
            <w:tcBorders>
              <w:top w:val="nil"/>
              <w:left w:val="nil"/>
              <w:bottom w:val="single" w:color="000000" w:sz="8" w:space="0"/>
              <w:right w:val="single" w:color="000000" w:sz="8" w:space="0"/>
            </w:tcBorders>
            <w:vAlign w:val="center"/>
          </w:tcPr>
          <w:p w14:paraId="4DCF9F45">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★A02010105便携式计算机</w:t>
            </w:r>
          </w:p>
        </w:tc>
        <w:tc>
          <w:tcPr>
            <w:tcW w:w="1776" w:type="dxa"/>
            <w:tcBorders>
              <w:top w:val="nil"/>
              <w:left w:val="nil"/>
              <w:bottom w:val="single" w:color="000000" w:sz="8" w:space="0"/>
              <w:right w:val="single" w:color="000000" w:sz="8" w:space="0"/>
            </w:tcBorders>
            <w:vAlign w:val="center"/>
          </w:tcPr>
          <w:p w14:paraId="6C95AEC0">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4186" w:type="dxa"/>
            <w:tcBorders>
              <w:top w:val="nil"/>
              <w:left w:val="nil"/>
              <w:bottom w:val="single" w:color="000000" w:sz="8" w:space="0"/>
              <w:right w:val="single" w:color="000000" w:sz="8" w:space="0"/>
            </w:tcBorders>
            <w:vAlign w:val="center"/>
          </w:tcPr>
          <w:p w14:paraId="2CDED5B6">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《微型计算机能效限定值及能效等级》（GB28380）</w:t>
            </w:r>
          </w:p>
        </w:tc>
      </w:tr>
      <w:tr w14:paraId="643DF6B2">
        <w:tblPrEx>
          <w:tblCellMar>
            <w:top w:w="0" w:type="dxa"/>
            <w:left w:w="108" w:type="dxa"/>
            <w:bottom w:w="0" w:type="dxa"/>
            <w:right w:w="108" w:type="dxa"/>
          </w:tblCellMar>
        </w:tblPrEx>
        <w:trPr>
          <w:trHeight w:val="735" w:hRule="atLeast"/>
        </w:trPr>
        <w:tc>
          <w:tcPr>
            <w:tcW w:w="589" w:type="dxa"/>
            <w:vMerge w:val="continue"/>
            <w:tcBorders>
              <w:top w:val="single" w:color="000000" w:sz="8" w:space="0"/>
              <w:left w:val="single" w:color="000000" w:sz="8" w:space="0"/>
              <w:bottom w:val="single" w:color="000000" w:sz="8" w:space="0"/>
              <w:right w:val="single" w:color="000000" w:sz="8" w:space="0"/>
            </w:tcBorders>
            <w:vAlign w:val="center"/>
          </w:tcPr>
          <w:p w14:paraId="4B98B831">
            <w:pPr>
              <w:widowControl/>
              <w:jc w:val="left"/>
              <w:rPr>
                <w:rFonts w:ascii="宋体" w:hAnsi="宋体" w:cs="宋体"/>
                <w:color w:val="auto"/>
                <w:kern w:val="0"/>
                <w:sz w:val="24"/>
                <w:highlight w:val="none"/>
              </w:rPr>
            </w:pPr>
          </w:p>
        </w:tc>
        <w:tc>
          <w:tcPr>
            <w:tcW w:w="1296" w:type="dxa"/>
            <w:vMerge w:val="continue"/>
            <w:tcBorders>
              <w:top w:val="nil"/>
              <w:left w:val="single" w:color="000000" w:sz="8" w:space="0"/>
              <w:bottom w:val="single" w:color="000000" w:sz="8" w:space="0"/>
              <w:right w:val="single" w:color="000000" w:sz="8" w:space="0"/>
            </w:tcBorders>
            <w:vAlign w:val="center"/>
          </w:tcPr>
          <w:p w14:paraId="31848C4E">
            <w:pPr>
              <w:widowControl/>
              <w:jc w:val="left"/>
              <w:rPr>
                <w:rFonts w:ascii="宋体" w:hAnsi="宋体" w:cs="宋体"/>
                <w:color w:val="auto"/>
                <w:kern w:val="0"/>
                <w:sz w:val="24"/>
                <w:highlight w:val="none"/>
              </w:rPr>
            </w:pPr>
          </w:p>
        </w:tc>
        <w:tc>
          <w:tcPr>
            <w:tcW w:w="1776" w:type="dxa"/>
            <w:tcBorders>
              <w:top w:val="nil"/>
              <w:left w:val="nil"/>
              <w:bottom w:val="single" w:color="000000" w:sz="8" w:space="0"/>
              <w:right w:val="single" w:color="000000" w:sz="8" w:space="0"/>
            </w:tcBorders>
            <w:vAlign w:val="center"/>
          </w:tcPr>
          <w:p w14:paraId="5DE36C37">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★A02010107平板式微型计算机</w:t>
            </w:r>
          </w:p>
        </w:tc>
        <w:tc>
          <w:tcPr>
            <w:tcW w:w="1776" w:type="dxa"/>
            <w:tcBorders>
              <w:top w:val="nil"/>
              <w:left w:val="nil"/>
              <w:bottom w:val="single" w:color="000000" w:sz="8" w:space="0"/>
              <w:right w:val="single" w:color="000000" w:sz="8" w:space="0"/>
            </w:tcBorders>
            <w:vAlign w:val="center"/>
          </w:tcPr>
          <w:p w14:paraId="623F7F9E">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4186" w:type="dxa"/>
            <w:tcBorders>
              <w:top w:val="nil"/>
              <w:left w:val="nil"/>
              <w:bottom w:val="single" w:color="000000" w:sz="8" w:space="0"/>
              <w:right w:val="single" w:color="000000" w:sz="8" w:space="0"/>
            </w:tcBorders>
            <w:vAlign w:val="center"/>
          </w:tcPr>
          <w:p w14:paraId="6CDDF139">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《微型计算机能效限定值及能效等级》（GB28380）</w:t>
            </w:r>
          </w:p>
        </w:tc>
      </w:tr>
      <w:tr w14:paraId="2A0FCAAC">
        <w:tblPrEx>
          <w:tblCellMar>
            <w:top w:w="0" w:type="dxa"/>
            <w:left w:w="108" w:type="dxa"/>
            <w:bottom w:w="0" w:type="dxa"/>
            <w:right w:w="108" w:type="dxa"/>
          </w:tblCellMar>
        </w:tblPrEx>
        <w:trPr>
          <w:trHeight w:val="495" w:hRule="atLeast"/>
        </w:trPr>
        <w:tc>
          <w:tcPr>
            <w:tcW w:w="589" w:type="dxa"/>
            <w:vMerge w:val="restart"/>
            <w:tcBorders>
              <w:top w:val="nil"/>
              <w:left w:val="single" w:color="000000" w:sz="8" w:space="0"/>
              <w:bottom w:val="single" w:color="000000" w:sz="8" w:space="0"/>
              <w:right w:val="single" w:color="000000" w:sz="8" w:space="0"/>
            </w:tcBorders>
            <w:vAlign w:val="center"/>
          </w:tcPr>
          <w:p w14:paraId="4DDE689E">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1296" w:type="dxa"/>
            <w:vMerge w:val="restart"/>
            <w:tcBorders>
              <w:top w:val="nil"/>
              <w:left w:val="single" w:color="000000" w:sz="8" w:space="0"/>
              <w:bottom w:val="single" w:color="000000" w:sz="8" w:space="0"/>
              <w:right w:val="single" w:color="000000" w:sz="8" w:space="0"/>
            </w:tcBorders>
            <w:vAlign w:val="center"/>
          </w:tcPr>
          <w:p w14:paraId="72A99697">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A020106输入输出设备</w:t>
            </w:r>
          </w:p>
        </w:tc>
        <w:tc>
          <w:tcPr>
            <w:tcW w:w="1776" w:type="dxa"/>
            <w:vMerge w:val="restart"/>
            <w:tcBorders>
              <w:top w:val="nil"/>
              <w:left w:val="single" w:color="000000" w:sz="8" w:space="0"/>
              <w:bottom w:val="single" w:color="000000" w:sz="8" w:space="0"/>
              <w:right w:val="single" w:color="000000" w:sz="8" w:space="0"/>
            </w:tcBorders>
            <w:vAlign w:val="center"/>
          </w:tcPr>
          <w:p w14:paraId="791C5E64">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A02010601打印设备</w:t>
            </w:r>
          </w:p>
        </w:tc>
        <w:tc>
          <w:tcPr>
            <w:tcW w:w="1776" w:type="dxa"/>
            <w:tcBorders>
              <w:top w:val="nil"/>
              <w:left w:val="nil"/>
              <w:bottom w:val="single" w:color="000000" w:sz="8" w:space="0"/>
              <w:right w:val="single" w:color="000000" w:sz="8" w:space="0"/>
            </w:tcBorders>
            <w:vAlign w:val="center"/>
          </w:tcPr>
          <w:p w14:paraId="3B47A7F1">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A0201060101喷墨打印机</w:t>
            </w:r>
          </w:p>
        </w:tc>
        <w:tc>
          <w:tcPr>
            <w:tcW w:w="4186" w:type="dxa"/>
            <w:tcBorders>
              <w:top w:val="nil"/>
              <w:left w:val="nil"/>
              <w:bottom w:val="single" w:color="000000" w:sz="8" w:space="0"/>
              <w:right w:val="single" w:color="000000" w:sz="8" w:space="0"/>
            </w:tcBorders>
            <w:vAlign w:val="center"/>
          </w:tcPr>
          <w:p w14:paraId="3F36907E">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《复印机、打印机和传真机能效限定值及能效等级》（GB21521）</w:t>
            </w:r>
          </w:p>
        </w:tc>
      </w:tr>
      <w:tr w14:paraId="5796309B">
        <w:tblPrEx>
          <w:tblCellMar>
            <w:top w:w="0" w:type="dxa"/>
            <w:left w:w="108" w:type="dxa"/>
            <w:bottom w:w="0" w:type="dxa"/>
            <w:right w:w="108" w:type="dxa"/>
          </w:tblCellMar>
        </w:tblPrEx>
        <w:trPr>
          <w:trHeight w:val="495" w:hRule="atLeast"/>
        </w:trPr>
        <w:tc>
          <w:tcPr>
            <w:tcW w:w="589" w:type="dxa"/>
            <w:vMerge w:val="continue"/>
            <w:tcBorders>
              <w:top w:val="nil"/>
              <w:left w:val="single" w:color="000000" w:sz="8" w:space="0"/>
              <w:bottom w:val="single" w:color="000000" w:sz="8" w:space="0"/>
              <w:right w:val="single" w:color="000000" w:sz="8" w:space="0"/>
            </w:tcBorders>
            <w:vAlign w:val="center"/>
          </w:tcPr>
          <w:p w14:paraId="1BD71137">
            <w:pPr>
              <w:widowControl/>
              <w:jc w:val="left"/>
              <w:rPr>
                <w:rFonts w:ascii="宋体" w:hAnsi="宋体" w:cs="宋体"/>
                <w:color w:val="auto"/>
                <w:kern w:val="0"/>
                <w:sz w:val="24"/>
                <w:highlight w:val="none"/>
              </w:rPr>
            </w:pPr>
          </w:p>
        </w:tc>
        <w:tc>
          <w:tcPr>
            <w:tcW w:w="1296" w:type="dxa"/>
            <w:vMerge w:val="continue"/>
            <w:tcBorders>
              <w:top w:val="nil"/>
              <w:left w:val="single" w:color="000000" w:sz="8" w:space="0"/>
              <w:bottom w:val="single" w:color="000000" w:sz="8" w:space="0"/>
              <w:right w:val="single" w:color="000000" w:sz="8" w:space="0"/>
            </w:tcBorders>
            <w:vAlign w:val="center"/>
          </w:tcPr>
          <w:p w14:paraId="0E6E946E">
            <w:pPr>
              <w:widowControl/>
              <w:jc w:val="left"/>
              <w:rPr>
                <w:rFonts w:ascii="宋体" w:hAnsi="宋体" w:cs="宋体"/>
                <w:color w:val="auto"/>
                <w:kern w:val="0"/>
                <w:sz w:val="24"/>
                <w:highlight w:val="none"/>
              </w:rPr>
            </w:pPr>
          </w:p>
        </w:tc>
        <w:tc>
          <w:tcPr>
            <w:tcW w:w="1776" w:type="dxa"/>
            <w:vMerge w:val="continue"/>
            <w:tcBorders>
              <w:top w:val="nil"/>
              <w:left w:val="single" w:color="000000" w:sz="8" w:space="0"/>
              <w:bottom w:val="single" w:color="000000" w:sz="8" w:space="0"/>
              <w:right w:val="single" w:color="000000" w:sz="8" w:space="0"/>
            </w:tcBorders>
            <w:vAlign w:val="center"/>
          </w:tcPr>
          <w:p w14:paraId="3BFC4AD9">
            <w:pPr>
              <w:widowControl/>
              <w:jc w:val="left"/>
              <w:rPr>
                <w:rFonts w:ascii="宋体" w:hAnsi="宋体" w:cs="宋体"/>
                <w:color w:val="auto"/>
                <w:kern w:val="0"/>
                <w:sz w:val="24"/>
                <w:highlight w:val="none"/>
              </w:rPr>
            </w:pPr>
          </w:p>
        </w:tc>
        <w:tc>
          <w:tcPr>
            <w:tcW w:w="1776" w:type="dxa"/>
            <w:tcBorders>
              <w:top w:val="nil"/>
              <w:left w:val="nil"/>
              <w:bottom w:val="single" w:color="000000" w:sz="8" w:space="0"/>
              <w:right w:val="single" w:color="000000" w:sz="8" w:space="0"/>
            </w:tcBorders>
            <w:vAlign w:val="center"/>
          </w:tcPr>
          <w:p w14:paraId="1E1873FD">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★A0201060102激光打印机</w:t>
            </w:r>
          </w:p>
        </w:tc>
        <w:tc>
          <w:tcPr>
            <w:tcW w:w="4186" w:type="dxa"/>
            <w:tcBorders>
              <w:top w:val="nil"/>
              <w:left w:val="nil"/>
              <w:bottom w:val="single" w:color="000000" w:sz="8" w:space="0"/>
              <w:right w:val="single" w:color="000000" w:sz="8" w:space="0"/>
            </w:tcBorders>
            <w:vAlign w:val="center"/>
          </w:tcPr>
          <w:p w14:paraId="512CA37A">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《复印机、打印机和传真机能效限定值及能效等级》（GB21521）</w:t>
            </w:r>
          </w:p>
        </w:tc>
      </w:tr>
      <w:tr w14:paraId="5FFBF696">
        <w:tblPrEx>
          <w:tblCellMar>
            <w:top w:w="0" w:type="dxa"/>
            <w:left w:w="108" w:type="dxa"/>
            <w:bottom w:w="0" w:type="dxa"/>
            <w:right w:w="108" w:type="dxa"/>
          </w:tblCellMar>
        </w:tblPrEx>
        <w:trPr>
          <w:trHeight w:val="495" w:hRule="atLeast"/>
        </w:trPr>
        <w:tc>
          <w:tcPr>
            <w:tcW w:w="589" w:type="dxa"/>
            <w:vMerge w:val="continue"/>
            <w:tcBorders>
              <w:top w:val="nil"/>
              <w:left w:val="single" w:color="000000" w:sz="8" w:space="0"/>
              <w:bottom w:val="single" w:color="000000" w:sz="8" w:space="0"/>
              <w:right w:val="single" w:color="000000" w:sz="8" w:space="0"/>
            </w:tcBorders>
            <w:vAlign w:val="center"/>
          </w:tcPr>
          <w:p w14:paraId="52892C7E">
            <w:pPr>
              <w:widowControl/>
              <w:jc w:val="left"/>
              <w:rPr>
                <w:rFonts w:ascii="宋体" w:hAnsi="宋体" w:cs="宋体"/>
                <w:color w:val="auto"/>
                <w:kern w:val="0"/>
                <w:sz w:val="24"/>
                <w:highlight w:val="none"/>
              </w:rPr>
            </w:pPr>
          </w:p>
        </w:tc>
        <w:tc>
          <w:tcPr>
            <w:tcW w:w="1296" w:type="dxa"/>
            <w:vMerge w:val="continue"/>
            <w:tcBorders>
              <w:top w:val="nil"/>
              <w:left w:val="single" w:color="000000" w:sz="8" w:space="0"/>
              <w:bottom w:val="single" w:color="000000" w:sz="8" w:space="0"/>
              <w:right w:val="single" w:color="000000" w:sz="8" w:space="0"/>
            </w:tcBorders>
            <w:vAlign w:val="center"/>
          </w:tcPr>
          <w:p w14:paraId="7E351FC1">
            <w:pPr>
              <w:widowControl/>
              <w:jc w:val="left"/>
              <w:rPr>
                <w:rFonts w:ascii="宋体" w:hAnsi="宋体" w:cs="宋体"/>
                <w:color w:val="auto"/>
                <w:kern w:val="0"/>
                <w:sz w:val="24"/>
                <w:highlight w:val="none"/>
              </w:rPr>
            </w:pPr>
          </w:p>
        </w:tc>
        <w:tc>
          <w:tcPr>
            <w:tcW w:w="1776" w:type="dxa"/>
            <w:vMerge w:val="continue"/>
            <w:tcBorders>
              <w:top w:val="nil"/>
              <w:left w:val="single" w:color="000000" w:sz="8" w:space="0"/>
              <w:bottom w:val="single" w:color="000000" w:sz="8" w:space="0"/>
              <w:right w:val="single" w:color="000000" w:sz="8" w:space="0"/>
            </w:tcBorders>
            <w:vAlign w:val="center"/>
          </w:tcPr>
          <w:p w14:paraId="117EBFCA">
            <w:pPr>
              <w:widowControl/>
              <w:jc w:val="left"/>
              <w:rPr>
                <w:rFonts w:ascii="宋体" w:hAnsi="宋体" w:cs="宋体"/>
                <w:color w:val="auto"/>
                <w:kern w:val="0"/>
                <w:sz w:val="24"/>
                <w:highlight w:val="none"/>
              </w:rPr>
            </w:pPr>
          </w:p>
        </w:tc>
        <w:tc>
          <w:tcPr>
            <w:tcW w:w="1776" w:type="dxa"/>
            <w:tcBorders>
              <w:top w:val="nil"/>
              <w:left w:val="nil"/>
              <w:bottom w:val="single" w:color="000000" w:sz="8" w:space="0"/>
              <w:right w:val="single" w:color="000000" w:sz="8" w:space="0"/>
            </w:tcBorders>
            <w:vAlign w:val="center"/>
          </w:tcPr>
          <w:p w14:paraId="3E0CB14B">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★A0201060104针式打印机</w:t>
            </w:r>
          </w:p>
        </w:tc>
        <w:tc>
          <w:tcPr>
            <w:tcW w:w="4186" w:type="dxa"/>
            <w:tcBorders>
              <w:top w:val="nil"/>
              <w:left w:val="nil"/>
              <w:bottom w:val="single" w:color="000000" w:sz="8" w:space="0"/>
              <w:right w:val="single" w:color="000000" w:sz="8" w:space="0"/>
            </w:tcBorders>
            <w:vAlign w:val="center"/>
          </w:tcPr>
          <w:p w14:paraId="16F4446A">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《复印机、打印机和传真机能效限定值及能效等级》（GB21521）</w:t>
            </w:r>
          </w:p>
        </w:tc>
      </w:tr>
      <w:tr w14:paraId="68EEB3F0">
        <w:tblPrEx>
          <w:tblCellMar>
            <w:top w:w="0" w:type="dxa"/>
            <w:left w:w="108" w:type="dxa"/>
            <w:bottom w:w="0" w:type="dxa"/>
            <w:right w:w="108" w:type="dxa"/>
          </w:tblCellMar>
        </w:tblPrEx>
        <w:trPr>
          <w:trHeight w:val="495" w:hRule="atLeast"/>
        </w:trPr>
        <w:tc>
          <w:tcPr>
            <w:tcW w:w="589" w:type="dxa"/>
            <w:vMerge w:val="continue"/>
            <w:tcBorders>
              <w:top w:val="nil"/>
              <w:left w:val="single" w:color="000000" w:sz="8" w:space="0"/>
              <w:bottom w:val="single" w:color="000000" w:sz="8" w:space="0"/>
              <w:right w:val="single" w:color="000000" w:sz="8" w:space="0"/>
            </w:tcBorders>
            <w:vAlign w:val="center"/>
          </w:tcPr>
          <w:p w14:paraId="3F1AB0C9">
            <w:pPr>
              <w:widowControl/>
              <w:jc w:val="left"/>
              <w:rPr>
                <w:rFonts w:ascii="宋体" w:hAnsi="宋体" w:cs="宋体"/>
                <w:color w:val="auto"/>
                <w:kern w:val="0"/>
                <w:sz w:val="24"/>
                <w:highlight w:val="none"/>
              </w:rPr>
            </w:pPr>
          </w:p>
        </w:tc>
        <w:tc>
          <w:tcPr>
            <w:tcW w:w="1296" w:type="dxa"/>
            <w:vMerge w:val="continue"/>
            <w:tcBorders>
              <w:top w:val="nil"/>
              <w:left w:val="single" w:color="000000" w:sz="8" w:space="0"/>
              <w:bottom w:val="single" w:color="000000" w:sz="8" w:space="0"/>
              <w:right w:val="single" w:color="000000" w:sz="8" w:space="0"/>
            </w:tcBorders>
            <w:vAlign w:val="center"/>
          </w:tcPr>
          <w:p w14:paraId="135D5484">
            <w:pPr>
              <w:widowControl/>
              <w:jc w:val="left"/>
              <w:rPr>
                <w:rFonts w:ascii="宋体" w:hAnsi="宋体" w:cs="宋体"/>
                <w:color w:val="auto"/>
                <w:kern w:val="0"/>
                <w:sz w:val="24"/>
                <w:highlight w:val="none"/>
              </w:rPr>
            </w:pPr>
          </w:p>
        </w:tc>
        <w:tc>
          <w:tcPr>
            <w:tcW w:w="1776" w:type="dxa"/>
            <w:tcBorders>
              <w:top w:val="nil"/>
              <w:left w:val="nil"/>
              <w:bottom w:val="single" w:color="000000" w:sz="8" w:space="0"/>
              <w:right w:val="single" w:color="000000" w:sz="8" w:space="0"/>
            </w:tcBorders>
            <w:vAlign w:val="center"/>
          </w:tcPr>
          <w:p w14:paraId="49B767D3">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A02010604显示设备</w:t>
            </w:r>
          </w:p>
        </w:tc>
        <w:tc>
          <w:tcPr>
            <w:tcW w:w="1776" w:type="dxa"/>
            <w:tcBorders>
              <w:top w:val="nil"/>
              <w:left w:val="nil"/>
              <w:bottom w:val="single" w:color="000000" w:sz="8" w:space="0"/>
              <w:right w:val="single" w:color="000000" w:sz="8" w:space="0"/>
            </w:tcBorders>
            <w:vAlign w:val="center"/>
          </w:tcPr>
          <w:p w14:paraId="5C63D86E">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★A0201060401液晶显示器</w:t>
            </w:r>
          </w:p>
        </w:tc>
        <w:tc>
          <w:tcPr>
            <w:tcW w:w="4186" w:type="dxa"/>
            <w:tcBorders>
              <w:top w:val="nil"/>
              <w:left w:val="nil"/>
              <w:bottom w:val="single" w:color="000000" w:sz="8" w:space="0"/>
              <w:right w:val="single" w:color="000000" w:sz="8" w:space="0"/>
            </w:tcBorders>
            <w:vAlign w:val="center"/>
          </w:tcPr>
          <w:p w14:paraId="5617703F">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《计算机显示器能效限定值及能效等级》（GB21520）</w:t>
            </w:r>
          </w:p>
        </w:tc>
      </w:tr>
      <w:tr w14:paraId="327FC965">
        <w:tblPrEx>
          <w:tblCellMar>
            <w:top w:w="0" w:type="dxa"/>
            <w:left w:w="108" w:type="dxa"/>
            <w:bottom w:w="0" w:type="dxa"/>
            <w:right w:w="108" w:type="dxa"/>
          </w:tblCellMar>
        </w:tblPrEx>
        <w:trPr>
          <w:trHeight w:val="975" w:hRule="atLeast"/>
        </w:trPr>
        <w:tc>
          <w:tcPr>
            <w:tcW w:w="589" w:type="dxa"/>
            <w:vMerge w:val="continue"/>
            <w:tcBorders>
              <w:top w:val="nil"/>
              <w:left w:val="single" w:color="000000" w:sz="8" w:space="0"/>
              <w:bottom w:val="single" w:color="000000" w:sz="8" w:space="0"/>
              <w:right w:val="single" w:color="000000" w:sz="8" w:space="0"/>
            </w:tcBorders>
            <w:vAlign w:val="center"/>
          </w:tcPr>
          <w:p w14:paraId="69477A34">
            <w:pPr>
              <w:widowControl/>
              <w:jc w:val="left"/>
              <w:rPr>
                <w:rFonts w:ascii="宋体" w:hAnsi="宋体" w:cs="宋体"/>
                <w:color w:val="auto"/>
                <w:kern w:val="0"/>
                <w:sz w:val="24"/>
                <w:highlight w:val="none"/>
              </w:rPr>
            </w:pPr>
          </w:p>
        </w:tc>
        <w:tc>
          <w:tcPr>
            <w:tcW w:w="1296" w:type="dxa"/>
            <w:vMerge w:val="continue"/>
            <w:tcBorders>
              <w:top w:val="nil"/>
              <w:left w:val="single" w:color="000000" w:sz="8" w:space="0"/>
              <w:bottom w:val="single" w:color="000000" w:sz="8" w:space="0"/>
              <w:right w:val="single" w:color="000000" w:sz="8" w:space="0"/>
            </w:tcBorders>
            <w:vAlign w:val="center"/>
          </w:tcPr>
          <w:p w14:paraId="1FCC2DE8">
            <w:pPr>
              <w:widowControl/>
              <w:jc w:val="left"/>
              <w:rPr>
                <w:rFonts w:ascii="宋体" w:hAnsi="宋体" w:cs="宋体"/>
                <w:color w:val="auto"/>
                <w:kern w:val="0"/>
                <w:sz w:val="24"/>
                <w:highlight w:val="none"/>
              </w:rPr>
            </w:pPr>
          </w:p>
        </w:tc>
        <w:tc>
          <w:tcPr>
            <w:tcW w:w="1776" w:type="dxa"/>
            <w:tcBorders>
              <w:top w:val="nil"/>
              <w:left w:val="nil"/>
              <w:bottom w:val="single" w:color="000000" w:sz="8" w:space="0"/>
              <w:right w:val="single" w:color="000000" w:sz="8" w:space="0"/>
            </w:tcBorders>
            <w:vAlign w:val="center"/>
          </w:tcPr>
          <w:p w14:paraId="309E896C">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A02010609图形图像输入设备</w:t>
            </w:r>
          </w:p>
        </w:tc>
        <w:tc>
          <w:tcPr>
            <w:tcW w:w="1776" w:type="dxa"/>
            <w:tcBorders>
              <w:top w:val="nil"/>
              <w:left w:val="nil"/>
              <w:bottom w:val="single" w:color="000000" w:sz="8" w:space="0"/>
              <w:right w:val="single" w:color="000000" w:sz="8" w:space="0"/>
            </w:tcBorders>
            <w:vAlign w:val="center"/>
          </w:tcPr>
          <w:p w14:paraId="50D70C49">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A0201060901扫描仪</w:t>
            </w:r>
          </w:p>
        </w:tc>
        <w:tc>
          <w:tcPr>
            <w:tcW w:w="4186" w:type="dxa"/>
            <w:tcBorders>
              <w:top w:val="nil"/>
              <w:left w:val="nil"/>
              <w:bottom w:val="single" w:color="000000" w:sz="8" w:space="0"/>
              <w:right w:val="single" w:color="000000" w:sz="8" w:space="0"/>
            </w:tcBorders>
            <w:vAlign w:val="center"/>
          </w:tcPr>
          <w:p w14:paraId="1D7348AB">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参照《复印机、打印机和传真机能效限定值及能效等级》（GB21521中打印速度为15页/分的针式打印机相关要求中打印速度为15页/分的针式打印机相关要求</w:t>
            </w:r>
          </w:p>
        </w:tc>
      </w:tr>
      <w:tr w14:paraId="4B710D69">
        <w:tblPrEx>
          <w:tblCellMar>
            <w:top w:w="0" w:type="dxa"/>
            <w:left w:w="108" w:type="dxa"/>
            <w:bottom w:w="0" w:type="dxa"/>
            <w:right w:w="108" w:type="dxa"/>
          </w:tblCellMar>
        </w:tblPrEx>
        <w:trPr>
          <w:trHeight w:val="495" w:hRule="atLeast"/>
        </w:trPr>
        <w:tc>
          <w:tcPr>
            <w:tcW w:w="589" w:type="dxa"/>
            <w:tcBorders>
              <w:top w:val="nil"/>
              <w:left w:val="single" w:color="000000" w:sz="8" w:space="0"/>
              <w:bottom w:val="single" w:color="000000" w:sz="8" w:space="0"/>
              <w:right w:val="single" w:color="000000" w:sz="8" w:space="0"/>
            </w:tcBorders>
            <w:vAlign w:val="center"/>
          </w:tcPr>
          <w:p w14:paraId="029D3184">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1296" w:type="dxa"/>
            <w:tcBorders>
              <w:top w:val="nil"/>
              <w:left w:val="nil"/>
              <w:bottom w:val="single" w:color="000000" w:sz="8" w:space="0"/>
              <w:right w:val="single" w:color="000000" w:sz="8" w:space="0"/>
            </w:tcBorders>
            <w:vAlign w:val="center"/>
          </w:tcPr>
          <w:p w14:paraId="570018A8">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A020202投影仪</w:t>
            </w:r>
          </w:p>
        </w:tc>
        <w:tc>
          <w:tcPr>
            <w:tcW w:w="1776" w:type="dxa"/>
            <w:tcBorders>
              <w:top w:val="nil"/>
              <w:left w:val="nil"/>
              <w:bottom w:val="single" w:color="000000" w:sz="8" w:space="0"/>
              <w:right w:val="single" w:color="000000" w:sz="8" w:space="0"/>
            </w:tcBorders>
            <w:vAlign w:val="center"/>
          </w:tcPr>
          <w:p w14:paraId="64C02383">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1776" w:type="dxa"/>
            <w:tcBorders>
              <w:top w:val="nil"/>
              <w:left w:val="nil"/>
              <w:bottom w:val="single" w:color="000000" w:sz="8" w:space="0"/>
              <w:right w:val="single" w:color="000000" w:sz="8" w:space="0"/>
            </w:tcBorders>
            <w:vAlign w:val="center"/>
          </w:tcPr>
          <w:p w14:paraId="5409FFAC">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4186" w:type="dxa"/>
            <w:tcBorders>
              <w:top w:val="nil"/>
              <w:left w:val="nil"/>
              <w:bottom w:val="single" w:color="000000" w:sz="8" w:space="0"/>
              <w:right w:val="single" w:color="000000" w:sz="8" w:space="0"/>
            </w:tcBorders>
            <w:vAlign w:val="center"/>
          </w:tcPr>
          <w:p w14:paraId="0476B0B5">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《投影机能效限定值及能效等级》（GB32028）</w:t>
            </w:r>
          </w:p>
        </w:tc>
      </w:tr>
      <w:tr w14:paraId="35D71BD1">
        <w:tblPrEx>
          <w:tblCellMar>
            <w:top w:w="0" w:type="dxa"/>
            <w:left w:w="108" w:type="dxa"/>
            <w:bottom w:w="0" w:type="dxa"/>
            <w:right w:w="108" w:type="dxa"/>
          </w:tblCellMar>
        </w:tblPrEx>
        <w:trPr>
          <w:trHeight w:val="495" w:hRule="atLeast"/>
        </w:trPr>
        <w:tc>
          <w:tcPr>
            <w:tcW w:w="589" w:type="dxa"/>
            <w:tcBorders>
              <w:top w:val="nil"/>
              <w:left w:val="single" w:color="000000" w:sz="8" w:space="0"/>
              <w:bottom w:val="single" w:color="000000" w:sz="8" w:space="0"/>
              <w:right w:val="single" w:color="000000" w:sz="8" w:space="0"/>
            </w:tcBorders>
            <w:vAlign w:val="center"/>
          </w:tcPr>
          <w:p w14:paraId="4B5701D2">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4</w:t>
            </w:r>
          </w:p>
        </w:tc>
        <w:tc>
          <w:tcPr>
            <w:tcW w:w="1296" w:type="dxa"/>
            <w:tcBorders>
              <w:top w:val="nil"/>
              <w:left w:val="nil"/>
              <w:bottom w:val="single" w:color="000000" w:sz="8" w:space="0"/>
              <w:right w:val="single" w:color="000000" w:sz="8" w:space="0"/>
            </w:tcBorders>
            <w:vAlign w:val="center"/>
          </w:tcPr>
          <w:p w14:paraId="4F37FD7B">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A020204多功能一体机</w:t>
            </w:r>
          </w:p>
        </w:tc>
        <w:tc>
          <w:tcPr>
            <w:tcW w:w="1776" w:type="dxa"/>
            <w:tcBorders>
              <w:top w:val="nil"/>
              <w:left w:val="nil"/>
              <w:bottom w:val="single" w:color="000000" w:sz="8" w:space="0"/>
              <w:right w:val="single" w:color="000000" w:sz="8" w:space="0"/>
            </w:tcBorders>
            <w:vAlign w:val="center"/>
          </w:tcPr>
          <w:p w14:paraId="687C6580">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1776" w:type="dxa"/>
            <w:tcBorders>
              <w:top w:val="nil"/>
              <w:left w:val="nil"/>
              <w:bottom w:val="single" w:color="000000" w:sz="8" w:space="0"/>
              <w:right w:val="single" w:color="000000" w:sz="8" w:space="0"/>
            </w:tcBorders>
            <w:vAlign w:val="center"/>
          </w:tcPr>
          <w:p w14:paraId="2DE6B2F7">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4186" w:type="dxa"/>
            <w:tcBorders>
              <w:top w:val="nil"/>
              <w:left w:val="nil"/>
              <w:bottom w:val="single" w:color="000000" w:sz="8" w:space="0"/>
              <w:right w:val="single" w:color="000000" w:sz="8" w:space="0"/>
            </w:tcBorders>
            <w:vAlign w:val="center"/>
          </w:tcPr>
          <w:p w14:paraId="2808F190">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《复印机、打印机和传真机能效限定值及能效等级》（GB21521）</w:t>
            </w:r>
          </w:p>
        </w:tc>
      </w:tr>
      <w:tr w14:paraId="6FCC1153">
        <w:tblPrEx>
          <w:tblCellMar>
            <w:top w:w="0" w:type="dxa"/>
            <w:left w:w="108" w:type="dxa"/>
            <w:bottom w:w="0" w:type="dxa"/>
            <w:right w:w="108" w:type="dxa"/>
          </w:tblCellMar>
        </w:tblPrEx>
        <w:trPr>
          <w:trHeight w:val="495" w:hRule="atLeast"/>
        </w:trPr>
        <w:tc>
          <w:tcPr>
            <w:tcW w:w="589" w:type="dxa"/>
            <w:tcBorders>
              <w:top w:val="nil"/>
              <w:left w:val="single" w:color="000000" w:sz="8" w:space="0"/>
              <w:bottom w:val="single" w:color="auto" w:sz="4" w:space="0"/>
              <w:right w:val="single" w:color="000000" w:sz="8" w:space="0"/>
            </w:tcBorders>
            <w:vAlign w:val="center"/>
          </w:tcPr>
          <w:p w14:paraId="6A5E4063">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5</w:t>
            </w:r>
          </w:p>
        </w:tc>
        <w:tc>
          <w:tcPr>
            <w:tcW w:w="1296" w:type="dxa"/>
            <w:tcBorders>
              <w:top w:val="nil"/>
              <w:left w:val="nil"/>
              <w:bottom w:val="single" w:color="auto" w:sz="4" w:space="0"/>
              <w:right w:val="single" w:color="000000" w:sz="8" w:space="0"/>
            </w:tcBorders>
            <w:vAlign w:val="center"/>
          </w:tcPr>
          <w:p w14:paraId="44EBDCD2">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A020519泵</w:t>
            </w:r>
          </w:p>
        </w:tc>
        <w:tc>
          <w:tcPr>
            <w:tcW w:w="1776" w:type="dxa"/>
            <w:tcBorders>
              <w:top w:val="nil"/>
              <w:left w:val="nil"/>
              <w:bottom w:val="single" w:color="auto" w:sz="4" w:space="0"/>
              <w:right w:val="single" w:color="000000" w:sz="8" w:space="0"/>
            </w:tcBorders>
            <w:vAlign w:val="center"/>
          </w:tcPr>
          <w:p w14:paraId="56ADD67E">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A02051901离心泵</w:t>
            </w:r>
          </w:p>
        </w:tc>
        <w:tc>
          <w:tcPr>
            <w:tcW w:w="1776" w:type="dxa"/>
            <w:tcBorders>
              <w:top w:val="nil"/>
              <w:left w:val="nil"/>
              <w:bottom w:val="single" w:color="auto" w:sz="4" w:space="0"/>
              <w:right w:val="single" w:color="000000" w:sz="8" w:space="0"/>
            </w:tcBorders>
            <w:vAlign w:val="center"/>
          </w:tcPr>
          <w:p w14:paraId="08D00D33">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4186" w:type="dxa"/>
            <w:tcBorders>
              <w:top w:val="nil"/>
              <w:left w:val="nil"/>
              <w:bottom w:val="single" w:color="auto" w:sz="4" w:space="0"/>
              <w:right w:val="single" w:color="000000" w:sz="8" w:space="0"/>
            </w:tcBorders>
            <w:vAlign w:val="center"/>
          </w:tcPr>
          <w:p w14:paraId="05FF1A48">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《清水离心泵能效限定值及节能评价值》（GB19762）</w:t>
            </w:r>
          </w:p>
        </w:tc>
      </w:tr>
      <w:tr w14:paraId="37559905">
        <w:tblPrEx>
          <w:tblCellMar>
            <w:top w:w="0" w:type="dxa"/>
            <w:left w:w="108" w:type="dxa"/>
            <w:bottom w:w="0" w:type="dxa"/>
            <w:right w:w="108" w:type="dxa"/>
          </w:tblCellMar>
        </w:tblPrEx>
        <w:trPr>
          <w:trHeight w:val="735" w:hRule="atLeast"/>
        </w:trPr>
        <w:tc>
          <w:tcPr>
            <w:tcW w:w="589" w:type="dxa"/>
            <w:vMerge w:val="restart"/>
            <w:tcBorders>
              <w:top w:val="single" w:color="auto" w:sz="4" w:space="0"/>
              <w:left w:val="single" w:color="auto" w:sz="4" w:space="0"/>
              <w:bottom w:val="single" w:color="auto" w:sz="4" w:space="0"/>
              <w:right w:val="single" w:color="auto" w:sz="4" w:space="0"/>
            </w:tcBorders>
            <w:vAlign w:val="center"/>
          </w:tcPr>
          <w:p w14:paraId="63B85661">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6</w:t>
            </w:r>
          </w:p>
        </w:tc>
        <w:tc>
          <w:tcPr>
            <w:tcW w:w="1296" w:type="dxa"/>
            <w:vMerge w:val="restart"/>
            <w:tcBorders>
              <w:top w:val="single" w:color="auto" w:sz="4" w:space="0"/>
              <w:left w:val="single" w:color="auto" w:sz="4" w:space="0"/>
              <w:bottom w:val="single" w:color="auto" w:sz="4" w:space="0"/>
              <w:right w:val="single" w:color="auto" w:sz="4" w:space="0"/>
            </w:tcBorders>
            <w:vAlign w:val="center"/>
          </w:tcPr>
          <w:p w14:paraId="223A313A">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A020523制冷空调设备</w:t>
            </w:r>
          </w:p>
        </w:tc>
        <w:tc>
          <w:tcPr>
            <w:tcW w:w="1776" w:type="dxa"/>
            <w:vMerge w:val="restart"/>
            <w:tcBorders>
              <w:top w:val="single" w:color="auto" w:sz="4" w:space="0"/>
              <w:left w:val="single" w:color="auto" w:sz="4" w:space="0"/>
              <w:bottom w:val="single" w:color="auto" w:sz="4" w:space="0"/>
              <w:right w:val="single" w:color="auto" w:sz="4" w:space="0"/>
            </w:tcBorders>
            <w:vAlign w:val="center"/>
          </w:tcPr>
          <w:p w14:paraId="64E74E3C">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★A02052301制冷压缩机</w:t>
            </w:r>
          </w:p>
        </w:tc>
        <w:tc>
          <w:tcPr>
            <w:tcW w:w="1776" w:type="dxa"/>
            <w:tcBorders>
              <w:top w:val="single" w:color="auto" w:sz="4" w:space="0"/>
              <w:left w:val="single" w:color="auto" w:sz="4" w:space="0"/>
              <w:bottom w:val="single" w:color="auto" w:sz="4" w:space="0"/>
              <w:right w:val="single" w:color="auto" w:sz="4" w:space="0"/>
            </w:tcBorders>
            <w:vAlign w:val="center"/>
          </w:tcPr>
          <w:p w14:paraId="1AEE8E38">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冷水机组</w:t>
            </w:r>
          </w:p>
        </w:tc>
        <w:tc>
          <w:tcPr>
            <w:tcW w:w="4186" w:type="dxa"/>
            <w:tcBorders>
              <w:top w:val="single" w:color="auto" w:sz="4" w:space="0"/>
              <w:left w:val="single" w:color="auto" w:sz="4" w:space="0"/>
              <w:bottom w:val="single" w:color="auto" w:sz="4" w:space="0"/>
              <w:right w:val="single" w:color="auto" w:sz="4" w:space="0"/>
            </w:tcBorders>
            <w:vAlign w:val="center"/>
          </w:tcPr>
          <w:p w14:paraId="3E797D48">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《冷水机组能效限定值及能效等级》（GB19577），《低环境温度空气源热泵（冷水）机组能效限定值及能效等级》（GB37480）</w:t>
            </w:r>
          </w:p>
        </w:tc>
      </w:tr>
      <w:tr w14:paraId="65B211D0">
        <w:tblPrEx>
          <w:tblCellMar>
            <w:top w:w="0" w:type="dxa"/>
            <w:left w:w="108" w:type="dxa"/>
            <w:bottom w:w="0" w:type="dxa"/>
            <w:right w:w="108" w:type="dxa"/>
          </w:tblCellMar>
        </w:tblPrEx>
        <w:trPr>
          <w:trHeight w:val="495" w:hRule="atLeast"/>
        </w:trPr>
        <w:tc>
          <w:tcPr>
            <w:tcW w:w="589" w:type="dxa"/>
            <w:vMerge w:val="continue"/>
            <w:tcBorders>
              <w:top w:val="single" w:color="auto" w:sz="4" w:space="0"/>
              <w:left w:val="single" w:color="auto" w:sz="4" w:space="0"/>
              <w:bottom w:val="single" w:color="auto" w:sz="4" w:space="0"/>
              <w:right w:val="single" w:color="auto" w:sz="4" w:space="0"/>
            </w:tcBorders>
            <w:vAlign w:val="center"/>
          </w:tcPr>
          <w:p w14:paraId="4BF2C259">
            <w:pPr>
              <w:widowControl/>
              <w:jc w:val="left"/>
              <w:rPr>
                <w:rFonts w:ascii="宋体" w:hAnsi="宋体" w:cs="宋体"/>
                <w:color w:val="auto"/>
                <w:kern w:val="0"/>
                <w:sz w:val="24"/>
                <w:highlight w:val="none"/>
              </w:rPr>
            </w:pPr>
          </w:p>
        </w:tc>
        <w:tc>
          <w:tcPr>
            <w:tcW w:w="1296" w:type="dxa"/>
            <w:vMerge w:val="continue"/>
            <w:tcBorders>
              <w:top w:val="single" w:color="auto" w:sz="4" w:space="0"/>
              <w:left w:val="single" w:color="auto" w:sz="4" w:space="0"/>
              <w:bottom w:val="single" w:color="auto" w:sz="4" w:space="0"/>
              <w:right w:val="single" w:color="auto" w:sz="4" w:space="0"/>
            </w:tcBorders>
            <w:vAlign w:val="center"/>
          </w:tcPr>
          <w:p w14:paraId="53FCEC18">
            <w:pPr>
              <w:widowControl/>
              <w:jc w:val="left"/>
              <w:rPr>
                <w:rFonts w:ascii="宋体" w:hAnsi="宋体" w:cs="宋体"/>
                <w:color w:val="auto"/>
                <w:kern w:val="0"/>
                <w:sz w:val="24"/>
                <w:highlight w:val="none"/>
              </w:rPr>
            </w:pPr>
          </w:p>
        </w:tc>
        <w:tc>
          <w:tcPr>
            <w:tcW w:w="1776" w:type="dxa"/>
            <w:vMerge w:val="continue"/>
            <w:tcBorders>
              <w:top w:val="single" w:color="auto" w:sz="4" w:space="0"/>
              <w:left w:val="single" w:color="auto" w:sz="4" w:space="0"/>
              <w:bottom w:val="single" w:color="auto" w:sz="4" w:space="0"/>
              <w:right w:val="single" w:color="auto" w:sz="4" w:space="0"/>
            </w:tcBorders>
            <w:vAlign w:val="center"/>
          </w:tcPr>
          <w:p w14:paraId="0FBD3EDE">
            <w:pPr>
              <w:widowControl/>
              <w:jc w:val="left"/>
              <w:rPr>
                <w:rFonts w:ascii="宋体" w:hAnsi="宋体" w:cs="宋体"/>
                <w:color w:val="auto"/>
                <w:kern w:val="0"/>
                <w:sz w:val="24"/>
                <w:highlight w:val="none"/>
              </w:rPr>
            </w:pPr>
          </w:p>
        </w:tc>
        <w:tc>
          <w:tcPr>
            <w:tcW w:w="1776" w:type="dxa"/>
            <w:tcBorders>
              <w:top w:val="single" w:color="auto" w:sz="4" w:space="0"/>
              <w:left w:val="single" w:color="auto" w:sz="4" w:space="0"/>
              <w:bottom w:val="single" w:color="auto" w:sz="4" w:space="0"/>
              <w:right w:val="single" w:color="auto" w:sz="4" w:space="0"/>
            </w:tcBorders>
            <w:vAlign w:val="center"/>
          </w:tcPr>
          <w:p w14:paraId="0D0EE090">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水源热泵机组</w:t>
            </w:r>
          </w:p>
        </w:tc>
        <w:tc>
          <w:tcPr>
            <w:tcW w:w="4186" w:type="dxa"/>
            <w:tcBorders>
              <w:top w:val="single" w:color="auto" w:sz="4" w:space="0"/>
              <w:left w:val="single" w:color="auto" w:sz="4" w:space="0"/>
              <w:bottom w:val="single" w:color="auto" w:sz="4" w:space="0"/>
              <w:right w:val="single" w:color="auto" w:sz="4" w:space="0"/>
            </w:tcBorders>
            <w:vAlign w:val="center"/>
          </w:tcPr>
          <w:p w14:paraId="5EA66AA0">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《水（地）源热泵机组能效限定值及能效等级》（GB30721）</w:t>
            </w:r>
          </w:p>
        </w:tc>
      </w:tr>
      <w:tr w14:paraId="5C18D7E7">
        <w:tblPrEx>
          <w:tblCellMar>
            <w:top w:w="0" w:type="dxa"/>
            <w:left w:w="108" w:type="dxa"/>
            <w:bottom w:w="0" w:type="dxa"/>
            <w:right w:w="108" w:type="dxa"/>
          </w:tblCellMar>
        </w:tblPrEx>
        <w:trPr>
          <w:trHeight w:val="495" w:hRule="atLeast"/>
        </w:trPr>
        <w:tc>
          <w:tcPr>
            <w:tcW w:w="589" w:type="dxa"/>
            <w:vMerge w:val="continue"/>
            <w:tcBorders>
              <w:top w:val="single" w:color="auto" w:sz="4" w:space="0"/>
              <w:left w:val="single" w:color="auto" w:sz="4" w:space="0"/>
              <w:bottom w:val="single" w:color="auto" w:sz="4" w:space="0"/>
              <w:right w:val="single" w:color="auto" w:sz="4" w:space="0"/>
            </w:tcBorders>
            <w:vAlign w:val="center"/>
          </w:tcPr>
          <w:p w14:paraId="77E795F2">
            <w:pPr>
              <w:widowControl/>
              <w:jc w:val="left"/>
              <w:rPr>
                <w:rFonts w:ascii="宋体" w:hAnsi="宋体" w:cs="宋体"/>
                <w:color w:val="auto"/>
                <w:kern w:val="0"/>
                <w:sz w:val="24"/>
                <w:highlight w:val="none"/>
              </w:rPr>
            </w:pPr>
          </w:p>
        </w:tc>
        <w:tc>
          <w:tcPr>
            <w:tcW w:w="1296" w:type="dxa"/>
            <w:vMerge w:val="continue"/>
            <w:tcBorders>
              <w:top w:val="single" w:color="auto" w:sz="4" w:space="0"/>
              <w:left w:val="single" w:color="auto" w:sz="4" w:space="0"/>
              <w:bottom w:val="single" w:color="auto" w:sz="4" w:space="0"/>
              <w:right w:val="single" w:color="auto" w:sz="4" w:space="0"/>
            </w:tcBorders>
            <w:vAlign w:val="center"/>
          </w:tcPr>
          <w:p w14:paraId="4DC093F3">
            <w:pPr>
              <w:widowControl/>
              <w:jc w:val="left"/>
              <w:rPr>
                <w:rFonts w:ascii="宋体" w:hAnsi="宋体" w:cs="宋体"/>
                <w:color w:val="auto"/>
                <w:kern w:val="0"/>
                <w:sz w:val="24"/>
                <w:highlight w:val="none"/>
              </w:rPr>
            </w:pPr>
          </w:p>
        </w:tc>
        <w:tc>
          <w:tcPr>
            <w:tcW w:w="1776" w:type="dxa"/>
            <w:vMerge w:val="continue"/>
            <w:tcBorders>
              <w:top w:val="single" w:color="auto" w:sz="4" w:space="0"/>
              <w:left w:val="single" w:color="auto" w:sz="4" w:space="0"/>
              <w:bottom w:val="single" w:color="auto" w:sz="4" w:space="0"/>
              <w:right w:val="single" w:color="auto" w:sz="4" w:space="0"/>
            </w:tcBorders>
            <w:vAlign w:val="center"/>
          </w:tcPr>
          <w:p w14:paraId="644D963D">
            <w:pPr>
              <w:widowControl/>
              <w:jc w:val="left"/>
              <w:rPr>
                <w:rFonts w:ascii="宋体" w:hAnsi="宋体" w:cs="宋体"/>
                <w:color w:val="auto"/>
                <w:kern w:val="0"/>
                <w:sz w:val="24"/>
                <w:highlight w:val="none"/>
              </w:rPr>
            </w:pPr>
          </w:p>
        </w:tc>
        <w:tc>
          <w:tcPr>
            <w:tcW w:w="1776" w:type="dxa"/>
            <w:tcBorders>
              <w:top w:val="single" w:color="auto" w:sz="4" w:space="0"/>
              <w:left w:val="single" w:color="auto" w:sz="4" w:space="0"/>
              <w:bottom w:val="single" w:color="auto" w:sz="4" w:space="0"/>
              <w:right w:val="single" w:color="auto" w:sz="4" w:space="0"/>
            </w:tcBorders>
            <w:vAlign w:val="center"/>
          </w:tcPr>
          <w:p w14:paraId="7DC44589">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溴化锂吸收式冷水机组</w:t>
            </w:r>
          </w:p>
        </w:tc>
        <w:tc>
          <w:tcPr>
            <w:tcW w:w="4186" w:type="dxa"/>
            <w:tcBorders>
              <w:top w:val="single" w:color="auto" w:sz="4" w:space="0"/>
              <w:left w:val="single" w:color="auto" w:sz="4" w:space="0"/>
              <w:bottom w:val="single" w:color="auto" w:sz="4" w:space="0"/>
              <w:right w:val="single" w:color="auto" w:sz="4" w:space="0"/>
            </w:tcBorders>
            <w:vAlign w:val="center"/>
          </w:tcPr>
          <w:p w14:paraId="0B78C211">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《溴化锂吸收式冷水机组能效限定值及能效等级》（GB29540）</w:t>
            </w:r>
          </w:p>
        </w:tc>
      </w:tr>
      <w:tr w14:paraId="4219D3E6">
        <w:tblPrEx>
          <w:tblCellMar>
            <w:top w:w="0" w:type="dxa"/>
            <w:left w:w="108" w:type="dxa"/>
            <w:bottom w:w="0" w:type="dxa"/>
            <w:right w:w="108" w:type="dxa"/>
          </w:tblCellMar>
        </w:tblPrEx>
        <w:trPr>
          <w:trHeight w:val="735" w:hRule="atLeast"/>
        </w:trPr>
        <w:tc>
          <w:tcPr>
            <w:tcW w:w="589" w:type="dxa"/>
            <w:vMerge w:val="continue"/>
            <w:tcBorders>
              <w:top w:val="single" w:color="auto" w:sz="4" w:space="0"/>
              <w:left w:val="single" w:color="auto" w:sz="4" w:space="0"/>
              <w:bottom w:val="single" w:color="auto" w:sz="4" w:space="0"/>
              <w:right w:val="single" w:color="auto" w:sz="4" w:space="0"/>
            </w:tcBorders>
            <w:vAlign w:val="center"/>
          </w:tcPr>
          <w:p w14:paraId="7D6D8FB9">
            <w:pPr>
              <w:widowControl/>
              <w:jc w:val="left"/>
              <w:rPr>
                <w:rFonts w:ascii="宋体" w:hAnsi="宋体" w:cs="宋体"/>
                <w:color w:val="auto"/>
                <w:kern w:val="0"/>
                <w:sz w:val="24"/>
                <w:highlight w:val="none"/>
              </w:rPr>
            </w:pPr>
          </w:p>
        </w:tc>
        <w:tc>
          <w:tcPr>
            <w:tcW w:w="1296" w:type="dxa"/>
            <w:vMerge w:val="continue"/>
            <w:tcBorders>
              <w:top w:val="single" w:color="auto" w:sz="4" w:space="0"/>
              <w:left w:val="single" w:color="auto" w:sz="4" w:space="0"/>
              <w:bottom w:val="single" w:color="auto" w:sz="4" w:space="0"/>
              <w:right w:val="single" w:color="auto" w:sz="4" w:space="0"/>
            </w:tcBorders>
            <w:vAlign w:val="center"/>
          </w:tcPr>
          <w:p w14:paraId="7F4B19B4">
            <w:pPr>
              <w:widowControl/>
              <w:jc w:val="left"/>
              <w:rPr>
                <w:rFonts w:ascii="宋体" w:hAnsi="宋体" w:cs="宋体"/>
                <w:color w:val="auto"/>
                <w:kern w:val="0"/>
                <w:sz w:val="24"/>
                <w:highlight w:val="none"/>
              </w:rPr>
            </w:pPr>
          </w:p>
        </w:tc>
        <w:tc>
          <w:tcPr>
            <w:tcW w:w="1776" w:type="dxa"/>
            <w:vMerge w:val="restart"/>
            <w:tcBorders>
              <w:top w:val="single" w:color="auto" w:sz="4" w:space="0"/>
              <w:left w:val="single" w:color="auto" w:sz="4" w:space="0"/>
              <w:bottom w:val="single" w:color="auto" w:sz="4" w:space="0"/>
              <w:right w:val="single" w:color="auto" w:sz="4" w:space="0"/>
            </w:tcBorders>
            <w:vAlign w:val="center"/>
          </w:tcPr>
          <w:p w14:paraId="11FB7BAB">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★A02052305空调机组</w:t>
            </w:r>
          </w:p>
        </w:tc>
        <w:tc>
          <w:tcPr>
            <w:tcW w:w="1776" w:type="dxa"/>
            <w:tcBorders>
              <w:top w:val="single" w:color="auto" w:sz="4" w:space="0"/>
              <w:left w:val="single" w:color="auto" w:sz="4" w:space="0"/>
              <w:bottom w:val="single" w:color="auto" w:sz="4" w:space="0"/>
              <w:right w:val="single" w:color="auto" w:sz="4" w:space="0"/>
            </w:tcBorders>
            <w:vAlign w:val="center"/>
          </w:tcPr>
          <w:p w14:paraId="5334B078">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多联式空调（热泵）机组(制冷量&gt;14000W)</w:t>
            </w:r>
          </w:p>
        </w:tc>
        <w:tc>
          <w:tcPr>
            <w:tcW w:w="4186" w:type="dxa"/>
            <w:tcBorders>
              <w:top w:val="single" w:color="auto" w:sz="4" w:space="0"/>
              <w:left w:val="single" w:color="auto" w:sz="4" w:space="0"/>
              <w:bottom w:val="single" w:color="auto" w:sz="4" w:space="0"/>
              <w:right w:val="single" w:color="auto" w:sz="4" w:space="0"/>
            </w:tcBorders>
            <w:vAlign w:val="center"/>
          </w:tcPr>
          <w:p w14:paraId="2A44E366">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《多联式空调（热泵）机组能效限定值及能源效率等级》（GB21454）</w:t>
            </w:r>
          </w:p>
        </w:tc>
      </w:tr>
      <w:tr w14:paraId="6B8F0461">
        <w:tblPrEx>
          <w:tblCellMar>
            <w:top w:w="0" w:type="dxa"/>
            <w:left w:w="108" w:type="dxa"/>
            <w:bottom w:w="0" w:type="dxa"/>
            <w:right w:w="108" w:type="dxa"/>
          </w:tblCellMar>
        </w:tblPrEx>
        <w:trPr>
          <w:trHeight w:val="735" w:hRule="atLeast"/>
        </w:trPr>
        <w:tc>
          <w:tcPr>
            <w:tcW w:w="589" w:type="dxa"/>
            <w:vMerge w:val="continue"/>
            <w:tcBorders>
              <w:top w:val="single" w:color="auto" w:sz="4" w:space="0"/>
              <w:left w:val="single" w:color="auto" w:sz="4" w:space="0"/>
              <w:bottom w:val="single" w:color="auto" w:sz="4" w:space="0"/>
              <w:right w:val="single" w:color="auto" w:sz="4" w:space="0"/>
            </w:tcBorders>
            <w:vAlign w:val="center"/>
          </w:tcPr>
          <w:p w14:paraId="5477EA7F">
            <w:pPr>
              <w:widowControl/>
              <w:jc w:val="left"/>
              <w:rPr>
                <w:rFonts w:ascii="宋体" w:hAnsi="宋体" w:cs="宋体"/>
                <w:color w:val="auto"/>
                <w:kern w:val="0"/>
                <w:sz w:val="24"/>
                <w:highlight w:val="none"/>
              </w:rPr>
            </w:pPr>
          </w:p>
        </w:tc>
        <w:tc>
          <w:tcPr>
            <w:tcW w:w="1296" w:type="dxa"/>
            <w:vMerge w:val="continue"/>
            <w:tcBorders>
              <w:top w:val="single" w:color="auto" w:sz="4" w:space="0"/>
              <w:left w:val="single" w:color="auto" w:sz="4" w:space="0"/>
              <w:bottom w:val="single" w:color="auto" w:sz="4" w:space="0"/>
              <w:right w:val="single" w:color="auto" w:sz="4" w:space="0"/>
            </w:tcBorders>
            <w:vAlign w:val="center"/>
          </w:tcPr>
          <w:p w14:paraId="02F771DD">
            <w:pPr>
              <w:widowControl/>
              <w:jc w:val="left"/>
              <w:rPr>
                <w:rFonts w:ascii="宋体" w:hAnsi="宋体" w:cs="宋体"/>
                <w:color w:val="auto"/>
                <w:kern w:val="0"/>
                <w:sz w:val="24"/>
                <w:highlight w:val="none"/>
              </w:rPr>
            </w:pPr>
          </w:p>
        </w:tc>
        <w:tc>
          <w:tcPr>
            <w:tcW w:w="1776" w:type="dxa"/>
            <w:vMerge w:val="continue"/>
            <w:tcBorders>
              <w:top w:val="single" w:color="auto" w:sz="4" w:space="0"/>
              <w:left w:val="single" w:color="auto" w:sz="4" w:space="0"/>
              <w:bottom w:val="single" w:color="auto" w:sz="4" w:space="0"/>
              <w:right w:val="single" w:color="auto" w:sz="4" w:space="0"/>
            </w:tcBorders>
            <w:vAlign w:val="center"/>
          </w:tcPr>
          <w:p w14:paraId="2C0F196D">
            <w:pPr>
              <w:widowControl/>
              <w:jc w:val="left"/>
              <w:rPr>
                <w:rFonts w:ascii="宋体" w:hAnsi="宋体" w:cs="宋体"/>
                <w:color w:val="auto"/>
                <w:kern w:val="0"/>
                <w:sz w:val="24"/>
                <w:highlight w:val="none"/>
              </w:rPr>
            </w:pPr>
          </w:p>
        </w:tc>
        <w:tc>
          <w:tcPr>
            <w:tcW w:w="1776" w:type="dxa"/>
            <w:tcBorders>
              <w:top w:val="single" w:color="auto" w:sz="4" w:space="0"/>
              <w:left w:val="single" w:color="auto" w:sz="4" w:space="0"/>
              <w:bottom w:val="single" w:color="auto" w:sz="4" w:space="0"/>
              <w:right w:val="single" w:color="auto" w:sz="4" w:space="0"/>
            </w:tcBorders>
            <w:vAlign w:val="center"/>
          </w:tcPr>
          <w:p w14:paraId="1D8A6D64">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单元式空气调节机(制冷量&gt;14000W</w:t>
            </w:r>
          </w:p>
        </w:tc>
        <w:tc>
          <w:tcPr>
            <w:tcW w:w="4186" w:type="dxa"/>
            <w:tcBorders>
              <w:top w:val="single" w:color="auto" w:sz="4" w:space="0"/>
              <w:left w:val="single" w:color="auto" w:sz="4" w:space="0"/>
              <w:bottom w:val="single" w:color="auto" w:sz="4" w:space="0"/>
              <w:right w:val="single" w:color="auto" w:sz="4" w:space="0"/>
            </w:tcBorders>
            <w:vAlign w:val="center"/>
          </w:tcPr>
          <w:p w14:paraId="15EA7B2D">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《单元式空气调节机能效限定值及能效等级》（GB19576）《风管送风式空调机组能效限定值及能效等级》（GB37479）</w:t>
            </w:r>
          </w:p>
        </w:tc>
      </w:tr>
      <w:tr w14:paraId="4D4097B8">
        <w:tblPrEx>
          <w:tblCellMar>
            <w:top w:w="0" w:type="dxa"/>
            <w:left w:w="108" w:type="dxa"/>
            <w:bottom w:w="0" w:type="dxa"/>
            <w:right w:w="108" w:type="dxa"/>
          </w:tblCellMar>
        </w:tblPrEx>
        <w:trPr>
          <w:trHeight w:val="735" w:hRule="atLeast"/>
        </w:trPr>
        <w:tc>
          <w:tcPr>
            <w:tcW w:w="589" w:type="dxa"/>
            <w:vMerge w:val="continue"/>
            <w:tcBorders>
              <w:top w:val="single" w:color="auto" w:sz="4" w:space="0"/>
              <w:left w:val="single" w:color="auto" w:sz="4" w:space="0"/>
              <w:bottom w:val="single" w:color="000000" w:sz="8" w:space="0"/>
              <w:right w:val="single" w:color="000000" w:sz="8" w:space="0"/>
            </w:tcBorders>
            <w:vAlign w:val="center"/>
          </w:tcPr>
          <w:p w14:paraId="2D41E9B4">
            <w:pPr>
              <w:widowControl/>
              <w:jc w:val="left"/>
              <w:rPr>
                <w:rFonts w:ascii="宋体" w:hAnsi="宋体" w:cs="宋体"/>
                <w:color w:val="auto"/>
                <w:kern w:val="0"/>
                <w:sz w:val="24"/>
                <w:highlight w:val="none"/>
              </w:rPr>
            </w:pPr>
          </w:p>
        </w:tc>
        <w:tc>
          <w:tcPr>
            <w:tcW w:w="1296" w:type="dxa"/>
            <w:vMerge w:val="continue"/>
            <w:tcBorders>
              <w:top w:val="single" w:color="auto" w:sz="4" w:space="0"/>
              <w:left w:val="single" w:color="000000" w:sz="8" w:space="0"/>
              <w:bottom w:val="single" w:color="000000" w:sz="8" w:space="0"/>
              <w:right w:val="single" w:color="000000" w:sz="8" w:space="0"/>
            </w:tcBorders>
            <w:vAlign w:val="center"/>
          </w:tcPr>
          <w:p w14:paraId="2F601006">
            <w:pPr>
              <w:widowControl/>
              <w:jc w:val="left"/>
              <w:rPr>
                <w:rFonts w:ascii="宋体" w:hAnsi="宋体" w:cs="宋体"/>
                <w:color w:val="auto"/>
                <w:kern w:val="0"/>
                <w:sz w:val="24"/>
                <w:highlight w:val="none"/>
              </w:rPr>
            </w:pPr>
          </w:p>
        </w:tc>
        <w:tc>
          <w:tcPr>
            <w:tcW w:w="1776" w:type="dxa"/>
            <w:tcBorders>
              <w:top w:val="single" w:color="auto" w:sz="4" w:space="0"/>
              <w:left w:val="nil"/>
              <w:bottom w:val="single" w:color="000000" w:sz="8" w:space="0"/>
              <w:right w:val="single" w:color="000000" w:sz="8" w:space="0"/>
            </w:tcBorders>
            <w:vAlign w:val="center"/>
          </w:tcPr>
          <w:p w14:paraId="4CEB169D">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★A02052309专用制冷、空调设备</w:t>
            </w:r>
          </w:p>
        </w:tc>
        <w:tc>
          <w:tcPr>
            <w:tcW w:w="1776" w:type="dxa"/>
            <w:tcBorders>
              <w:top w:val="single" w:color="auto" w:sz="4" w:space="0"/>
              <w:left w:val="nil"/>
              <w:bottom w:val="single" w:color="000000" w:sz="8" w:space="0"/>
              <w:right w:val="single" w:color="000000" w:sz="8" w:space="0"/>
            </w:tcBorders>
            <w:vAlign w:val="center"/>
          </w:tcPr>
          <w:p w14:paraId="68ED5BF3">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机房空调</w:t>
            </w:r>
          </w:p>
        </w:tc>
        <w:tc>
          <w:tcPr>
            <w:tcW w:w="4186" w:type="dxa"/>
            <w:tcBorders>
              <w:top w:val="single" w:color="auto" w:sz="4" w:space="0"/>
              <w:left w:val="nil"/>
              <w:bottom w:val="single" w:color="000000" w:sz="8" w:space="0"/>
              <w:right w:val="single" w:color="000000" w:sz="8" w:space="0"/>
            </w:tcBorders>
            <w:vAlign w:val="center"/>
          </w:tcPr>
          <w:p w14:paraId="7C1A3C13">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《单元式空气调节机能效限定值及能效等级》（GB19576）</w:t>
            </w:r>
          </w:p>
        </w:tc>
      </w:tr>
      <w:tr w14:paraId="199F0120">
        <w:tblPrEx>
          <w:tblCellMar>
            <w:top w:w="0" w:type="dxa"/>
            <w:left w:w="108" w:type="dxa"/>
            <w:bottom w:w="0" w:type="dxa"/>
            <w:right w:w="108" w:type="dxa"/>
          </w:tblCellMar>
        </w:tblPrEx>
        <w:trPr>
          <w:trHeight w:val="735" w:hRule="atLeast"/>
        </w:trPr>
        <w:tc>
          <w:tcPr>
            <w:tcW w:w="589" w:type="dxa"/>
            <w:vMerge w:val="continue"/>
            <w:tcBorders>
              <w:top w:val="nil"/>
              <w:left w:val="single" w:color="auto" w:sz="4" w:space="0"/>
              <w:bottom w:val="single" w:color="000000" w:sz="8" w:space="0"/>
              <w:right w:val="single" w:color="000000" w:sz="8" w:space="0"/>
            </w:tcBorders>
            <w:vAlign w:val="center"/>
          </w:tcPr>
          <w:p w14:paraId="3E7E4024">
            <w:pPr>
              <w:widowControl/>
              <w:jc w:val="left"/>
              <w:rPr>
                <w:rFonts w:ascii="宋体" w:hAnsi="宋体" w:cs="宋体"/>
                <w:color w:val="auto"/>
                <w:kern w:val="0"/>
                <w:sz w:val="24"/>
                <w:highlight w:val="none"/>
              </w:rPr>
            </w:pPr>
          </w:p>
        </w:tc>
        <w:tc>
          <w:tcPr>
            <w:tcW w:w="1296" w:type="dxa"/>
            <w:vMerge w:val="continue"/>
            <w:tcBorders>
              <w:top w:val="nil"/>
              <w:left w:val="single" w:color="000000" w:sz="8" w:space="0"/>
              <w:bottom w:val="single" w:color="000000" w:sz="8" w:space="0"/>
              <w:right w:val="single" w:color="000000" w:sz="8" w:space="0"/>
            </w:tcBorders>
            <w:vAlign w:val="center"/>
          </w:tcPr>
          <w:p w14:paraId="63B86F69">
            <w:pPr>
              <w:widowControl/>
              <w:jc w:val="left"/>
              <w:rPr>
                <w:rFonts w:ascii="宋体" w:hAnsi="宋体" w:cs="宋体"/>
                <w:color w:val="auto"/>
                <w:kern w:val="0"/>
                <w:sz w:val="24"/>
                <w:highlight w:val="none"/>
              </w:rPr>
            </w:pPr>
          </w:p>
        </w:tc>
        <w:tc>
          <w:tcPr>
            <w:tcW w:w="1776" w:type="dxa"/>
            <w:tcBorders>
              <w:top w:val="nil"/>
              <w:left w:val="nil"/>
              <w:bottom w:val="single" w:color="000000" w:sz="8" w:space="0"/>
              <w:right w:val="single" w:color="000000" w:sz="8" w:space="0"/>
            </w:tcBorders>
            <w:vAlign w:val="center"/>
          </w:tcPr>
          <w:p w14:paraId="4B0F0259">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A02052399其他制冷空调设备</w:t>
            </w:r>
          </w:p>
        </w:tc>
        <w:tc>
          <w:tcPr>
            <w:tcW w:w="1776" w:type="dxa"/>
            <w:tcBorders>
              <w:top w:val="nil"/>
              <w:left w:val="nil"/>
              <w:bottom w:val="single" w:color="000000" w:sz="8" w:space="0"/>
              <w:right w:val="single" w:color="000000" w:sz="8" w:space="0"/>
            </w:tcBorders>
            <w:vAlign w:val="center"/>
          </w:tcPr>
          <w:p w14:paraId="14B2DCF8">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冷却塔</w:t>
            </w:r>
          </w:p>
        </w:tc>
        <w:tc>
          <w:tcPr>
            <w:tcW w:w="4186" w:type="dxa"/>
            <w:tcBorders>
              <w:top w:val="nil"/>
              <w:left w:val="nil"/>
              <w:bottom w:val="single" w:color="000000" w:sz="8" w:space="0"/>
              <w:right w:val="single" w:color="000000" w:sz="8" w:space="0"/>
            </w:tcBorders>
            <w:vAlign w:val="center"/>
          </w:tcPr>
          <w:p w14:paraId="3C922979">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《机械通风冷却塔第1部分：中小型开式冷却塔》（GB/T7190.1）；《机械通风冷却塔第2部分：大型开式冷却塔》（GB/T7190.2）</w:t>
            </w:r>
          </w:p>
        </w:tc>
      </w:tr>
      <w:tr w14:paraId="55F774C7">
        <w:tblPrEx>
          <w:tblCellMar>
            <w:top w:w="0" w:type="dxa"/>
            <w:left w:w="108" w:type="dxa"/>
            <w:bottom w:w="0" w:type="dxa"/>
            <w:right w:w="108" w:type="dxa"/>
          </w:tblCellMar>
        </w:tblPrEx>
        <w:trPr>
          <w:trHeight w:val="495" w:hRule="atLeast"/>
        </w:trPr>
        <w:tc>
          <w:tcPr>
            <w:tcW w:w="589" w:type="dxa"/>
            <w:tcBorders>
              <w:top w:val="nil"/>
              <w:left w:val="single" w:color="000000" w:sz="8" w:space="0"/>
              <w:bottom w:val="single" w:color="000000" w:sz="8" w:space="0"/>
              <w:right w:val="single" w:color="000000" w:sz="8" w:space="0"/>
            </w:tcBorders>
            <w:vAlign w:val="center"/>
          </w:tcPr>
          <w:p w14:paraId="1D0AB34F">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7</w:t>
            </w:r>
          </w:p>
        </w:tc>
        <w:tc>
          <w:tcPr>
            <w:tcW w:w="1296" w:type="dxa"/>
            <w:tcBorders>
              <w:top w:val="nil"/>
              <w:left w:val="nil"/>
              <w:bottom w:val="single" w:color="000000" w:sz="8" w:space="0"/>
              <w:right w:val="single" w:color="000000" w:sz="8" w:space="0"/>
            </w:tcBorders>
            <w:vAlign w:val="center"/>
          </w:tcPr>
          <w:p w14:paraId="19C89B0B">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A020601电机</w:t>
            </w:r>
          </w:p>
        </w:tc>
        <w:tc>
          <w:tcPr>
            <w:tcW w:w="1776" w:type="dxa"/>
            <w:tcBorders>
              <w:top w:val="nil"/>
              <w:left w:val="nil"/>
              <w:bottom w:val="single" w:color="000000" w:sz="8" w:space="0"/>
              <w:right w:val="single" w:color="000000" w:sz="8" w:space="0"/>
            </w:tcBorders>
            <w:vAlign w:val="center"/>
          </w:tcPr>
          <w:p w14:paraId="72F2BC71">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1776" w:type="dxa"/>
            <w:tcBorders>
              <w:top w:val="nil"/>
              <w:left w:val="nil"/>
              <w:bottom w:val="single" w:color="000000" w:sz="8" w:space="0"/>
              <w:right w:val="single" w:color="000000" w:sz="8" w:space="0"/>
            </w:tcBorders>
            <w:vAlign w:val="center"/>
          </w:tcPr>
          <w:p w14:paraId="20C3A13E">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4186" w:type="dxa"/>
            <w:tcBorders>
              <w:top w:val="nil"/>
              <w:left w:val="nil"/>
              <w:bottom w:val="single" w:color="000000" w:sz="8" w:space="0"/>
              <w:right w:val="single" w:color="000000" w:sz="8" w:space="0"/>
            </w:tcBorders>
            <w:vAlign w:val="center"/>
          </w:tcPr>
          <w:p w14:paraId="0CA3970C">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《中小型三相异步电动机能效限定值及能效等级》（GB18613）</w:t>
            </w:r>
          </w:p>
        </w:tc>
      </w:tr>
      <w:tr w14:paraId="59655672">
        <w:tblPrEx>
          <w:tblCellMar>
            <w:top w:w="0" w:type="dxa"/>
            <w:left w:w="108" w:type="dxa"/>
            <w:bottom w:w="0" w:type="dxa"/>
            <w:right w:w="108" w:type="dxa"/>
          </w:tblCellMar>
        </w:tblPrEx>
        <w:trPr>
          <w:trHeight w:val="495" w:hRule="atLeast"/>
        </w:trPr>
        <w:tc>
          <w:tcPr>
            <w:tcW w:w="589" w:type="dxa"/>
            <w:tcBorders>
              <w:top w:val="nil"/>
              <w:left w:val="single" w:color="000000" w:sz="8" w:space="0"/>
              <w:bottom w:val="single" w:color="000000" w:sz="8" w:space="0"/>
              <w:right w:val="single" w:color="000000" w:sz="8" w:space="0"/>
            </w:tcBorders>
            <w:vAlign w:val="center"/>
          </w:tcPr>
          <w:p w14:paraId="055C57DE">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8</w:t>
            </w:r>
          </w:p>
        </w:tc>
        <w:tc>
          <w:tcPr>
            <w:tcW w:w="1296" w:type="dxa"/>
            <w:tcBorders>
              <w:top w:val="nil"/>
              <w:left w:val="nil"/>
              <w:bottom w:val="single" w:color="000000" w:sz="8" w:space="0"/>
              <w:right w:val="single" w:color="000000" w:sz="8" w:space="0"/>
            </w:tcBorders>
            <w:vAlign w:val="center"/>
          </w:tcPr>
          <w:p w14:paraId="059AE070">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A020602变压器</w:t>
            </w:r>
          </w:p>
        </w:tc>
        <w:tc>
          <w:tcPr>
            <w:tcW w:w="1776" w:type="dxa"/>
            <w:tcBorders>
              <w:top w:val="nil"/>
              <w:left w:val="nil"/>
              <w:bottom w:val="single" w:color="000000" w:sz="8" w:space="0"/>
              <w:right w:val="single" w:color="000000" w:sz="8" w:space="0"/>
            </w:tcBorders>
            <w:vAlign w:val="center"/>
          </w:tcPr>
          <w:p w14:paraId="2F398CA0">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配电变压器</w:t>
            </w:r>
          </w:p>
        </w:tc>
        <w:tc>
          <w:tcPr>
            <w:tcW w:w="1776" w:type="dxa"/>
            <w:tcBorders>
              <w:top w:val="nil"/>
              <w:left w:val="nil"/>
              <w:bottom w:val="single" w:color="000000" w:sz="8" w:space="0"/>
              <w:right w:val="single" w:color="000000" w:sz="8" w:space="0"/>
            </w:tcBorders>
            <w:vAlign w:val="center"/>
          </w:tcPr>
          <w:p w14:paraId="449853DF">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4186" w:type="dxa"/>
            <w:tcBorders>
              <w:top w:val="nil"/>
              <w:left w:val="nil"/>
              <w:bottom w:val="single" w:color="000000" w:sz="8" w:space="0"/>
              <w:right w:val="single" w:color="000000" w:sz="8" w:space="0"/>
            </w:tcBorders>
            <w:vAlign w:val="center"/>
          </w:tcPr>
          <w:p w14:paraId="23C6B9A4">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《三相配电变压器能效限定值及能效等级》（GB20052）</w:t>
            </w:r>
          </w:p>
        </w:tc>
      </w:tr>
      <w:tr w14:paraId="10238244">
        <w:tblPrEx>
          <w:tblCellMar>
            <w:top w:w="0" w:type="dxa"/>
            <w:left w:w="108" w:type="dxa"/>
            <w:bottom w:w="0" w:type="dxa"/>
            <w:right w:w="108" w:type="dxa"/>
          </w:tblCellMar>
        </w:tblPrEx>
        <w:trPr>
          <w:trHeight w:val="495" w:hRule="atLeast"/>
        </w:trPr>
        <w:tc>
          <w:tcPr>
            <w:tcW w:w="589" w:type="dxa"/>
            <w:tcBorders>
              <w:top w:val="nil"/>
              <w:left w:val="single" w:color="000000" w:sz="8" w:space="0"/>
              <w:bottom w:val="single" w:color="auto" w:sz="4" w:space="0"/>
              <w:right w:val="single" w:color="000000" w:sz="8" w:space="0"/>
            </w:tcBorders>
            <w:vAlign w:val="center"/>
          </w:tcPr>
          <w:p w14:paraId="55ED7F63">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9</w:t>
            </w:r>
          </w:p>
        </w:tc>
        <w:tc>
          <w:tcPr>
            <w:tcW w:w="1296" w:type="dxa"/>
            <w:tcBorders>
              <w:top w:val="nil"/>
              <w:left w:val="nil"/>
              <w:bottom w:val="single" w:color="auto" w:sz="4" w:space="0"/>
              <w:right w:val="single" w:color="000000" w:sz="8" w:space="0"/>
            </w:tcBorders>
            <w:vAlign w:val="center"/>
          </w:tcPr>
          <w:p w14:paraId="5D7C0D1B">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★A020609镇流器</w:t>
            </w:r>
          </w:p>
        </w:tc>
        <w:tc>
          <w:tcPr>
            <w:tcW w:w="1776" w:type="dxa"/>
            <w:tcBorders>
              <w:top w:val="nil"/>
              <w:left w:val="nil"/>
              <w:bottom w:val="single" w:color="auto" w:sz="4" w:space="0"/>
              <w:right w:val="single" w:color="000000" w:sz="8" w:space="0"/>
            </w:tcBorders>
            <w:vAlign w:val="center"/>
          </w:tcPr>
          <w:p w14:paraId="74910E6F">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管型荧光灯镇流器</w:t>
            </w:r>
          </w:p>
        </w:tc>
        <w:tc>
          <w:tcPr>
            <w:tcW w:w="1776" w:type="dxa"/>
            <w:tcBorders>
              <w:top w:val="nil"/>
              <w:left w:val="nil"/>
              <w:bottom w:val="single" w:color="auto" w:sz="4" w:space="0"/>
              <w:right w:val="single" w:color="000000" w:sz="8" w:space="0"/>
            </w:tcBorders>
            <w:vAlign w:val="center"/>
          </w:tcPr>
          <w:p w14:paraId="785E87FC">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4186" w:type="dxa"/>
            <w:tcBorders>
              <w:top w:val="nil"/>
              <w:left w:val="nil"/>
              <w:bottom w:val="single" w:color="auto" w:sz="4" w:space="0"/>
              <w:right w:val="single" w:color="000000" w:sz="8" w:space="0"/>
            </w:tcBorders>
            <w:vAlign w:val="center"/>
          </w:tcPr>
          <w:p w14:paraId="1F914F1E">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《管形荧光灯镇流器能效限定值及能效等级》（GB17896）</w:t>
            </w:r>
          </w:p>
        </w:tc>
      </w:tr>
      <w:tr w14:paraId="1AE3D7D5">
        <w:tblPrEx>
          <w:tblCellMar>
            <w:top w:w="0" w:type="dxa"/>
            <w:left w:w="108" w:type="dxa"/>
            <w:bottom w:w="0" w:type="dxa"/>
            <w:right w:w="108" w:type="dxa"/>
          </w:tblCellMar>
        </w:tblPrEx>
        <w:trPr>
          <w:trHeight w:val="495" w:hRule="atLeast"/>
        </w:trPr>
        <w:tc>
          <w:tcPr>
            <w:tcW w:w="589" w:type="dxa"/>
            <w:vMerge w:val="restart"/>
            <w:tcBorders>
              <w:top w:val="single" w:color="auto" w:sz="4" w:space="0"/>
              <w:left w:val="single" w:color="auto" w:sz="4" w:space="0"/>
              <w:bottom w:val="single" w:color="auto" w:sz="4" w:space="0"/>
              <w:right w:val="single" w:color="auto" w:sz="4" w:space="0"/>
            </w:tcBorders>
            <w:vAlign w:val="center"/>
          </w:tcPr>
          <w:p w14:paraId="57C92404">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10</w:t>
            </w:r>
          </w:p>
        </w:tc>
        <w:tc>
          <w:tcPr>
            <w:tcW w:w="1296" w:type="dxa"/>
            <w:vMerge w:val="restart"/>
            <w:tcBorders>
              <w:top w:val="single" w:color="auto" w:sz="4" w:space="0"/>
              <w:left w:val="single" w:color="auto" w:sz="4" w:space="0"/>
              <w:bottom w:val="single" w:color="auto" w:sz="4" w:space="0"/>
              <w:right w:val="single" w:color="auto" w:sz="4" w:space="0"/>
            </w:tcBorders>
            <w:vAlign w:val="center"/>
          </w:tcPr>
          <w:p w14:paraId="0FECCCD6">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A020618生活用电器</w:t>
            </w:r>
          </w:p>
        </w:tc>
        <w:tc>
          <w:tcPr>
            <w:tcW w:w="1776" w:type="dxa"/>
            <w:tcBorders>
              <w:top w:val="single" w:color="auto" w:sz="4" w:space="0"/>
              <w:left w:val="single" w:color="auto" w:sz="4" w:space="0"/>
              <w:bottom w:val="single" w:color="auto" w:sz="4" w:space="0"/>
              <w:right w:val="single" w:color="auto" w:sz="4" w:space="0"/>
            </w:tcBorders>
            <w:vAlign w:val="center"/>
          </w:tcPr>
          <w:p w14:paraId="054E55F9">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A0206180101电冰箱</w:t>
            </w:r>
          </w:p>
        </w:tc>
        <w:tc>
          <w:tcPr>
            <w:tcW w:w="1776" w:type="dxa"/>
            <w:tcBorders>
              <w:top w:val="single" w:color="auto" w:sz="4" w:space="0"/>
              <w:left w:val="single" w:color="auto" w:sz="4" w:space="0"/>
              <w:bottom w:val="single" w:color="auto" w:sz="4" w:space="0"/>
              <w:right w:val="single" w:color="auto" w:sz="4" w:space="0"/>
            </w:tcBorders>
            <w:vAlign w:val="center"/>
          </w:tcPr>
          <w:p w14:paraId="4B125EB9">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4186" w:type="dxa"/>
            <w:tcBorders>
              <w:top w:val="single" w:color="auto" w:sz="4" w:space="0"/>
              <w:left w:val="single" w:color="auto" w:sz="4" w:space="0"/>
              <w:bottom w:val="single" w:color="auto" w:sz="4" w:space="0"/>
              <w:right w:val="single" w:color="auto" w:sz="4" w:space="0"/>
            </w:tcBorders>
            <w:vAlign w:val="center"/>
          </w:tcPr>
          <w:p w14:paraId="6B9DAF6E">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《家用电冰箱耗电量限定值及能效等级》（GB 12021.2）</w:t>
            </w:r>
          </w:p>
        </w:tc>
      </w:tr>
      <w:tr w14:paraId="3806D80C">
        <w:tblPrEx>
          <w:tblCellMar>
            <w:top w:w="0" w:type="dxa"/>
            <w:left w:w="108" w:type="dxa"/>
            <w:bottom w:w="0" w:type="dxa"/>
            <w:right w:w="108" w:type="dxa"/>
          </w:tblCellMar>
        </w:tblPrEx>
        <w:trPr>
          <w:trHeight w:val="975" w:hRule="atLeast"/>
        </w:trPr>
        <w:tc>
          <w:tcPr>
            <w:tcW w:w="589" w:type="dxa"/>
            <w:vMerge w:val="continue"/>
            <w:tcBorders>
              <w:top w:val="single" w:color="auto" w:sz="4" w:space="0"/>
              <w:left w:val="single" w:color="auto" w:sz="4" w:space="0"/>
              <w:bottom w:val="single" w:color="auto" w:sz="4" w:space="0"/>
              <w:right w:val="single" w:color="auto" w:sz="4" w:space="0"/>
            </w:tcBorders>
            <w:vAlign w:val="center"/>
          </w:tcPr>
          <w:p w14:paraId="76885559">
            <w:pPr>
              <w:widowControl/>
              <w:jc w:val="left"/>
              <w:rPr>
                <w:rFonts w:ascii="宋体" w:hAnsi="宋体" w:cs="宋体"/>
                <w:color w:val="auto"/>
                <w:kern w:val="0"/>
                <w:sz w:val="24"/>
                <w:highlight w:val="none"/>
              </w:rPr>
            </w:pPr>
          </w:p>
        </w:tc>
        <w:tc>
          <w:tcPr>
            <w:tcW w:w="1296" w:type="dxa"/>
            <w:vMerge w:val="continue"/>
            <w:tcBorders>
              <w:top w:val="single" w:color="auto" w:sz="4" w:space="0"/>
              <w:left w:val="single" w:color="auto" w:sz="4" w:space="0"/>
              <w:bottom w:val="single" w:color="auto" w:sz="4" w:space="0"/>
              <w:right w:val="single" w:color="auto" w:sz="4" w:space="0"/>
            </w:tcBorders>
            <w:vAlign w:val="center"/>
          </w:tcPr>
          <w:p w14:paraId="72BB24F0">
            <w:pPr>
              <w:widowControl/>
              <w:jc w:val="left"/>
              <w:rPr>
                <w:rFonts w:ascii="宋体" w:hAnsi="宋体" w:cs="宋体"/>
                <w:color w:val="auto"/>
                <w:kern w:val="0"/>
                <w:sz w:val="24"/>
                <w:highlight w:val="none"/>
              </w:rPr>
            </w:pPr>
          </w:p>
        </w:tc>
        <w:tc>
          <w:tcPr>
            <w:tcW w:w="1776" w:type="dxa"/>
            <w:vMerge w:val="restart"/>
            <w:tcBorders>
              <w:top w:val="single" w:color="auto" w:sz="4" w:space="0"/>
              <w:left w:val="single" w:color="auto" w:sz="4" w:space="0"/>
              <w:bottom w:val="single" w:color="auto" w:sz="4" w:space="0"/>
              <w:right w:val="single" w:color="auto" w:sz="4" w:space="0"/>
            </w:tcBorders>
            <w:vAlign w:val="center"/>
          </w:tcPr>
          <w:p w14:paraId="522ACD8E">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★A0206180203空调机</w:t>
            </w:r>
          </w:p>
        </w:tc>
        <w:tc>
          <w:tcPr>
            <w:tcW w:w="1776" w:type="dxa"/>
            <w:tcBorders>
              <w:top w:val="single" w:color="auto" w:sz="4" w:space="0"/>
              <w:left w:val="single" w:color="auto" w:sz="4" w:space="0"/>
              <w:bottom w:val="single" w:color="auto" w:sz="4" w:space="0"/>
              <w:right w:val="single" w:color="auto" w:sz="4" w:space="0"/>
            </w:tcBorders>
            <w:vAlign w:val="center"/>
          </w:tcPr>
          <w:p w14:paraId="16A65E1C">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房间空气调节器</w:t>
            </w:r>
          </w:p>
        </w:tc>
        <w:tc>
          <w:tcPr>
            <w:tcW w:w="4186" w:type="dxa"/>
            <w:tcBorders>
              <w:top w:val="single" w:color="auto" w:sz="4" w:space="0"/>
              <w:left w:val="single" w:color="auto" w:sz="4" w:space="0"/>
              <w:bottom w:val="single" w:color="auto" w:sz="4" w:space="0"/>
              <w:right w:val="single" w:color="auto" w:sz="4" w:space="0"/>
            </w:tcBorders>
            <w:vAlign w:val="center"/>
          </w:tcPr>
          <w:p w14:paraId="76C2487D">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《转速可控型房间空气调节器能效限定值及能效等级》（GB21455-2013），待2019年修订发布后，按《房间空气调节器能效限定值及能效等级》（GB21455-2019实施。</w:t>
            </w:r>
          </w:p>
        </w:tc>
      </w:tr>
      <w:tr w14:paraId="5E747AC4">
        <w:tblPrEx>
          <w:tblCellMar>
            <w:top w:w="0" w:type="dxa"/>
            <w:left w:w="108" w:type="dxa"/>
            <w:bottom w:w="0" w:type="dxa"/>
            <w:right w:w="108" w:type="dxa"/>
          </w:tblCellMar>
        </w:tblPrEx>
        <w:trPr>
          <w:trHeight w:val="735" w:hRule="atLeast"/>
        </w:trPr>
        <w:tc>
          <w:tcPr>
            <w:tcW w:w="589" w:type="dxa"/>
            <w:vMerge w:val="continue"/>
            <w:tcBorders>
              <w:top w:val="single" w:color="auto" w:sz="4" w:space="0"/>
              <w:left w:val="single" w:color="auto" w:sz="4" w:space="0"/>
              <w:bottom w:val="single" w:color="auto" w:sz="4" w:space="0"/>
              <w:right w:val="single" w:color="auto" w:sz="4" w:space="0"/>
            </w:tcBorders>
            <w:vAlign w:val="center"/>
          </w:tcPr>
          <w:p w14:paraId="150A9142">
            <w:pPr>
              <w:widowControl/>
              <w:jc w:val="left"/>
              <w:rPr>
                <w:rFonts w:ascii="宋体" w:hAnsi="宋体" w:cs="宋体"/>
                <w:color w:val="auto"/>
                <w:kern w:val="0"/>
                <w:sz w:val="24"/>
                <w:highlight w:val="none"/>
              </w:rPr>
            </w:pPr>
          </w:p>
        </w:tc>
        <w:tc>
          <w:tcPr>
            <w:tcW w:w="1296" w:type="dxa"/>
            <w:vMerge w:val="continue"/>
            <w:tcBorders>
              <w:top w:val="single" w:color="auto" w:sz="4" w:space="0"/>
              <w:left w:val="single" w:color="auto" w:sz="4" w:space="0"/>
              <w:bottom w:val="single" w:color="auto" w:sz="4" w:space="0"/>
              <w:right w:val="single" w:color="auto" w:sz="4" w:space="0"/>
            </w:tcBorders>
            <w:vAlign w:val="center"/>
          </w:tcPr>
          <w:p w14:paraId="27212347">
            <w:pPr>
              <w:widowControl/>
              <w:jc w:val="left"/>
              <w:rPr>
                <w:rFonts w:ascii="宋体" w:hAnsi="宋体" w:cs="宋体"/>
                <w:color w:val="auto"/>
                <w:kern w:val="0"/>
                <w:sz w:val="24"/>
                <w:highlight w:val="none"/>
              </w:rPr>
            </w:pPr>
          </w:p>
        </w:tc>
        <w:tc>
          <w:tcPr>
            <w:tcW w:w="1776" w:type="dxa"/>
            <w:vMerge w:val="continue"/>
            <w:tcBorders>
              <w:top w:val="single" w:color="auto" w:sz="4" w:space="0"/>
              <w:left w:val="single" w:color="auto" w:sz="4" w:space="0"/>
              <w:bottom w:val="single" w:color="auto" w:sz="4" w:space="0"/>
              <w:right w:val="single" w:color="auto" w:sz="4" w:space="0"/>
            </w:tcBorders>
            <w:vAlign w:val="center"/>
          </w:tcPr>
          <w:p w14:paraId="0D3F9A9A">
            <w:pPr>
              <w:widowControl/>
              <w:jc w:val="left"/>
              <w:rPr>
                <w:rFonts w:ascii="宋体" w:hAnsi="宋体" w:cs="宋体"/>
                <w:color w:val="auto"/>
                <w:kern w:val="0"/>
                <w:sz w:val="24"/>
                <w:highlight w:val="none"/>
              </w:rPr>
            </w:pPr>
          </w:p>
        </w:tc>
        <w:tc>
          <w:tcPr>
            <w:tcW w:w="1776" w:type="dxa"/>
            <w:tcBorders>
              <w:top w:val="single" w:color="auto" w:sz="4" w:space="0"/>
              <w:left w:val="single" w:color="auto" w:sz="4" w:space="0"/>
              <w:bottom w:val="single" w:color="auto" w:sz="4" w:space="0"/>
              <w:right w:val="single" w:color="auto" w:sz="4" w:space="0"/>
            </w:tcBorders>
            <w:vAlign w:val="center"/>
          </w:tcPr>
          <w:p w14:paraId="171FAC7B">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多联式空调（热泵）机组（制冷量≤ 14000W）</w:t>
            </w:r>
          </w:p>
        </w:tc>
        <w:tc>
          <w:tcPr>
            <w:tcW w:w="4186" w:type="dxa"/>
            <w:tcBorders>
              <w:top w:val="single" w:color="auto" w:sz="4" w:space="0"/>
              <w:left w:val="single" w:color="auto" w:sz="4" w:space="0"/>
              <w:bottom w:val="single" w:color="auto" w:sz="4" w:space="0"/>
              <w:right w:val="single" w:color="auto" w:sz="4" w:space="0"/>
            </w:tcBorders>
            <w:vAlign w:val="center"/>
          </w:tcPr>
          <w:p w14:paraId="41C2B3C1">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《多联式空调（热泵）机组能效限定值及能源效率等级》（GB21454）</w:t>
            </w:r>
          </w:p>
        </w:tc>
      </w:tr>
      <w:tr w14:paraId="63C953EF">
        <w:tblPrEx>
          <w:tblCellMar>
            <w:top w:w="0" w:type="dxa"/>
            <w:left w:w="108" w:type="dxa"/>
            <w:bottom w:w="0" w:type="dxa"/>
            <w:right w:w="108" w:type="dxa"/>
          </w:tblCellMar>
        </w:tblPrEx>
        <w:trPr>
          <w:trHeight w:val="735" w:hRule="atLeast"/>
        </w:trPr>
        <w:tc>
          <w:tcPr>
            <w:tcW w:w="589" w:type="dxa"/>
            <w:vMerge w:val="continue"/>
            <w:tcBorders>
              <w:top w:val="single" w:color="auto" w:sz="4" w:space="0"/>
              <w:left w:val="single" w:color="auto" w:sz="4" w:space="0"/>
              <w:bottom w:val="single" w:color="auto" w:sz="4" w:space="0"/>
              <w:right w:val="single" w:color="auto" w:sz="4" w:space="0"/>
            </w:tcBorders>
            <w:vAlign w:val="center"/>
          </w:tcPr>
          <w:p w14:paraId="5D64181C">
            <w:pPr>
              <w:widowControl/>
              <w:jc w:val="left"/>
              <w:rPr>
                <w:rFonts w:ascii="宋体" w:hAnsi="宋体" w:cs="宋体"/>
                <w:color w:val="auto"/>
                <w:kern w:val="0"/>
                <w:sz w:val="24"/>
                <w:highlight w:val="none"/>
              </w:rPr>
            </w:pPr>
          </w:p>
        </w:tc>
        <w:tc>
          <w:tcPr>
            <w:tcW w:w="1296" w:type="dxa"/>
            <w:vMerge w:val="continue"/>
            <w:tcBorders>
              <w:top w:val="single" w:color="auto" w:sz="4" w:space="0"/>
              <w:left w:val="single" w:color="auto" w:sz="4" w:space="0"/>
              <w:bottom w:val="single" w:color="auto" w:sz="4" w:space="0"/>
              <w:right w:val="single" w:color="auto" w:sz="4" w:space="0"/>
            </w:tcBorders>
            <w:vAlign w:val="center"/>
          </w:tcPr>
          <w:p w14:paraId="51835874">
            <w:pPr>
              <w:widowControl/>
              <w:jc w:val="left"/>
              <w:rPr>
                <w:rFonts w:ascii="宋体" w:hAnsi="宋体" w:cs="宋体"/>
                <w:color w:val="auto"/>
                <w:kern w:val="0"/>
                <w:sz w:val="24"/>
                <w:highlight w:val="none"/>
              </w:rPr>
            </w:pPr>
          </w:p>
        </w:tc>
        <w:tc>
          <w:tcPr>
            <w:tcW w:w="1776" w:type="dxa"/>
            <w:vMerge w:val="continue"/>
            <w:tcBorders>
              <w:top w:val="single" w:color="auto" w:sz="4" w:space="0"/>
              <w:left w:val="single" w:color="auto" w:sz="4" w:space="0"/>
              <w:bottom w:val="single" w:color="auto" w:sz="4" w:space="0"/>
              <w:right w:val="single" w:color="auto" w:sz="4" w:space="0"/>
            </w:tcBorders>
            <w:vAlign w:val="center"/>
          </w:tcPr>
          <w:p w14:paraId="3DDB3C96">
            <w:pPr>
              <w:widowControl/>
              <w:jc w:val="left"/>
              <w:rPr>
                <w:rFonts w:ascii="宋体" w:hAnsi="宋体" w:cs="宋体"/>
                <w:color w:val="auto"/>
                <w:kern w:val="0"/>
                <w:sz w:val="24"/>
                <w:highlight w:val="none"/>
              </w:rPr>
            </w:pPr>
          </w:p>
        </w:tc>
        <w:tc>
          <w:tcPr>
            <w:tcW w:w="1776" w:type="dxa"/>
            <w:tcBorders>
              <w:top w:val="single" w:color="auto" w:sz="4" w:space="0"/>
              <w:left w:val="single" w:color="auto" w:sz="4" w:space="0"/>
              <w:bottom w:val="single" w:color="auto" w:sz="4" w:space="0"/>
              <w:right w:val="single" w:color="auto" w:sz="4" w:space="0"/>
            </w:tcBorders>
            <w:vAlign w:val="center"/>
          </w:tcPr>
          <w:p w14:paraId="5E2327F7">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单元式空气调节机(制冷量≤14000W)</w:t>
            </w:r>
          </w:p>
        </w:tc>
        <w:tc>
          <w:tcPr>
            <w:tcW w:w="4186" w:type="dxa"/>
            <w:tcBorders>
              <w:top w:val="single" w:color="auto" w:sz="4" w:space="0"/>
              <w:left w:val="single" w:color="auto" w:sz="4" w:space="0"/>
              <w:bottom w:val="single" w:color="auto" w:sz="4" w:space="0"/>
              <w:right w:val="single" w:color="auto" w:sz="4" w:space="0"/>
            </w:tcBorders>
            <w:vAlign w:val="center"/>
          </w:tcPr>
          <w:p w14:paraId="58B6FF95">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《单元式空气调节机能效限定值及能源效率等级》（GB19576）《风管送风式空调机组能效限定值及能效等级》（GB37479）</w:t>
            </w:r>
          </w:p>
        </w:tc>
      </w:tr>
      <w:tr w14:paraId="6B8CC711">
        <w:tblPrEx>
          <w:tblCellMar>
            <w:top w:w="0" w:type="dxa"/>
            <w:left w:w="108" w:type="dxa"/>
            <w:bottom w:w="0" w:type="dxa"/>
            <w:right w:w="108" w:type="dxa"/>
          </w:tblCellMar>
        </w:tblPrEx>
        <w:trPr>
          <w:trHeight w:val="495" w:hRule="atLeast"/>
        </w:trPr>
        <w:tc>
          <w:tcPr>
            <w:tcW w:w="589" w:type="dxa"/>
            <w:vMerge w:val="continue"/>
            <w:tcBorders>
              <w:top w:val="single" w:color="auto" w:sz="4" w:space="0"/>
              <w:left w:val="single" w:color="auto" w:sz="4" w:space="0"/>
              <w:bottom w:val="single" w:color="auto" w:sz="4" w:space="0"/>
              <w:right w:val="single" w:color="auto" w:sz="4" w:space="0"/>
            </w:tcBorders>
            <w:vAlign w:val="center"/>
          </w:tcPr>
          <w:p w14:paraId="361D2133">
            <w:pPr>
              <w:widowControl/>
              <w:jc w:val="left"/>
              <w:rPr>
                <w:rFonts w:ascii="宋体" w:hAnsi="宋体" w:cs="宋体"/>
                <w:color w:val="auto"/>
                <w:kern w:val="0"/>
                <w:sz w:val="24"/>
                <w:highlight w:val="none"/>
              </w:rPr>
            </w:pPr>
          </w:p>
        </w:tc>
        <w:tc>
          <w:tcPr>
            <w:tcW w:w="1296" w:type="dxa"/>
            <w:vMerge w:val="continue"/>
            <w:tcBorders>
              <w:top w:val="single" w:color="auto" w:sz="4" w:space="0"/>
              <w:left w:val="single" w:color="auto" w:sz="4" w:space="0"/>
              <w:bottom w:val="single" w:color="auto" w:sz="4" w:space="0"/>
              <w:right w:val="single" w:color="auto" w:sz="4" w:space="0"/>
            </w:tcBorders>
            <w:vAlign w:val="center"/>
          </w:tcPr>
          <w:p w14:paraId="70D29604">
            <w:pPr>
              <w:widowControl/>
              <w:jc w:val="left"/>
              <w:rPr>
                <w:rFonts w:ascii="宋体" w:hAnsi="宋体" w:cs="宋体"/>
                <w:color w:val="auto"/>
                <w:kern w:val="0"/>
                <w:sz w:val="24"/>
                <w:highlight w:val="none"/>
              </w:rPr>
            </w:pPr>
          </w:p>
        </w:tc>
        <w:tc>
          <w:tcPr>
            <w:tcW w:w="1776" w:type="dxa"/>
            <w:tcBorders>
              <w:top w:val="single" w:color="auto" w:sz="4" w:space="0"/>
              <w:left w:val="single" w:color="auto" w:sz="4" w:space="0"/>
              <w:bottom w:val="single" w:color="auto" w:sz="4" w:space="0"/>
              <w:right w:val="single" w:color="auto" w:sz="4" w:space="0"/>
            </w:tcBorders>
            <w:vAlign w:val="center"/>
          </w:tcPr>
          <w:p w14:paraId="3D8EEEB0">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A0206180301洗衣机</w:t>
            </w:r>
          </w:p>
        </w:tc>
        <w:tc>
          <w:tcPr>
            <w:tcW w:w="1776" w:type="dxa"/>
            <w:tcBorders>
              <w:top w:val="single" w:color="auto" w:sz="4" w:space="0"/>
              <w:left w:val="single" w:color="auto" w:sz="4" w:space="0"/>
              <w:bottom w:val="single" w:color="auto" w:sz="4" w:space="0"/>
              <w:right w:val="single" w:color="auto" w:sz="4" w:space="0"/>
            </w:tcBorders>
            <w:vAlign w:val="center"/>
          </w:tcPr>
          <w:p w14:paraId="39CF267D">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4186" w:type="dxa"/>
            <w:tcBorders>
              <w:top w:val="single" w:color="auto" w:sz="4" w:space="0"/>
              <w:left w:val="single" w:color="auto" w:sz="4" w:space="0"/>
              <w:bottom w:val="single" w:color="auto" w:sz="4" w:space="0"/>
              <w:right w:val="single" w:color="auto" w:sz="4" w:space="0"/>
            </w:tcBorders>
            <w:vAlign w:val="center"/>
          </w:tcPr>
          <w:p w14:paraId="08F5EAAB">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《电动洗衣机能效水效限定值及等级》（GB12021.4）</w:t>
            </w:r>
          </w:p>
        </w:tc>
      </w:tr>
      <w:tr w14:paraId="5B9835CD">
        <w:tblPrEx>
          <w:tblCellMar>
            <w:top w:w="0" w:type="dxa"/>
            <w:left w:w="108" w:type="dxa"/>
            <w:bottom w:w="0" w:type="dxa"/>
            <w:right w:w="108" w:type="dxa"/>
          </w:tblCellMar>
        </w:tblPrEx>
        <w:trPr>
          <w:trHeight w:val="495" w:hRule="atLeast"/>
        </w:trPr>
        <w:tc>
          <w:tcPr>
            <w:tcW w:w="589" w:type="dxa"/>
            <w:vMerge w:val="continue"/>
            <w:tcBorders>
              <w:top w:val="single" w:color="auto" w:sz="4" w:space="0"/>
              <w:left w:val="single" w:color="auto" w:sz="4" w:space="0"/>
              <w:bottom w:val="single" w:color="auto" w:sz="4" w:space="0"/>
              <w:right w:val="single" w:color="auto" w:sz="4" w:space="0"/>
            </w:tcBorders>
            <w:vAlign w:val="center"/>
          </w:tcPr>
          <w:p w14:paraId="121C1F0A">
            <w:pPr>
              <w:widowControl/>
              <w:jc w:val="left"/>
              <w:rPr>
                <w:rFonts w:ascii="宋体" w:hAnsi="宋体" w:cs="宋体"/>
                <w:color w:val="auto"/>
                <w:kern w:val="0"/>
                <w:sz w:val="24"/>
                <w:highlight w:val="none"/>
              </w:rPr>
            </w:pPr>
          </w:p>
        </w:tc>
        <w:tc>
          <w:tcPr>
            <w:tcW w:w="1296" w:type="dxa"/>
            <w:vMerge w:val="continue"/>
            <w:tcBorders>
              <w:top w:val="single" w:color="auto" w:sz="4" w:space="0"/>
              <w:left w:val="single" w:color="auto" w:sz="4" w:space="0"/>
              <w:bottom w:val="single" w:color="auto" w:sz="4" w:space="0"/>
              <w:right w:val="single" w:color="auto" w:sz="4" w:space="0"/>
            </w:tcBorders>
            <w:vAlign w:val="center"/>
          </w:tcPr>
          <w:p w14:paraId="5524A943">
            <w:pPr>
              <w:widowControl/>
              <w:jc w:val="left"/>
              <w:rPr>
                <w:rFonts w:ascii="宋体" w:hAnsi="宋体" w:cs="宋体"/>
                <w:color w:val="auto"/>
                <w:kern w:val="0"/>
                <w:sz w:val="24"/>
                <w:highlight w:val="none"/>
              </w:rPr>
            </w:pPr>
          </w:p>
        </w:tc>
        <w:tc>
          <w:tcPr>
            <w:tcW w:w="1776" w:type="dxa"/>
            <w:vMerge w:val="restart"/>
            <w:tcBorders>
              <w:top w:val="single" w:color="auto" w:sz="4" w:space="0"/>
              <w:left w:val="single" w:color="auto" w:sz="4" w:space="0"/>
              <w:bottom w:val="single" w:color="auto" w:sz="4" w:space="0"/>
              <w:right w:val="single" w:color="auto" w:sz="4" w:space="0"/>
            </w:tcBorders>
            <w:vAlign w:val="center"/>
          </w:tcPr>
          <w:p w14:paraId="1DFC7E7D">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A02061808热水器</w:t>
            </w:r>
          </w:p>
        </w:tc>
        <w:tc>
          <w:tcPr>
            <w:tcW w:w="1776" w:type="dxa"/>
            <w:tcBorders>
              <w:top w:val="single" w:color="auto" w:sz="4" w:space="0"/>
              <w:left w:val="single" w:color="auto" w:sz="4" w:space="0"/>
              <w:bottom w:val="single" w:color="auto" w:sz="4" w:space="0"/>
              <w:right w:val="single" w:color="auto" w:sz="4" w:space="0"/>
            </w:tcBorders>
            <w:vAlign w:val="center"/>
          </w:tcPr>
          <w:p w14:paraId="2CF97892">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★电热水器</w:t>
            </w:r>
          </w:p>
        </w:tc>
        <w:tc>
          <w:tcPr>
            <w:tcW w:w="4186" w:type="dxa"/>
            <w:tcBorders>
              <w:top w:val="single" w:color="auto" w:sz="4" w:space="0"/>
              <w:left w:val="single" w:color="auto" w:sz="4" w:space="0"/>
              <w:bottom w:val="single" w:color="auto" w:sz="4" w:space="0"/>
              <w:right w:val="single" w:color="auto" w:sz="4" w:space="0"/>
            </w:tcBorders>
            <w:vAlign w:val="center"/>
          </w:tcPr>
          <w:p w14:paraId="6FCA7919">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《储水式电热水器能效限定值及能效等级》（GB21519）</w:t>
            </w:r>
          </w:p>
        </w:tc>
      </w:tr>
      <w:tr w14:paraId="372C1010">
        <w:tblPrEx>
          <w:tblCellMar>
            <w:top w:w="0" w:type="dxa"/>
            <w:left w:w="108" w:type="dxa"/>
            <w:bottom w:w="0" w:type="dxa"/>
            <w:right w:w="108" w:type="dxa"/>
          </w:tblCellMar>
        </w:tblPrEx>
        <w:trPr>
          <w:trHeight w:val="495" w:hRule="atLeast"/>
        </w:trPr>
        <w:tc>
          <w:tcPr>
            <w:tcW w:w="589" w:type="dxa"/>
            <w:vMerge w:val="continue"/>
            <w:tcBorders>
              <w:top w:val="single" w:color="auto" w:sz="4" w:space="0"/>
              <w:left w:val="single" w:color="auto" w:sz="4" w:space="0"/>
              <w:bottom w:val="single" w:color="auto" w:sz="4" w:space="0"/>
              <w:right w:val="single" w:color="auto" w:sz="4" w:space="0"/>
            </w:tcBorders>
            <w:vAlign w:val="center"/>
          </w:tcPr>
          <w:p w14:paraId="172E290B">
            <w:pPr>
              <w:widowControl/>
              <w:jc w:val="left"/>
              <w:rPr>
                <w:rFonts w:ascii="宋体" w:hAnsi="宋体" w:cs="宋体"/>
                <w:color w:val="auto"/>
                <w:kern w:val="0"/>
                <w:sz w:val="24"/>
                <w:highlight w:val="none"/>
              </w:rPr>
            </w:pPr>
          </w:p>
        </w:tc>
        <w:tc>
          <w:tcPr>
            <w:tcW w:w="1296" w:type="dxa"/>
            <w:vMerge w:val="continue"/>
            <w:tcBorders>
              <w:top w:val="single" w:color="auto" w:sz="4" w:space="0"/>
              <w:left w:val="single" w:color="auto" w:sz="4" w:space="0"/>
              <w:bottom w:val="single" w:color="auto" w:sz="4" w:space="0"/>
              <w:right w:val="single" w:color="auto" w:sz="4" w:space="0"/>
            </w:tcBorders>
            <w:vAlign w:val="center"/>
          </w:tcPr>
          <w:p w14:paraId="7A6AED73">
            <w:pPr>
              <w:widowControl/>
              <w:jc w:val="left"/>
              <w:rPr>
                <w:rFonts w:ascii="宋体" w:hAnsi="宋体" w:cs="宋体"/>
                <w:color w:val="auto"/>
                <w:kern w:val="0"/>
                <w:sz w:val="24"/>
                <w:highlight w:val="none"/>
              </w:rPr>
            </w:pPr>
          </w:p>
        </w:tc>
        <w:tc>
          <w:tcPr>
            <w:tcW w:w="1776" w:type="dxa"/>
            <w:vMerge w:val="continue"/>
            <w:tcBorders>
              <w:top w:val="single" w:color="auto" w:sz="4" w:space="0"/>
              <w:left w:val="single" w:color="auto" w:sz="4" w:space="0"/>
              <w:bottom w:val="single" w:color="auto" w:sz="4" w:space="0"/>
              <w:right w:val="single" w:color="auto" w:sz="4" w:space="0"/>
            </w:tcBorders>
            <w:vAlign w:val="center"/>
          </w:tcPr>
          <w:p w14:paraId="488E1C7A">
            <w:pPr>
              <w:widowControl/>
              <w:jc w:val="left"/>
              <w:rPr>
                <w:rFonts w:ascii="宋体" w:hAnsi="宋体" w:cs="宋体"/>
                <w:color w:val="auto"/>
                <w:kern w:val="0"/>
                <w:sz w:val="24"/>
                <w:highlight w:val="none"/>
              </w:rPr>
            </w:pPr>
          </w:p>
        </w:tc>
        <w:tc>
          <w:tcPr>
            <w:tcW w:w="1776" w:type="dxa"/>
            <w:tcBorders>
              <w:top w:val="single" w:color="auto" w:sz="4" w:space="0"/>
              <w:left w:val="single" w:color="auto" w:sz="4" w:space="0"/>
              <w:bottom w:val="single" w:color="auto" w:sz="4" w:space="0"/>
              <w:right w:val="single" w:color="auto" w:sz="4" w:space="0"/>
            </w:tcBorders>
            <w:vAlign w:val="center"/>
          </w:tcPr>
          <w:p w14:paraId="016A0C21">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燃气热水器</w:t>
            </w:r>
          </w:p>
        </w:tc>
        <w:tc>
          <w:tcPr>
            <w:tcW w:w="4186" w:type="dxa"/>
            <w:tcBorders>
              <w:top w:val="single" w:color="auto" w:sz="4" w:space="0"/>
              <w:left w:val="single" w:color="auto" w:sz="4" w:space="0"/>
              <w:bottom w:val="single" w:color="auto" w:sz="4" w:space="0"/>
              <w:right w:val="single" w:color="auto" w:sz="4" w:space="0"/>
            </w:tcBorders>
            <w:vAlign w:val="center"/>
          </w:tcPr>
          <w:p w14:paraId="10040D44">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《家用燃气快速热水器和燃气采暖热水炉能效限定值及能效等级》（GB20665）</w:t>
            </w:r>
          </w:p>
        </w:tc>
      </w:tr>
      <w:tr w14:paraId="481991DD">
        <w:tblPrEx>
          <w:tblCellMar>
            <w:top w:w="0" w:type="dxa"/>
            <w:left w:w="108" w:type="dxa"/>
            <w:bottom w:w="0" w:type="dxa"/>
            <w:right w:w="108" w:type="dxa"/>
          </w:tblCellMar>
        </w:tblPrEx>
        <w:trPr>
          <w:trHeight w:val="495" w:hRule="atLeast"/>
        </w:trPr>
        <w:tc>
          <w:tcPr>
            <w:tcW w:w="589" w:type="dxa"/>
            <w:vMerge w:val="continue"/>
            <w:tcBorders>
              <w:top w:val="single" w:color="auto" w:sz="4" w:space="0"/>
              <w:left w:val="single" w:color="auto" w:sz="4" w:space="0"/>
              <w:bottom w:val="single" w:color="auto" w:sz="4" w:space="0"/>
              <w:right w:val="single" w:color="auto" w:sz="4" w:space="0"/>
            </w:tcBorders>
            <w:vAlign w:val="center"/>
          </w:tcPr>
          <w:p w14:paraId="51BB87C4">
            <w:pPr>
              <w:widowControl/>
              <w:jc w:val="left"/>
              <w:rPr>
                <w:rFonts w:ascii="宋体" w:hAnsi="宋体" w:cs="宋体"/>
                <w:color w:val="auto"/>
                <w:kern w:val="0"/>
                <w:sz w:val="24"/>
                <w:highlight w:val="none"/>
              </w:rPr>
            </w:pPr>
          </w:p>
        </w:tc>
        <w:tc>
          <w:tcPr>
            <w:tcW w:w="1296" w:type="dxa"/>
            <w:vMerge w:val="continue"/>
            <w:tcBorders>
              <w:top w:val="single" w:color="auto" w:sz="4" w:space="0"/>
              <w:left w:val="single" w:color="auto" w:sz="4" w:space="0"/>
              <w:bottom w:val="single" w:color="auto" w:sz="4" w:space="0"/>
              <w:right w:val="single" w:color="auto" w:sz="4" w:space="0"/>
            </w:tcBorders>
            <w:vAlign w:val="center"/>
          </w:tcPr>
          <w:p w14:paraId="41596248">
            <w:pPr>
              <w:widowControl/>
              <w:jc w:val="left"/>
              <w:rPr>
                <w:rFonts w:ascii="宋体" w:hAnsi="宋体" w:cs="宋体"/>
                <w:color w:val="auto"/>
                <w:kern w:val="0"/>
                <w:sz w:val="24"/>
                <w:highlight w:val="none"/>
              </w:rPr>
            </w:pPr>
          </w:p>
        </w:tc>
        <w:tc>
          <w:tcPr>
            <w:tcW w:w="1776" w:type="dxa"/>
            <w:vMerge w:val="continue"/>
            <w:tcBorders>
              <w:top w:val="single" w:color="auto" w:sz="4" w:space="0"/>
              <w:left w:val="single" w:color="auto" w:sz="4" w:space="0"/>
              <w:bottom w:val="single" w:color="auto" w:sz="4" w:space="0"/>
              <w:right w:val="single" w:color="auto" w:sz="4" w:space="0"/>
            </w:tcBorders>
            <w:vAlign w:val="center"/>
          </w:tcPr>
          <w:p w14:paraId="0B31EA8F">
            <w:pPr>
              <w:widowControl/>
              <w:jc w:val="left"/>
              <w:rPr>
                <w:rFonts w:ascii="宋体" w:hAnsi="宋体" w:cs="宋体"/>
                <w:color w:val="auto"/>
                <w:kern w:val="0"/>
                <w:sz w:val="24"/>
                <w:highlight w:val="none"/>
              </w:rPr>
            </w:pPr>
          </w:p>
        </w:tc>
        <w:tc>
          <w:tcPr>
            <w:tcW w:w="1776" w:type="dxa"/>
            <w:tcBorders>
              <w:top w:val="single" w:color="auto" w:sz="4" w:space="0"/>
              <w:left w:val="single" w:color="auto" w:sz="4" w:space="0"/>
              <w:bottom w:val="single" w:color="auto" w:sz="4" w:space="0"/>
              <w:right w:val="single" w:color="auto" w:sz="4" w:space="0"/>
            </w:tcBorders>
            <w:vAlign w:val="center"/>
          </w:tcPr>
          <w:p w14:paraId="75771F7E">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热泵热水器</w:t>
            </w:r>
          </w:p>
        </w:tc>
        <w:tc>
          <w:tcPr>
            <w:tcW w:w="4186" w:type="dxa"/>
            <w:tcBorders>
              <w:top w:val="single" w:color="auto" w:sz="4" w:space="0"/>
              <w:left w:val="single" w:color="auto" w:sz="4" w:space="0"/>
              <w:bottom w:val="single" w:color="auto" w:sz="4" w:space="0"/>
              <w:right w:val="single" w:color="auto" w:sz="4" w:space="0"/>
            </w:tcBorders>
            <w:vAlign w:val="center"/>
          </w:tcPr>
          <w:p w14:paraId="341D9AE2">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《热泵热水机（器）能效限定值及能效等级》（GB29541）</w:t>
            </w:r>
          </w:p>
        </w:tc>
      </w:tr>
      <w:tr w14:paraId="4A3CD6A0">
        <w:tblPrEx>
          <w:tblCellMar>
            <w:top w:w="0" w:type="dxa"/>
            <w:left w:w="108" w:type="dxa"/>
            <w:bottom w:w="0" w:type="dxa"/>
            <w:right w:w="108" w:type="dxa"/>
          </w:tblCellMar>
        </w:tblPrEx>
        <w:trPr>
          <w:trHeight w:val="495" w:hRule="atLeast"/>
        </w:trPr>
        <w:tc>
          <w:tcPr>
            <w:tcW w:w="589" w:type="dxa"/>
            <w:vMerge w:val="continue"/>
            <w:tcBorders>
              <w:top w:val="single" w:color="auto" w:sz="4" w:space="0"/>
              <w:left w:val="single" w:color="auto" w:sz="4" w:space="0"/>
              <w:bottom w:val="single" w:color="auto" w:sz="4" w:space="0"/>
              <w:right w:val="single" w:color="auto" w:sz="4" w:space="0"/>
            </w:tcBorders>
            <w:vAlign w:val="center"/>
          </w:tcPr>
          <w:p w14:paraId="14F741D0">
            <w:pPr>
              <w:widowControl/>
              <w:jc w:val="left"/>
              <w:rPr>
                <w:rFonts w:ascii="宋体" w:hAnsi="宋体" w:cs="宋体"/>
                <w:color w:val="auto"/>
                <w:kern w:val="0"/>
                <w:sz w:val="24"/>
                <w:highlight w:val="none"/>
              </w:rPr>
            </w:pPr>
          </w:p>
        </w:tc>
        <w:tc>
          <w:tcPr>
            <w:tcW w:w="1296" w:type="dxa"/>
            <w:vMerge w:val="continue"/>
            <w:tcBorders>
              <w:top w:val="single" w:color="auto" w:sz="4" w:space="0"/>
              <w:left w:val="single" w:color="auto" w:sz="4" w:space="0"/>
              <w:bottom w:val="single" w:color="auto" w:sz="4" w:space="0"/>
              <w:right w:val="single" w:color="auto" w:sz="4" w:space="0"/>
            </w:tcBorders>
            <w:vAlign w:val="center"/>
          </w:tcPr>
          <w:p w14:paraId="0E5EB731">
            <w:pPr>
              <w:widowControl/>
              <w:jc w:val="left"/>
              <w:rPr>
                <w:rFonts w:ascii="宋体" w:hAnsi="宋体" w:cs="宋体"/>
                <w:color w:val="auto"/>
                <w:kern w:val="0"/>
                <w:sz w:val="24"/>
                <w:highlight w:val="none"/>
              </w:rPr>
            </w:pPr>
          </w:p>
        </w:tc>
        <w:tc>
          <w:tcPr>
            <w:tcW w:w="1776" w:type="dxa"/>
            <w:vMerge w:val="continue"/>
            <w:tcBorders>
              <w:top w:val="single" w:color="auto" w:sz="4" w:space="0"/>
              <w:left w:val="single" w:color="auto" w:sz="4" w:space="0"/>
              <w:bottom w:val="single" w:color="auto" w:sz="4" w:space="0"/>
              <w:right w:val="single" w:color="auto" w:sz="4" w:space="0"/>
            </w:tcBorders>
            <w:vAlign w:val="center"/>
          </w:tcPr>
          <w:p w14:paraId="40EC346B">
            <w:pPr>
              <w:widowControl/>
              <w:jc w:val="left"/>
              <w:rPr>
                <w:rFonts w:ascii="宋体" w:hAnsi="宋体" w:cs="宋体"/>
                <w:color w:val="auto"/>
                <w:kern w:val="0"/>
                <w:sz w:val="24"/>
                <w:highlight w:val="none"/>
              </w:rPr>
            </w:pPr>
          </w:p>
        </w:tc>
        <w:tc>
          <w:tcPr>
            <w:tcW w:w="1776" w:type="dxa"/>
            <w:tcBorders>
              <w:top w:val="single" w:color="auto" w:sz="4" w:space="0"/>
              <w:left w:val="single" w:color="auto" w:sz="4" w:space="0"/>
              <w:bottom w:val="single" w:color="auto" w:sz="4" w:space="0"/>
              <w:right w:val="single" w:color="auto" w:sz="4" w:space="0"/>
            </w:tcBorders>
            <w:vAlign w:val="center"/>
          </w:tcPr>
          <w:p w14:paraId="0C0CFF07">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太阳能热水系统</w:t>
            </w:r>
          </w:p>
        </w:tc>
        <w:tc>
          <w:tcPr>
            <w:tcW w:w="4186" w:type="dxa"/>
            <w:tcBorders>
              <w:top w:val="single" w:color="auto" w:sz="4" w:space="0"/>
              <w:left w:val="single" w:color="auto" w:sz="4" w:space="0"/>
              <w:bottom w:val="single" w:color="auto" w:sz="4" w:space="0"/>
              <w:right w:val="single" w:color="auto" w:sz="4" w:space="0"/>
            </w:tcBorders>
            <w:vAlign w:val="center"/>
          </w:tcPr>
          <w:p w14:paraId="250C23CE">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《家用太阳能热水系统能效限定值及能效等级》（GB26969）</w:t>
            </w:r>
          </w:p>
        </w:tc>
      </w:tr>
      <w:tr w14:paraId="23125719">
        <w:tblPrEx>
          <w:tblCellMar>
            <w:top w:w="0" w:type="dxa"/>
            <w:left w:w="108" w:type="dxa"/>
            <w:bottom w:w="0" w:type="dxa"/>
            <w:right w:w="108" w:type="dxa"/>
          </w:tblCellMar>
        </w:tblPrEx>
        <w:trPr>
          <w:trHeight w:val="495" w:hRule="atLeast"/>
        </w:trPr>
        <w:tc>
          <w:tcPr>
            <w:tcW w:w="589" w:type="dxa"/>
            <w:vMerge w:val="restart"/>
            <w:tcBorders>
              <w:top w:val="single" w:color="auto" w:sz="4" w:space="0"/>
              <w:left w:val="single" w:color="auto" w:sz="4" w:space="0"/>
              <w:bottom w:val="single" w:color="auto" w:sz="4" w:space="0"/>
              <w:right w:val="single" w:color="auto" w:sz="4" w:space="0"/>
            </w:tcBorders>
            <w:vAlign w:val="center"/>
          </w:tcPr>
          <w:p w14:paraId="361DCAE3">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11</w:t>
            </w:r>
          </w:p>
        </w:tc>
        <w:tc>
          <w:tcPr>
            <w:tcW w:w="1296" w:type="dxa"/>
            <w:vMerge w:val="restart"/>
            <w:tcBorders>
              <w:top w:val="single" w:color="auto" w:sz="4" w:space="0"/>
              <w:left w:val="single" w:color="auto" w:sz="4" w:space="0"/>
              <w:bottom w:val="single" w:color="auto" w:sz="4" w:space="0"/>
              <w:right w:val="single" w:color="auto" w:sz="4" w:space="0"/>
            </w:tcBorders>
            <w:vAlign w:val="center"/>
          </w:tcPr>
          <w:p w14:paraId="7547C3C6">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A020619照明设备</w:t>
            </w:r>
          </w:p>
        </w:tc>
        <w:tc>
          <w:tcPr>
            <w:tcW w:w="1776" w:type="dxa"/>
            <w:tcBorders>
              <w:top w:val="single" w:color="auto" w:sz="4" w:space="0"/>
              <w:left w:val="single" w:color="auto" w:sz="4" w:space="0"/>
              <w:bottom w:val="single" w:color="auto" w:sz="4" w:space="0"/>
              <w:right w:val="single" w:color="auto" w:sz="4" w:space="0"/>
            </w:tcBorders>
            <w:vAlign w:val="center"/>
          </w:tcPr>
          <w:p w14:paraId="12743980">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★普通照明用双端荧光灯</w:t>
            </w:r>
          </w:p>
        </w:tc>
        <w:tc>
          <w:tcPr>
            <w:tcW w:w="1776" w:type="dxa"/>
            <w:tcBorders>
              <w:top w:val="single" w:color="auto" w:sz="4" w:space="0"/>
              <w:left w:val="single" w:color="auto" w:sz="4" w:space="0"/>
              <w:bottom w:val="single" w:color="auto" w:sz="4" w:space="0"/>
              <w:right w:val="single" w:color="auto" w:sz="4" w:space="0"/>
            </w:tcBorders>
            <w:vAlign w:val="center"/>
          </w:tcPr>
          <w:p w14:paraId="42F5BE75">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4186" w:type="dxa"/>
            <w:tcBorders>
              <w:top w:val="single" w:color="auto" w:sz="4" w:space="0"/>
              <w:left w:val="single" w:color="auto" w:sz="4" w:space="0"/>
              <w:bottom w:val="single" w:color="auto" w:sz="4" w:space="0"/>
              <w:right w:val="single" w:color="auto" w:sz="4" w:space="0"/>
            </w:tcBorders>
            <w:vAlign w:val="center"/>
          </w:tcPr>
          <w:p w14:paraId="114F7D53">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《普通照明用双端荧光灯能效限定值及能效等级》（GB19043）</w:t>
            </w:r>
          </w:p>
        </w:tc>
      </w:tr>
      <w:tr w14:paraId="3F732DA9">
        <w:tblPrEx>
          <w:tblCellMar>
            <w:top w:w="0" w:type="dxa"/>
            <w:left w:w="108" w:type="dxa"/>
            <w:bottom w:w="0" w:type="dxa"/>
            <w:right w:w="108" w:type="dxa"/>
          </w:tblCellMar>
        </w:tblPrEx>
        <w:trPr>
          <w:trHeight w:val="495" w:hRule="atLeast"/>
        </w:trPr>
        <w:tc>
          <w:tcPr>
            <w:tcW w:w="589" w:type="dxa"/>
            <w:vMerge w:val="continue"/>
            <w:tcBorders>
              <w:top w:val="single" w:color="auto" w:sz="4" w:space="0"/>
              <w:left w:val="single" w:color="auto" w:sz="4" w:space="0"/>
              <w:bottom w:val="single" w:color="auto" w:sz="4" w:space="0"/>
              <w:right w:val="single" w:color="auto" w:sz="4" w:space="0"/>
            </w:tcBorders>
            <w:vAlign w:val="center"/>
          </w:tcPr>
          <w:p w14:paraId="51E8A0B2">
            <w:pPr>
              <w:widowControl/>
              <w:jc w:val="left"/>
              <w:rPr>
                <w:rFonts w:ascii="宋体" w:hAnsi="宋体" w:cs="宋体"/>
                <w:color w:val="auto"/>
                <w:kern w:val="0"/>
                <w:sz w:val="24"/>
                <w:highlight w:val="none"/>
              </w:rPr>
            </w:pPr>
          </w:p>
        </w:tc>
        <w:tc>
          <w:tcPr>
            <w:tcW w:w="1296" w:type="dxa"/>
            <w:vMerge w:val="continue"/>
            <w:tcBorders>
              <w:top w:val="single" w:color="auto" w:sz="4" w:space="0"/>
              <w:left w:val="single" w:color="auto" w:sz="4" w:space="0"/>
              <w:bottom w:val="single" w:color="auto" w:sz="4" w:space="0"/>
              <w:right w:val="single" w:color="auto" w:sz="4" w:space="0"/>
            </w:tcBorders>
            <w:vAlign w:val="center"/>
          </w:tcPr>
          <w:p w14:paraId="0B5E6AF3">
            <w:pPr>
              <w:widowControl/>
              <w:jc w:val="left"/>
              <w:rPr>
                <w:rFonts w:ascii="宋体" w:hAnsi="宋体" w:cs="宋体"/>
                <w:color w:val="auto"/>
                <w:kern w:val="0"/>
                <w:sz w:val="24"/>
                <w:highlight w:val="none"/>
              </w:rPr>
            </w:pPr>
          </w:p>
        </w:tc>
        <w:tc>
          <w:tcPr>
            <w:tcW w:w="1776" w:type="dxa"/>
            <w:tcBorders>
              <w:top w:val="single" w:color="auto" w:sz="4" w:space="0"/>
              <w:left w:val="single" w:color="auto" w:sz="4" w:space="0"/>
              <w:bottom w:val="single" w:color="auto" w:sz="4" w:space="0"/>
              <w:right w:val="single" w:color="auto" w:sz="4" w:space="0"/>
            </w:tcBorders>
            <w:vAlign w:val="center"/>
          </w:tcPr>
          <w:p w14:paraId="57CF24AA">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LED道路/隧道照明产品</w:t>
            </w:r>
          </w:p>
        </w:tc>
        <w:tc>
          <w:tcPr>
            <w:tcW w:w="1776" w:type="dxa"/>
            <w:tcBorders>
              <w:top w:val="single" w:color="auto" w:sz="4" w:space="0"/>
              <w:left w:val="single" w:color="auto" w:sz="4" w:space="0"/>
              <w:bottom w:val="single" w:color="auto" w:sz="4" w:space="0"/>
              <w:right w:val="single" w:color="auto" w:sz="4" w:space="0"/>
            </w:tcBorders>
            <w:vAlign w:val="center"/>
          </w:tcPr>
          <w:p w14:paraId="3AE70A24">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4186" w:type="dxa"/>
            <w:tcBorders>
              <w:top w:val="single" w:color="auto" w:sz="4" w:space="0"/>
              <w:left w:val="single" w:color="auto" w:sz="4" w:space="0"/>
              <w:bottom w:val="single" w:color="auto" w:sz="4" w:space="0"/>
              <w:right w:val="single" w:color="auto" w:sz="4" w:space="0"/>
            </w:tcBorders>
            <w:vAlign w:val="center"/>
          </w:tcPr>
          <w:p w14:paraId="0601B8C7">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《道路和隧道照明用LED灯具能效限定值及能效等级》（GB37478）</w:t>
            </w:r>
          </w:p>
        </w:tc>
      </w:tr>
      <w:tr w14:paraId="53BAA9AE">
        <w:tblPrEx>
          <w:tblCellMar>
            <w:top w:w="0" w:type="dxa"/>
            <w:left w:w="108" w:type="dxa"/>
            <w:bottom w:w="0" w:type="dxa"/>
            <w:right w:w="108" w:type="dxa"/>
          </w:tblCellMar>
        </w:tblPrEx>
        <w:trPr>
          <w:trHeight w:val="495" w:hRule="atLeast"/>
        </w:trPr>
        <w:tc>
          <w:tcPr>
            <w:tcW w:w="589" w:type="dxa"/>
            <w:vMerge w:val="continue"/>
            <w:tcBorders>
              <w:top w:val="single" w:color="auto" w:sz="4" w:space="0"/>
              <w:left w:val="single" w:color="auto" w:sz="4" w:space="0"/>
              <w:bottom w:val="single" w:color="auto" w:sz="4" w:space="0"/>
              <w:right w:val="single" w:color="auto" w:sz="4" w:space="0"/>
            </w:tcBorders>
            <w:vAlign w:val="center"/>
          </w:tcPr>
          <w:p w14:paraId="5C625E60">
            <w:pPr>
              <w:widowControl/>
              <w:jc w:val="left"/>
              <w:rPr>
                <w:rFonts w:ascii="宋体" w:hAnsi="宋体" w:cs="宋体"/>
                <w:color w:val="auto"/>
                <w:kern w:val="0"/>
                <w:sz w:val="24"/>
                <w:highlight w:val="none"/>
              </w:rPr>
            </w:pPr>
          </w:p>
        </w:tc>
        <w:tc>
          <w:tcPr>
            <w:tcW w:w="1296" w:type="dxa"/>
            <w:vMerge w:val="continue"/>
            <w:tcBorders>
              <w:top w:val="single" w:color="auto" w:sz="4" w:space="0"/>
              <w:left w:val="single" w:color="auto" w:sz="4" w:space="0"/>
              <w:bottom w:val="single" w:color="auto" w:sz="4" w:space="0"/>
              <w:right w:val="single" w:color="auto" w:sz="4" w:space="0"/>
            </w:tcBorders>
            <w:vAlign w:val="center"/>
          </w:tcPr>
          <w:p w14:paraId="61333B98">
            <w:pPr>
              <w:widowControl/>
              <w:jc w:val="left"/>
              <w:rPr>
                <w:rFonts w:ascii="宋体" w:hAnsi="宋体" w:cs="宋体"/>
                <w:color w:val="auto"/>
                <w:kern w:val="0"/>
                <w:sz w:val="24"/>
                <w:highlight w:val="none"/>
              </w:rPr>
            </w:pPr>
          </w:p>
        </w:tc>
        <w:tc>
          <w:tcPr>
            <w:tcW w:w="1776" w:type="dxa"/>
            <w:tcBorders>
              <w:top w:val="single" w:color="auto" w:sz="4" w:space="0"/>
              <w:left w:val="single" w:color="auto" w:sz="4" w:space="0"/>
              <w:bottom w:val="single" w:color="auto" w:sz="4" w:space="0"/>
              <w:right w:val="single" w:color="auto" w:sz="4" w:space="0"/>
            </w:tcBorders>
            <w:vAlign w:val="center"/>
          </w:tcPr>
          <w:p w14:paraId="7A58E2BF">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LED筒灯</w:t>
            </w:r>
          </w:p>
        </w:tc>
        <w:tc>
          <w:tcPr>
            <w:tcW w:w="1776" w:type="dxa"/>
            <w:tcBorders>
              <w:top w:val="single" w:color="auto" w:sz="4" w:space="0"/>
              <w:left w:val="single" w:color="auto" w:sz="4" w:space="0"/>
              <w:bottom w:val="single" w:color="auto" w:sz="4" w:space="0"/>
              <w:right w:val="single" w:color="auto" w:sz="4" w:space="0"/>
            </w:tcBorders>
            <w:vAlign w:val="center"/>
          </w:tcPr>
          <w:p w14:paraId="6EFC30C7">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4186" w:type="dxa"/>
            <w:tcBorders>
              <w:top w:val="single" w:color="auto" w:sz="4" w:space="0"/>
              <w:left w:val="single" w:color="auto" w:sz="4" w:space="0"/>
              <w:bottom w:val="single" w:color="auto" w:sz="4" w:space="0"/>
              <w:right w:val="single" w:color="auto" w:sz="4" w:space="0"/>
            </w:tcBorders>
            <w:vAlign w:val="center"/>
          </w:tcPr>
          <w:p w14:paraId="5F71D74A">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《室内照明用LED产品能效限定值及能效等级》（GB30255）</w:t>
            </w:r>
          </w:p>
        </w:tc>
      </w:tr>
      <w:tr w14:paraId="16207B11">
        <w:tblPrEx>
          <w:tblCellMar>
            <w:top w:w="0" w:type="dxa"/>
            <w:left w:w="108" w:type="dxa"/>
            <w:bottom w:w="0" w:type="dxa"/>
            <w:right w:w="108" w:type="dxa"/>
          </w:tblCellMar>
        </w:tblPrEx>
        <w:trPr>
          <w:trHeight w:val="735" w:hRule="atLeast"/>
        </w:trPr>
        <w:tc>
          <w:tcPr>
            <w:tcW w:w="589" w:type="dxa"/>
            <w:vMerge w:val="continue"/>
            <w:tcBorders>
              <w:top w:val="single" w:color="auto" w:sz="4" w:space="0"/>
              <w:left w:val="single" w:color="auto" w:sz="4" w:space="0"/>
              <w:bottom w:val="single" w:color="auto" w:sz="4" w:space="0"/>
              <w:right w:val="single" w:color="auto" w:sz="4" w:space="0"/>
            </w:tcBorders>
            <w:vAlign w:val="center"/>
          </w:tcPr>
          <w:p w14:paraId="5BA05245">
            <w:pPr>
              <w:widowControl/>
              <w:jc w:val="left"/>
              <w:rPr>
                <w:rFonts w:ascii="宋体" w:hAnsi="宋体" w:cs="宋体"/>
                <w:color w:val="auto"/>
                <w:kern w:val="0"/>
                <w:sz w:val="24"/>
                <w:highlight w:val="none"/>
              </w:rPr>
            </w:pPr>
          </w:p>
        </w:tc>
        <w:tc>
          <w:tcPr>
            <w:tcW w:w="1296" w:type="dxa"/>
            <w:vMerge w:val="continue"/>
            <w:tcBorders>
              <w:top w:val="single" w:color="auto" w:sz="4" w:space="0"/>
              <w:left w:val="single" w:color="auto" w:sz="4" w:space="0"/>
              <w:bottom w:val="single" w:color="auto" w:sz="4" w:space="0"/>
              <w:right w:val="single" w:color="auto" w:sz="4" w:space="0"/>
            </w:tcBorders>
            <w:vAlign w:val="center"/>
          </w:tcPr>
          <w:p w14:paraId="2B16FC92">
            <w:pPr>
              <w:widowControl/>
              <w:jc w:val="left"/>
              <w:rPr>
                <w:rFonts w:ascii="宋体" w:hAnsi="宋体" w:cs="宋体"/>
                <w:color w:val="auto"/>
                <w:kern w:val="0"/>
                <w:sz w:val="24"/>
                <w:highlight w:val="none"/>
              </w:rPr>
            </w:pPr>
          </w:p>
        </w:tc>
        <w:tc>
          <w:tcPr>
            <w:tcW w:w="1776" w:type="dxa"/>
            <w:tcBorders>
              <w:top w:val="single" w:color="auto" w:sz="4" w:space="0"/>
              <w:left w:val="single" w:color="auto" w:sz="4" w:space="0"/>
              <w:bottom w:val="single" w:color="auto" w:sz="4" w:space="0"/>
              <w:right w:val="single" w:color="auto" w:sz="4" w:space="0"/>
            </w:tcBorders>
            <w:vAlign w:val="center"/>
          </w:tcPr>
          <w:p w14:paraId="2F6D2B42">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普通照明用非定向自镇流LED灯</w:t>
            </w:r>
          </w:p>
        </w:tc>
        <w:tc>
          <w:tcPr>
            <w:tcW w:w="1776" w:type="dxa"/>
            <w:tcBorders>
              <w:top w:val="single" w:color="auto" w:sz="4" w:space="0"/>
              <w:left w:val="single" w:color="auto" w:sz="4" w:space="0"/>
              <w:bottom w:val="single" w:color="auto" w:sz="4" w:space="0"/>
              <w:right w:val="single" w:color="auto" w:sz="4" w:space="0"/>
            </w:tcBorders>
            <w:vAlign w:val="center"/>
          </w:tcPr>
          <w:p w14:paraId="77B90C76">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4186" w:type="dxa"/>
            <w:tcBorders>
              <w:top w:val="single" w:color="auto" w:sz="4" w:space="0"/>
              <w:left w:val="single" w:color="auto" w:sz="4" w:space="0"/>
              <w:bottom w:val="single" w:color="auto" w:sz="4" w:space="0"/>
              <w:right w:val="single" w:color="auto" w:sz="4" w:space="0"/>
            </w:tcBorders>
            <w:vAlign w:val="center"/>
          </w:tcPr>
          <w:p w14:paraId="1C9AFAF7">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《室内照明用LED产品能效限定值及能效等级》（GB30255）</w:t>
            </w:r>
          </w:p>
        </w:tc>
      </w:tr>
      <w:tr w14:paraId="0EFC0FF7">
        <w:tblPrEx>
          <w:tblCellMar>
            <w:top w:w="0" w:type="dxa"/>
            <w:left w:w="108" w:type="dxa"/>
            <w:bottom w:w="0" w:type="dxa"/>
            <w:right w:w="108" w:type="dxa"/>
          </w:tblCellMar>
        </w:tblPrEx>
        <w:trPr>
          <w:trHeight w:val="735" w:hRule="atLeast"/>
        </w:trPr>
        <w:tc>
          <w:tcPr>
            <w:tcW w:w="589" w:type="dxa"/>
            <w:tcBorders>
              <w:top w:val="single" w:color="auto" w:sz="4" w:space="0"/>
              <w:left w:val="single" w:color="auto" w:sz="4" w:space="0"/>
              <w:bottom w:val="single" w:color="auto" w:sz="4" w:space="0"/>
              <w:right w:val="single" w:color="auto" w:sz="4" w:space="0"/>
            </w:tcBorders>
            <w:vAlign w:val="center"/>
          </w:tcPr>
          <w:p w14:paraId="4F1D38C5">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12</w:t>
            </w:r>
          </w:p>
        </w:tc>
        <w:tc>
          <w:tcPr>
            <w:tcW w:w="1296" w:type="dxa"/>
            <w:tcBorders>
              <w:top w:val="single" w:color="auto" w:sz="4" w:space="0"/>
              <w:left w:val="single" w:color="auto" w:sz="4" w:space="0"/>
              <w:bottom w:val="single" w:color="auto" w:sz="4" w:space="0"/>
              <w:right w:val="single" w:color="auto" w:sz="4" w:space="0"/>
            </w:tcBorders>
            <w:vAlign w:val="center"/>
          </w:tcPr>
          <w:p w14:paraId="4B758CBE">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★A020910电视设备</w:t>
            </w:r>
          </w:p>
        </w:tc>
        <w:tc>
          <w:tcPr>
            <w:tcW w:w="1776" w:type="dxa"/>
            <w:tcBorders>
              <w:top w:val="single" w:color="auto" w:sz="4" w:space="0"/>
              <w:left w:val="single" w:color="auto" w:sz="4" w:space="0"/>
              <w:bottom w:val="single" w:color="auto" w:sz="4" w:space="0"/>
              <w:right w:val="single" w:color="auto" w:sz="4" w:space="0"/>
            </w:tcBorders>
            <w:vAlign w:val="center"/>
          </w:tcPr>
          <w:p w14:paraId="701B8ED9">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A02091001普通电视设备（电视机）</w:t>
            </w:r>
          </w:p>
        </w:tc>
        <w:tc>
          <w:tcPr>
            <w:tcW w:w="1776" w:type="dxa"/>
            <w:tcBorders>
              <w:top w:val="single" w:color="auto" w:sz="4" w:space="0"/>
              <w:left w:val="single" w:color="auto" w:sz="4" w:space="0"/>
              <w:bottom w:val="single" w:color="auto" w:sz="4" w:space="0"/>
              <w:right w:val="single" w:color="auto" w:sz="4" w:space="0"/>
            </w:tcBorders>
            <w:vAlign w:val="center"/>
          </w:tcPr>
          <w:p w14:paraId="23276494">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4186" w:type="dxa"/>
            <w:tcBorders>
              <w:top w:val="single" w:color="auto" w:sz="4" w:space="0"/>
              <w:left w:val="single" w:color="auto" w:sz="4" w:space="0"/>
              <w:bottom w:val="single" w:color="auto" w:sz="4" w:space="0"/>
              <w:right w:val="single" w:color="auto" w:sz="4" w:space="0"/>
            </w:tcBorders>
            <w:vAlign w:val="center"/>
          </w:tcPr>
          <w:p w14:paraId="7AE6E613">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《平板电视能效限定值及能效等级》（GB24850）</w:t>
            </w:r>
          </w:p>
        </w:tc>
      </w:tr>
      <w:tr w14:paraId="2CF37990">
        <w:tblPrEx>
          <w:tblCellMar>
            <w:top w:w="0" w:type="dxa"/>
            <w:left w:w="108" w:type="dxa"/>
            <w:bottom w:w="0" w:type="dxa"/>
            <w:right w:w="108" w:type="dxa"/>
          </w:tblCellMar>
        </w:tblPrEx>
        <w:trPr>
          <w:trHeight w:val="975" w:hRule="atLeast"/>
        </w:trPr>
        <w:tc>
          <w:tcPr>
            <w:tcW w:w="589" w:type="dxa"/>
            <w:tcBorders>
              <w:top w:val="single" w:color="auto" w:sz="4" w:space="0"/>
              <w:left w:val="single" w:color="auto" w:sz="4" w:space="0"/>
              <w:bottom w:val="single" w:color="auto" w:sz="4" w:space="0"/>
              <w:right w:val="single" w:color="auto" w:sz="4" w:space="0"/>
            </w:tcBorders>
            <w:vAlign w:val="center"/>
          </w:tcPr>
          <w:p w14:paraId="2CD80F30">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13</w:t>
            </w:r>
          </w:p>
        </w:tc>
        <w:tc>
          <w:tcPr>
            <w:tcW w:w="1296" w:type="dxa"/>
            <w:tcBorders>
              <w:top w:val="single" w:color="auto" w:sz="4" w:space="0"/>
              <w:left w:val="single" w:color="auto" w:sz="4" w:space="0"/>
              <w:bottom w:val="single" w:color="auto" w:sz="4" w:space="0"/>
              <w:right w:val="single" w:color="auto" w:sz="4" w:space="0"/>
            </w:tcBorders>
            <w:vAlign w:val="center"/>
          </w:tcPr>
          <w:p w14:paraId="0B413F3B">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★A020911视频设备</w:t>
            </w:r>
          </w:p>
        </w:tc>
        <w:tc>
          <w:tcPr>
            <w:tcW w:w="1776" w:type="dxa"/>
            <w:tcBorders>
              <w:top w:val="single" w:color="auto" w:sz="4" w:space="0"/>
              <w:left w:val="single" w:color="auto" w:sz="4" w:space="0"/>
              <w:bottom w:val="single" w:color="auto" w:sz="4" w:space="0"/>
              <w:right w:val="single" w:color="auto" w:sz="4" w:space="0"/>
            </w:tcBorders>
            <w:vAlign w:val="center"/>
          </w:tcPr>
          <w:p w14:paraId="35CEE9F6">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A02091107视频监控设备</w:t>
            </w:r>
          </w:p>
        </w:tc>
        <w:tc>
          <w:tcPr>
            <w:tcW w:w="1776" w:type="dxa"/>
            <w:tcBorders>
              <w:top w:val="single" w:color="auto" w:sz="4" w:space="0"/>
              <w:left w:val="single" w:color="auto" w:sz="4" w:space="0"/>
              <w:bottom w:val="single" w:color="auto" w:sz="4" w:space="0"/>
              <w:right w:val="single" w:color="auto" w:sz="4" w:space="0"/>
            </w:tcBorders>
            <w:vAlign w:val="center"/>
          </w:tcPr>
          <w:p w14:paraId="071BC7EB">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监视器</w:t>
            </w:r>
          </w:p>
        </w:tc>
        <w:tc>
          <w:tcPr>
            <w:tcW w:w="4186" w:type="dxa"/>
            <w:tcBorders>
              <w:top w:val="single" w:color="auto" w:sz="4" w:space="0"/>
              <w:left w:val="single" w:color="auto" w:sz="4" w:space="0"/>
              <w:bottom w:val="single" w:color="auto" w:sz="4" w:space="0"/>
              <w:right w:val="single" w:color="auto" w:sz="4" w:space="0"/>
            </w:tcBorders>
            <w:vAlign w:val="center"/>
          </w:tcPr>
          <w:p w14:paraId="0310A5E8">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以射频信号为主要信号输入的监视器应符合《平板电视能效限定值及能效等级》（GB24850），以数字信号为主要信号输入的监视器应符合《计算机显示器能效限定值及能效等级》（GB21520）</w:t>
            </w:r>
          </w:p>
        </w:tc>
      </w:tr>
      <w:tr w14:paraId="3F7147E5">
        <w:tblPrEx>
          <w:tblCellMar>
            <w:top w:w="0" w:type="dxa"/>
            <w:left w:w="108" w:type="dxa"/>
            <w:bottom w:w="0" w:type="dxa"/>
            <w:right w:w="108" w:type="dxa"/>
          </w:tblCellMar>
        </w:tblPrEx>
        <w:trPr>
          <w:trHeight w:val="495" w:hRule="atLeast"/>
        </w:trPr>
        <w:tc>
          <w:tcPr>
            <w:tcW w:w="589" w:type="dxa"/>
            <w:tcBorders>
              <w:top w:val="single" w:color="auto" w:sz="4" w:space="0"/>
              <w:left w:val="single" w:color="auto" w:sz="8" w:space="0"/>
              <w:bottom w:val="single" w:color="auto" w:sz="8" w:space="0"/>
              <w:right w:val="single" w:color="auto" w:sz="8" w:space="0"/>
            </w:tcBorders>
            <w:vAlign w:val="center"/>
          </w:tcPr>
          <w:p w14:paraId="226091BA">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14</w:t>
            </w:r>
          </w:p>
        </w:tc>
        <w:tc>
          <w:tcPr>
            <w:tcW w:w="1296" w:type="dxa"/>
            <w:tcBorders>
              <w:top w:val="single" w:color="auto" w:sz="4" w:space="0"/>
              <w:left w:val="nil"/>
              <w:bottom w:val="single" w:color="auto" w:sz="8" w:space="0"/>
              <w:right w:val="single" w:color="auto" w:sz="8" w:space="0"/>
            </w:tcBorders>
            <w:vAlign w:val="center"/>
          </w:tcPr>
          <w:p w14:paraId="4129B1A4">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A031210饮食炊事机械</w:t>
            </w:r>
          </w:p>
        </w:tc>
        <w:tc>
          <w:tcPr>
            <w:tcW w:w="1776" w:type="dxa"/>
            <w:tcBorders>
              <w:top w:val="single" w:color="auto" w:sz="4" w:space="0"/>
              <w:left w:val="nil"/>
              <w:bottom w:val="single" w:color="auto" w:sz="8" w:space="0"/>
              <w:right w:val="single" w:color="auto" w:sz="8" w:space="0"/>
            </w:tcBorders>
            <w:vAlign w:val="center"/>
          </w:tcPr>
          <w:p w14:paraId="640CA47A">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商用燃气灶具</w:t>
            </w:r>
          </w:p>
        </w:tc>
        <w:tc>
          <w:tcPr>
            <w:tcW w:w="1776" w:type="dxa"/>
            <w:tcBorders>
              <w:top w:val="single" w:color="auto" w:sz="4" w:space="0"/>
              <w:left w:val="nil"/>
              <w:bottom w:val="single" w:color="auto" w:sz="8" w:space="0"/>
              <w:right w:val="single" w:color="auto" w:sz="8" w:space="0"/>
            </w:tcBorders>
            <w:vAlign w:val="center"/>
          </w:tcPr>
          <w:p w14:paraId="79AA7B65">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4186" w:type="dxa"/>
            <w:tcBorders>
              <w:top w:val="single" w:color="auto" w:sz="4" w:space="0"/>
              <w:left w:val="nil"/>
              <w:bottom w:val="single" w:color="auto" w:sz="8" w:space="0"/>
              <w:right w:val="single" w:color="auto" w:sz="8" w:space="0"/>
            </w:tcBorders>
            <w:vAlign w:val="center"/>
          </w:tcPr>
          <w:p w14:paraId="680A3D3B">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《商用燃气灶具能效限定值及能效等级》（GB30531）</w:t>
            </w:r>
          </w:p>
        </w:tc>
      </w:tr>
      <w:tr w14:paraId="63EDA868">
        <w:tblPrEx>
          <w:tblCellMar>
            <w:top w:w="0" w:type="dxa"/>
            <w:left w:w="108" w:type="dxa"/>
            <w:bottom w:w="0" w:type="dxa"/>
            <w:right w:w="108" w:type="dxa"/>
          </w:tblCellMar>
        </w:tblPrEx>
        <w:trPr>
          <w:trHeight w:val="285" w:hRule="atLeast"/>
        </w:trPr>
        <w:tc>
          <w:tcPr>
            <w:tcW w:w="589" w:type="dxa"/>
            <w:vMerge w:val="restart"/>
            <w:tcBorders>
              <w:top w:val="nil"/>
              <w:left w:val="single" w:color="auto" w:sz="8" w:space="0"/>
              <w:bottom w:val="single" w:color="auto" w:sz="8" w:space="0"/>
              <w:right w:val="single" w:color="auto" w:sz="8" w:space="0"/>
            </w:tcBorders>
            <w:vAlign w:val="center"/>
          </w:tcPr>
          <w:p w14:paraId="1C274517">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15</w:t>
            </w:r>
          </w:p>
        </w:tc>
        <w:tc>
          <w:tcPr>
            <w:tcW w:w="1296" w:type="dxa"/>
            <w:vMerge w:val="restart"/>
            <w:tcBorders>
              <w:top w:val="nil"/>
              <w:left w:val="single" w:color="auto" w:sz="8" w:space="0"/>
              <w:bottom w:val="single" w:color="000000" w:sz="8" w:space="0"/>
              <w:right w:val="single" w:color="auto" w:sz="8" w:space="0"/>
            </w:tcBorders>
            <w:vAlign w:val="center"/>
          </w:tcPr>
          <w:p w14:paraId="73E2C703">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★A060805便器</w:t>
            </w:r>
          </w:p>
        </w:tc>
        <w:tc>
          <w:tcPr>
            <w:tcW w:w="1776" w:type="dxa"/>
            <w:tcBorders>
              <w:top w:val="nil"/>
              <w:left w:val="nil"/>
              <w:bottom w:val="single" w:color="auto" w:sz="8" w:space="0"/>
              <w:right w:val="single" w:color="auto" w:sz="8" w:space="0"/>
            </w:tcBorders>
            <w:vAlign w:val="center"/>
          </w:tcPr>
          <w:p w14:paraId="723065B2">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坐便器</w:t>
            </w:r>
          </w:p>
        </w:tc>
        <w:tc>
          <w:tcPr>
            <w:tcW w:w="1776" w:type="dxa"/>
            <w:tcBorders>
              <w:top w:val="nil"/>
              <w:left w:val="nil"/>
              <w:bottom w:val="single" w:color="auto" w:sz="8" w:space="0"/>
              <w:right w:val="single" w:color="auto" w:sz="8" w:space="0"/>
            </w:tcBorders>
            <w:vAlign w:val="center"/>
          </w:tcPr>
          <w:p w14:paraId="6EE48DD8">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4186" w:type="dxa"/>
            <w:tcBorders>
              <w:top w:val="nil"/>
              <w:left w:val="nil"/>
              <w:bottom w:val="single" w:color="auto" w:sz="8" w:space="0"/>
              <w:right w:val="single" w:color="auto" w:sz="8" w:space="0"/>
            </w:tcBorders>
            <w:vAlign w:val="center"/>
          </w:tcPr>
          <w:p w14:paraId="3B0B2523">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《坐便器水效限定值及水效等级》（GB25502）</w:t>
            </w:r>
          </w:p>
        </w:tc>
      </w:tr>
      <w:tr w14:paraId="1E525865">
        <w:tblPrEx>
          <w:tblCellMar>
            <w:top w:w="0" w:type="dxa"/>
            <w:left w:w="108" w:type="dxa"/>
            <w:bottom w:w="0" w:type="dxa"/>
            <w:right w:w="108" w:type="dxa"/>
          </w:tblCellMar>
        </w:tblPrEx>
        <w:trPr>
          <w:trHeight w:val="495" w:hRule="atLeast"/>
        </w:trPr>
        <w:tc>
          <w:tcPr>
            <w:tcW w:w="589" w:type="dxa"/>
            <w:vMerge w:val="continue"/>
            <w:tcBorders>
              <w:top w:val="nil"/>
              <w:left w:val="single" w:color="auto" w:sz="8" w:space="0"/>
              <w:bottom w:val="single" w:color="auto" w:sz="8" w:space="0"/>
              <w:right w:val="single" w:color="auto" w:sz="8" w:space="0"/>
            </w:tcBorders>
            <w:vAlign w:val="center"/>
          </w:tcPr>
          <w:p w14:paraId="511D21D5">
            <w:pPr>
              <w:widowControl/>
              <w:jc w:val="left"/>
              <w:rPr>
                <w:rFonts w:ascii="宋体" w:hAnsi="宋体" w:cs="宋体"/>
                <w:color w:val="auto"/>
                <w:kern w:val="0"/>
                <w:sz w:val="24"/>
                <w:highlight w:val="none"/>
              </w:rPr>
            </w:pPr>
          </w:p>
        </w:tc>
        <w:tc>
          <w:tcPr>
            <w:tcW w:w="1296" w:type="dxa"/>
            <w:vMerge w:val="continue"/>
            <w:tcBorders>
              <w:top w:val="nil"/>
              <w:left w:val="single" w:color="auto" w:sz="8" w:space="0"/>
              <w:bottom w:val="single" w:color="000000" w:sz="8" w:space="0"/>
              <w:right w:val="single" w:color="auto" w:sz="8" w:space="0"/>
            </w:tcBorders>
            <w:vAlign w:val="center"/>
          </w:tcPr>
          <w:p w14:paraId="2ACF4373">
            <w:pPr>
              <w:widowControl/>
              <w:jc w:val="left"/>
              <w:rPr>
                <w:rFonts w:ascii="宋体" w:hAnsi="宋体" w:cs="宋体"/>
                <w:color w:val="auto"/>
                <w:kern w:val="0"/>
                <w:sz w:val="24"/>
                <w:highlight w:val="none"/>
              </w:rPr>
            </w:pPr>
          </w:p>
        </w:tc>
        <w:tc>
          <w:tcPr>
            <w:tcW w:w="1776" w:type="dxa"/>
            <w:tcBorders>
              <w:top w:val="nil"/>
              <w:left w:val="nil"/>
              <w:bottom w:val="single" w:color="auto" w:sz="8" w:space="0"/>
              <w:right w:val="single" w:color="auto" w:sz="8" w:space="0"/>
            </w:tcBorders>
            <w:vAlign w:val="center"/>
          </w:tcPr>
          <w:p w14:paraId="04A5339B">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蹲便器</w:t>
            </w:r>
          </w:p>
        </w:tc>
        <w:tc>
          <w:tcPr>
            <w:tcW w:w="1776" w:type="dxa"/>
            <w:tcBorders>
              <w:top w:val="nil"/>
              <w:left w:val="nil"/>
              <w:bottom w:val="single" w:color="auto" w:sz="8" w:space="0"/>
              <w:right w:val="single" w:color="auto" w:sz="8" w:space="0"/>
            </w:tcBorders>
            <w:vAlign w:val="center"/>
          </w:tcPr>
          <w:p w14:paraId="27A2A077">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4186" w:type="dxa"/>
            <w:tcBorders>
              <w:top w:val="nil"/>
              <w:left w:val="nil"/>
              <w:bottom w:val="single" w:color="auto" w:sz="8" w:space="0"/>
              <w:right w:val="single" w:color="auto" w:sz="8" w:space="0"/>
            </w:tcBorders>
            <w:vAlign w:val="center"/>
          </w:tcPr>
          <w:p w14:paraId="0D44886B">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《蹲便器用水效率限定值及用水效率等级》（GB30717）</w:t>
            </w:r>
          </w:p>
        </w:tc>
      </w:tr>
      <w:tr w14:paraId="697FCC87">
        <w:tblPrEx>
          <w:tblCellMar>
            <w:top w:w="0" w:type="dxa"/>
            <w:left w:w="108" w:type="dxa"/>
            <w:bottom w:w="0" w:type="dxa"/>
            <w:right w:w="108" w:type="dxa"/>
          </w:tblCellMar>
        </w:tblPrEx>
        <w:trPr>
          <w:trHeight w:val="495" w:hRule="atLeast"/>
        </w:trPr>
        <w:tc>
          <w:tcPr>
            <w:tcW w:w="589" w:type="dxa"/>
            <w:vMerge w:val="continue"/>
            <w:tcBorders>
              <w:top w:val="nil"/>
              <w:left w:val="single" w:color="auto" w:sz="8" w:space="0"/>
              <w:bottom w:val="single" w:color="auto" w:sz="8" w:space="0"/>
              <w:right w:val="single" w:color="auto" w:sz="8" w:space="0"/>
            </w:tcBorders>
            <w:vAlign w:val="center"/>
          </w:tcPr>
          <w:p w14:paraId="2361E9AD">
            <w:pPr>
              <w:widowControl/>
              <w:jc w:val="left"/>
              <w:rPr>
                <w:rFonts w:ascii="宋体" w:hAnsi="宋体" w:cs="宋体"/>
                <w:color w:val="auto"/>
                <w:kern w:val="0"/>
                <w:sz w:val="24"/>
                <w:highlight w:val="none"/>
              </w:rPr>
            </w:pPr>
          </w:p>
        </w:tc>
        <w:tc>
          <w:tcPr>
            <w:tcW w:w="1296" w:type="dxa"/>
            <w:vMerge w:val="continue"/>
            <w:tcBorders>
              <w:top w:val="nil"/>
              <w:left w:val="single" w:color="auto" w:sz="8" w:space="0"/>
              <w:bottom w:val="single" w:color="000000" w:sz="8" w:space="0"/>
              <w:right w:val="single" w:color="auto" w:sz="8" w:space="0"/>
            </w:tcBorders>
            <w:vAlign w:val="center"/>
          </w:tcPr>
          <w:p w14:paraId="5CF7D007">
            <w:pPr>
              <w:widowControl/>
              <w:jc w:val="left"/>
              <w:rPr>
                <w:rFonts w:ascii="宋体" w:hAnsi="宋体" w:cs="宋体"/>
                <w:color w:val="auto"/>
                <w:kern w:val="0"/>
                <w:sz w:val="24"/>
                <w:highlight w:val="none"/>
              </w:rPr>
            </w:pPr>
          </w:p>
        </w:tc>
        <w:tc>
          <w:tcPr>
            <w:tcW w:w="1776" w:type="dxa"/>
            <w:tcBorders>
              <w:top w:val="nil"/>
              <w:left w:val="nil"/>
              <w:bottom w:val="single" w:color="auto" w:sz="8" w:space="0"/>
              <w:right w:val="single" w:color="auto" w:sz="8" w:space="0"/>
            </w:tcBorders>
            <w:vAlign w:val="center"/>
          </w:tcPr>
          <w:p w14:paraId="33DEDF0D">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小便器</w:t>
            </w:r>
          </w:p>
        </w:tc>
        <w:tc>
          <w:tcPr>
            <w:tcW w:w="1776" w:type="dxa"/>
            <w:tcBorders>
              <w:top w:val="nil"/>
              <w:left w:val="nil"/>
              <w:bottom w:val="single" w:color="auto" w:sz="8" w:space="0"/>
              <w:right w:val="single" w:color="auto" w:sz="8" w:space="0"/>
            </w:tcBorders>
            <w:vAlign w:val="center"/>
          </w:tcPr>
          <w:p w14:paraId="74BAEF30">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4186" w:type="dxa"/>
            <w:tcBorders>
              <w:top w:val="nil"/>
              <w:left w:val="nil"/>
              <w:bottom w:val="single" w:color="auto" w:sz="8" w:space="0"/>
              <w:right w:val="single" w:color="auto" w:sz="8" w:space="0"/>
            </w:tcBorders>
            <w:vAlign w:val="center"/>
          </w:tcPr>
          <w:p w14:paraId="44327FAB">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《小便器用水效率限定值及用水效率等级》（GB28377）</w:t>
            </w:r>
          </w:p>
        </w:tc>
      </w:tr>
      <w:tr w14:paraId="56A17ECE">
        <w:tblPrEx>
          <w:tblCellMar>
            <w:top w:w="0" w:type="dxa"/>
            <w:left w:w="108" w:type="dxa"/>
            <w:bottom w:w="0" w:type="dxa"/>
            <w:right w:w="108" w:type="dxa"/>
          </w:tblCellMar>
        </w:tblPrEx>
        <w:trPr>
          <w:trHeight w:val="495" w:hRule="atLeast"/>
        </w:trPr>
        <w:tc>
          <w:tcPr>
            <w:tcW w:w="589" w:type="dxa"/>
            <w:tcBorders>
              <w:top w:val="nil"/>
              <w:left w:val="single" w:color="000000" w:sz="8" w:space="0"/>
              <w:bottom w:val="single" w:color="000000" w:sz="8" w:space="0"/>
              <w:right w:val="single" w:color="000000" w:sz="8" w:space="0"/>
            </w:tcBorders>
            <w:vAlign w:val="center"/>
          </w:tcPr>
          <w:p w14:paraId="139E4A3C">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16</w:t>
            </w:r>
          </w:p>
        </w:tc>
        <w:tc>
          <w:tcPr>
            <w:tcW w:w="1296" w:type="dxa"/>
            <w:tcBorders>
              <w:top w:val="nil"/>
              <w:left w:val="nil"/>
              <w:bottom w:val="single" w:color="000000" w:sz="8" w:space="0"/>
              <w:right w:val="single" w:color="000000" w:sz="8" w:space="0"/>
            </w:tcBorders>
            <w:vAlign w:val="center"/>
          </w:tcPr>
          <w:p w14:paraId="160CB64C">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★A060806水嘴</w:t>
            </w:r>
          </w:p>
        </w:tc>
        <w:tc>
          <w:tcPr>
            <w:tcW w:w="1776" w:type="dxa"/>
            <w:tcBorders>
              <w:top w:val="nil"/>
              <w:left w:val="nil"/>
              <w:bottom w:val="single" w:color="000000" w:sz="8" w:space="0"/>
              <w:right w:val="single" w:color="000000" w:sz="8" w:space="0"/>
            </w:tcBorders>
            <w:vAlign w:val="center"/>
          </w:tcPr>
          <w:p w14:paraId="4CEBA132">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1776" w:type="dxa"/>
            <w:tcBorders>
              <w:top w:val="nil"/>
              <w:left w:val="nil"/>
              <w:bottom w:val="single" w:color="000000" w:sz="8" w:space="0"/>
              <w:right w:val="single" w:color="000000" w:sz="8" w:space="0"/>
            </w:tcBorders>
            <w:vAlign w:val="center"/>
          </w:tcPr>
          <w:p w14:paraId="581CF3ED">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4186" w:type="dxa"/>
            <w:tcBorders>
              <w:top w:val="nil"/>
              <w:left w:val="nil"/>
              <w:bottom w:val="single" w:color="000000" w:sz="8" w:space="0"/>
              <w:right w:val="single" w:color="000000" w:sz="8" w:space="0"/>
            </w:tcBorders>
            <w:vAlign w:val="center"/>
          </w:tcPr>
          <w:p w14:paraId="0328F896">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《水嘴用水效率限定值及用水效率等级》（GB 25501）</w:t>
            </w:r>
          </w:p>
        </w:tc>
      </w:tr>
      <w:tr w14:paraId="0BAF4F54">
        <w:tblPrEx>
          <w:tblCellMar>
            <w:top w:w="0" w:type="dxa"/>
            <w:left w:w="108" w:type="dxa"/>
            <w:bottom w:w="0" w:type="dxa"/>
            <w:right w:w="108" w:type="dxa"/>
          </w:tblCellMar>
        </w:tblPrEx>
        <w:trPr>
          <w:trHeight w:val="495" w:hRule="atLeast"/>
        </w:trPr>
        <w:tc>
          <w:tcPr>
            <w:tcW w:w="589" w:type="dxa"/>
            <w:tcBorders>
              <w:top w:val="nil"/>
              <w:left w:val="single" w:color="000000" w:sz="8" w:space="0"/>
              <w:bottom w:val="single" w:color="000000" w:sz="8" w:space="0"/>
              <w:right w:val="single" w:color="000000" w:sz="8" w:space="0"/>
            </w:tcBorders>
            <w:vAlign w:val="center"/>
          </w:tcPr>
          <w:p w14:paraId="76B73F1D">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17</w:t>
            </w:r>
          </w:p>
        </w:tc>
        <w:tc>
          <w:tcPr>
            <w:tcW w:w="1296" w:type="dxa"/>
            <w:tcBorders>
              <w:top w:val="nil"/>
              <w:left w:val="nil"/>
              <w:bottom w:val="single" w:color="000000" w:sz="8" w:space="0"/>
              <w:right w:val="single" w:color="000000" w:sz="8" w:space="0"/>
            </w:tcBorders>
            <w:vAlign w:val="center"/>
          </w:tcPr>
          <w:p w14:paraId="6B6C76D0">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A060807便器冲洗阀</w:t>
            </w:r>
          </w:p>
        </w:tc>
        <w:tc>
          <w:tcPr>
            <w:tcW w:w="1776" w:type="dxa"/>
            <w:tcBorders>
              <w:top w:val="nil"/>
              <w:left w:val="nil"/>
              <w:bottom w:val="single" w:color="000000" w:sz="8" w:space="0"/>
              <w:right w:val="single" w:color="000000" w:sz="8" w:space="0"/>
            </w:tcBorders>
            <w:vAlign w:val="center"/>
          </w:tcPr>
          <w:p w14:paraId="4C216DA4">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1776" w:type="dxa"/>
            <w:tcBorders>
              <w:top w:val="nil"/>
              <w:left w:val="nil"/>
              <w:bottom w:val="single" w:color="000000" w:sz="8" w:space="0"/>
              <w:right w:val="single" w:color="000000" w:sz="8" w:space="0"/>
            </w:tcBorders>
            <w:vAlign w:val="center"/>
          </w:tcPr>
          <w:p w14:paraId="02641157">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4186" w:type="dxa"/>
            <w:tcBorders>
              <w:top w:val="nil"/>
              <w:left w:val="nil"/>
              <w:bottom w:val="single" w:color="000000" w:sz="8" w:space="0"/>
              <w:right w:val="single" w:color="000000" w:sz="8" w:space="0"/>
            </w:tcBorders>
            <w:vAlign w:val="center"/>
          </w:tcPr>
          <w:p w14:paraId="26192B6F">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《便器冲洗阀用水效率限定值及用水效率等级》（GB28379）</w:t>
            </w:r>
          </w:p>
        </w:tc>
      </w:tr>
      <w:tr w14:paraId="6A113D0E">
        <w:tblPrEx>
          <w:tblCellMar>
            <w:top w:w="0" w:type="dxa"/>
            <w:left w:w="108" w:type="dxa"/>
            <w:bottom w:w="0" w:type="dxa"/>
            <w:right w:w="108" w:type="dxa"/>
          </w:tblCellMar>
        </w:tblPrEx>
        <w:trPr>
          <w:trHeight w:val="495" w:hRule="atLeast"/>
        </w:trPr>
        <w:tc>
          <w:tcPr>
            <w:tcW w:w="589" w:type="dxa"/>
            <w:tcBorders>
              <w:top w:val="nil"/>
              <w:left w:val="single" w:color="000000" w:sz="8" w:space="0"/>
              <w:bottom w:val="single" w:color="000000" w:sz="8" w:space="0"/>
              <w:right w:val="single" w:color="000000" w:sz="8" w:space="0"/>
            </w:tcBorders>
            <w:vAlign w:val="center"/>
          </w:tcPr>
          <w:p w14:paraId="325682AD">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18</w:t>
            </w:r>
          </w:p>
        </w:tc>
        <w:tc>
          <w:tcPr>
            <w:tcW w:w="1296" w:type="dxa"/>
            <w:tcBorders>
              <w:top w:val="nil"/>
              <w:left w:val="nil"/>
              <w:bottom w:val="single" w:color="000000" w:sz="8" w:space="0"/>
              <w:right w:val="single" w:color="000000" w:sz="8" w:space="0"/>
            </w:tcBorders>
            <w:vAlign w:val="center"/>
          </w:tcPr>
          <w:p w14:paraId="4197F9F5">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A060810淋浴器</w:t>
            </w:r>
          </w:p>
        </w:tc>
        <w:tc>
          <w:tcPr>
            <w:tcW w:w="1776" w:type="dxa"/>
            <w:tcBorders>
              <w:top w:val="nil"/>
              <w:left w:val="nil"/>
              <w:bottom w:val="single" w:color="000000" w:sz="8" w:space="0"/>
              <w:right w:val="single" w:color="000000" w:sz="8" w:space="0"/>
            </w:tcBorders>
            <w:vAlign w:val="center"/>
          </w:tcPr>
          <w:p w14:paraId="16794511">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1776" w:type="dxa"/>
            <w:tcBorders>
              <w:top w:val="nil"/>
              <w:left w:val="nil"/>
              <w:bottom w:val="single" w:color="000000" w:sz="8" w:space="0"/>
              <w:right w:val="single" w:color="000000" w:sz="8" w:space="0"/>
            </w:tcBorders>
            <w:vAlign w:val="center"/>
          </w:tcPr>
          <w:p w14:paraId="603AC870">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4186" w:type="dxa"/>
            <w:tcBorders>
              <w:top w:val="nil"/>
              <w:left w:val="nil"/>
              <w:bottom w:val="single" w:color="000000" w:sz="8" w:space="0"/>
              <w:right w:val="single" w:color="000000" w:sz="8" w:space="0"/>
            </w:tcBorders>
            <w:vAlign w:val="center"/>
          </w:tcPr>
          <w:p w14:paraId="1F33BF99">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《淋浴器用水效率限定值及用水效率等级》（GB28378）</w:t>
            </w:r>
          </w:p>
        </w:tc>
      </w:tr>
    </w:tbl>
    <w:p w14:paraId="463FB766">
      <w:pPr>
        <w:widowControl/>
        <w:rPr>
          <w:rFonts w:ascii="宋体" w:hAnsi="宋体" w:cs="宋体"/>
          <w:color w:val="auto"/>
          <w:sz w:val="24"/>
          <w:highlight w:val="none"/>
        </w:rPr>
      </w:pPr>
    </w:p>
    <w:p w14:paraId="31F0EB67">
      <w:pPr>
        <w:pStyle w:val="2"/>
        <w:spacing w:line="360" w:lineRule="auto"/>
        <w:ind w:firstLine="408"/>
        <w:rPr>
          <w:rFonts w:ascii="楷体" w:hAnsi="楷体" w:eastAsia="楷体" w:cs="宋体"/>
          <w:color w:val="auto"/>
          <w:highlight w:val="none"/>
        </w:rPr>
      </w:pPr>
      <w:r>
        <w:rPr>
          <w:rFonts w:hint="eastAsia" w:ascii="楷体" w:hAnsi="楷体" w:eastAsia="楷体" w:cs="宋体"/>
          <w:color w:val="auto"/>
          <w:spacing w:val="-3"/>
          <w:highlight w:val="none"/>
        </w:rPr>
        <w:t>注：</w:t>
      </w:r>
      <w:r>
        <w:rPr>
          <w:rFonts w:ascii="楷体" w:hAnsi="楷体" w:eastAsia="楷体" w:cs="宋体"/>
          <w:color w:val="auto"/>
          <w:spacing w:val="-3"/>
          <w:highlight w:val="none"/>
        </w:rPr>
        <w:t>1.节能产品认证应依据相关国家标准的最新版本，依据国家标准中二级能效（水效）</w:t>
      </w:r>
      <w:r>
        <w:rPr>
          <w:rFonts w:hint="eastAsia" w:ascii="楷体" w:hAnsi="楷体" w:eastAsia="楷体" w:cs="宋体"/>
          <w:color w:val="auto"/>
          <w:highlight w:val="none"/>
        </w:rPr>
        <w:t>指标。</w:t>
      </w:r>
    </w:p>
    <w:p w14:paraId="3DB10681">
      <w:pPr>
        <w:pStyle w:val="2"/>
        <w:spacing w:line="360" w:lineRule="auto"/>
        <w:rPr>
          <w:rFonts w:hAnsi="宋体" w:cs="宋体"/>
          <w:color w:val="auto"/>
          <w:highlight w:val="none"/>
        </w:rPr>
      </w:pPr>
      <w:r>
        <w:rPr>
          <w:rFonts w:ascii="楷体" w:hAnsi="楷体" w:eastAsia="楷体" w:cs="宋体"/>
          <w:color w:val="auto"/>
          <w:highlight w:val="none"/>
        </w:rPr>
        <w:t xml:space="preserve">    2</w:t>
      </w:r>
      <w:r>
        <w:rPr>
          <w:rFonts w:ascii="楷体" w:hAnsi="楷体" w:eastAsia="楷体" w:cs="宋体"/>
          <w:b/>
          <w:bCs/>
          <w:color w:val="auto"/>
          <w:highlight w:val="none"/>
        </w:rPr>
        <w:t>.以“★”标注的为政府强制采购产品。</w:t>
      </w:r>
      <w:r>
        <w:rPr>
          <w:rFonts w:hint="eastAsia" w:hAnsi="宋体" w:cs="宋体"/>
          <w:color w:val="auto"/>
          <w:highlight w:val="none"/>
        </w:rPr>
        <w:br w:type="page"/>
      </w:r>
    </w:p>
    <w:p w14:paraId="4C0CF39F">
      <w:pPr>
        <w:pStyle w:val="24"/>
        <w:jc w:val="left"/>
        <w:rPr>
          <w:rFonts w:hAnsi="宋体" w:cs="宋体"/>
          <w:color w:val="auto"/>
          <w:sz w:val="24"/>
          <w:szCs w:val="24"/>
          <w:highlight w:val="none"/>
        </w:rPr>
      </w:pPr>
      <w:r>
        <w:rPr>
          <w:rFonts w:hint="eastAsia" w:hAnsi="宋体" w:cs="宋体"/>
          <w:color w:val="auto"/>
          <w:sz w:val="24"/>
          <w:szCs w:val="24"/>
          <w:highlight w:val="none"/>
        </w:rPr>
        <w:t>附件2：</w:t>
      </w:r>
    </w:p>
    <w:p w14:paraId="48B461BA">
      <w:pPr>
        <w:spacing w:line="528" w:lineRule="exact"/>
        <w:ind w:left="220"/>
        <w:jc w:val="center"/>
        <w:rPr>
          <w:rFonts w:ascii="宋体" w:hAnsi="宋体" w:cs="宋体"/>
          <w:b/>
          <w:bCs/>
          <w:color w:val="auto"/>
          <w:sz w:val="36"/>
          <w:szCs w:val="36"/>
          <w:highlight w:val="none"/>
        </w:rPr>
      </w:pPr>
      <w:r>
        <w:rPr>
          <w:rFonts w:hint="eastAsia" w:ascii="宋体" w:hAnsi="宋体" w:cs="宋体"/>
          <w:b/>
          <w:bCs/>
          <w:color w:val="auto"/>
          <w:sz w:val="36"/>
          <w:szCs w:val="36"/>
          <w:highlight w:val="none"/>
        </w:rPr>
        <w:t>中小微企业划型标准</w:t>
      </w:r>
    </w:p>
    <w:tbl>
      <w:tblPr>
        <w:tblStyle w:val="47"/>
        <w:tblW w:w="9418" w:type="dxa"/>
        <w:tblInd w:w="250" w:type="dxa"/>
        <w:tblLayout w:type="fixed"/>
        <w:tblCellMar>
          <w:top w:w="0" w:type="dxa"/>
          <w:left w:w="108" w:type="dxa"/>
          <w:bottom w:w="0" w:type="dxa"/>
          <w:right w:w="108" w:type="dxa"/>
        </w:tblCellMar>
      </w:tblPr>
      <w:tblGrid>
        <w:gridCol w:w="2007"/>
        <w:gridCol w:w="1633"/>
        <w:gridCol w:w="1077"/>
        <w:gridCol w:w="1911"/>
        <w:gridCol w:w="1699"/>
        <w:gridCol w:w="1091"/>
      </w:tblGrid>
      <w:tr w14:paraId="5484814C">
        <w:tblPrEx>
          <w:tblCellMar>
            <w:top w:w="0" w:type="dxa"/>
            <w:left w:w="108" w:type="dxa"/>
            <w:bottom w:w="0" w:type="dxa"/>
            <w:right w:w="108" w:type="dxa"/>
          </w:tblCellMar>
        </w:tblPrEx>
        <w:trPr>
          <w:trHeight w:val="364" w:hRule="atLeast"/>
        </w:trPr>
        <w:tc>
          <w:tcPr>
            <w:tcW w:w="2007" w:type="dxa"/>
            <w:tcBorders>
              <w:top w:val="single" w:color="auto" w:sz="4" w:space="0"/>
              <w:left w:val="single" w:color="auto" w:sz="4" w:space="0"/>
              <w:bottom w:val="single" w:color="auto" w:sz="4" w:space="0"/>
              <w:right w:val="single" w:color="auto" w:sz="4" w:space="0"/>
            </w:tcBorders>
            <w:vAlign w:val="center"/>
          </w:tcPr>
          <w:p w14:paraId="197EE926">
            <w:pPr>
              <w:widowControl/>
              <w:jc w:val="center"/>
              <w:rPr>
                <w:rFonts w:ascii="宋体" w:hAnsi="宋体" w:cs="宋体"/>
                <w:b/>
                <w:color w:val="auto"/>
                <w:kern w:val="0"/>
                <w:sz w:val="20"/>
                <w:szCs w:val="20"/>
                <w:highlight w:val="none"/>
              </w:rPr>
            </w:pPr>
            <w:r>
              <w:rPr>
                <w:rFonts w:hint="eastAsia" w:ascii="宋体" w:hAnsi="宋体" w:cs="宋体"/>
                <w:b/>
                <w:color w:val="auto"/>
                <w:kern w:val="0"/>
                <w:sz w:val="20"/>
                <w:szCs w:val="20"/>
                <w:highlight w:val="none"/>
              </w:rPr>
              <w:t>行业名称</w:t>
            </w:r>
          </w:p>
        </w:tc>
        <w:tc>
          <w:tcPr>
            <w:tcW w:w="1633" w:type="dxa"/>
            <w:tcBorders>
              <w:top w:val="single" w:color="auto" w:sz="4" w:space="0"/>
              <w:left w:val="nil"/>
              <w:bottom w:val="single" w:color="auto" w:sz="4" w:space="0"/>
              <w:right w:val="single" w:color="auto" w:sz="4" w:space="0"/>
            </w:tcBorders>
            <w:vAlign w:val="center"/>
          </w:tcPr>
          <w:p w14:paraId="38D07974">
            <w:pPr>
              <w:widowControl/>
              <w:jc w:val="center"/>
              <w:rPr>
                <w:rFonts w:ascii="宋体" w:hAnsi="宋体" w:cs="宋体"/>
                <w:b/>
                <w:color w:val="auto"/>
                <w:kern w:val="0"/>
                <w:sz w:val="20"/>
                <w:szCs w:val="20"/>
                <w:highlight w:val="none"/>
              </w:rPr>
            </w:pPr>
            <w:r>
              <w:rPr>
                <w:rFonts w:hint="eastAsia" w:ascii="宋体" w:hAnsi="宋体" w:cs="宋体"/>
                <w:b/>
                <w:color w:val="auto"/>
                <w:kern w:val="0"/>
                <w:sz w:val="20"/>
                <w:szCs w:val="20"/>
                <w:highlight w:val="none"/>
              </w:rPr>
              <w:t>指标名称</w:t>
            </w:r>
          </w:p>
        </w:tc>
        <w:tc>
          <w:tcPr>
            <w:tcW w:w="1077" w:type="dxa"/>
            <w:tcBorders>
              <w:top w:val="single" w:color="auto" w:sz="4" w:space="0"/>
              <w:left w:val="nil"/>
              <w:bottom w:val="single" w:color="auto" w:sz="4" w:space="0"/>
              <w:right w:val="single" w:color="auto" w:sz="4" w:space="0"/>
            </w:tcBorders>
            <w:vAlign w:val="center"/>
          </w:tcPr>
          <w:p w14:paraId="077EC333">
            <w:pPr>
              <w:widowControl/>
              <w:jc w:val="center"/>
              <w:rPr>
                <w:rFonts w:ascii="宋体" w:hAnsi="宋体" w:cs="宋体"/>
                <w:b/>
                <w:color w:val="auto"/>
                <w:kern w:val="0"/>
                <w:sz w:val="20"/>
                <w:szCs w:val="20"/>
                <w:highlight w:val="none"/>
              </w:rPr>
            </w:pPr>
            <w:r>
              <w:rPr>
                <w:rFonts w:hint="eastAsia" w:ascii="宋体" w:hAnsi="宋体" w:cs="宋体"/>
                <w:b/>
                <w:color w:val="auto"/>
                <w:kern w:val="0"/>
                <w:sz w:val="20"/>
                <w:szCs w:val="20"/>
                <w:highlight w:val="none"/>
              </w:rPr>
              <w:t>计量单位</w:t>
            </w:r>
          </w:p>
        </w:tc>
        <w:tc>
          <w:tcPr>
            <w:tcW w:w="1911" w:type="dxa"/>
            <w:tcBorders>
              <w:top w:val="single" w:color="auto" w:sz="4" w:space="0"/>
              <w:left w:val="nil"/>
              <w:bottom w:val="single" w:color="auto" w:sz="4" w:space="0"/>
              <w:right w:val="single" w:color="auto" w:sz="4" w:space="0"/>
            </w:tcBorders>
            <w:vAlign w:val="center"/>
          </w:tcPr>
          <w:p w14:paraId="1CD87370">
            <w:pPr>
              <w:widowControl/>
              <w:jc w:val="center"/>
              <w:rPr>
                <w:rFonts w:ascii="宋体" w:hAnsi="宋体" w:cs="宋体"/>
                <w:b/>
                <w:color w:val="auto"/>
                <w:kern w:val="0"/>
                <w:sz w:val="20"/>
                <w:szCs w:val="20"/>
                <w:highlight w:val="none"/>
              </w:rPr>
            </w:pPr>
            <w:r>
              <w:rPr>
                <w:rFonts w:hint="eastAsia" w:ascii="宋体" w:hAnsi="宋体" w:cs="宋体"/>
                <w:b/>
                <w:color w:val="auto"/>
                <w:kern w:val="0"/>
                <w:sz w:val="20"/>
                <w:szCs w:val="20"/>
                <w:highlight w:val="none"/>
              </w:rPr>
              <w:t>中型</w:t>
            </w:r>
          </w:p>
        </w:tc>
        <w:tc>
          <w:tcPr>
            <w:tcW w:w="1699" w:type="dxa"/>
            <w:tcBorders>
              <w:top w:val="single" w:color="auto" w:sz="4" w:space="0"/>
              <w:left w:val="nil"/>
              <w:bottom w:val="single" w:color="auto" w:sz="4" w:space="0"/>
              <w:right w:val="single" w:color="auto" w:sz="4" w:space="0"/>
            </w:tcBorders>
            <w:vAlign w:val="center"/>
          </w:tcPr>
          <w:p w14:paraId="51E03869">
            <w:pPr>
              <w:widowControl/>
              <w:jc w:val="center"/>
              <w:rPr>
                <w:rFonts w:ascii="宋体" w:hAnsi="宋体" w:cs="宋体"/>
                <w:b/>
                <w:color w:val="auto"/>
                <w:kern w:val="0"/>
                <w:sz w:val="20"/>
                <w:szCs w:val="20"/>
                <w:highlight w:val="none"/>
              </w:rPr>
            </w:pPr>
            <w:r>
              <w:rPr>
                <w:rFonts w:hint="eastAsia" w:ascii="宋体" w:hAnsi="宋体" w:cs="宋体"/>
                <w:b/>
                <w:color w:val="auto"/>
                <w:kern w:val="0"/>
                <w:sz w:val="20"/>
                <w:szCs w:val="20"/>
                <w:highlight w:val="none"/>
              </w:rPr>
              <w:t>小型</w:t>
            </w:r>
          </w:p>
        </w:tc>
        <w:tc>
          <w:tcPr>
            <w:tcW w:w="1091" w:type="dxa"/>
            <w:tcBorders>
              <w:top w:val="single" w:color="auto" w:sz="4" w:space="0"/>
              <w:left w:val="nil"/>
              <w:bottom w:val="single" w:color="auto" w:sz="4" w:space="0"/>
              <w:right w:val="single" w:color="auto" w:sz="4" w:space="0"/>
            </w:tcBorders>
            <w:vAlign w:val="center"/>
          </w:tcPr>
          <w:p w14:paraId="11320D79">
            <w:pPr>
              <w:widowControl/>
              <w:jc w:val="center"/>
              <w:rPr>
                <w:rFonts w:ascii="宋体" w:hAnsi="宋体" w:cs="宋体"/>
                <w:b/>
                <w:color w:val="auto"/>
                <w:kern w:val="0"/>
                <w:sz w:val="20"/>
                <w:szCs w:val="20"/>
                <w:highlight w:val="none"/>
              </w:rPr>
            </w:pPr>
            <w:r>
              <w:rPr>
                <w:rFonts w:hint="eastAsia" w:ascii="宋体" w:hAnsi="宋体" w:cs="宋体"/>
                <w:b/>
                <w:color w:val="auto"/>
                <w:kern w:val="0"/>
                <w:sz w:val="20"/>
                <w:szCs w:val="20"/>
                <w:highlight w:val="none"/>
              </w:rPr>
              <w:t>微型</w:t>
            </w:r>
          </w:p>
        </w:tc>
      </w:tr>
      <w:tr w14:paraId="4FCAD1C1">
        <w:tblPrEx>
          <w:tblCellMar>
            <w:top w:w="0" w:type="dxa"/>
            <w:left w:w="108" w:type="dxa"/>
            <w:bottom w:w="0" w:type="dxa"/>
            <w:right w:w="108" w:type="dxa"/>
          </w:tblCellMar>
        </w:tblPrEx>
        <w:trPr>
          <w:trHeight w:val="364" w:hRule="atLeast"/>
        </w:trPr>
        <w:tc>
          <w:tcPr>
            <w:tcW w:w="2007" w:type="dxa"/>
            <w:tcBorders>
              <w:top w:val="nil"/>
              <w:left w:val="single" w:color="auto" w:sz="4" w:space="0"/>
              <w:bottom w:val="single" w:color="auto" w:sz="4" w:space="0"/>
              <w:right w:val="single" w:color="auto" w:sz="4" w:space="0"/>
            </w:tcBorders>
            <w:vAlign w:val="bottom"/>
          </w:tcPr>
          <w:p w14:paraId="064AEA41">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农、林、牧、渔</w:t>
            </w:r>
          </w:p>
        </w:tc>
        <w:tc>
          <w:tcPr>
            <w:tcW w:w="1633" w:type="dxa"/>
            <w:tcBorders>
              <w:top w:val="nil"/>
              <w:left w:val="nil"/>
              <w:bottom w:val="single" w:color="auto" w:sz="4" w:space="0"/>
              <w:right w:val="single" w:color="auto" w:sz="4" w:space="0"/>
            </w:tcBorders>
            <w:vAlign w:val="center"/>
          </w:tcPr>
          <w:p w14:paraId="1EC387BC">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营业收入（Y）</w:t>
            </w:r>
          </w:p>
        </w:tc>
        <w:tc>
          <w:tcPr>
            <w:tcW w:w="1077" w:type="dxa"/>
            <w:tcBorders>
              <w:top w:val="nil"/>
              <w:left w:val="nil"/>
              <w:bottom w:val="single" w:color="auto" w:sz="4" w:space="0"/>
              <w:right w:val="single" w:color="auto" w:sz="4" w:space="0"/>
            </w:tcBorders>
            <w:vAlign w:val="center"/>
          </w:tcPr>
          <w:p w14:paraId="0D74F74B">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万元</w:t>
            </w:r>
          </w:p>
        </w:tc>
        <w:tc>
          <w:tcPr>
            <w:tcW w:w="1911" w:type="dxa"/>
            <w:tcBorders>
              <w:top w:val="nil"/>
              <w:left w:val="nil"/>
              <w:bottom w:val="single" w:color="auto" w:sz="4" w:space="0"/>
              <w:right w:val="single" w:color="auto" w:sz="4" w:space="0"/>
            </w:tcBorders>
            <w:vAlign w:val="center"/>
          </w:tcPr>
          <w:p w14:paraId="7C25DB72">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500≤Y＜20000</w:t>
            </w:r>
          </w:p>
        </w:tc>
        <w:tc>
          <w:tcPr>
            <w:tcW w:w="1699" w:type="dxa"/>
            <w:tcBorders>
              <w:top w:val="nil"/>
              <w:left w:val="nil"/>
              <w:bottom w:val="single" w:color="auto" w:sz="4" w:space="0"/>
              <w:right w:val="single" w:color="auto" w:sz="4" w:space="0"/>
            </w:tcBorders>
            <w:vAlign w:val="center"/>
          </w:tcPr>
          <w:p w14:paraId="2634B439">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50≤Y＜500</w:t>
            </w:r>
          </w:p>
        </w:tc>
        <w:tc>
          <w:tcPr>
            <w:tcW w:w="1091" w:type="dxa"/>
            <w:tcBorders>
              <w:top w:val="nil"/>
              <w:left w:val="nil"/>
              <w:bottom w:val="single" w:color="auto" w:sz="4" w:space="0"/>
              <w:right w:val="single" w:color="auto" w:sz="4" w:space="0"/>
            </w:tcBorders>
            <w:vAlign w:val="center"/>
          </w:tcPr>
          <w:p w14:paraId="4C25E531">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Y＜50</w:t>
            </w:r>
          </w:p>
        </w:tc>
      </w:tr>
      <w:tr w14:paraId="4C6B0ED8">
        <w:tblPrEx>
          <w:tblCellMar>
            <w:top w:w="0" w:type="dxa"/>
            <w:left w:w="108" w:type="dxa"/>
            <w:bottom w:w="0" w:type="dxa"/>
            <w:right w:w="108" w:type="dxa"/>
          </w:tblCellMar>
        </w:tblPrEx>
        <w:trPr>
          <w:trHeight w:val="364" w:hRule="atLeast"/>
        </w:trPr>
        <w:tc>
          <w:tcPr>
            <w:tcW w:w="2007" w:type="dxa"/>
            <w:vMerge w:val="restart"/>
            <w:tcBorders>
              <w:top w:val="nil"/>
              <w:left w:val="single" w:color="auto" w:sz="4" w:space="0"/>
              <w:bottom w:val="single" w:color="auto" w:sz="4" w:space="0"/>
              <w:right w:val="single" w:color="auto" w:sz="4" w:space="0"/>
            </w:tcBorders>
            <w:vAlign w:val="bottom"/>
          </w:tcPr>
          <w:p w14:paraId="1C3AA713">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工业</w:t>
            </w:r>
          </w:p>
        </w:tc>
        <w:tc>
          <w:tcPr>
            <w:tcW w:w="1633" w:type="dxa"/>
            <w:tcBorders>
              <w:top w:val="nil"/>
              <w:left w:val="nil"/>
              <w:bottom w:val="single" w:color="auto" w:sz="4" w:space="0"/>
              <w:right w:val="single" w:color="auto" w:sz="4" w:space="0"/>
            </w:tcBorders>
            <w:vAlign w:val="center"/>
          </w:tcPr>
          <w:p w14:paraId="3799FD0D">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从业人员（X）</w:t>
            </w:r>
          </w:p>
        </w:tc>
        <w:tc>
          <w:tcPr>
            <w:tcW w:w="1077" w:type="dxa"/>
            <w:tcBorders>
              <w:top w:val="nil"/>
              <w:left w:val="nil"/>
              <w:bottom w:val="single" w:color="auto" w:sz="4" w:space="0"/>
              <w:right w:val="single" w:color="auto" w:sz="4" w:space="0"/>
            </w:tcBorders>
            <w:vAlign w:val="center"/>
          </w:tcPr>
          <w:p w14:paraId="0B2368B5">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人</w:t>
            </w:r>
          </w:p>
        </w:tc>
        <w:tc>
          <w:tcPr>
            <w:tcW w:w="1911" w:type="dxa"/>
            <w:tcBorders>
              <w:top w:val="nil"/>
              <w:left w:val="nil"/>
              <w:bottom w:val="single" w:color="auto" w:sz="4" w:space="0"/>
              <w:right w:val="single" w:color="auto" w:sz="4" w:space="0"/>
            </w:tcBorders>
            <w:vAlign w:val="center"/>
          </w:tcPr>
          <w:p w14:paraId="6E8B5112">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300≤X＜1000</w:t>
            </w:r>
          </w:p>
        </w:tc>
        <w:tc>
          <w:tcPr>
            <w:tcW w:w="1699" w:type="dxa"/>
            <w:tcBorders>
              <w:top w:val="nil"/>
              <w:left w:val="nil"/>
              <w:bottom w:val="single" w:color="auto" w:sz="4" w:space="0"/>
              <w:right w:val="single" w:color="auto" w:sz="4" w:space="0"/>
            </w:tcBorders>
            <w:vAlign w:val="center"/>
          </w:tcPr>
          <w:p w14:paraId="63F248AC">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20≤X＜300</w:t>
            </w:r>
          </w:p>
        </w:tc>
        <w:tc>
          <w:tcPr>
            <w:tcW w:w="1091" w:type="dxa"/>
            <w:tcBorders>
              <w:top w:val="nil"/>
              <w:left w:val="nil"/>
              <w:bottom w:val="single" w:color="auto" w:sz="4" w:space="0"/>
              <w:right w:val="single" w:color="auto" w:sz="4" w:space="0"/>
            </w:tcBorders>
            <w:vAlign w:val="center"/>
          </w:tcPr>
          <w:p w14:paraId="339719DC">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X＜20</w:t>
            </w:r>
          </w:p>
        </w:tc>
      </w:tr>
      <w:tr w14:paraId="1901D590">
        <w:tblPrEx>
          <w:tblCellMar>
            <w:top w:w="0" w:type="dxa"/>
            <w:left w:w="108" w:type="dxa"/>
            <w:bottom w:w="0" w:type="dxa"/>
            <w:right w:w="108" w:type="dxa"/>
          </w:tblCellMar>
        </w:tblPrEx>
        <w:trPr>
          <w:trHeight w:val="364" w:hRule="atLeast"/>
        </w:trPr>
        <w:tc>
          <w:tcPr>
            <w:tcW w:w="2007" w:type="dxa"/>
            <w:vMerge w:val="continue"/>
            <w:tcBorders>
              <w:top w:val="nil"/>
              <w:left w:val="single" w:color="auto" w:sz="4" w:space="0"/>
              <w:bottom w:val="single" w:color="auto" w:sz="4" w:space="0"/>
              <w:right w:val="single" w:color="auto" w:sz="4" w:space="0"/>
            </w:tcBorders>
            <w:vAlign w:val="center"/>
          </w:tcPr>
          <w:p w14:paraId="267DC5AD">
            <w:pPr>
              <w:widowControl/>
              <w:jc w:val="left"/>
              <w:rPr>
                <w:rFonts w:ascii="宋体" w:hAnsi="宋体" w:cs="宋体"/>
                <w:b/>
                <w:bCs/>
                <w:color w:val="auto"/>
                <w:kern w:val="0"/>
                <w:sz w:val="20"/>
                <w:szCs w:val="20"/>
                <w:highlight w:val="none"/>
              </w:rPr>
            </w:pPr>
          </w:p>
        </w:tc>
        <w:tc>
          <w:tcPr>
            <w:tcW w:w="1633" w:type="dxa"/>
            <w:tcBorders>
              <w:top w:val="nil"/>
              <w:left w:val="nil"/>
              <w:bottom w:val="single" w:color="auto" w:sz="4" w:space="0"/>
              <w:right w:val="single" w:color="auto" w:sz="4" w:space="0"/>
            </w:tcBorders>
            <w:vAlign w:val="center"/>
          </w:tcPr>
          <w:p w14:paraId="0F39DB6D">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营业收入（Y）</w:t>
            </w:r>
          </w:p>
        </w:tc>
        <w:tc>
          <w:tcPr>
            <w:tcW w:w="1077" w:type="dxa"/>
            <w:tcBorders>
              <w:top w:val="nil"/>
              <w:left w:val="nil"/>
              <w:bottom w:val="single" w:color="auto" w:sz="4" w:space="0"/>
              <w:right w:val="single" w:color="auto" w:sz="4" w:space="0"/>
            </w:tcBorders>
            <w:vAlign w:val="center"/>
          </w:tcPr>
          <w:p w14:paraId="312CCDF9">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万元</w:t>
            </w:r>
          </w:p>
        </w:tc>
        <w:tc>
          <w:tcPr>
            <w:tcW w:w="1911" w:type="dxa"/>
            <w:tcBorders>
              <w:top w:val="nil"/>
              <w:left w:val="nil"/>
              <w:bottom w:val="single" w:color="auto" w:sz="4" w:space="0"/>
              <w:right w:val="single" w:color="auto" w:sz="4" w:space="0"/>
            </w:tcBorders>
            <w:vAlign w:val="center"/>
          </w:tcPr>
          <w:p w14:paraId="34C103DF">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2000≤Y＜40000</w:t>
            </w:r>
          </w:p>
        </w:tc>
        <w:tc>
          <w:tcPr>
            <w:tcW w:w="1699" w:type="dxa"/>
            <w:tcBorders>
              <w:top w:val="nil"/>
              <w:left w:val="nil"/>
              <w:bottom w:val="single" w:color="auto" w:sz="4" w:space="0"/>
              <w:right w:val="single" w:color="auto" w:sz="4" w:space="0"/>
            </w:tcBorders>
            <w:vAlign w:val="center"/>
          </w:tcPr>
          <w:p w14:paraId="1B9AA569">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300≤Y＜2000</w:t>
            </w:r>
          </w:p>
        </w:tc>
        <w:tc>
          <w:tcPr>
            <w:tcW w:w="1091" w:type="dxa"/>
            <w:tcBorders>
              <w:top w:val="nil"/>
              <w:left w:val="nil"/>
              <w:bottom w:val="single" w:color="auto" w:sz="4" w:space="0"/>
              <w:right w:val="single" w:color="auto" w:sz="4" w:space="0"/>
            </w:tcBorders>
            <w:vAlign w:val="center"/>
          </w:tcPr>
          <w:p w14:paraId="0E5EACC6">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Y＜300</w:t>
            </w:r>
          </w:p>
        </w:tc>
      </w:tr>
      <w:tr w14:paraId="10B8D2B3">
        <w:tblPrEx>
          <w:tblCellMar>
            <w:top w:w="0" w:type="dxa"/>
            <w:left w:w="108" w:type="dxa"/>
            <w:bottom w:w="0" w:type="dxa"/>
            <w:right w:w="108" w:type="dxa"/>
          </w:tblCellMar>
        </w:tblPrEx>
        <w:trPr>
          <w:trHeight w:val="364" w:hRule="atLeast"/>
        </w:trPr>
        <w:tc>
          <w:tcPr>
            <w:tcW w:w="2007" w:type="dxa"/>
            <w:vMerge w:val="restart"/>
            <w:tcBorders>
              <w:top w:val="nil"/>
              <w:left w:val="single" w:color="auto" w:sz="4" w:space="0"/>
              <w:bottom w:val="single" w:color="auto" w:sz="4" w:space="0"/>
              <w:right w:val="single" w:color="auto" w:sz="4" w:space="0"/>
            </w:tcBorders>
            <w:vAlign w:val="bottom"/>
          </w:tcPr>
          <w:p w14:paraId="0CF01F7C">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建筑业</w:t>
            </w:r>
          </w:p>
        </w:tc>
        <w:tc>
          <w:tcPr>
            <w:tcW w:w="1633" w:type="dxa"/>
            <w:tcBorders>
              <w:top w:val="nil"/>
              <w:left w:val="nil"/>
              <w:bottom w:val="single" w:color="auto" w:sz="4" w:space="0"/>
              <w:right w:val="single" w:color="auto" w:sz="4" w:space="0"/>
            </w:tcBorders>
            <w:vAlign w:val="center"/>
          </w:tcPr>
          <w:p w14:paraId="1B19C7CD">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营业收入（Y）</w:t>
            </w:r>
          </w:p>
        </w:tc>
        <w:tc>
          <w:tcPr>
            <w:tcW w:w="1077" w:type="dxa"/>
            <w:tcBorders>
              <w:top w:val="nil"/>
              <w:left w:val="nil"/>
              <w:bottom w:val="single" w:color="auto" w:sz="4" w:space="0"/>
              <w:right w:val="single" w:color="auto" w:sz="4" w:space="0"/>
            </w:tcBorders>
            <w:vAlign w:val="center"/>
          </w:tcPr>
          <w:p w14:paraId="4AA9F3E7">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万元</w:t>
            </w:r>
          </w:p>
        </w:tc>
        <w:tc>
          <w:tcPr>
            <w:tcW w:w="1911" w:type="dxa"/>
            <w:tcBorders>
              <w:top w:val="nil"/>
              <w:left w:val="nil"/>
              <w:bottom w:val="single" w:color="auto" w:sz="4" w:space="0"/>
              <w:right w:val="single" w:color="auto" w:sz="4" w:space="0"/>
            </w:tcBorders>
            <w:vAlign w:val="center"/>
          </w:tcPr>
          <w:p w14:paraId="4A9777A1">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6000≤Y＜80000</w:t>
            </w:r>
          </w:p>
        </w:tc>
        <w:tc>
          <w:tcPr>
            <w:tcW w:w="1699" w:type="dxa"/>
            <w:tcBorders>
              <w:top w:val="nil"/>
              <w:left w:val="nil"/>
              <w:bottom w:val="single" w:color="auto" w:sz="4" w:space="0"/>
              <w:right w:val="single" w:color="auto" w:sz="4" w:space="0"/>
            </w:tcBorders>
            <w:vAlign w:val="center"/>
          </w:tcPr>
          <w:p w14:paraId="26762B03">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300≤Y＜6000</w:t>
            </w:r>
          </w:p>
        </w:tc>
        <w:tc>
          <w:tcPr>
            <w:tcW w:w="1091" w:type="dxa"/>
            <w:tcBorders>
              <w:top w:val="nil"/>
              <w:left w:val="nil"/>
              <w:bottom w:val="single" w:color="auto" w:sz="4" w:space="0"/>
              <w:right w:val="single" w:color="auto" w:sz="4" w:space="0"/>
            </w:tcBorders>
            <w:vAlign w:val="center"/>
          </w:tcPr>
          <w:p w14:paraId="526530CE">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Y＜300</w:t>
            </w:r>
          </w:p>
        </w:tc>
      </w:tr>
      <w:tr w14:paraId="7DDD3397">
        <w:tblPrEx>
          <w:tblCellMar>
            <w:top w:w="0" w:type="dxa"/>
            <w:left w:w="108" w:type="dxa"/>
            <w:bottom w:w="0" w:type="dxa"/>
            <w:right w:w="108" w:type="dxa"/>
          </w:tblCellMar>
        </w:tblPrEx>
        <w:trPr>
          <w:trHeight w:val="364" w:hRule="atLeast"/>
        </w:trPr>
        <w:tc>
          <w:tcPr>
            <w:tcW w:w="2007" w:type="dxa"/>
            <w:vMerge w:val="continue"/>
            <w:tcBorders>
              <w:top w:val="nil"/>
              <w:left w:val="single" w:color="auto" w:sz="4" w:space="0"/>
              <w:bottom w:val="single" w:color="auto" w:sz="4" w:space="0"/>
              <w:right w:val="single" w:color="auto" w:sz="4" w:space="0"/>
            </w:tcBorders>
            <w:vAlign w:val="center"/>
          </w:tcPr>
          <w:p w14:paraId="662FAEE7">
            <w:pPr>
              <w:widowControl/>
              <w:jc w:val="left"/>
              <w:rPr>
                <w:rFonts w:ascii="宋体" w:hAnsi="宋体" w:cs="宋体"/>
                <w:b/>
                <w:bCs/>
                <w:color w:val="auto"/>
                <w:kern w:val="0"/>
                <w:sz w:val="20"/>
                <w:szCs w:val="20"/>
                <w:highlight w:val="none"/>
              </w:rPr>
            </w:pPr>
          </w:p>
        </w:tc>
        <w:tc>
          <w:tcPr>
            <w:tcW w:w="1633" w:type="dxa"/>
            <w:tcBorders>
              <w:top w:val="nil"/>
              <w:left w:val="nil"/>
              <w:bottom w:val="single" w:color="auto" w:sz="4" w:space="0"/>
              <w:right w:val="single" w:color="auto" w:sz="4" w:space="0"/>
            </w:tcBorders>
            <w:vAlign w:val="center"/>
          </w:tcPr>
          <w:p w14:paraId="47A7A855">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资产总额（Z）</w:t>
            </w:r>
          </w:p>
        </w:tc>
        <w:tc>
          <w:tcPr>
            <w:tcW w:w="1077" w:type="dxa"/>
            <w:tcBorders>
              <w:top w:val="nil"/>
              <w:left w:val="nil"/>
              <w:bottom w:val="single" w:color="auto" w:sz="4" w:space="0"/>
              <w:right w:val="single" w:color="auto" w:sz="4" w:space="0"/>
            </w:tcBorders>
            <w:vAlign w:val="center"/>
          </w:tcPr>
          <w:p w14:paraId="02931199">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万元</w:t>
            </w:r>
          </w:p>
        </w:tc>
        <w:tc>
          <w:tcPr>
            <w:tcW w:w="1911" w:type="dxa"/>
            <w:tcBorders>
              <w:top w:val="nil"/>
              <w:left w:val="nil"/>
              <w:bottom w:val="single" w:color="auto" w:sz="4" w:space="0"/>
              <w:right w:val="single" w:color="auto" w:sz="4" w:space="0"/>
            </w:tcBorders>
            <w:vAlign w:val="center"/>
          </w:tcPr>
          <w:p w14:paraId="06BDEE75">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5000≤Z＜80000</w:t>
            </w:r>
          </w:p>
        </w:tc>
        <w:tc>
          <w:tcPr>
            <w:tcW w:w="1699" w:type="dxa"/>
            <w:tcBorders>
              <w:top w:val="nil"/>
              <w:left w:val="nil"/>
              <w:bottom w:val="single" w:color="auto" w:sz="4" w:space="0"/>
              <w:right w:val="single" w:color="auto" w:sz="4" w:space="0"/>
            </w:tcBorders>
            <w:vAlign w:val="center"/>
          </w:tcPr>
          <w:p w14:paraId="60307219">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300≤Z＜5000</w:t>
            </w:r>
          </w:p>
        </w:tc>
        <w:tc>
          <w:tcPr>
            <w:tcW w:w="1091" w:type="dxa"/>
            <w:tcBorders>
              <w:top w:val="nil"/>
              <w:left w:val="nil"/>
              <w:bottom w:val="single" w:color="auto" w:sz="4" w:space="0"/>
              <w:right w:val="single" w:color="auto" w:sz="4" w:space="0"/>
            </w:tcBorders>
            <w:vAlign w:val="center"/>
          </w:tcPr>
          <w:p w14:paraId="48531F10">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Z＜300</w:t>
            </w:r>
          </w:p>
        </w:tc>
      </w:tr>
      <w:tr w14:paraId="29BFAFAD">
        <w:tblPrEx>
          <w:tblCellMar>
            <w:top w:w="0" w:type="dxa"/>
            <w:left w:w="108" w:type="dxa"/>
            <w:bottom w:w="0" w:type="dxa"/>
            <w:right w:w="108" w:type="dxa"/>
          </w:tblCellMar>
        </w:tblPrEx>
        <w:trPr>
          <w:trHeight w:val="364" w:hRule="atLeast"/>
        </w:trPr>
        <w:tc>
          <w:tcPr>
            <w:tcW w:w="2007" w:type="dxa"/>
            <w:vMerge w:val="restart"/>
            <w:tcBorders>
              <w:top w:val="nil"/>
              <w:left w:val="single" w:color="auto" w:sz="4" w:space="0"/>
              <w:bottom w:val="single" w:color="auto" w:sz="4" w:space="0"/>
              <w:right w:val="single" w:color="auto" w:sz="4" w:space="0"/>
            </w:tcBorders>
            <w:vAlign w:val="bottom"/>
          </w:tcPr>
          <w:p w14:paraId="4A0AD64C">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批发业</w:t>
            </w:r>
          </w:p>
        </w:tc>
        <w:tc>
          <w:tcPr>
            <w:tcW w:w="1633" w:type="dxa"/>
            <w:tcBorders>
              <w:top w:val="nil"/>
              <w:left w:val="nil"/>
              <w:bottom w:val="single" w:color="auto" w:sz="4" w:space="0"/>
              <w:right w:val="single" w:color="auto" w:sz="4" w:space="0"/>
            </w:tcBorders>
            <w:vAlign w:val="center"/>
          </w:tcPr>
          <w:p w14:paraId="779BD973">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从业人员（X）</w:t>
            </w:r>
          </w:p>
        </w:tc>
        <w:tc>
          <w:tcPr>
            <w:tcW w:w="1077" w:type="dxa"/>
            <w:tcBorders>
              <w:top w:val="nil"/>
              <w:left w:val="nil"/>
              <w:bottom w:val="single" w:color="auto" w:sz="4" w:space="0"/>
              <w:right w:val="single" w:color="auto" w:sz="4" w:space="0"/>
            </w:tcBorders>
            <w:vAlign w:val="center"/>
          </w:tcPr>
          <w:p w14:paraId="226811B6">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人</w:t>
            </w:r>
          </w:p>
        </w:tc>
        <w:tc>
          <w:tcPr>
            <w:tcW w:w="1911" w:type="dxa"/>
            <w:tcBorders>
              <w:top w:val="nil"/>
              <w:left w:val="nil"/>
              <w:bottom w:val="single" w:color="auto" w:sz="4" w:space="0"/>
              <w:right w:val="single" w:color="auto" w:sz="4" w:space="0"/>
            </w:tcBorders>
            <w:vAlign w:val="center"/>
          </w:tcPr>
          <w:p w14:paraId="29956ED8">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20≤X＜200</w:t>
            </w:r>
          </w:p>
        </w:tc>
        <w:tc>
          <w:tcPr>
            <w:tcW w:w="1699" w:type="dxa"/>
            <w:tcBorders>
              <w:top w:val="nil"/>
              <w:left w:val="nil"/>
              <w:bottom w:val="single" w:color="auto" w:sz="4" w:space="0"/>
              <w:right w:val="single" w:color="auto" w:sz="4" w:space="0"/>
            </w:tcBorders>
            <w:vAlign w:val="center"/>
          </w:tcPr>
          <w:p w14:paraId="450E65E1">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5≤X＜20</w:t>
            </w:r>
          </w:p>
        </w:tc>
        <w:tc>
          <w:tcPr>
            <w:tcW w:w="1091" w:type="dxa"/>
            <w:tcBorders>
              <w:top w:val="nil"/>
              <w:left w:val="nil"/>
              <w:bottom w:val="single" w:color="auto" w:sz="4" w:space="0"/>
              <w:right w:val="single" w:color="auto" w:sz="4" w:space="0"/>
            </w:tcBorders>
            <w:vAlign w:val="center"/>
          </w:tcPr>
          <w:p w14:paraId="10ED914A">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X＜5</w:t>
            </w:r>
          </w:p>
        </w:tc>
      </w:tr>
      <w:tr w14:paraId="048EF0D0">
        <w:tblPrEx>
          <w:tblCellMar>
            <w:top w:w="0" w:type="dxa"/>
            <w:left w:w="108" w:type="dxa"/>
            <w:bottom w:w="0" w:type="dxa"/>
            <w:right w:w="108" w:type="dxa"/>
          </w:tblCellMar>
        </w:tblPrEx>
        <w:trPr>
          <w:trHeight w:val="364" w:hRule="atLeast"/>
        </w:trPr>
        <w:tc>
          <w:tcPr>
            <w:tcW w:w="2007" w:type="dxa"/>
            <w:vMerge w:val="continue"/>
            <w:tcBorders>
              <w:top w:val="nil"/>
              <w:left w:val="single" w:color="auto" w:sz="4" w:space="0"/>
              <w:bottom w:val="single" w:color="auto" w:sz="4" w:space="0"/>
              <w:right w:val="single" w:color="auto" w:sz="4" w:space="0"/>
            </w:tcBorders>
            <w:vAlign w:val="center"/>
          </w:tcPr>
          <w:p w14:paraId="11EC2E25">
            <w:pPr>
              <w:widowControl/>
              <w:jc w:val="left"/>
              <w:rPr>
                <w:rFonts w:ascii="宋体" w:hAnsi="宋体" w:cs="宋体"/>
                <w:b/>
                <w:bCs/>
                <w:color w:val="auto"/>
                <w:kern w:val="0"/>
                <w:sz w:val="20"/>
                <w:szCs w:val="20"/>
                <w:highlight w:val="none"/>
              </w:rPr>
            </w:pPr>
          </w:p>
        </w:tc>
        <w:tc>
          <w:tcPr>
            <w:tcW w:w="1633" w:type="dxa"/>
            <w:tcBorders>
              <w:top w:val="nil"/>
              <w:left w:val="nil"/>
              <w:bottom w:val="single" w:color="auto" w:sz="4" w:space="0"/>
              <w:right w:val="single" w:color="auto" w:sz="4" w:space="0"/>
            </w:tcBorders>
            <w:vAlign w:val="center"/>
          </w:tcPr>
          <w:p w14:paraId="727E00EE">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营业收入（Y）</w:t>
            </w:r>
          </w:p>
        </w:tc>
        <w:tc>
          <w:tcPr>
            <w:tcW w:w="1077" w:type="dxa"/>
            <w:tcBorders>
              <w:top w:val="nil"/>
              <w:left w:val="nil"/>
              <w:bottom w:val="single" w:color="auto" w:sz="4" w:space="0"/>
              <w:right w:val="single" w:color="auto" w:sz="4" w:space="0"/>
            </w:tcBorders>
            <w:vAlign w:val="center"/>
          </w:tcPr>
          <w:p w14:paraId="05CA0A6E">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万元</w:t>
            </w:r>
          </w:p>
        </w:tc>
        <w:tc>
          <w:tcPr>
            <w:tcW w:w="1911" w:type="dxa"/>
            <w:tcBorders>
              <w:top w:val="nil"/>
              <w:left w:val="nil"/>
              <w:bottom w:val="single" w:color="auto" w:sz="4" w:space="0"/>
              <w:right w:val="single" w:color="auto" w:sz="4" w:space="0"/>
            </w:tcBorders>
            <w:vAlign w:val="center"/>
          </w:tcPr>
          <w:p w14:paraId="1DBCFBB4">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5000≤Y＜40000</w:t>
            </w:r>
          </w:p>
        </w:tc>
        <w:tc>
          <w:tcPr>
            <w:tcW w:w="1699" w:type="dxa"/>
            <w:tcBorders>
              <w:top w:val="nil"/>
              <w:left w:val="nil"/>
              <w:bottom w:val="single" w:color="auto" w:sz="4" w:space="0"/>
              <w:right w:val="single" w:color="auto" w:sz="4" w:space="0"/>
            </w:tcBorders>
            <w:vAlign w:val="center"/>
          </w:tcPr>
          <w:p w14:paraId="4D84EC8C">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1000≤Y＜5000</w:t>
            </w:r>
          </w:p>
        </w:tc>
        <w:tc>
          <w:tcPr>
            <w:tcW w:w="1091" w:type="dxa"/>
            <w:tcBorders>
              <w:top w:val="nil"/>
              <w:left w:val="nil"/>
              <w:bottom w:val="single" w:color="auto" w:sz="4" w:space="0"/>
              <w:right w:val="single" w:color="auto" w:sz="4" w:space="0"/>
            </w:tcBorders>
            <w:vAlign w:val="center"/>
          </w:tcPr>
          <w:p w14:paraId="349EA27C">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Y＜1000</w:t>
            </w:r>
          </w:p>
        </w:tc>
      </w:tr>
      <w:tr w14:paraId="0BE042AE">
        <w:tblPrEx>
          <w:tblCellMar>
            <w:top w:w="0" w:type="dxa"/>
            <w:left w:w="108" w:type="dxa"/>
            <w:bottom w:w="0" w:type="dxa"/>
            <w:right w:w="108" w:type="dxa"/>
          </w:tblCellMar>
        </w:tblPrEx>
        <w:trPr>
          <w:trHeight w:val="364" w:hRule="atLeast"/>
        </w:trPr>
        <w:tc>
          <w:tcPr>
            <w:tcW w:w="2007" w:type="dxa"/>
            <w:vMerge w:val="restart"/>
            <w:tcBorders>
              <w:top w:val="nil"/>
              <w:left w:val="single" w:color="auto" w:sz="4" w:space="0"/>
              <w:bottom w:val="single" w:color="auto" w:sz="4" w:space="0"/>
              <w:right w:val="single" w:color="auto" w:sz="4" w:space="0"/>
            </w:tcBorders>
            <w:vAlign w:val="bottom"/>
          </w:tcPr>
          <w:p w14:paraId="666DC6DE">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零售业</w:t>
            </w:r>
          </w:p>
        </w:tc>
        <w:tc>
          <w:tcPr>
            <w:tcW w:w="1633" w:type="dxa"/>
            <w:tcBorders>
              <w:top w:val="nil"/>
              <w:left w:val="nil"/>
              <w:bottom w:val="single" w:color="auto" w:sz="4" w:space="0"/>
              <w:right w:val="single" w:color="auto" w:sz="4" w:space="0"/>
            </w:tcBorders>
            <w:vAlign w:val="center"/>
          </w:tcPr>
          <w:p w14:paraId="42CBAE84">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从业人员（X）</w:t>
            </w:r>
          </w:p>
        </w:tc>
        <w:tc>
          <w:tcPr>
            <w:tcW w:w="1077" w:type="dxa"/>
            <w:tcBorders>
              <w:top w:val="nil"/>
              <w:left w:val="nil"/>
              <w:bottom w:val="single" w:color="auto" w:sz="4" w:space="0"/>
              <w:right w:val="single" w:color="auto" w:sz="4" w:space="0"/>
            </w:tcBorders>
            <w:vAlign w:val="center"/>
          </w:tcPr>
          <w:p w14:paraId="7808431A">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人</w:t>
            </w:r>
          </w:p>
        </w:tc>
        <w:tc>
          <w:tcPr>
            <w:tcW w:w="1911" w:type="dxa"/>
            <w:tcBorders>
              <w:top w:val="nil"/>
              <w:left w:val="nil"/>
              <w:bottom w:val="single" w:color="auto" w:sz="4" w:space="0"/>
              <w:right w:val="single" w:color="auto" w:sz="4" w:space="0"/>
            </w:tcBorders>
            <w:vAlign w:val="center"/>
          </w:tcPr>
          <w:p w14:paraId="16B1DEB6">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50≤X＜300</w:t>
            </w:r>
          </w:p>
        </w:tc>
        <w:tc>
          <w:tcPr>
            <w:tcW w:w="1699" w:type="dxa"/>
            <w:tcBorders>
              <w:top w:val="nil"/>
              <w:left w:val="nil"/>
              <w:bottom w:val="single" w:color="auto" w:sz="4" w:space="0"/>
              <w:right w:val="single" w:color="auto" w:sz="4" w:space="0"/>
            </w:tcBorders>
            <w:vAlign w:val="center"/>
          </w:tcPr>
          <w:p w14:paraId="563A73AC">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10≤X＜50</w:t>
            </w:r>
          </w:p>
        </w:tc>
        <w:tc>
          <w:tcPr>
            <w:tcW w:w="1091" w:type="dxa"/>
            <w:tcBorders>
              <w:top w:val="nil"/>
              <w:left w:val="nil"/>
              <w:bottom w:val="single" w:color="auto" w:sz="4" w:space="0"/>
              <w:right w:val="single" w:color="auto" w:sz="4" w:space="0"/>
            </w:tcBorders>
            <w:vAlign w:val="center"/>
          </w:tcPr>
          <w:p w14:paraId="4D4F8650">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X＜10</w:t>
            </w:r>
          </w:p>
        </w:tc>
      </w:tr>
      <w:tr w14:paraId="44891DE4">
        <w:tblPrEx>
          <w:tblCellMar>
            <w:top w:w="0" w:type="dxa"/>
            <w:left w:w="108" w:type="dxa"/>
            <w:bottom w:w="0" w:type="dxa"/>
            <w:right w:w="108" w:type="dxa"/>
          </w:tblCellMar>
        </w:tblPrEx>
        <w:trPr>
          <w:trHeight w:val="364" w:hRule="atLeast"/>
        </w:trPr>
        <w:tc>
          <w:tcPr>
            <w:tcW w:w="2007" w:type="dxa"/>
            <w:vMerge w:val="continue"/>
            <w:tcBorders>
              <w:top w:val="nil"/>
              <w:left w:val="single" w:color="auto" w:sz="4" w:space="0"/>
              <w:bottom w:val="single" w:color="auto" w:sz="4" w:space="0"/>
              <w:right w:val="single" w:color="auto" w:sz="4" w:space="0"/>
            </w:tcBorders>
            <w:vAlign w:val="center"/>
          </w:tcPr>
          <w:p w14:paraId="17A673DD">
            <w:pPr>
              <w:widowControl/>
              <w:jc w:val="left"/>
              <w:rPr>
                <w:rFonts w:ascii="宋体" w:hAnsi="宋体" w:cs="宋体"/>
                <w:b/>
                <w:bCs/>
                <w:color w:val="auto"/>
                <w:kern w:val="0"/>
                <w:sz w:val="20"/>
                <w:szCs w:val="20"/>
                <w:highlight w:val="none"/>
              </w:rPr>
            </w:pPr>
          </w:p>
        </w:tc>
        <w:tc>
          <w:tcPr>
            <w:tcW w:w="1633" w:type="dxa"/>
            <w:tcBorders>
              <w:top w:val="nil"/>
              <w:left w:val="nil"/>
              <w:bottom w:val="single" w:color="auto" w:sz="4" w:space="0"/>
              <w:right w:val="single" w:color="auto" w:sz="4" w:space="0"/>
            </w:tcBorders>
            <w:vAlign w:val="center"/>
          </w:tcPr>
          <w:p w14:paraId="6A212CBC">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营业收入（Y）</w:t>
            </w:r>
          </w:p>
        </w:tc>
        <w:tc>
          <w:tcPr>
            <w:tcW w:w="1077" w:type="dxa"/>
            <w:tcBorders>
              <w:top w:val="nil"/>
              <w:left w:val="nil"/>
              <w:bottom w:val="single" w:color="auto" w:sz="4" w:space="0"/>
              <w:right w:val="single" w:color="auto" w:sz="4" w:space="0"/>
            </w:tcBorders>
            <w:vAlign w:val="center"/>
          </w:tcPr>
          <w:p w14:paraId="09E1F2AB">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万元</w:t>
            </w:r>
          </w:p>
        </w:tc>
        <w:tc>
          <w:tcPr>
            <w:tcW w:w="1911" w:type="dxa"/>
            <w:tcBorders>
              <w:top w:val="nil"/>
              <w:left w:val="nil"/>
              <w:bottom w:val="single" w:color="auto" w:sz="4" w:space="0"/>
              <w:right w:val="single" w:color="auto" w:sz="4" w:space="0"/>
            </w:tcBorders>
            <w:vAlign w:val="center"/>
          </w:tcPr>
          <w:p w14:paraId="74D39077">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500≤Y＜20000</w:t>
            </w:r>
          </w:p>
        </w:tc>
        <w:tc>
          <w:tcPr>
            <w:tcW w:w="1699" w:type="dxa"/>
            <w:tcBorders>
              <w:top w:val="nil"/>
              <w:left w:val="nil"/>
              <w:bottom w:val="single" w:color="auto" w:sz="4" w:space="0"/>
              <w:right w:val="single" w:color="auto" w:sz="4" w:space="0"/>
            </w:tcBorders>
            <w:vAlign w:val="center"/>
          </w:tcPr>
          <w:p w14:paraId="0A205053">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100≤Y＜500</w:t>
            </w:r>
          </w:p>
        </w:tc>
        <w:tc>
          <w:tcPr>
            <w:tcW w:w="1091" w:type="dxa"/>
            <w:tcBorders>
              <w:top w:val="nil"/>
              <w:left w:val="nil"/>
              <w:bottom w:val="single" w:color="auto" w:sz="4" w:space="0"/>
              <w:right w:val="single" w:color="auto" w:sz="4" w:space="0"/>
            </w:tcBorders>
            <w:vAlign w:val="center"/>
          </w:tcPr>
          <w:p w14:paraId="72AAB2DE">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Y＜100</w:t>
            </w:r>
          </w:p>
        </w:tc>
      </w:tr>
      <w:tr w14:paraId="094624C0">
        <w:tblPrEx>
          <w:tblCellMar>
            <w:top w:w="0" w:type="dxa"/>
            <w:left w:w="108" w:type="dxa"/>
            <w:bottom w:w="0" w:type="dxa"/>
            <w:right w:w="108" w:type="dxa"/>
          </w:tblCellMar>
        </w:tblPrEx>
        <w:trPr>
          <w:trHeight w:val="364" w:hRule="atLeast"/>
        </w:trPr>
        <w:tc>
          <w:tcPr>
            <w:tcW w:w="2007" w:type="dxa"/>
            <w:vMerge w:val="restart"/>
            <w:tcBorders>
              <w:top w:val="nil"/>
              <w:left w:val="single" w:color="auto" w:sz="4" w:space="0"/>
              <w:bottom w:val="single" w:color="auto" w:sz="4" w:space="0"/>
              <w:right w:val="single" w:color="auto" w:sz="4" w:space="0"/>
            </w:tcBorders>
            <w:vAlign w:val="bottom"/>
          </w:tcPr>
          <w:p w14:paraId="1A315646">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交通运输业</w:t>
            </w:r>
          </w:p>
        </w:tc>
        <w:tc>
          <w:tcPr>
            <w:tcW w:w="1633" w:type="dxa"/>
            <w:tcBorders>
              <w:top w:val="nil"/>
              <w:left w:val="nil"/>
              <w:bottom w:val="single" w:color="auto" w:sz="4" w:space="0"/>
              <w:right w:val="single" w:color="auto" w:sz="4" w:space="0"/>
            </w:tcBorders>
            <w:vAlign w:val="center"/>
          </w:tcPr>
          <w:p w14:paraId="1DFBAC9D">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从业人员（X）</w:t>
            </w:r>
          </w:p>
        </w:tc>
        <w:tc>
          <w:tcPr>
            <w:tcW w:w="1077" w:type="dxa"/>
            <w:tcBorders>
              <w:top w:val="nil"/>
              <w:left w:val="nil"/>
              <w:bottom w:val="single" w:color="auto" w:sz="4" w:space="0"/>
              <w:right w:val="single" w:color="auto" w:sz="4" w:space="0"/>
            </w:tcBorders>
            <w:vAlign w:val="center"/>
          </w:tcPr>
          <w:p w14:paraId="4BFE7912">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人</w:t>
            </w:r>
          </w:p>
        </w:tc>
        <w:tc>
          <w:tcPr>
            <w:tcW w:w="1911" w:type="dxa"/>
            <w:tcBorders>
              <w:top w:val="nil"/>
              <w:left w:val="nil"/>
              <w:bottom w:val="single" w:color="auto" w:sz="4" w:space="0"/>
              <w:right w:val="single" w:color="auto" w:sz="4" w:space="0"/>
            </w:tcBorders>
            <w:vAlign w:val="center"/>
          </w:tcPr>
          <w:p w14:paraId="2B0DCE46">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300≤X＜1000</w:t>
            </w:r>
          </w:p>
        </w:tc>
        <w:tc>
          <w:tcPr>
            <w:tcW w:w="1699" w:type="dxa"/>
            <w:tcBorders>
              <w:top w:val="nil"/>
              <w:left w:val="nil"/>
              <w:bottom w:val="single" w:color="auto" w:sz="4" w:space="0"/>
              <w:right w:val="single" w:color="auto" w:sz="4" w:space="0"/>
            </w:tcBorders>
            <w:vAlign w:val="center"/>
          </w:tcPr>
          <w:p w14:paraId="58FAB2DF">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20≤X＜300</w:t>
            </w:r>
          </w:p>
        </w:tc>
        <w:tc>
          <w:tcPr>
            <w:tcW w:w="1091" w:type="dxa"/>
            <w:tcBorders>
              <w:top w:val="nil"/>
              <w:left w:val="nil"/>
              <w:bottom w:val="single" w:color="auto" w:sz="4" w:space="0"/>
              <w:right w:val="single" w:color="auto" w:sz="4" w:space="0"/>
            </w:tcBorders>
            <w:vAlign w:val="center"/>
          </w:tcPr>
          <w:p w14:paraId="724B31E4">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X＜20</w:t>
            </w:r>
          </w:p>
        </w:tc>
      </w:tr>
      <w:tr w14:paraId="3927564A">
        <w:tblPrEx>
          <w:tblCellMar>
            <w:top w:w="0" w:type="dxa"/>
            <w:left w:w="108" w:type="dxa"/>
            <w:bottom w:w="0" w:type="dxa"/>
            <w:right w:w="108" w:type="dxa"/>
          </w:tblCellMar>
        </w:tblPrEx>
        <w:trPr>
          <w:trHeight w:val="364" w:hRule="atLeast"/>
        </w:trPr>
        <w:tc>
          <w:tcPr>
            <w:tcW w:w="2007" w:type="dxa"/>
            <w:vMerge w:val="continue"/>
            <w:tcBorders>
              <w:top w:val="nil"/>
              <w:left w:val="single" w:color="auto" w:sz="4" w:space="0"/>
              <w:bottom w:val="single" w:color="auto" w:sz="4" w:space="0"/>
              <w:right w:val="single" w:color="auto" w:sz="4" w:space="0"/>
            </w:tcBorders>
            <w:vAlign w:val="center"/>
          </w:tcPr>
          <w:p w14:paraId="38FD854F">
            <w:pPr>
              <w:widowControl/>
              <w:jc w:val="left"/>
              <w:rPr>
                <w:rFonts w:ascii="宋体" w:hAnsi="宋体" w:cs="宋体"/>
                <w:b/>
                <w:bCs/>
                <w:color w:val="auto"/>
                <w:kern w:val="0"/>
                <w:sz w:val="20"/>
                <w:szCs w:val="20"/>
                <w:highlight w:val="none"/>
              </w:rPr>
            </w:pPr>
          </w:p>
        </w:tc>
        <w:tc>
          <w:tcPr>
            <w:tcW w:w="1633" w:type="dxa"/>
            <w:tcBorders>
              <w:top w:val="nil"/>
              <w:left w:val="nil"/>
              <w:bottom w:val="single" w:color="auto" w:sz="4" w:space="0"/>
              <w:right w:val="single" w:color="auto" w:sz="4" w:space="0"/>
            </w:tcBorders>
            <w:vAlign w:val="center"/>
          </w:tcPr>
          <w:p w14:paraId="6387F37A">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营业收入（Y）</w:t>
            </w:r>
          </w:p>
        </w:tc>
        <w:tc>
          <w:tcPr>
            <w:tcW w:w="1077" w:type="dxa"/>
            <w:tcBorders>
              <w:top w:val="nil"/>
              <w:left w:val="nil"/>
              <w:bottom w:val="single" w:color="auto" w:sz="4" w:space="0"/>
              <w:right w:val="single" w:color="auto" w:sz="4" w:space="0"/>
            </w:tcBorders>
            <w:vAlign w:val="center"/>
          </w:tcPr>
          <w:p w14:paraId="3F70EB38">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万元</w:t>
            </w:r>
          </w:p>
        </w:tc>
        <w:tc>
          <w:tcPr>
            <w:tcW w:w="1911" w:type="dxa"/>
            <w:tcBorders>
              <w:top w:val="nil"/>
              <w:left w:val="nil"/>
              <w:bottom w:val="single" w:color="auto" w:sz="4" w:space="0"/>
              <w:right w:val="single" w:color="auto" w:sz="4" w:space="0"/>
            </w:tcBorders>
            <w:vAlign w:val="center"/>
          </w:tcPr>
          <w:p w14:paraId="359210A0">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3000≤Y＜30000</w:t>
            </w:r>
          </w:p>
        </w:tc>
        <w:tc>
          <w:tcPr>
            <w:tcW w:w="1699" w:type="dxa"/>
            <w:tcBorders>
              <w:top w:val="nil"/>
              <w:left w:val="nil"/>
              <w:bottom w:val="single" w:color="auto" w:sz="4" w:space="0"/>
              <w:right w:val="single" w:color="auto" w:sz="4" w:space="0"/>
            </w:tcBorders>
            <w:vAlign w:val="center"/>
          </w:tcPr>
          <w:p w14:paraId="41E1A8DB">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200≤Y＜3000</w:t>
            </w:r>
          </w:p>
        </w:tc>
        <w:tc>
          <w:tcPr>
            <w:tcW w:w="1091" w:type="dxa"/>
            <w:tcBorders>
              <w:top w:val="nil"/>
              <w:left w:val="nil"/>
              <w:bottom w:val="single" w:color="auto" w:sz="4" w:space="0"/>
              <w:right w:val="single" w:color="auto" w:sz="4" w:space="0"/>
            </w:tcBorders>
            <w:vAlign w:val="center"/>
          </w:tcPr>
          <w:p w14:paraId="413B9651">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Y＜200</w:t>
            </w:r>
          </w:p>
        </w:tc>
      </w:tr>
      <w:tr w14:paraId="5F98D223">
        <w:tblPrEx>
          <w:tblCellMar>
            <w:top w:w="0" w:type="dxa"/>
            <w:left w:w="108" w:type="dxa"/>
            <w:bottom w:w="0" w:type="dxa"/>
            <w:right w:w="108" w:type="dxa"/>
          </w:tblCellMar>
        </w:tblPrEx>
        <w:trPr>
          <w:trHeight w:val="364" w:hRule="atLeast"/>
        </w:trPr>
        <w:tc>
          <w:tcPr>
            <w:tcW w:w="2007" w:type="dxa"/>
            <w:vMerge w:val="restart"/>
            <w:tcBorders>
              <w:top w:val="nil"/>
              <w:left w:val="single" w:color="auto" w:sz="4" w:space="0"/>
              <w:bottom w:val="single" w:color="auto" w:sz="4" w:space="0"/>
              <w:right w:val="single" w:color="auto" w:sz="4" w:space="0"/>
            </w:tcBorders>
            <w:vAlign w:val="bottom"/>
          </w:tcPr>
          <w:p w14:paraId="086E6FF3">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仓储业</w:t>
            </w:r>
          </w:p>
        </w:tc>
        <w:tc>
          <w:tcPr>
            <w:tcW w:w="1633" w:type="dxa"/>
            <w:tcBorders>
              <w:top w:val="nil"/>
              <w:left w:val="nil"/>
              <w:bottom w:val="single" w:color="auto" w:sz="4" w:space="0"/>
              <w:right w:val="single" w:color="auto" w:sz="4" w:space="0"/>
            </w:tcBorders>
            <w:vAlign w:val="center"/>
          </w:tcPr>
          <w:p w14:paraId="6011A009">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从业人员（X）</w:t>
            </w:r>
          </w:p>
        </w:tc>
        <w:tc>
          <w:tcPr>
            <w:tcW w:w="1077" w:type="dxa"/>
            <w:tcBorders>
              <w:top w:val="nil"/>
              <w:left w:val="nil"/>
              <w:bottom w:val="single" w:color="auto" w:sz="4" w:space="0"/>
              <w:right w:val="single" w:color="auto" w:sz="4" w:space="0"/>
            </w:tcBorders>
            <w:vAlign w:val="center"/>
          </w:tcPr>
          <w:p w14:paraId="4B53D2D4">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人</w:t>
            </w:r>
          </w:p>
        </w:tc>
        <w:tc>
          <w:tcPr>
            <w:tcW w:w="1911" w:type="dxa"/>
            <w:tcBorders>
              <w:top w:val="nil"/>
              <w:left w:val="nil"/>
              <w:bottom w:val="single" w:color="auto" w:sz="4" w:space="0"/>
              <w:right w:val="single" w:color="auto" w:sz="4" w:space="0"/>
            </w:tcBorders>
            <w:vAlign w:val="center"/>
          </w:tcPr>
          <w:p w14:paraId="52BE02BB">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100≤X＜200</w:t>
            </w:r>
          </w:p>
        </w:tc>
        <w:tc>
          <w:tcPr>
            <w:tcW w:w="1699" w:type="dxa"/>
            <w:tcBorders>
              <w:top w:val="nil"/>
              <w:left w:val="nil"/>
              <w:bottom w:val="single" w:color="auto" w:sz="4" w:space="0"/>
              <w:right w:val="single" w:color="auto" w:sz="4" w:space="0"/>
            </w:tcBorders>
            <w:vAlign w:val="center"/>
          </w:tcPr>
          <w:p w14:paraId="03AC4543">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20≤X＜100</w:t>
            </w:r>
          </w:p>
        </w:tc>
        <w:tc>
          <w:tcPr>
            <w:tcW w:w="1091" w:type="dxa"/>
            <w:tcBorders>
              <w:top w:val="nil"/>
              <w:left w:val="nil"/>
              <w:bottom w:val="single" w:color="auto" w:sz="4" w:space="0"/>
              <w:right w:val="single" w:color="auto" w:sz="4" w:space="0"/>
            </w:tcBorders>
            <w:vAlign w:val="center"/>
          </w:tcPr>
          <w:p w14:paraId="41C33FFA">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X＜20</w:t>
            </w:r>
          </w:p>
        </w:tc>
      </w:tr>
      <w:tr w14:paraId="44CCC36B">
        <w:tblPrEx>
          <w:tblCellMar>
            <w:top w:w="0" w:type="dxa"/>
            <w:left w:w="108" w:type="dxa"/>
            <w:bottom w:w="0" w:type="dxa"/>
            <w:right w:w="108" w:type="dxa"/>
          </w:tblCellMar>
        </w:tblPrEx>
        <w:trPr>
          <w:trHeight w:val="364" w:hRule="atLeast"/>
        </w:trPr>
        <w:tc>
          <w:tcPr>
            <w:tcW w:w="2007" w:type="dxa"/>
            <w:vMerge w:val="continue"/>
            <w:tcBorders>
              <w:top w:val="nil"/>
              <w:left w:val="single" w:color="auto" w:sz="4" w:space="0"/>
              <w:bottom w:val="single" w:color="auto" w:sz="4" w:space="0"/>
              <w:right w:val="single" w:color="auto" w:sz="4" w:space="0"/>
            </w:tcBorders>
            <w:vAlign w:val="center"/>
          </w:tcPr>
          <w:p w14:paraId="735459BD">
            <w:pPr>
              <w:widowControl/>
              <w:jc w:val="left"/>
              <w:rPr>
                <w:rFonts w:ascii="宋体" w:hAnsi="宋体" w:cs="宋体"/>
                <w:b/>
                <w:bCs/>
                <w:color w:val="auto"/>
                <w:kern w:val="0"/>
                <w:sz w:val="20"/>
                <w:szCs w:val="20"/>
                <w:highlight w:val="none"/>
              </w:rPr>
            </w:pPr>
          </w:p>
        </w:tc>
        <w:tc>
          <w:tcPr>
            <w:tcW w:w="1633" w:type="dxa"/>
            <w:tcBorders>
              <w:top w:val="nil"/>
              <w:left w:val="nil"/>
              <w:bottom w:val="single" w:color="auto" w:sz="4" w:space="0"/>
              <w:right w:val="single" w:color="auto" w:sz="4" w:space="0"/>
            </w:tcBorders>
            <w:vAlign w:val="center"/>
          </w:tcPr>
          <w:p w14:paraId="72DD6A9D">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营业收入（Y）</w:t>
            </w:r>
          </w:p>
        </w:tc>
        <w:tc>
          <w:tcPr>
            <w:tcW w:w="1077" w:type="dxa"/>
            <w:tcBorders>
              <w:top w:val="nil"/>
              <w:left w:val="nil"/>
              <w:bottom w:val="single" w:color="auto" w:sz="4" w:space="0"/>
              <w:right w:val="single" w:color="auto" w:sz="4" w:space="0"/>
            </w:tcBorders>
            <w:vAlign w:val="center"/>
          </w:tcPr>
          <w:p w14:paraId="6C06F247">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万元</w:t>
            </w:r>
          </w:p>
        </w:tc>
        <w:tc>
          <w:tcPr>
            <w:tcW w:w="1911" w:type="dxa"/>
            <w:tcBorders>
              <w:top w:val="nil"/>
              <w:left w:val="nil"/>
              <w:bottom w:val="single" w:color="auto" w:sz="4" w:space="0"/>
              <w:right w:val="single" w:color="auto" w:sz="4" w:space="0"/>
            </w:tcBorders>
            <w:vAlign w:val="center"/>
          </w:tcPr>
          <w:p w14:paraId="62F7C8BA">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1000≤Y＜30000</w:t>
            </w:r>
          </w:p>
        </w:tc>
        <w:tc>
          <w:tcPr>
            <w:tcW w:w="1699" w:type="dxa"/>
            <w:tcBorders>
              <w:top w:val="nil"/>
              <w:left w:val="nil"/>
              <w:bottom w:val="single" w:color="auto" w:sz="4" w:space="0"/>
              <w:right w:val="single" w:color="auto" w:sz="4" w:space="0"/>
            </w:tcBorders>
            <w:vAlign w:val="center"/>
          </w:tcPr>
          <w:p w14:paraId="6024FA22">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100≤Y＜1000</w:t>
            </w:r>
          </w:p>
        </w:tc>
        <w:tc>
          <w:tcPr>
            <w:tcW w:w="1091" w:type="dxa"/>
            <w:tcBorders>
              <w:top w:val="nil"/>
              <w:left w:val="nil"/>
              <w:bottom w:val="single" w:color="auto" w:sz="4" w:space="0"/>
              <w:right w:val="single" w:color="auto" w:sz="4" w:space="0"/>
            </w:tcBorders>
            <w:vAlign w:val="center"/>
          </w:tcPr>
          <w:p w14:paraId="02280982">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Y＜100</w:t>
            </w:r>
          </w:p>
        </w:tc>
      </w:tr>
      <w:tr w14:paraId="015D10E6">
        <w:tblPrEx>
          <w:tblCellMar>
            <w:top w:w="0" w:type="dxa"/>
            <w:left w:w="108" w:type="dxa"/>
            <w:bottom w:w="0" w:type="dxa"/>
            <w:right w:w="108" w:type="dxa"/>
          </w:tblCellMar>
        </w:tblPrEx>
        <w:trPr>
          <w:trHeight w:val="364" w:hRule="atLeast"/>
        </w:trPr>
        <w:tc>
          <w:tcPr>
            <w:tcW w:w="2007" w:type="dxa"/>
            <w:vMerge w:val="restart"/>
            <w:tcBorders>
              <w:top w:val="nil"/>
              <w:left w:val="single" w:color="auto" w:sz="4" w:space="0"/>
              <w:bottom w:val="single" w:color="auto" w:sz="4" w:space="0"/>
              <w:right w:val="single" w:color="auto" w:sz="4" w:space="0"/>
            </w:tcBorders>
            <w:vAlign w:val="bottom"/>
          </w:tcPr>
          <w:p w14:paraId="2AA0B6F4">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邮政业</w:t>
            </w:r>
          </w:p>
        </w:tc>
        <w:tc>
          <w:tcPr>
            <w:tcW w:w="1633" w:type="dxa"/>
            <w:tcBorders>
              <w:top w:val="nil"/>
              <w:left w:val="nil"/>
              <w:bottom w:val="single" w:color="auto" w:sz="4" w:space="0"/>
              <w:right w:val="single" w:color="auto" w:sz="4" w:space="0"/>
            </w:tcBorders>
            <w:vAlign w:val="center"/>
          </w:tcPr>
          <w:p w14:paraId="3FA580F9">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从业人员（X）</w:t>
            </w:r>
          </w:p>
        </w:tc>
        <w:tc>
          <w:tcPr>
            <w:tcW w:w="1077" w:type="dxa"/>
            <w:tcBorders>
              <w:top w:val="nil"/>
              <w:left w:val="nil"/>
              <w:bottom w:val="single" w:color="auto" w:sz="4" w:space="0"/>
              <w:right w:val="single" w:color="auto" w:sz="4" w:space="0"/>
            </w:tcBorders>
            <w:vAlign w:val="center"/>
          </w:tcPr>
          <w:p w14:paraId="43320D48">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人</w:t>
            </w:r>
          </w:p>
        </w:tc>
        <w:tc>
          <w:tcPr>
            <w:tcW w:w="1911" w:type="dxa"/>
            <w:tcBorders>
              <w:top w:val="nil"/>
              <w:left w:val="nil"/>
              <w:bottom w:val="single" w:color="auto" w:sz="4" w:space="0"/>
              <w:right w:val="single" w:color="auto" w:sz="4" w:space="0"/>
            </w:tcBorders>
            <w:vAlign w:val="center"/>
          </w:tcPr>
          <w:p w14:paraId="5B6E45EC">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300≤X＜1000</w:t>
            </w:r>
          </w:p>
        </w:tc>
        <w:tc>
          <w:tcPr>
            <w:tcW w:w="1699" w:type="dxa"/>
            <w:tcBorders>
              <w:top w:val="nil"/>
              <w:left w:val="nil"/>
              <w:bottom w:val="single" w:color="auto" w:sz="4" w:space="0"/>
              <w:right w:val="single" w:color="auto" w:sz="4" w:space="0"/>
            </w:tcBorders>
            <w:vAlign w:val="center"/>
          </w:tcPr>
          <w:p w14:paraId="2E088B24">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20≤X＜300</w:t>
            </w:r>
          </w:p>
        </w:tc>
        <w:tc>
          <w:tcPr>
            <w:tcW w:w="1091" w:type="dxa"/>
            <w:tcBorders>
              <w:top w:val="nil"/>
              <w:left w:val="nil"/>
              <w:bottom w:val="single" w:color="auto" w:sz="4" w:space="0"/>
              <w:right w:val="single" w:color="auto" w:sz="4" w:space="0"/>
            </w:tcBorders>
            <w:vAlign w:val="center"/>
          </w:tcPr>
          <w:p w14:paraId="5AA07865">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X＜20</w:t>
            </w:r>
          </w:p>
        </w:tc>
      </w:tr>
      <w:tr w14:paraId="2B02B946">
        <w:tblPrEx>
          <w:tblCellMar>
            <w:top w:w="0" w:type="dxa"/>
            <w:left w:w="108" w:type="dxa"/>
            <w:bottom w:w="0" w:type="dxa"/>
            <w:right w:w="108" w:type="dxa"/>
          </w:tblCellMar>
        </w:tblPrEx>
        <w:trPr>
          <w:trHeight w:val="364" w:hRule="atLeast"/>
        </w:trPr>
        <w:tc>
          <w:tcPr>
            <w:tcW w:w="2007" w:type="dxa"/>
            <w:vMerge w:val="continue"/>
            <w:tcBorders>
              <w:top w:val="nil"/>
              <w:left w:val="single" w:color="auto" w:sz="4" w:space="0"/>
              <w:bottom w:val="single" w:color="auto" w:sz="4" w:space="0"/>
              <w:right w:val="single" w:color="auto" w:sz="4" w:space="0"/>
            </w:tcBorders>
            <w:vAlign w:val="center"/>
          </w:tcPr>
          <w:p w14:paraId="74A0EFFF">
            <w:pPr>
              <w:widowControl/>
              <w:jc w:val="left"/>
              <w:rPr>
                <w:rFonts w:ascii="宋体" w:hAnsi="宋体" w:cs="宋体"/>
                <w:b/>
                <w:bCs/>
                <w:color w:val="auto"/>
                <w:kern w:val="0"/>
                <w:sz w:val="20"/>
                <w:szCs w:val="20"/>
                <w:highlight w:val="none"/>
              </w:rPr>
            </w:pPr>
          </w:p>
        </w:tc>
        <w:tc>
          <w:tcPr>
            <w:tcW w:w="1633" w:type="dxa"/>
            <w:tcBorders>
              <w:top w:val="nil"/>
              <w:left w:val="nil"/>
              <w:bottom w:val="single" w:color="auto" w:sz="4" w:space="0"/>
              <w:right w:val="single" w:color="auto" w:sz="4" w:space="0"/>
            </w:tcBorders>
            <w:vAlign w:val="center"/>
          </w:tcPr>
          <w:p w14:paraId="48A4BC8C">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营业收入（Y）</w:t>
            </w:r>
          </w:p>
        </w:tc>
        <w:tc>
          <w:tcPr>
            <w:tcW w:w="1077" w:type="dxa"/>
            <w:tcBorders>
              <w:top w:val="nil"/>
              <w:left w:val="nil"/>
              <w:bottom w:val="single" w:color="auto" w:sz="4" w:space="0"/>
              <w:right w:val="single" w:color="auto" w:sz="4" w:space="0"/>
            </w:tcBorders>
            <w:vAlign w:val="center"/>
          </w:tcPr>
          <w:p w14:paraId="1A538C60">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万元</w:t>
            </w:r>
          </w:p>
        </w:tc>
        <w:tc>
          <w:tcPr>
            <w:tcW w:w="1911" w:type="dxa"/>
            <w:tcBorders>
              <w:top w:val="nil"/>
              <w:left w:val="nil"/>
              <w:bottom w:val="single" w:color="auto" w:sz="4" w:space="0"/>
              <w:right w:val="single" w:color="auto" w:sz="4" w:space="0"/>
            </w:tcBorders>
            <w:vAlign w:val="center"/>
          </w:tcPr>
          <w:p w14:paraId="0819C2FF">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2000≤Y＜30000</w:t>
            </w:r>
          </w:p>
        </w:tc>
        <w:tc>
          <w:tcPr>
            <w:tcW w:w="1699" w:type="dxa"/>
            <w:tcBorders>
              <w:top w:val="nil"/>
              <w:left w:val="nil"/>
              <w:bottom w:val="single" w:color="auto" w:sz="4" w:space="0"/>
              <w:right w:val="single" w:color="auto" w:sz="4" w:space="0"/>
            </w:tcBorders>
            <w:vAlign w:val="center"/>
          </w:tcPr>
          <w:p w14:paraId="1019E949">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100≤Y＜2000</w:t>
            </w:r>
          </w:p>
        </w:tc>
        <w:tc>
          <w:tcPr>
            <w:tcW w:w="1091" w:type="dxa"/>
            <w:tcBorders>
              <w:top w:val="nil"/>
              <w:left w:val="nil"/>
              <w:bottom w:val="single" w:color="auto" w:sz="4" w:space="0"/>
              <w:right w:val="single" w:color="auto" w:sz="4" w:space="0"/>
            </w:tcBorders>
            <w:vAlign w:val="center"/>
          </w:tcPr>
          <w:p w14:paraId="56E6282E">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Y＜100</w:t>
            </w:r>
          </w:p>
        </w:tc>
      </w:tr>
      <w:tr w14:paraId="643E3D9C">
        <w:tblPrEx>
          <w:tblCellMar>
            <w:top w:w="0" w:type="dxa"/>
            <w:left w:w="108" w:type="dxa"/>
            <w:bottom w:w="0" w:type="dxa"/>
            <w:right w:w="108" w:type="dxa"/>
          </w:tblCellMar>
        </w:tblPrEx>
        <w:trPr>
          <w:trHeight w:val="364" w:hRule="atLeast"/>
        </w:trPr>
        <w:tc>
          <w:tcPr>
            <w:tcW w:w="2007" w:type="dxa"/>
            <w:vMerge w:val="restart"/>
            <w:tcBorders>
              <w:top w:val="nil"/>
              <w:left w:val="single" w:color="auto" w:sz="4" w:space="0"/>
              <w:bottom w:val="single" w:color="auto" w:sz="4" w:space="0"/>
              <w:right w:val="single" w:color="auto" w:sz="4" w:space="0"/>
            </w:tcBorders>
            <w:vAlign w:val="bottom"/>
          </w:tcPr>
          <w:p w14:paraId="0AB10281">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住宿业</w:t>
            </w:r>
          </w:p>
        </w:tc>
        <w:tc>
          <w:tcPr>
            <w:tcW w:w="1633" w:type="dxa"/>
            <w:tcBorders>
              <w:top w:val="nil"/>
              <w:left w:val="nil"/>
              <w:bottom w:val="single" w:color="auto" w:sz="4" w:space="0"/>
              <w:right w:val="single" w:color="auto" w:sz="4" w:space="0"/>
            </w:tcBorders>
            <w:vAlign w:val="center"/>
          </w:tcPr>
          <w:p w14:paraId="70E87B26">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从业人员（X）</w:t>
            </w:r>
          </w:p>
        </w:tc>
        <w:tc>
          <w:tcPr>
            <w:tcW w:w="1077" w:type="dxa"/>
            <w:tcBorders>
              <w:top w:val="nil"/>
              <w:left w:val="nil"/>
              <w:bottom w:val="single" w:color="auto" w:sz="4" w:space="0"/>
              <w:right w:val="single" w:color="auto" w:sz="4" w:space="0"/>
            </w:tcBorders>
            <w:vAlign w:val="center"/>
          </w:tcPr>
          <w:p w14:paraId="1C890B5E">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人</w:t>
            </w:r>
          </w:p>
        </w:tc>
        <w:tc>
          <w:tcPr>
            <w:tcW w:w="1911" w:type="dxa"/>
            <w:tcBorders>
              <w:top w:val="nil"/>
              <w:left w:val="nil"/>
              <w:bottom w:val="single" w:color="auto" w:sz="4" w:space="0"/>
              <w:right w:val="single" w:color="auto" w:sz="4" w:space="0"/>
            </w:tcBorders>
            <w:vAlign w:val="center"/>
          </w:tcPr>
          <w:p w14:paraId="74CA1D0F">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100≤X＜300</w:t>
            </w:r>
          </w:p>
        </w:tc>
        <w:tc>
          <w:tcPr>
            <w:tcW w:w="1699" w:type="dxa"/>
            <w:tcBorders>
              <w:top w:val="nil"/>
              <w:left w:val="nil"/>
              <w:bottom w:val="single" w:color="auto" w:sz="4" w:space="0"/>
              <w:right w:val="single" w:color="auto" w:sz="4" w:space="0"/>
            </w:tcBorders>
            <w:vAlign w:val="center"/>
          </w:tcPr>
          <w:p w14:paraId="533DC344">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10≤X＜100</w:t>
            </w:r>
          </w:p>
        </w:tc>
        <w:tc>
          <w:tcPr>
            <w:tcW w:w="1091" w:type="dxa"/>
            <w:tcBorders>
              <w:top w:val="nil"/>
              <w:left w:val="nil"/>
              <w:bottom w:val="single" w:color="auto" w:sz="4" w:space="0"/>
              <w:right w:val="single" w:color="auto" w:sz="4" w:space="0"/>
            </w:tcBorders>
            <w:vAlign w:val="center"/>
          </w:tcPr>
          <w:p w14:paraId="3D2A5433">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X＜10</w:t>
            </w:r>
          </w:p>
        </w:tc>
      </w:tr>
      <w:tr w14:paraId="3E5E7DC1">
        <w:tblPrEx>
          <w:tblCellMar>
            <w:top w:w="0" w:type="dxa"/>
            <w:left w:w="108" w:type="dxa"/>
            <w:bottom w:w="0" w:type="dxa"/>
            <w:right w:w="108" w:type="dxa"/>
          </w:tblCellMar>
        </w:tblPrEx>
        <w:trPr>
          <w:trHeight w:val="364" w:hRule="atLeast"/>
        </w:trPr>
        <w:tc>
          <w:tcPr>
            <w:tcW w:w="2007" w:type="dxa"/>
            <w:vMerge w:val="continue"/>
            <w:tcBorders>
              <w:top w:val="nil"/>
              <w:left w:val="single" w:color="auto" w:sz="4" w:space="0"/>
              <w:bottom w:val="single" w:color="auto" w:sz="4" w:space="0"/>
              <w:right w:val="single" w:color="auto" w:sz="4" w:space="0"/>
            </w:tcBorders>
            <w:vAlign w:val="center"/>
          </w:tcPr>
          <w:p w14:paraId="1E190518">
            <w:pPr>
              <w:widowControl/>
              <w:jc w:val="left"/>
              <w:rPr>
                <w:rFonts w:ascii="宋体" w:hAnsi="宋体" w:cs="宋体"/>
                <w:b/>
                <w:bCs/>
                <w:color w:val="auto"/>
                <w:kern w:val="0"/>
                <w:sz w:val="20"/>
                <w:szCs w:val="20"/>
                <w:highlight w:val="none"/>
              </w:rPr>
            </w:pPr>
          </w:p>
        </w:tc>
        <w:tc>
          <w:tcPr>
            <w:tcW w:w="1633" w:type="dxa"/>
            <w:tcBorders>
              <w:top w:val="nil"/>
              <w:left w:val="nil"/>
              <w:bottom w:val="single" w:color="auto" w:sz="4" w:space="0"/>
              <w:right w:val="single" w:color="auto" w:sz="4" w:space="0"/>
            </w:tcBorders>
            <w:vAlign w:val="center"/>
          </w:tcPr>
          <w:p w14:paraId="51589964">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营业收入（Y）</w:t>
            </w:r>
          </w:p>
        </w:tc>
        <w:tc>
          <w:tcPr>
            <w:tcW w:w="1077" w:type="dxa"/>
            <w:tcBorders>
              <w:top w:val="nil"/>
              <w:left w:val="nil"/>
              <w:bottom w:val="single" w:color="auto" w:sz="4" w:space="0"/>
              <w:right w:val="single" w:color="auto" w:sz="4" w:space="0"/>
            </w:tcBorders>
            <w:vAlign w:val="center"/>
          </w:tcPr>
          <w:p w14:paraId="46E5B1FC">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万元</w:t>
            </w:r>
          </w:p>
        </w:tc>
        <w:tc>
          <w:tcPr>
            <w:tcW w:w="1911" w:type="dxa"/>
            <w:tcBorders>
              <w:top w:val="nil"/>
              <w:left w:val="nil"/>
              <w:bottom w:val="single" w:color="auto" w:sz="4" w:space="0"/>
              <w:right w:val="single" w:color="auto" w:sz="4" w:space="0"/>
            </w:tcBorders>
            <w:vAlign w:val="center"/>
          </w:tcPr>
          <w:p w14:paraId="091EF461">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2000≤Y＜10000</w:t>
            </w:r>
          </w:p>
        </w:tc>
        <w:tc>
          <w:tcPr>
            <w:tcW w:w="1699" w:type="dxa"/>
            <w:tcBorders>
              <w:top w:val="nil"/>
              <w:left w:val="nil"/>
              <w:bottom w:val="single" w:color="auto" w:sz="4" w:space="0"/>
              <w:right w:val="single" w:color="auto" w:sz="4" w:space="0"/>
            </w:tcBorders>
            <w:vAlign w:val="center"/>
          </w:tcPr>
          <w:p w14:paraId="0BF337A7">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100≤Y＜2000</w:t>
            </w:r>
          </w:p>
        </w:tc>
        <w:tc>
          <w:tcPr>
            <w:tcW w:w="1091" w:type="dxa"/>
            <w:tcBorders>
              <w:top w:val="nil"/>
              <w:left w:val="nil"/>
              <w:bottom w:val="single" w:color="auto" w:sz="4" w:space="0"/>
              <w:right w:val="single" w:color="auto" w:sz="4" w:space="0"/>
            </w:tcBorders>
            <w:vAlign w:val="center"/>
          </w:tcPr>
          <w:p w14:paraId="4846A3CF">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Y＜100</w:t>
            </w:r>
          </w:p>
        </w:tc>
      </w:tr>
      <w:tr w14:paraId="19E357F1">
        <w:tblPrEx>
          <w:tblCellMar>
            <w:top w:w="0" w:type="dxa"/>
            <w:left w:w="108" w:type="dxa"/>
            <w:bottom w:w="0" w:type="dxa"/>
            <w:right w:w="108" w:type="dxa"/>
          </w:tblCellMar>
        </w:tblPrEx>
        <w:trPr>
          <w:trHeight w:val="364" w:hRule="atLeast"/>
        </w:trPr>
        <w:tc>
          <w:tcPr>
            <w:tcW w:w="2007" w:type="dxa"/>
            <w:vMerge w:val="restart"/>
            <w:tcBorders>
              <w:top w:val="nil"/>
              <w:left w:val="single" w:color="auto" w:sz="4" w:space="0"/>
              <w:bottom w:val="single" w:color="auto" w:sz="4" w:space="0"/>
              <w:right w:val="single" w:color="auto" w:sz="4" w:space="0"/>
            </w:tcBorders>
            <w:vAlign w:val="bottom"/>
          </w:tcPr>
          <w:p w14:paraId="35CB35E2">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餐饮业</w:t>
            </w:r>
          </w:p>
        </w:tc>
        <w:tc>
          <w:tcPr>
            <w:tcW w:w="1633" w:type="dxa"/>
            <w:tcBorders>
              <w:top w:val="nil"/>
              <w:left w:val="nil"/>
              <w:bottom w:val="single" w:color="auto" w:sz="4" w:space="0"/>
              <w:right w:val="single" w:color="auto" w:sz="4" w:space="0"/>
            </w:tcBorders>
            <w:vAlign w:val="center"/>
          </w:tcPr>
          <w:p w14:paraId="4AFA8649">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从业人员（X）</w:t>
            </w:r>
          </w:p>
        </w:tc>
        <w:tc>
          <w:tcPr>
            <w:tcW w:w="1077" w:type="dxa"/>
            <w:tcBorders>
              <w:top w:val="nil"/>
              <w:left w:val="nil"/>
              <w:bottom w:val="single" w:color="auto" w:sz="4" w:space="0"/>
              <w:right w:val="single" w:color="auto" w:sz="4" w:space="0"/>
            </w:tcBorders>
            <w:vAlign w:val="center"/>
          </w:tcPr>
          <w:p w14:paraId="0A4C26F2">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人</w:t>
            </w:r>
          </w:p>
        </w:tc>
        <w:tc>
          <w:tcPr>
            <w:tcW w:w="1911" w:type="dxa"/>
            <w:tcBorders>
              <w:top w:val="nil"/>
              <w:left w:val="nil"/>
              <w:bottom w:val="single" w:color="auto" w:sz="4" w:space="0"/>
              <w:right w:val="single" w:color="auto" w:sz="4" w:space="0"/>
            </w:tcBorders>
            <w:vAlign w:val="center"/>
          </w:tcPr>
          <w:p w14:paraId="37F5AFB7">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100≤X＜300</w:t>
            </w:r>
          </w:p>
        </w:tc>
        <w:tc>
          <w:tcPr>
            <w:tcW w:w="1699" w:type="dxa"/>
            <w:tcBorders>
              <w:top w:val="nil"/>
              <w:left w:val="nil"/>
              <w:bottom w:val="single" w:color="auto" w:sz="4" w:space="0"/>
              <w:right w:val="single" w:color="auto" w:sz="4" w:space="0"/>
            </w:tcBorders>
            <w:vAlign w:val="center"/>
          </w:tcPr>
          <w:p w14:paraId="467B5B92">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10≤X＜100</w:t>
            </w:r>
          </w:p>
        </w:tc>
        <w:tc>
          <w:tcPr>
            <w:tcW w:w="1091" w:type="dxa"/>
            <w:tcBorders>
              <w:top w:val="nil"/>
              <w:left w:val="nil"/>
              <w:bottom w:val="single" w:color="auto" w:sz="4" w:space="0"/>
              <w:right w:val="single" w:color="auto" w:sz="4" w:space="0"/>
            </w:tcBorders>
            <w:vAlign w:val="center"/>
          </w:tcPr>
          <w:p w14:paraId="34D0DACB">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X＜10</w:t>
            </w:r>
          </w:p>
        </w:tc>
      </w:tr>
      <w:tr w14:paraId="25D40F5F">
        <w:tblPrEx>
          <w:tblCellMar>
            <w:top w:w="0" w:type="dxa"/>
            <w:left w:w="108" w:type="dxa"/>
            <w:bottom w:w="0" w:type="dxa"/>
            <w:right w:w="108" w:type="dxa"/>
          </w:tblCellMar>
        </w:tblPrEx>
        <w:trPr>
          <w:trHeight w:val="364" w:hRule="atLeast"/>
        </w:trPr>
        <w:tc>
          <w:tcPr>
            <w:tcW w:w="2007" w:type="dxa"/>
            <w:vMerge w:val="continue"/>
            <w:tcBorders>
              <w:top w:val="nil"/>
              <w:left w:val="single" w:color="auto" w:sz="4" w:space="0"/>
              <w:bottom w:val="single" w:color="auto" w:sz="4" w:space="0"/>
              <w:right w:val="single" w:color="auto" w:sz="4" w:space="0"/>
            </w:tcBorders>
            <w:vAlign w:val="center"/>
          </w:tcPr>
          <w:p w14:paraId="3D881EE3">
            <w:pPr>
              <w:widowControl/>
              <w:jc w:val="left"/>
              <w:rPr>
                <w:rFonts w:ascii="宋体" w:hAnsi="宋体" w:cs="宋体"/>
                <w:b/>
                <w:bCs/>
                <w:color w:val="auto"/>
                <w:kern w:val="0"/>
                <w:sz w:val="20"/>
                <w:szCs w:val="20"/>
                <w:highlight w:val="none"/>
              </w:rPr>
            </w:pPr>
          </w:p>
        </w:tc>
        <w:tc>
          <w:tcPr>
            <w:tcW w:w="1633" w:type="dxa"/>
            <w:tcBorders>
              <w:top w:val="nil"/>
              <w:left w:val="nil"/>
              <w:bottom w:val="single" w:color="auto" w:sz="4" w:space="0"/>
              <w:right w:val="single" w:color="auto" w:sz="4" w:space="0"/>
            </w:tcBorders>
            <w:vAlign w:val="center"/>
          </w:tcPr>
          <w:p w14:paraId="550C934D">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营业收入（Y）</w:t>
            </w:r>
          </w:p>
        </w:tc>
        <w:tc>
          <w:tcPr>
            <w:tcW w:w="1077" w:type="dxa"/>
            <w:tcBorders>
              <w:top w:val="nil"/>
              <w:left w:val="nil"/>
              <w:bottom w:val="single" w:color="auto" w:sz="4" w:space="0"/>
              <w:right w:val="single" w:color="auto" w:sz="4" w:space="0"/>
            </w:tcBorders>
            <w:vAlign w:val="center"/>
          </w:tcPr>
          <w:p w14:paraId="27A503C3">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万元</w:t>
            </w:r>
          </w:p>
        </w:tc>
        <w:tc>
          <w:tcPr>
            <w:tcW w:w="1911" w:type="dxa"/>
            <w:tcBorders>
              <w:top w:val="nil"/>
              <w:left w:val="nil"/>
              <w:bottom w:val="single" w:color="auto" w:sz="4" w:space="0"/>
              <w:right w:val="single" w:color="auto" w:sz="4" w:space="0"/>
            </w:tcBorders>
            <w:vAlign w:val="center"/>
          </w:tcPr>
          <w:p w14:paraId="2C3F8366">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2000≤Y＜10000</w:t>
            </w:r>
          </w:p>
        </w:tc>
        <w:tc>
          <w:tcPr>
            <w:tcW w:w="1699" w:type="dxa"/>
            <w:tcBorders>
              <w:top w:val="nil"/>
              <w:left w:val="nil"/>
              <w:bottom w:val="single" w:color="auto" w:sz="4" w:space="0"/>
              <w:right w:val="single" w:color="auto" w:sz="4" w:space="0"/>
            </w:tcBorders>
            <w:vAlign w:val="center"/>
          </w:tcPr>
          <w:p w14:paraId="52B8B252">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100≤Y＜2000</w:t>
            </w:r>
          </w:p>
        </w:tc>
        <w:tc>
          <w:tcPr>
            <w:tcW w:w="1091" w:type="dxa"/>
            <w:tcBorders>
              <w:top w:val="nil"/>
              <w:left w:val="nil"/>
              <w:bottom w:val="single" w:color="auto" w:sz="4" w:space="0"/>
              <w:right w:val="single" w:color="auto" w:sz="4" w:space="0"/>
            </w:tcBorders>
            <w:vAlign w:val="center"/>
          </w:tcPr>
          <w:p w14:paraId="0C327473">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Y＜100</w:t>
            </w:r>
          </w:p>
        </w:tc>
      </w:tr>
      <w:tr w14:paraId="1577D420">
        <w:tblPrEx>
          <w:tblCellMar>
            <w:top w:w="0" w:type="dxa"/>
            <w:left w:w="108" w:type="dxa"/>
            <w:bottom w:w="0" w:type="dxa"/>
            <w:right w:w="108" w:type="dxa"/>
          </w:tblCellMar>
        </w:tblPrEx>
        <w:trPr>
          <w:trHeight w:val="364" w:hRule="atLeast"/>
        </w:trPr>
        <w:tc>
          <w:tcPr>
            <w:tcW w:w="2007" w:type="dxa"/>
            <w:vMerge w:val="restart"/>
            <w:tcBorders>
              <w:top w:val="nil"/>
              <w:left w:val="single" w:color="auto" w:sz="4" w:space="0"/>
              <w:bottom w:val="single" w:color="auto" w:sz="4" w:space="0"/>
              <w:right w:val="single" w:color="auto" w:sz="4" w:space="0"/>
            </w:tcBorders>
            <w:vAlign w:val="bottom"/>
          </w:tcPr>
          <w:p w14:paraId="48AA3749">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信息传输业</w:t>
            </w:r>
          </w:p>
        </w:tc>
        <w:tc>
          <w:tcPr>
            <w:tcW w:w="1633" w:type="dxa"/>
            <w:tcBorders>
              <w:top w:val="nil"/>
              <w:left w:val="nil"/>
              <w:bottom w:val="single" w:color="auto" w:sz="4" w:space="0"/>
              <w:right w:val="single" w:color="auto" w:sz="4" w:space="0"/>
            </w:tcBorders>
            <w:vAlign w:val="center"/>
          </w:tcPr>
          <w:p w14:paraId="6196ED48">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从业人员（X）</w:t>
            </w:r>
          </w:p>
        </w:tc>
        <w:tc>
          <w:tcPr>
            <w:tcW w:w="1077" w:type="dxa"/>
            <w:tcBorders>
              <w:top w:val="nil"/>
              <w:left w:val="nil"/>
              <w:bottom w:val="single" w:color="auto" w:sz="4" w:space="0"/>
              <w:right w:val="single" w:color="auto" w:sz="4" w:space="0"/>
            </w:tcBorders>
            <w:vAlign w:val="center"/>
          </w:tcPr>
          <w:p w14:paraId="0643A115">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人</w:t>
            </w:r>
          </w:p>
        </w:tc>
        <w:tc>
          <w:tcPr>
            <w:tcW w:w="1911" w:type="dxa"/>
            <w:tcBorders>
              <w:top w:val="nil"/>
              <w:left w:val="nil"/>
              <w:bottom w:val="single" w:color="auto" w:sz="4" w:space="0"/>
              <w:right w:val="single" w:color="auto" w:sz="4" w:space="0"/>
            </w:tcBorders>
            <w:vAlign w:val="center"/>
          </w:tcPr>
          <w:p w14:paraId="73DB0E33">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100≤X＜2000</w:t>
            </w:r>
          </w:p>
        </w:tc>
        <w:tc>
          <w:tcPr>
            <w:tcW w:w="1699" w:type="dxa"/>
            <w:tcBorders>
              <w:top w:val="nil"/>
              <w:left w:val="nil"/>
              <w:bottom w:val="single" w:color="auto" w:sz="4" w:space="0"/>
              <w:right w:val="single" w:color="auto" w:sz="4" w:space="0"/>
            </w:tcBorders>
            <w:vAlign w:val="center"/>
          </w:tcPr>
          <w:p w14:paraId="0480EA13">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10≤X＜100</w:t>
            </w:r>
          </w:p>
        </w:tc>
        <w:tc>
          <w:tcPr>
            <w:tcW w:w="1091" w:type="dxa"/>
            <w:tcBorders>
              <w:top w:val="nil"/>
              <w:left w:val="nil"/>
              <w:bottom w:val="single" w:color="auto" w:sz="4" w:space="0"/>
              <w:right w:val="single" w:color="auto" w:sz="4" w:space="0"/>
            </w:tcBorders>
            <w:vAlign w:val="center"/>
          </w:tcPr>
          <w:p w14:paraId="796641D8">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X＜10</w:t>
            </w:r>
          </w:p>
        </w:tc>
      </w:tr>
      <w:tr w14:paraId="0AA6ED0D">
        <w:tblPrEx>
          <w:tblCellMar>
            <w:top w:w="0" w:type="dxa"/>
            <w:left w:w="108" w:type="dxa"/>
            <w:bottom w:w="0" w:type="dxa"/>
            <w:right w:w="108" w:type="dxa"/>
          </w:tblCellMar>
        </w:tblPrEx>
        <w:trPr>
          <w:trHeight w:val="364" w:hRule="atLeast"/>
        </w:trPr>
        <w:tc>
          <w:tcPr>
            <w:tcW w:w="2007" w:type="dxa"/>
            <w:vMerge w:val="continue"/>
            <w:tcBorders>
              <w:top w:val="nil"/>
              <w:left w:val="single" w:color="auto" w:sz="4" w:space="0"/>
              <w:bottom w:val="single" w:color="auto" w:sz="4" w:space="0"/>
              <w:right w:val="single" w:color="auto" w:sz="4" w:space="0"/>
            </w:tcBorders>
            <w:vAlign w:val="center"/>
          </w:tcPr>
          <w:p w14:paraId="1F40A102">
            <w:pPr>
              <w:widowControl/>
              <w:jc w:val="left"/>
              <w:rPr>
                <w:rFonts w:ascii="宋体" w:hAnsi="宋体" w:cs="宋体"/>
                <w:b/>
                <w:bCs/>
                <w:color w:val="auto"/>
                <w:kern w:val="0"/>
                <w:sz w:val="20"/>
                <w:szCs w:val="20"/>
                <w:highlight w:val="none"/>
              </w:rPr>
            </w:pPr>
          </w:p>
        </w:tc>
        <w:tc>
          <w:tcPr>
            <w:tcW w:w="1633" w:type="dxa"/>
            <w:tcBorders>
              <w:top w:val="nil"/>
              <w:left w:val="nil"/>
              <w:bottom w:val="single" w:color="auto" w:sz="4" w:space="0"/>
              <w:right w:val="single" w:color="auto" w:sz="4" w:space="0"/>
            </w:tcBorders>
            <w:vAlign w:val="center"/>
          </w:tcPr>
          <w:p w14:paraId="11A7DEAE">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营业收入（Y）</w:t>
            </w:r>
          </w:p>
        </w:tc>
        <w:tc>
          <w:tcPr>
            <w:tcW w:w="1077" w:type="dxa"/>
            <w:tcBorders>
              <w:top w:val="nil"/>
              <w:left w:val="nil"/>
              <w:bottom w:val="single" w:color="auto" w:sz="4" w:space="0"/>
              <w:right w:val="single" w:color="auto" w:sz="4" w:space="0"/>
            </w:tcBorders>
            <w:vAlign w:val="center"/>
          </w:tcPr>
          <w:p w14:paraId="5B7E3A74">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万元</w:t>
            </w:r>
          </w:p>
        </w:tc>
        <w:tc>
          <w:tcPr>
            <w:tcW w:w="1911" w:type="dxa"/>
            <w:tcBorders>
              <w:top w:val="nil"/>
              <w:left w:val="nil"/>
              <w:bottom w:val="single" w:color="auto" w:sz="4" w:space="0"/>
              <w:right w:val="single" w:color="auto" w:sz="4" w:space="0"/>
            </w:tcBorders>
            <w:vAlign w:val="center"/>
          </w:tcPr>
          <w:p w14:paraId="5FD45873">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1000≤Y＜100000</w:t>
            </w:r>
          </w:p>
        </w:tc>
        <w:tc>
          <w:tcPr>
            <w:tcW w:w="1699" w:type="dxa"/>
            <w:tcBorders>
              <w:top w:val="nil"/>
              <w:left w:val="nil"/>
              <w:bottom w:val="single" w:color="auto" w:sz="4" w:space="0"/>
              <w:right w:val="single" w:color="auto" w:sz="4" w:space="0"/>
            </w:tcBorders>
            <w:vAlign w:val="center"/>
          </w:tcPr>
          <w:p w14:paraId="2B44E910">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100≤Y＜1000</w:t>
            </w:r>
          </w:p>
        </w:tc>
        <w:tc>
          <w:tcPr>
            <w:tcW w:w="1091" w:type="dxa"/>
            <w:tcBorders>
              <w:top w:val="nil"/>
              <w:left w:val="nil"/>
              <w:bottom w:val="single" w:color="auto" w:sz="4" w:space="0"/>
              <w:right w:val="single" w:color="auto" w:sz="4" w:space="0"/>
            </w:tcBorders>
            <w:vAlign w:val="center"/>
          </w:tcPr>
          <w:p w14:paraId="7A4F49AF">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Y＜100</w:t>
            </w:r>
          </w:p>
        </w:tc>
      </w:tr>
      <w:tr w14:paraId="265E5EED">
        <w:tblPrEx>
          <w:tblCellMar>
            <w:top w:w="0" w:type="dxa"/>
            <w:left w:w="108" w:type="dxa"/>
            <w:bottom w:w="0" w:type="dxa"/>
            <w:right w:w="108" w:type="dxa"/>
          </w:tblCellMar>
        </w:tblPrEx>
        <w:trPr>
          <w:trHeight w:val="364" w:hRule="atLeast"/>
        </w:trPr>
        <w:tc>
          <w:tcPr>
            <w:tcW w:w="2007" w:type="dxa"/>
            <w:vMerge w:val="restart"/>
            <w:tcBorders>
              <w:top w:val="nil"/>
              <w:left w:val="single" w:color="auto" w:sz="4" w:space="0"/>
              <w:bottom w:val="single" w:color="auto" w:sz="4" w:space="0"/>
              <w:right w:val="single" w:color="auto" w:sz="4" w:space="0"/>
            </w:tcBorders>
            <w:vAlign w:val="bottom"/>
          </w:tcPr>
          <w:p w14:paraId="2DE1B9C0">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软件和信息技术服务业</w:t>
            </w:r>
          </w:p>
        </w:tc>
        <w:tc>
          <w:tcPr>
            <w:tcW w:w="1633" w:type="dxa"/>
            <w:tcBorders>
              <w:top w:val="nil"/>
              <w:left w:val="nil"/>
              <w:bottom w:val="single" w:color="auto" w:sz="4" w:space="0"/>
              <w:right w:val="single" w:color="auto" w:sz="4" w:space="0"/>
            </w:tcBorders>
            <w:vAlign w:val="center"/>
          </w:tcPr>
          <w:p w14:paraId="26820985">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从业人员（X）</w:t>
            </w:r>
          </w:p>
        </w:tc>
        <w:tc>
          <w:tcPr>
            <w:tcW w:w="1077" w:type="dxa"/>
            <w:tcBorders>
              <w:top w:val="nil"/>
              <w:left w:val="nil"/>
              <w:bottom w:val="single" w:color="auto" w:sz="4" w:space="0"/>
              <w:right w:val="single" w:color="auto" w:sz="4" w:space="0"/>
            </w:tcBorders>
            <w:vAlign w:val="center"/>
          </w:tcPr>
          <w:p w14:paraId="6440F346">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人</w:t>
            </w:r>
          </w:p>
        </w:tc>
        <w:tc>
          <w:tcPr>
            <w:tcW w:w="1911" w:type="dxa"/>
            <w:tcBorders>
              <w:top w:val="nil"/>
              <w:left w:val="nil"/>
              <w:bottom w:val="single" w:color="auto" w:sz="4" w:space="0"/>
              <w:right w:val="single" w:color="auto" w:sz="4" w:space="0"/>
            </w:tcBorders>
            <w:vAlign w:val="center"/>
          </w:tcPr>
          <w:p w14:paraId="4B082862">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100≤X＜300</w:t>
            </w:r>
          </w:p>
        </w:tc>
        <w:tc>
          <w:tcPr>
            <w:tcW w:w="1699" w:type="dxa"/>
            <w:tcBorders>
              <w:top w:val="nil"/>
              <w:left w:val="nil"/>
              <w:bottom w:val="single" w:color="auto" w:sz="4" w:space="0"/>
              <w:right w:val="single" w:color="auto" w:sz="4" w:space="0"/>
            </w:tcBorders>
            <w:vAlign w:val="center"/>
          </w:tcPr>
          <w:p w14:paraId="0E3EA42C">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10≤X＜100</w:t>
            </w:r>
          </w:p>
        </w:tc>
        <w:tc>
          <w:tcPr>
            <w:tcW w:w="1091" w:type="dxa"/>
            <w:tcBorders>
              <w:top w:val="nil"/>
              <w:left w:val="nil"/>
              <w:bottom w:val="single" w:color="auto" w:sz="4" w:space="0"/>
              <w:right w:val="single" w:color="auto" w:sz="4" w:space="0"/>
            </w:tcBorders>
            <w:vAlign w:val="center"/>
          </w:tcPr>
          <w:p w14:paraId="25D5C7C4">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X＜10</w:t>
            </w:r>
          </w:p>
        </w:tc>
      </w:tr>
      <w:tr w14:paraId="5E3CA521">
        <w:tblPrEx>
          <w:tblCellMar>
            <w:top w:w="0" w:type="dxa"/>
            <w:left w:w="108" w:type="dxa"/>
            <w:bottom w:w="0" w:type="dxa"/>
            <w:right w:w="108" w:type="dxa"/>
          </w:tblCellMar>
        </w:tblPrEx>
        <w:trPr>
          <w:trHeight w:val="364" w:hRule="atLeast"/>
        </w:trPr>
        <w:tc>
          <w:tcPr>
            <w:tcW w:w="2007" w:type="dxa"/>
            <w:vMerge w:val="continue"/>
            <w:tcBorders>
              <w:top w:val="nil"/>
              <w:left w:val="single" w:color="auto" w:sz="4" w:space="0"/>
              <w:bottom w:val="single" w:color="auto" w:sz="4" w:space="0"/>
              <w:right w:val="single" w:color="auto" w:sz="4" w:space="0"/>
            </w:tcBorders>
            <w:vAlign w:val="center"/>
          </w:tcPr>
          <w:p w14:paraId="09AB888C">
            <w:pPr>
              <w:widowControl/>
              <w:jc w:val="left"/>
              <w:rPr>
                <w:rFonts w:ascii="宋体" w:hAnsi="宋体" w:cs="宋体"/>
                <w:b/>
                <w:bCs/>
                <w:color w:val="auto"/>
                <w:kern w:val="0"/>
                <w:sz w:val="20"/>
                <w:szCs w:val="20"/>
                <w:highlight w:val="none"/>
              </w:rPr>
            </w:pPr>
          </w:p>
        </w:tc>
        <w:tc>
          <w:tcPr>
            <w:tcW w:w="1633" w:type="dxa"/>
            <w:tcBorders>
              <w:top w:val="nil"/>
              <w:left w:val="nil"/>
              <w:bottom w:val="single" w:color="auto" w:sz="4" w:space="0"/>
              <w:right w:val="single" w:color="auto" w:sz="4" w:space="0"/>
            </w:tcBorders>
            <w:vAlign w:val="center"/>
          </w:tcPr>
          <w:p w14:paraId="769860D9">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营业收入（Y）</w:t>
            </w:r>
          </w:p>
        </w:tc>
        <w:tc>
          <w:tcPr>
            <w:tcW w:w="1077" w:type="dxa"/>
            <w:tcBorders>
              <w:top w:val="nil"/>
              <w:left w:val="nil"/>
              <w:bottom w:val="single" w:color="auto" w:sz="4" w:space="0"/>
              <w:right w:val="single" w:color="auto" w:sz="4" w:space="0"/>
            </w:tcBorders>
            <w:vAlign w:val="center"/>
          </w:tcPr>
          <w:p w14:paraId="100D25EB">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万元</w:t>
            </w:r>
          </w:p>
        </w:tc>
        <w:tc>
          <w:tcPr>
            <w:tcW w:w="1911" w:type="dxa"/>
            <w:tcBorders>
              <w:top w:val="nil"/>
              <w:left w:val="nil"/>
              <w:bottom w:val="single" w:color="auto" w:sz="4" w:space="0"/>
              <w:right w:val="single" w:color="auto" w:sz="4" w:space="0"/>
            </w:tcBorders>
            <w:vAlign w:val="center"/>
          </w:tcPr>
          <w:p w14:paraId="2875E6FF">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1000≤Y＜10000</w:t>
            </w:r>
          </w:p>
        </w:tc>
        <w:tc>
          <w:tcPr>
            <w:tcW w:w="1699" w:type="dxa"/>
            <w:tcBorders>
              <w:top w:val="nil"/>
              <w:left w:val="nil"/>
              <w:bottom w:val="single" w:color="auto" w:sz="4" w:space="0"/>
              <w:right w:val="single" w:color="auto" w:sz="4" w:space="0"/>
            </w:tcBorders>
            <w:vAlign w:val="center"/>
          </w:tcPr>
          <w:p w14:paraId="5D0A7BA8">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50≤Y＜1000</w:t>
            </w:r>
          </w:p>
        </w:tc>
        <w:tc>
          <w:tcPr>
            <w:tcW w:w="1091" w:type="dxa"/>
            <w:tcBorders>
              <w:top w:val="nil"/>
              <w:left w:val="nil"/>
              <w:bottom w:val="single" w:color="auto" w:sz="4" w:space="0"/>
              <w:right w:val="single" w:color="auto" w:sz="4" w:space="0"/>
            </w:tcBorders>
            <w:vAlign w:val="center"/>
          </w:tcPr>
          <w:p w14:paraId="4CC4EE1D">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Y＜50</w:t>
            </w:r>
          </w:p>
        </w:tc>
      </w:tr>
      <w:tr w14:paraId="643A9094">
        <w:tblPrEx>
          <w:tblCellMar>
            <w:top w:w="0" w:type="dxa"/>
            <w:left w:w="108" w:type="dxa"/>
            <w:bottom w:w="0" w:type="dxa"/>
            <w:right w:w="108" w:type="dxa"/>
          </w:tblCellMar>
        </w:tblPrEx>
        <w:trPr>
          <w:trHeight w:val="364" w:hRule="atLeast"/>
        </w:trPr>
        <w:tc>
          <w:tcPr>
            <w:tcW w:w="2007" w:type="dxa"/>
            <w:vMerge w:val="restart"/>
            <w:tcBorders>
              <w:top w:val="nil"/>
              <w:left w:val="single" w:color="auto" w:sz="4" w:space="0"/>
              <w:bottom w:val="single" w:color="auto" w:sz="4" w:space="0"/>
              <w:right w:val="single" w:color="auto" w:sz="4" w:space="0"/>
            </w:tcBorders>
            <w:vAlign w:val="bottom"/>
          </w:tcPr>
          <w:p w14:paraId="7889D794">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房地产开发经营</w:t>
            </w:r>
          </w:p>
        </w:tc>
        <w:tc>
          <w:tcPr>
            <w:tcW w:w="1633" w:type="dxa"/>
            <w:tcBorders>
              <w:top w:val="nil"/>
              <w:left w:val="nil"/>
              <w:bottom w:val="single" w:color="auto" w:sz="4" w:space="0"/>
              <w:right w:val="single" w:color="auto" w:sz="4" w:space="0"/>
            </w:tcBorders>
            <w:vAlign w:val="center"/>
          </w:tcPr>
          <w:p w14:paraId="3BBE9C52">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营业收入（Y）</w:t>
            </w:r>
          </w:p>
        </w:tc>
        <w:tc>
          <w:tcPr>
            <w:tcW w:w="1077" w:type="dxa"/>
            <w:tcBorders>
              <w:top w:val="nil"/>
              <w:left w:val="nil"/>
              <w:bottom w:val="single" w:color="auto" w:sz="4" w:space="0"/>
              <w:right w:val="single" w:color="auto" w:sz="4" w:space="0"/>
            </w:tcBorders>
            <w:vAlign w:val="center"/>
          </w:tcPr>
          <w:p w14:paraId="7CCA9AA4">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万元</w:t>
            </w:r>
          </w:p>
        </w:tc>
        <w:tc>
          <w:tcPr>
            <w:tcW w:w="1911" w:type="dxa"/>
            <w:tcBorders>
              <w:top w:val="nil"/>
              <w:left w:val="nil"/>
              <w:bottom w:val="single" w:color="auto" w:sz="4" w:space="0"/>
              <w:right w:val="single" w:color="auto" w:sz="4" w:space="0"/>
            </w:tcBorders>
            <w:vAlign w:val="center"/>
          </w:tcPr>
          <w:p w14:paraId="701E3247">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1000≤Y＜200000</w:t>
            </w:r>
          </w:p>
        </w:tc>
        <w:tc>
          <w:tcPr>
            <w:tcW w:w="1699" w:type="dxa"/>
            <w:tcBorders>
              <w:top w:val="nil"/>
              <w:left w:val="nil"/>
              <w:bottom w:val="single" w:color="auto" w:sz="4" w:space="0"/>
              <w:right w:val="single" w:color="auto" w:sz="4" w:space="0"/>
            </w:tcBorders>
            <w:vAlign w:val="center"/>
          </w:tcPr>
          <w:p w14:paraId="1CADD92F">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100≤X＜1000</w:t>
            </w:r>
          </w:p>
        </w:tc>
        <w:tc>
          <w:tcPr>
            <w:tcW w:w="1091" w:type="dxa"/>
            <w:tcBorders>
              <w:top w:val="nil"/>
              <w:left w:val="nil"/>
              <w:bottom w:val="single" w:color="auto" w:sz="4" w:space="0"/>
              <w:right w:val="single" w:color="auto" w:sz="4" w:space="0"/>
            </w:tcBorders>
            <w:vAlign w:val="center"/>
          </w:tcPr>
          <w:p w14:paraId="239E0368">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X＜100</w:t>
            </w:r>
          </w:p>
        </w:tc>
      </w:tr>
      <w:tr w14:paraId="410CDF60">
        <w:tblPrEx>
          <w:tblCellMar>
            <w:top w:w="0" w:type="dxa"/>
            <w:left w:w="108" w:type="dxa"/>
            <w:bottom w:w="0" w:type="dxa"/>
            <w:right w:w="108" w:type="dxa"/>
          </w:tblCellMar>
        </w:tblPrEx>
        <w:trPr>
          <w:trHeight w:val="364" w:hRule="atLeast"/>
        </w:trPr>
        <w:tc>
          <w:tcPr>
            <w:tcW w:w="2007" w:type="dxa"/>
            <w:vMerge w:val="continue"/>
            <w:tcBorders>
              <w:top w:val="nil"/>
              <w:left w:val="single" w:color="auto" w:sz="4" w:space="0"/>
              <w:bottom w:val="single" w:color="auto" w:sz="4" w:space="0"/>
              <w:right w:val="single" w:color="auto" w:sz="4" w:space="0"/>
            </w:tcBorders>
            <w:vAlign w:val="center"/>
          </w:tcPr>
          <w:p w14:paraId="698B580B">
            <w:pPr>
              <w:widowControl/>
              <w:jc w:val="left"/>
              <w:rPr>
                <w:rFonts w:ascii="宋体" w:hAnsi="宋体" w:cs="宋体"/>
                <w:b/>
                <w:bCs/>
                <w:color w:val="auto"/>
                <w:kern w:val="0"/>
                <w:sz w:val="20"/>
                <w:szCs w:val="20"/>
                <w:highlight w:val="none"/>
              </w:rPr>
            </w:pPr>
          </w:p>
        </w:tc>
        <w:tc>
          <w:tcPr>
            <w:tcW w:w="1633" w:type="dxa"/>
            <w:tcBorders>
              <w:top w:val="nil"/>
              <w:left w:val="nil"/>
              <w:bottom w:val="single" w:color="auto" w:sz="4" w:space="0"/>
              <w:right w:val="single" w:color="auto" w:sz="4" w:space="0"/>
            </w:tcBorders>
            <w:vAlign w:val="center"/>
          </w:tcPr>
          <w:p w14:paraId="765BBEFE">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资产总额（Z）</w:t>
            </w:r>
          </w:p>
        </w:tc>
        <w:tc>
          <w:tcPr>
            <w:tcW w:w="1077" w:type="dxa"/>
            <w:tcBorders>
              <w:top w:val="nil"/>
              <w:left w:val="nil"/>
              <w:bottom w:val="single" w:color="auto" w:sz="4" w:space="0"/>
              <w:right w:val="single" w:color="auto" w:sz="4" w:space="0"/>
            </w:tcBorders>
            <w:vAlign w:val="center"/>
          </w:tcPr>
          <w:p w14:paraId="74C22B60">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万元</w:t>
            </w:r>
          </w:p>
        </w:tc>
        <w:tc>
          <w:tcPr>
            <w:tcW w:w="1911" w:type="dxa"/>
            <w:tcBorders>
              <w:top w:val="nil"/>
              <w:left w:val="nil"/>
              <w:bottom w:val="single" w:color="auto" w:sz="4" w:space="0"/>
              <w:right w:val="single" w:color="auto" w:sz="4" w:space="0"/>
            </w:tcBorders>
            <w:vAlign w:val="center"/>
          </w:tcPr>
          <w:p w14:paraId="1299886E">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5000≤Z＜10000</w:t>
            </w:r>
          </w:p>
        </w:tc>
        <w:tc>
          <w:tcPr>
            <w:tcW w:w="1699" w:type="dxa"/>
            <w:tcBorders>
              <w:top w:val="nil"/>
              <w:left w:val="nil"/>
              <w:bottom w:val="single" w:color="auto" w:sz="4" w:space="0"/>
              <w:right w:val="single" w:color="auto" w:sz="4" w:space="0"/>
            </w:tcBorders>
            <w:vAlign w:val="center"/>
          </w:tcPr>
          <w:p w14:paraId="5BD429D6">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2000≤Y＜5000</w:t>
            </w:r>
          </w:p>
        </w:tc>
        <w:tc>
          <w:tcPr>
            <w:tcW w:w="1091" w:type="dxa"/>
            <w:tcBorders>
              <w:top w:val="nil"/>
              <w:left w:val="nil"/>
              <w:bottom w:val="single" w:color="auto" w:sz="4" w:space="0"/>
              <w:right w:val="single" w:color="auto" w:sz="4" w:space="0"/>
            </w:tcBorders>
            <w:vAlign w:val="center"/>
          </w:tcPr>
          <w:p w14:paraId="369ACA8D">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Y＜2000</w:t>
            </w:r>
          </w:p>
        </w:tc>
      </w:tr>
      <w:tr w14:paraId="0924FDEB">
        <w:tblPrEx>
          <w:tblCellMar>
            <w:top w:w="0" w:type="dxa"/>
            <w:left w:w="108" w:type="dxa"/>
            <w:bottom w:w="0" w:type="dxa"/>
            <w:right w:w="108" w:type="dxa"/>
          </w:tblCellMar>
        </w:tblPrEx>
        <w:trPr>
          <w:trHeight w:val="364" w:hRule="atLeast"/>
        </w:trPr>
        <w:tc>
          <w:tcPr>
            <w:tcW w:w="2007" w:type="dxa"/>
            <w:vMerge w:val="restart"/>
            <w:tcBorders>
              <w:top w:val="nil"/>
              <w:left w:val="single" w:color="auto" w:sz="4" w:space="0"/>
              <w:bottom w:val="single" w:color="auto" w:sz="4" w:space="0"/>
              <w:right w:val="single" w:color="auto" w:sz="4" w:space="0"/>
            </w:tcBorders>
            <w:vAlign w:val="bottom"/>
          </w:tcPr>
          <w:p w14:paraId="4E1CED8F">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物业管理</w:t>
            </w:r>
          </w:p>
        </w:tc>
        <w:tc>
          <w:tcPr>
            <w:tcW w:w="1633" w:type="dxa"/>
            <w:tcBorders>
              <w:top w:val="nil"/>
              <w:left w:val="nil"/>
              <w:bottom w:val="single" w:color="auto" w:sz="4" w:space="0"/>
              <w:right w:val="single" w:color="auto" w:sz="4" w:space="0"/>
            </w:tcBorders>
            <w:vAlign w:val="center"/>
          </w:tcPr>
          <w:p w14:paraId="059F4020">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从业人员（X）</w:t>
            </w:r>
          </w:p>
        </w:tc>
        <w:tc>
          <w:tcPr>
            <w:tcW w:w="1077" w:type="dxa"/>
            <w:tcBorders>
              <w:top w:val="nil"/>
              <w:left w:val="nil"/>
              <w:bottom w:val="single" w:color="auto" w:sz="4" w:space="0"/>
              <w:right w:val="single" w:color="auto" w:sz="4" w:space="0"/>
            </w:tcBorders>
            <w:vAlign w:val="center"/>
          </w:tcPr>
          <w:p w14:paraId="3C1FB801">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人</w:t>
            </w:r>
          </w:p>
        </w:tc>
        <w:tc>
          <w:tcPr>
            <w:tcW w:w="1911" w:type="dxa"/>
            <w:tcBorders>
              <w:top w:val="nil"/>
              <w:left w:val="nil"/>
              <w:bottom w:val="single" w:color="auto" w:sz="4" w:space="0"/>
              <w:right w:val="single" w:color="auto" w:sz="4" w:space="0"/>
            </w:tcBorders>
            <w:vAlign w:val="center"/>
          </w:tcPr>
          <w:p w14:paraId="4AA0373F">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300≤X＜1000</w:t>
            </w:r>
          </w:p>
        </w:tc>
        <w:tc>
          <w:tcPr>
            <w:tcW w:w="1699" w:type="dxa"/>
            <w:tcBorders>
              <w:top w:val="nil"/>
              <w:left w:val="nil"/>
              <w:bottom w:val="single" w:color="auto" w:sz="4" w:space="0"/>
              <w:right w:val="single" w:color="auto" w:sz="4" w:space="0"/>
            </w:tcBorders>
            <w:vAlign w:val="center"/>
          </w:tcPr>
          <w:p w14:paraId="4715FFBF">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100≤X＜300</w:t>
            </w:r>
          </w:p>
        </w:tc>
        <w:tc>
          <w:tcPr>
            <w:tcW w:w="1091" w:type="dxa"/>
            <w:tcBorders>
              <w:top w:val="nil"/>
              <w:left w:val="nil"/>
              <w:bottom w:val="single" w:color="auto" w:sz="4" w:space="0"/>
              <w:right w:val="single" w:color="auto" w:sz="4" w:space="0"/>
            </w:tcBorders>
            <w:vAlign w:val="center"/>
          </w:tcPr>
          <w:p w14:paraId="7F182184">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X＜100</w:t>
            </w:r>
          </w:p>
        </w:tc>
      </w:tr>
      <w:tr w14:paraId="627D4E4E">
        <w:tblPrEx>
          <w:tblCellMar>
            <w:top w:w="0" w:type="dxa"/>
            <w:left w:w="108" w:type="dxa"/>
            <w:bottom w:w="0" w:type="dxa"/>
            <w:right w:w="108" w:type="dxa"/>
          </w:tblCellMar>
        </w:tblPrEx>
        <w:trPr>
          <w:trHeight w:val="364" w:hRule="atLeast"/>
        </w:trPr>
        <w:tc>
          <w:tcPr>
            <w:tcW w:w="2007" w:type="dxa"/>
            <w:vMerge w:val="continue"/>
            <w:tcBorders>
              <w:top w:val="nil"/>
              <w:left w:val="single" w:color="auto" w:sz="4" w:space="0"/>
              <w:bottom w:val="single" w:color="auto" w:sz="4" w:space="0"/>
              <w:right w:val="single" w:color="auto" w:sz="4" w:space="0"/>
            </w:tcBorders>
            <w:vAlign w:val="center"/>
          </w:tcPr>
          <w:p w14:paraId="5965F20E">
            <w:pPr>
              <w:widowControl/>
              <w:jc w:val="left"/>
              <w:rPr>
                <w:rFonts w:ascii="宋体" w:hAnsi="宋体" w:cs="宋体"/>
                <w:b/>
                <w:bCs/>
                <w:color w:val="auto"/>
                <w:kern w:val="0"/>
                <w:sz w:val="20"/>
                <w:szCs w:val="20"/>
                <w:highlight w:val="none"/>
              </w:rPr>
            </w:pPr>
          </w:p>
        </w:tc>
        <w:tc>
          <w:tcPr>
            <w:tcW w:w="1633" w:type="dxa"/>
            <w:tcBorders>
              <w:top w:val="nil"/>
              <w:left w:val="nil"/>
              <w:bottom w:val="single" w:color="auto" w:sz="4" w:space="0"/>
              <w:right w:val="single" w:color="auto" w:sz="4" w:space="0"/>
            </w:tcBorders>
            <w:vAlign w:val="center"/>
          </w:tcPr>
          <w:p w14:paraId="4CA81B0F">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营业收入（Y）</w:t>
            </w:r>
          </w:p>
        </w:tc>
        <w:tc>
          <w:tcPr>
            <w:tcW w:w="1077" w:type="dxa"/>
            <w:tcBorders>
              <w:top w:val="nil"/>
              <w:left w:val="nil"/>
              <w:bottom w:val="single" w:color="auto" w:sz="4" w:space="0"/>
              <w:right w:val="single" w:color="auto" w:sz="4" w:space="0"/>
            </w:tcBorders>
            <w:vAlign w:val="center"/>
          </w:tcPr>
          <w:p w14:paraId="7E3D4F8C">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万元</w:t>
            </w:r>
          </w:p>
        </w:tc>
        <w:tc>
          <w:tcPr>
            <w:tcW w:w="1911" w:type="dxa"/>
            <w:tcBorders>
              <w:top w:val="nil"/>
              <w:left w:val="nil"/>
              <w:bottom w:val="single" w:color="auto" w:sz="4" w:space="0"/>
              <w:right w:val="single" w:color="auto" w:sz="4" w:space="0"/>
            </w:tcBorders>
            <w:vAlign w:val="center"/>
          </w:tcPr>
          <w:p w14:paraId="08488615">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1000≤Y＜5000</w:t>
            </w:r>
          </w:p>
        </w:tc>
        <w:tc>
          <w:tcPr>
            <w:tcW w:w="1699" w:type="dxa"/>
            <w:tcBorders>
              <w:top w:val="nil"/>
              <w:left w:val="nil"/>
              <w:bottom w:val="single" w:color="auto" w:sz="4" w:space="0"/>
              <w:right w:val="single" w:color="auto" w:sz="4" w:space="0"/>
            </w:tcBorders>
            <w:vAlign w:val="center"/>
          </w:tcPr>
          <w:p w14:paraId="0309596F">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500≤Y＜1000</w:t>
            </w:r>
          </w:p>
        </w:tc>
        <w:tc>
          <w:tcPr>
            <w:tcW w:w="1091" w:type="dxa"/>
            <w:tcBorders>
              <w:top w:val="nil"/>
              <w:left w:val="nil"/>
              <w:bottom w:val="single" w:color="auto" w:sz="4" w:space="0"/>
              <w:right w:val="single" w:color="auto" w:sz="4" w:space="0"/>
            </w:tcBorders>
            <w:vAlign w:val="center"/>
          </w:tcPr>
          <w:p w14:paraId="1D5190A2">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Y＜500</w:t>
            </w:r>
          </w:p>
        </w:tc>
      </w:tr>
      <w:tr w14:paraId="008818C4">
        <w:tblPrEx>
          <w:tblCellMar>
            <w:top w:w="0" w:type="dxa"/>
            <w:left w:w="108" w:type="dxa"/>
            <w:bottom w:w="0" w:type="dxa"/>
            <w:right w:w="108" w:type="dxa"/>
          </w:tblCellMar>
        </w:tblPrEx>
        <w:trPr>
          <w:trHeight w:val="364" w:hRule="atLeast"/>
        </w:trPr>
        <w:tc>
          <w:tcPr>
            <w:tcW w:w="2007" w:type="dxa"/>
            <w:vMerge w:val="restart"/>
            <w:tcBorders>
              <w:top w:val="nil"/>
              <w:left w:val="single" w:color="auto" w:sz="4" w:space="0"/>
              <w:bottom w:val="single" w:color="auto" w:sz="4" w:space="0"/>
              <w:right w:val="single" w:color="auto" w:sz="4" w:space="0"/>
            </w:tcBorders>
            <w:vAlign w:val="bottom"/>
          </w:tcPr>
          <w:p w14:paraId="4714AEFD">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租赁和商务服务业</w:t>
            </w:r>
          </w:p>
        </w:tc>
        <w:tc>
          <w:tcPr>
            <w:tcW w:w="1633" w:type="dxa"/>
            <w:tcBorders>
              <w:top w:val="nil"/>
              <w:left w:val="nil"/>
              <w:bottom w:val="single" w:color="auto" w:sz="4" w:space="0"/>
              <w:right w:val="single" w:color="auto" w:sz="4" w:space="0"/>
            </w:tcBorders>
            <w:vAlign w:val="center"/>
          </w:tcPr>
          <w:p w14:paraId="433C7C8E">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从业人员（X）</w:t>
            </w:r>
          </w:p>
        </w:tc>
        <w:tc>
          <w:tcPr>
            <w:tcW w:w="1077" w:type="dxa"/>
            <w:tcBorders>
              <w:top w:val="nil"/>
              <w:left w:val="nil"/>
              <w:bottom w:val="single" w:color="auto" w:sz="4" w:space="0"/>
              <w:right w:val="single" w:color="auto" w:sz="4" w:space="0"/>
            </w:tcBorders>
            <w:vAlign w:val="center"/>
          </w:tcPr>
          <w:p w14:paraId="202E8126">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人</w:t>
            </w:r>
          </w:p>
        </w:tc>
        <w:tc>
          <w:tcPr>
            <w:tcW w:w="1911" w:type="dxa"/>
            <w:tcBorders>
              <w:top w:val="nil"/>
              <w:left w:val="nil"/>
              <w:bottom w:val="single" w:color="auto" w:sz="4" w:space="0"/>
              <w:right w:val="single" w:color="auto" w:sz="4" w:space="0"/>
            </w:tcBorders>
            <w:vAlign w:val="center"/>
          </w:tcPr>
          <w:p w14:paraId="3BDB1A77">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100≤X＜300</w:t>
            </w:r>
          </w:p>
        </w:tc>
        <w:tc>
          <w:tcPr>
            <w:tcW w:w="1699" w:type="dxa"/>
            <w:tcBorders>
              <w:top w:val="nil"/>
              <w:left w:val="nil"/>
              <w:bottom w:val="single" w:color="auto" w:sz="4" w:space="0"/>
              <w:right w:val="single" w:color="auto" w:sz="4" w:space="0"/>
            </w:tcBorders>
            <w:vAlign w:val="center"/>
          </w:tcPr>
          <w:p w14:paraId="6826DCC5">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10≤X＜100</w:t>
            </w:r>
          </w:p>
        </w:tc>
        <w:tc>
          <w:tcPr>
            <w:tcW w:w="1091" w:type="dxa"/>
            <w:tcBorders>
              <w:top w:val="nil"/>
              <w:left w:val="nil"/>
              <w:bottom w:val="single" w:color="auto" w:sz="4" w:space="0"/>
              <w:right w:val="single" w:color="auto" w:sz="4" w:space="0"/>
            </w:tcBorders>
            <w:vAlign w:val="center"/>
          </w:tcPr>
          <w:p w14:paraId="10F992F1">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X＜10</w:t>
            </w:r>
          </w:p>
        </w:tc>
      </w:tr>
      <w:tr w14:paraId="61976B35">
        <w:tblPrEx>
          <w:tblCellMar>
            <w:top w:w="0" w:type="dxa"/>
            <w:left w:w="108" w:type="dxa"/>
            <w:bottom w:w="0" w:type="dxa"/>
            <w:right w:w="108" w:type="dxa"/>
          </w:tblCellMar>
        </w:tblPrEx>
        <w:trPr>
          <w:trHeight w:val="364" w:hRule="atLeast"/>
        </w:trPr>
        <w:tc>
          <w:tcPr>
            <w:tcW w:w="2007" w:type="dxa"/>
            <w:vMerge w:val="continue"/>
            <w:tcBorders>
              <w:top w:val="nil"/>
              <w:left w:val="single" w:color="auto" w:sz="4" w:space="0"/>
              <w:bottom w:val="single" w:color="auto" w:sz="4" w:space="0"/>
              <w:right w:val="single" w:color="auto" w:sz="4" w:space="0"/>
            </w:tcBorders>
            <w:vAlign w:val="center"/>
          </w:tcPr>
          <w:p w14:paraId="2BF4ECD6">
            <w:pPr>
              <w:widowControl/>
              <w:jc w:val="left"/>
              <w:rPr>
                <w:rFonts w:ascii="宋体" w:hAnsi="宋体" w:cs="宋体"/>
                <w:b/>
                <w:bCs/>
                <w:color w:val="auto"/>
                <w:kern w:val="0"/>
                <w:sz w:val="20"/>
                <w:szCs w:val="20"/>
                <w:highlight w:val="none"/>
              </w:rPr>
            </w:pPr>
          </w:p>
        </w:tc>
        <w:tc>
          <w:tcPr>
            <w:tcW w:w="1633" w:type="dxa"/>
            <w:tcBorders>
              <w:top w:val="nil"/>
              <w:left w:val="nil"/>
              <w:bottom w:val="single" w:color="auto" w:sz="4" w:space="0"/>
              <w:right w:val="single" w:color="auto" w:sz="4" w:space="0"/>
            </w:tcBorders>
            <w:vAlign w:val="center"/>
          </w:tcPr>
          <w:p w14:paraId="4631C840">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资产总额（Z）</w:t>
            </w:r>
          </w:p>
        </w:tc>
        <w:tc>
          <w:tcPr>
            <w:tcW w:w="1077" w:type="dxa"/>
            <w:tcBorders>
              <w:top w:val="nil"/>
              <w:left w:val="nil"/>
              <w:bottom w:val="single" w:color="auto" w:sz="4" w:space="0"/>
              <w:right w:val="single" w:color="auto" w:sz="4" w:space="0"/>
            </w:tcBorders>
            <w:vAlign w:val="center"/>
          </w:tcPr>
          <w:p w14:paraId="16F7E440">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万元</w:t>
            </w:r>
          </w:p>
        </w:tc>
        <w:tc>
          <w:tcPr>
            <w:tcW w:w="1911" w:type="dxa"/>
            <w:tcBorders>
              <w:top w:val="nil"/>
              <w:left w:val="nil"/>
              <w:bottom w:val="single" w:color="auto" w:sz="4" w:space="0"/>
              <w:right w:val="single" w:color="auto" w:sz="4" w:space="0"/>
            </w:tcBorders>
            <w:vAlign w:val="center"/>
          </w:tcPr>
          <w:p w14:paraId="291DBFF4">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8000≤Z＜120000</w:t>
            </w:r>
          </w:p>
        </w:tc>
        <w:tc>
          <w:tcPr>
            <w:tcW w:w="1699" w:type="dxa"/>
            <w:tcBorders>
              <w:top w:val="nil"/>
              <w:left w:val="nil"/>
              <w:bottom w:val="single" w:color="auto" w:sz="4" w:space="0"/>
              <w:right w:val="single" w:color="auto" w:sz="4" w:space="0"/>
            </w:tcBorders>
            <w:vAlign w:val="center"/>
          </w:tcPr>
          <w:p w14:paraId="007DE3ED">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100≤Z＜8000</w:t>
            </w:r>
          </w:p>
        </w:tc>
        <w:tc>
          <w:tcPr>
            <w:tcW w:w="1091" w:type="dxa"/>
            <w:tcBorders>
              <w:top w:val="nil"/>
              <w:left w:val="nil"/>
              <w:bottom w:val="single" w:color="auto" w:sz="4" w:space="0"/>
              <w:right w:val="single" w:color="auto" w:sz="4" w:space="0"/>
            </w:tcBorders>
            <w:vAlign w:val="center"/>
          </w:tcPr>
          <w:p w14:paraId="68863504">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Y＜100</w:t>
            </w:r>
          </w:p>
        </w:tc>
      </w:tr>
      <w:tr w14:paraId="6E38437E">
        <w:tblPrEx>
          <w:tblCellMar>
            <w:top w:w="0" w:type="dxa"/>
            <w:left w:w="108" w:type="dxa"/>
            <w:bottom w:w="0" w:type="dxa"/>
            <w:right w:w="108" w:type="dxa"/>
          </w:tblCellMar>
        </w:tblPrEx>
        <w:trPr>
          <w:trHeight w:val="375" w:hRule="atLeast"/>
        </w:trPr>
        <w:tc>
          <w:tcPr>
            <w:tcW w:w="2007" w:type="dxa"/>
            <w:tcBorders>
              <w:top w:val="nil"/>
              <w:left w:val="single" w:color="auto" w:sz="4" w:space="0"/>
              <w:bottom w:val="single" w:color="auto" w:sz="4" w:space="0"/>
              <w:right w:val="single" w:color="auto" w:sz="4" w:space="0"/>
            </w:tcBorders>
            <w:vAlign w:val="bottom"/>
          </w:tcPr>
          <w:p w14:paraId="5FC26E3B">
            <w:pPr>
              <w:widowControl/>
              <w:jc w:val="center"/>
              <w:rPr>
                <w:rFonts w:ascii="宋体" w:hAnsi="宋体" w:cs="宋体"/>
                <w:b/>
                <w:bCs/>
                <w:color w:val="auto"/>
                <w:kern w:val="0"/>
                <w:sz w:val="20"/>
                <w:szCs w:val="20"/>
                <w:highlight w:val="none"/>
              </w:rPr>
            </w:pPr>
            <w:r>
              <w:rPr>
                <w:rFonts w:hint="eastAsia" w:ascii="宋体" w:hAnsi="宋体" w:cs="宋体"/>
                <w:b/>
                <w:bCs/>
                <w:color w:val="auto"/>
                <w:kern w:val="0"/>
                <w:sz w:val="20"/>
                <w:szCs w:val="20"/>
                <w:highlight w:val="none"/>
              </w:rPr>
              <w:t>其他未列明行业</w:t>
            </w:r>
          </w:p>
        </w:tc>
        <w:tc>
          <w:tcPr>
            <w:tcW w:w="1633" w:type="dxa"/>
            <w:tcBorders>
              <w:top w:val="nil"/>
              <w:left w:val="nil"/>
              <w:bottom w:val="single" w:color="auto" w:sz="4" w:space="0"/>
              <w:right w:val="single" w:color="auto" w:sz="4" w:space="0"/>
            </w:tcBorders>
            <w:vAlign w:val="center"/>
          </w:tcPr>
          <w:p w14:paraId="7081ACCF">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从业人员（X）</w:t>
            </w:r>
          </w:p>
        </w:tc>
        <w:tc>
          <w:tcPr>
            <w:tcW w:w="1077" w:type="dxa"/>
            <w:tcBorders>
              <w:top w:val="nil"/>
              <w:left w:val="nil"/>
              <w:bottom w:val="single" w:color="auto" w:sz="4" w:space="0"/>
              <w:right w:val="single" w:color="auto" w:sz="4" w:space="0"/>
            </w:tcBorders>
            <w:vAlign w:val="center"/>
          </w:tcPr>
          <w:p w14:paraId="429AF945">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人</w:t>
            </w:r>
          </w:p>
        </w:tc>
        <w:tc>
          <w:tcPr>
            <w:tcW w:w="1911" w:type="dxa"/>
            <w:tcBorders>
              <w:top w:val="nil"/>
              <w:left w:val="nil"/>
              <w:bottom w:val="single" w:color="auto" w:sz="4" w:space="0"/>
              <w:right w:val="single" w:color="auto" w:sz="4" w:space="0"/>
            </w:tcBorders>
            <w:vAlign w:val="center"/>
          </w:tcPr>
          <w:p w14:paraId="7376DCED">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100≤X＜300</w:t>
            </w:r>
          </w:p>
        </w:tc>
        <w:tc>
          <w:tcPr>
            <w:tcW w:w="1699" w:type="dxa"/>
            <w:tcBorders>
              <w:top w:val="nil"/>
              <w:left w:val="nil"/>
              <w:bottom w:val="single" w:color="auto" w:sz="4" w:space="0"/>
              <w:right w:val="single" w:color="auto" w:sz="4" w:space="0"/>
            </w:tcBorders>
            <w:vAlign w:val="center"/>
          </w:tcPr>
          <w:p w14:paraId="2D4D046A">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10≤X＜100</w:t>
            </w:r>
          </w:p>
        </w:tc>
        <w:tc>
          <w:tcPr>
            <w:tcW w:w="1091" w:type="dxa"/>
            <w:tcBorders>
              <w:top w:val="nil"/>
              <w:left w:val="nil"/>
              <w:bottom w:val="single" w:color="auto" w:sz="4" w:space="0"/>
              <w:right w:val="single" w:color="auto" w:sz="4" w:space="0"/>
            </w:tcBorders>
            <w:vAlign w:val="center"/>
          </w:tcPr>
          <w:p w14:paraId="7EA87161">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X＜10</w:t>
            </w:r>
          </w:p>
        </w:tc>
      </w:tr>
    </w:tbl>
    <w:p w14:paraId="7501ECB2">
      <w:pPr>
        <w:spacing w:line="360" w:lineRule="auto"/>
        <w:ind w:firstLine="600" w:firstLineChars="250"/>
        <w:rPr>
          <w:rFonts w:ascii="楷体" w:hAnsi="楷体" w:eastAsia="楷体" w:cs="宋体"/>
          <w:color w:val="auto"/>
          <w:sz w:val="24"/>
          <w:highlight w:val="none"/>
        </w:rPr>
      </w:pPr>
      <w:r>
        <w:rPr>
          <w:rFonts w:hint="eastAsia" w:ascii="楷体" w:hAnsi="楷体" w:eastAsia="楷体" w:cs="宋体"/>
          <w:color w:val="auto"/>
          <w:sz w:val="24"/>
          <w:highlight w:val="none"/>
        </w:rPr>
        <w:t>说明：上述标准参照《关于印发中小企业划型标准规定的通知》（工信部联企业</w:t>
      </w:r>
      <w:r>
        <w:rPr>
          <w:rFonts w:ascii="楷体" w:hAnsi="楷体" w:eastAsia="楷体" w:cs="宋体"/>
          <w:color w:val="auto"/>
          <w:sz w:val="24"/>
          <w:highlight w:val="none"/>
        </w:rPr>
        <w:t>[2011]300号），大型、中型和小型企业须同时满足所列指标的下限，否则下划一档；微型企业只须满足所列指标中的一项即可。</w:t>
      </w:r>
    </w:p>
    <w:p w14:paraId="52655658">
      <w:pPr>
        <w:widowControl/>
        <w:jc w:val="left"/>
        <w:rPr>
          <w:rFonts w:ascii="宋体" w:hAnsi="宋体" w:cs="宋体"/>
          <w:color w:val="auto"/>
          <w:sz w:val="24"/>
          <w:highlight w:val="none"/>
        </w:rPr>
        <w:sectPr>
          <w:footerReference r:id="rId4" w:type="default"/>
          <w:pgSz w:w="11906" w:h="16838"/>
          <w:pgMar w:top="1417" w:right="1449" w:bottom="1417" w:left="1417" w:header="720" w:footer="720" w:gutter="0"/>
          <w:pgNumType w:start="1"/>
          <w:cols w:space="0" w:num="1"/>
          <w:docGrid w:type="lines" w:linePitch="333" w:charSpace="0"/>
        </w:sectPr>
      </w:pPr>
    </w:p>
    <w:p w14:paraId="31C7DC9C">
      <w:pPr>
        <w:pStyle w:val="3"/>
        <w:spacing w:line="360" w:lineRule="auto"/>
        <w:jc w:val="center"/>
        <w:rPr>
          <w:rFonts w:ascii="宋体" w:hAnsi="宋体" w:cs="宋体"/>
          <w:color w:val="auto"/>
          <w:highlight w:val="none"/>
        </w:rPr>
      </w:pPr>
      <w:r>
        <w:rPr>
          <w:rFonts w:hint="eastAsia" w:ascii="宋体" w:hAnsi="宋体" w:cs="宋体"/>
          <w:color w:val="auto"/>
          <w:highlight w:val="none"/>
        </w:rPr>
        <w:t>第三章  投标人须知</w:t>
      </w:r>
      <w:bookmarkEnd w:id="37"/>
    </w:p>
    <w:p w14:paraId="389FA3C7">
      <w:pPr>
        <w:spacing w:line="360" w:lineRule="auto"/>
        <w:jc w:val="center"/>
        <w:rPr>
          <w:rFonts w:ascii="宋体" w:hAnsi="宋体" w:cs="宋体"/>
          <w:color w:val="auto"/>
          <w:sz w:val="36"/>
          <w:szCs w:val="36"/>
          <w:highlight w:val="none"/>
        </w:rPr>
      </w:pPr>
      <w:bookmarkStart w:id="38" w:name="_Toc254970667"/>
      <w:bookmarkStart w:id="39" w:name="_Toc254970526"/>
      <w:r>
        <w:rPr>
          <w:rFonts w:hint="eastAsia" w:ascii="宋体" w:hAnsi="宋体" w:cs="宋体"/>
          <w:color w:val="auto"/>
          <w:sz w:val="36"/>
          <w:szCs w:val="36"/>
          <w:highlight w:val="none"/>
        </w:rPr>
        <w:t>投标人须知前附表</w:t>
      </w:r>
      <w:bookmarkEnd w:id="38"/>
      <w:bookmarkEnd w:id="39"/>
    </w:p>
    <w:tbl>
      <w:tblPr>
        <w:tblStyle w:val="47"/>
        <w:tblW w:w="960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95"/>
        <w:gridCol w:w="8708"/>
      </w:tblGrid>
      <w:tr w14:paraId="6510AD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5EF356C5">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条款号</w:t>
            </w:r>
          </w:p>
        </w:tc>
        <w:tc>
          <w:tcPr>
            <w:tcW w:w="8708" w:type="dxa"/>
            <w:tcBorders>
              <w:top w:val="single" w:color="auto" w:sz="4" w:space="0"/>
              <w:left w:val="single" w:color="auto" w:sz="4" w:space="0"/>
              <w:bottom w:val="single" w:color="auto" w:sz="4" w:space="0"/>
              <w:right w:val="single" w:color="auto" w:sz="4" w:space="0"/>
            </w:tcBorders>
            <w:vAlign w:val="center"/>
          </w:tcPr>
          <w:p w14:paraId="2937CF88">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编列内容</w:t>
            </w:r>
          </w:p>
        </w:tc>
      </w:tr>
      <w:tr w14:paraId="102908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4D083B2E">
            <w:pPr>
              <w:spacing w:line="360" w:lineRule="auto"/>
              <w:jc w:val="center"/>
              <w:rPr>
                <w:rFonts w:ascii="宋体" w:hAnsi="宋体" w:cs="宋体"/>
                <w:color w:val="auto"/>
                <w:sz w:val="24"/>
                <w:highlight w:val="none"/>
              </w:rPr>
            </w:pPr>
            <w:r>
              <w:rPr>
                <w:rFonts w:hint="eastAsia" w:ascii="宋体" w:hAnsi="宋体" w:cs="宋体"/>
                <w:color w:val="auto"/>
                <w:sz w:val="24"/>
                <w:highlight w:val="none"/>
              </w:rPr>
              <w:t>3</w:t>
            </w:r>
          </w:p>
        </w:tc>
        <w:tc>
          <w:tcPr>
            <w:tcW w:w="8708" w:type="dxa"/>
            <w:tcBorders>
              <w:top w:val="single" w:color="auto" w:sz="4" w:space="0"/>
              <w:left w:val="single" w:color="auto" w:sz="4" w:space="0"/>
              <w:bottom w:val="single" w:color="auto" w:sz="4" w:space="0"/>
              <w:right w:val="single" w:color="auto" w:sz="4" w:space="0"/>
            </w:tcBorders>
            <w:vAlign w:val="center"/>
          </w:tcPr>
          <w:p w14:paraId="1FC0FBA8">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投标人的资格要求：详见招标公告。</w:t>
            </w:r>
          </w:p>
        </w:tc>
      </w:tr>
      <w:tr w14:paraId="1BFFE2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12F81565">
            <w:pPr>
              <w:spacing w:line="360" w:lineRule="auto"/>
              <w:jc w:val="center"/>
              <w:rPr>
                <w:rFonts w:ascii="宋体" w:hAnsi="宋体" w:cs="宋体"/>
                <w:color w:val="auto"/>
                <w:sz w:val="24"/>
                <w:highlight w:val="none"/>
              </w:rPr>
            </w:pPr>
            <w:bookmarkStart w:id="40" w:name="_5"/>
            <w:bookmarkEnd w:id="40"/>
            <w:bookmarkStart w:id="41" w:name="_8.1"/>
            <w:bookmarkEnd w:id="41"/>
            <w:bookmarkStart w:id="42" w:name="_9.2"/>
            <w:bookmarkEnd w:id="42"/>
            <w:r>
              <w:rPr>
                <w:rFonts w:hint="eastAsia" w:ascii="宋体" w:hAnsi="宋体" w:cs="宋体"/>
                <w:color w:val="auto"/>
                <w:sz w:val="24"/>
                <w:highlight w:val="none"/>
              </w:rPr>
              <w:t>6.1</w:t>
            </w:r>
          </w:p>
        </w:tc>
        <w:tc>
          <w:tcPr>
            <w:tcW w:w="8708" w:type="dxa"/>
            <w:tcBorders>
              <w:top w:val="single" w:color="auto" w:sz="4" w:space="0"/>
              <w:left w:val="single" w:color="auto" w:sz="4" w:space="0"/>
              <w:bottom w:val="single" w:color="auto" w:sz="4" w:space="0"/>
              <w:right w:val="single" w:color="auto" w:sz="4" w:space="0"/>
            </w:tcBorders>
            <w:vAlign w:val="center"/>
          </w:tcPr>
          <w:p w14:paraId="439856EE">
            <w:pPr>
              <w:pStyle w:val="17"/>
              <w:spacing w:line="360" w:lineRule="auto"/>
              <w:rPr>
                <w:rFonts w:ascii="宋体" w:hAnsi="宋体" w:cs="宋体"/>
                <w:color w:val="auto"/>
                <w:sz w:val="24"/>
                <w:highlight w:val="none"/>
              </w:rPr>
            </w:pPr>
            <w:r>
              <w:rPr>
                <w:rFonts w:hint="eastAsia" w:ascii="宋体" w:hAnsi="宋体" w:cs="宋体"/>
                <w:color w:val="auto"/>
                <w:sz w:val="24"/>
                <w:highlight w:val="none"/>
              </w:rPr>
              <w:t>本项目是否接受联合体投标：详见招标公告</w:t>
            </w:r>
          </w:p>
        </w:tc>
      </w:tr>
      <w:tr w14:paraId="340A8D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7FF6D755">
            <w:pPr>
              <w:spacing w:line="360" w:lineRule="auto"/>
              <w:jc w:val="center"/>
              <w:rPr>
                <w:rFonts w:ascii="宋体" w:hAnsi="宋体" w:cs="宋体"/>
                <w:color w:val="auto"/>
                <w:sz w:val="24"/>
                <w:highlight w:val="none"/>
              </w:rPr>
            </w:pPr>
            <w:r>
              <w:rPr>
                <w:rFonts w:hint="eastAsia" w:ascii="宋体" w:hAnsi="宋体" w:cs="宋体"/>
                <w:color w:val="auto"/>
                <w:sz w:val="24"/>
                <w:highlight w:val="none"/>
              </w:rPr>
              <w:t>6.2</w:t>
            </w:r>
          </w:p>
        </w:tc>
        <w:tc>
          <w:tcPr>
            <w:tcW w:w="8708" w:type="dxa"/>
            <w:tcBorders>
              <w:top w:val="single" w:color="auto" w:sz="4" w:space="0"/>
              <w:left w:val="single" w:color="auto" w:sz="4" w:space="0"/>
              <w:bottom w:val="single" w:color="auto" w:sz="4" w:space="0"/>
              <w:right w:val="single" w:color="auto" w:sz="4" w:space="0"/>
            </w:tcBorders>
            <w:vAlign w:val="center"/>
          </w:tcPr>
          <w:p w14:paraId="13CBA96E">
            <w:pPr>
              <w:autoSpaceDE w:val="0"/>
              <w:autoSpaceDN w:val="0"/>
              <w:snapToGrid w:val="0"/>
              <w:spacing w:line="360" w:lineRule="auto"/>
              <w:textAlignment w:val="bottom"/>
              <w:rPr>
                <w:rFonts w:ascii="宋体" w:hAnsi="宋体" w:cs="宋体"/>
                <w:color w:val="auto"/>
                <w:sz w:val="24"/>
                <w:highlight w:val="none"/>
              </w:rPr>
            </w:pPr>
            <w:bookmarkStart w:id="43" w:name="_Hlk54105293"/>
            <w:r>
              <w:rPr>
                <w:rFonts w:hint="eastAsia" w:ascii="宋体" w:hAnsi="宋体" w:cs="宋体"/>
                <w:color w:val="auto"/>
                <w:sz w:val="24"/>
                <w:highlight w:val="none"/>
              </w:rPr>
              <w:t>如接受联合体投标，</w:t>
            </w:r>
            <w:bookmarkEnd w:id="43"/>
            <w:r>
              <w:rPr>
                <w:rFonts w:hint="eastAsia" w:ascii="宋体" w:hAnsi="宋体" w:cs="宋体"/>
                <w:color w:val="auto"/>
                <w:sz w:val="24"/>
                <w:highlight w:val="none"/>
              </w:rPr>
              <w:t>联合体投标要求如下：</w:t>
            </w:r>
          </w:p>
          <w:p w14:paraId="10D760A6">
            <w:pPr>
              <w:autoSpaceDE w:val="0"/>
              <w:autoSpaceDN w:val="0"/>
              <w:snapToGrid w:val="0"/>
              <w:spacing w:line="360" w:lineRule="auto"/>
              <w:textAlignment w:val="bottom"/>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bCs/>
                <w:color w:val="auto"/>
                <w:sz w:val="24"/>
                <w:highlight w:val="none"/>
              </w:rPr>
              <w:t>.</w:t>
            </w:r>
            <w:r>
              <w:rPr>
                <w:rFonts w:hint="eastAsia" w:ascii="宋体" w:hAnsi="宋体" w:cs="宋体"/>
                <w:color w:val="auto"/>
                <w:sz w:val="24"/>
                <w:highlight w:val="none"/>
              </w:rPr>
              <w:t>两个以上供应商可以组成一个投标联合体，以一个投标人的身份共同参加投标，联合体投标人的名称应统一按“XXX 公司与 XXX 公司的联合体”的规则填写。</w:t>
            </w:r>
            <w:r>
              <w:rPr>
                <w:rFonts w:hint="eastAsia" w:ascii="宋体" w:hAnsi="宋体" w:cs="宋体"/>
                <w:color w:val="auto"/>
                <w:sz w:val="24"/>
                <w:highlight w:val="none"/>
              </w:rPr>
              <w:tab/>
            </w:r>
          </w:p>
          <w:p w14:paraId="01844041">
            <w:pPr>
              <w:autoSpaceDE w:val="0"/>
              <w:autoSpaceDN w:val="0"/>
              <w:snapToGrid w:val="0"/>
              <w:spacing w:line="360" w:lineRule="auto"/>
              <w:textAlignment w:val="bottom"/>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bCs/>
                <w:color w:val="auto"/>
                <w:sz w:val="24"/>
                <w:highlight w:val="none"/>
              </w:rPr>
              <w:t>.</w:t>
            </w:r>
            <w:r>
              <w:rPr>
                <w:rFonts w:hint="eastAsia" w:ascii="宋体" w:hAnsi="宋体" w:cs="宋体"/>
                <w:color w:val="auto"/>
                <w:sz w:val="24"/>
                <w:highlight w:val="none"/>
              </w:rPr>
              <w:t>以联合体形式参加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本项目招标公告“申请人的资格要求”第3点 “3、本项目的特定资格要求”的要求。</w:t>
            </w:r>
          </w:p>
          <w:p w14:paraId="7302CD8C">
            <w:pPr>
              <w:autoSpaceDE w:val="0"/>
              <w:autoSpaceDN w:val="0"/>
              <w:snapToGrid w:val="0"/>
              <w:spacing w:line="360" w:lineRule="auto"/>
              <w:textAlignment w:val="bottom"/>
              <w:rPr>
                <w:rFonts w:ascii="宋体" w:hAnsi="宋体" w:cs="宋体"/>
                <w:color w:val="auto"/>
                <w:sz w:val="24"/>
                <w:highlight w:val="none"/>
              </w:rPr>
            </w:pPr>
            <w:r>
              <w:rPr>
                <w:rFonts w:hint="eastAsia" w:ascii="宋体" w:hAnsi="宋体" w:cs="宋体"/>
                <w:color w:val="auto"/>
                <w:sz w:val="24"/>
                <w:highlight w:val="none"/>
              </w:rPr>
              <w:t>3</w:t>
            </w:r>
            <w:r>
              <w:rPr>
                <w:rFonts w:hint="eastAsia" w:ascii="宋体" w:hAnsi="宋体" w:cs="宋体"/>
                <w:bCs/>
                <w:color w:val="auto"/>
                <w:sz w:val="24"/>
                <w:highlight w:val="none"/>
              </w:rPr>
              <w:t>.</w:t>
            </w:r>
            <w:r>
              <w:rPr>
                <w:rFonts w:hint="eastAsia" w:ascii="宋体" w:hAnsi="宋体" w:cs="宋体"/>
                <w:color w:val="auto"/>
                <w:sz w:val="24"/>
                <w:highlight w:val="none"/>
              </w:rPr>
              <w:t>联合体投标的，须提供《联合体投标协议书》（格式后附），协议书必须明确主体方（或者牵头方）并明确约定联合体各方承担的工作和相应的责任（各方承担责任与义务的分工必须符合采购需求，否则，联合体投标无效），并将联合投标协议放入投标文件。联合体各方必须共同与采购人签订采购合同，就采购合同约定的事项对采购人承担连带责任。</w:t>
            </w:r>
            <w:r>
              <w:rPr>
                <w:rFonts w:hint="eastAsia" w:ascii="宋体" w:hAnsi="宋体" w:cs="宋体"/>
                <w:color w:val="auto"/>
                <w:sz w:val="24"/>
                <w:highlight w:val="none"/>
              </w:rPr>
              <w:tab/>
            </w:r>
          </w:p>
          <w:p w14:paraId="7577B90D">
            <w:pPr>
              <w:autoSpaceDE w:val="0"/>
              <w:autoSpaceDN w:val="0"/>
              <w:snapToGrid w:val="0"/>
              <w:spacing w:line="360" w:lineRule="auto"/>
              <w:textAlignment w:val="bottom"/>
              <w:rPr>
                <w:rFonts w:ascii="宋体" w:hAnsi="宋体" w:cs="宋体"/>
                <w:color w:val="auto"/>
                <w:sz w:val="24"/>
                <w:highlight w:val="none"/>
              </w:rPr>
            </w:pPr>
            <w:r>
              <w:rPr>
                <w:rFonts w:hint="eastAsia" w:ascii="宋体" w:hAnsi="宋体" w:cs="宋体"/>
                <w:color w:val="auto"/>
                <w:sz w:val="24"/>
                <w:highlight w:val="none"/>
              </w:rPr>
              <w:t>4</w:t>
            </w:r>
            <w:r>
              <w:rPr>
                <w:rFonts w:hint="eastAsia" w:ascii="宋体" w:hAnsi="宋体" w:cs="宋体"/>
                <w:bCs/>
                <w:color w:val="auto"/>
                <w:sz w:val="24"/>
                <w:highlight w:val="none"/>
              </w:rPr>
              <w:t>.</w:t>
            </w:r>
            <w:r>
              <w:rPr>
                <w:rFonts w:hint="eastAsia" w:ascii="宋体" w:hAnsi="宋体" w:cs="宋体"/>
                <w:color w:val="auto"/>
                <w:sz w:val="24"/>
                <w:highlight w:val="none"/>
              </w:rPr>
              <w:t>以联合体形式参加政府采购活动的，联合体各方不得再单独参加或者与其他投标人另外组成联合体参加同一合同项下的政府采购活动，否则与之相关的投标文件作废。</w:t>
            </w:r>
            <w:r>
              <w:rPr>
                <w:rFonts w:hint="eastAsia" w:ascii="宋体" w:hAnsi="宋体" w:cs="宋体"/>
                <w:color w:val="auto"/>
                <w:sz w:val="24"/>
                <w:highlight w:val="none"/>
              </w:rPr>
              <w:tab/>
            </w:r>
            <w:r>
              <w:rPr>
                <w:rFonts w:hint="eastAsia" w:ascii="宋体" w:hAnsi="宋体" w:cs="宋体"/>
                <w:color w:val="auto"/>
                <w:sz w:val="24"/>
                <w:highlight w:val="none"/>
              </w:rPr>
              <w:tab/>
            </w:r>
          </w:p>
          <w:p w14:paraId="28A0599F">
            <w:pPr>
              <w:autoSpaceDE w:val="0"/>
              <w:autoSpaceDN w:val="0"/>
              <w:snapToGrid w:val="0"/>
              <w:spacing w:line="360" w:lineRule="auto"/>
              <w:textAlignment w:val="bottom"/>
              <w:rPr>
                <w:rFonts w:ascii="宋体" w:hAnsi="宋体" w:cs="宋体"/>
                <w:color w:val="auto"/>
                <w:sz w:val="24"/>
                <w:highlight w:val="none"/>
              </w:rPr>
            </w:pPr>
            <w:r>
              <w:rPr>
                <w:rFonts w:hint="eastAsia" w:ascii="宋体" w:hAnsi="宋体" w:cs="宋体"/>
                <w:color w:val="auto"/>
                <w:sz w:val="24"/>
                <w:highlight w:val="none"/>
              </w:rPr>
              <w:t>5</w:t>
            </w:r>
            <w:r>
              <w:rPr>
                <w:rFonts w:hint="eastAsia" w:ascii="宋体" w:hAnsi="宋体" w:cs="宋体"/>
                <w:bCs/>
                <w:color w:val="auto"/>
                <w:sz w:val="24"/>
                <w:highlight w:val="none"/>
              </w:rPr>
              <w:t>.</w:t>
            </w:r>
            <w:r>
              <w:rPr>
                <w:rFonts w:hint="eastAsia" w:ascii="宋体" w:hAnsi="宋体" w:cs="宋体"/>
                <w:color w:val="auto"/>
                <w:sz w:val="24"/>
                <w:highlight w:val="none"/>
              </w:rPr>
              <w:t>联合体中有同类资质的投标人按照联合体分工承担相同工作的，应当按照资质等级较低的投标人确定资质等级。</w:t>
            </w:r>
            <w:r>
              <w:rPr>
                <w:rFonts w:hint="eastAsia" w:ascii="宋体" w:hAnsi="宋体" w:cs="宋体"/>
                <w:color w:val="auto"/>
                <w:sz w:val="24"/>
                <w:highlight w:val="none"/>
              </w:rPr>
              <w:tab/>
            </w:r>
            <w:r>
              <w:rPr>
                <w:rFonts w:hint="eastAsia" w:ascii="宋体" w:hAnsi="宋体" w:cs="宋体"/>
                <w:color w:val="auto"/>
                <w:sz w:val="24"/>
                <w:highlight w:val="none"/>
              </w:rPr>
              <w:tab/>
            </w:r>
          </w:p>
          <w:p w14:paraId="7DACB521">
            <w:pPr>
              <w:autoSpaceDE w:val="0"/>
              <w:autoSpaceDN w:val="0"/>
              <w:snapToGrid w:val="0"/>
              <w:spacing w:line="360" w:lineRule="auto"/>
              <w:textAlignment w:val="bottom"/>
              <w:rPr>
                <w:rFonts w:ascii="宋体" w:hAnsi="宋体" w:cs="宋体"/>
                <w:color w:val="auto"/>
                <w:sz w:val="24"/>
                <w:highlight w:val="none"/>
              </w:rPr>
            </w:pPr>
            <w:r>
              <w:rPr>
                <w:rFonts w:hint="eastAsia" w:ascii="宋体" w:hAnsi="宋体" w:cs="宋体"/>
                <w:color w:val="auto"/>
                <w:sz w:val="24"/>
                <w:highlight w:val="none"/>
              </w:rPr>
              <w:t>6</w:t>
            </w:r>
            <w:r>
              <w:rPr>
                <w:rFonts w:hint="eastAsia" w:ascii="宋体" w:hAnsi="宋体" w:cs="宋体"/>
                <w:bCs/>
                <w:color w:val="auto"/>
                <w:sz w:val="24"/>
                <w:highlight w:val="none"/>
              </w:rPr>
              <w:t>.</w:t>
            </w:r>
            <w:r>
              <w:rPr>
                <w:rFonts w:hint="eastAsia" w:ascii="宋体" w:hAnsi="宋体" w:cs="宋体"/>
                <w:color w:val="auto"/>
                <w:sz w:val="24"/>
                <w:highlight w:val="none"/>
              </w:rPr>
              <w:t>联合体投标业绩、履约能力按照联合体各方其中较高的一方认定并计算（招标文件另有规定的除外）。</w:t>
            </w:r>
            <w:r>
              <w:rPr>
                <w:rFonts w:hint="eastAsia" w:ascii="宋体" w:hAnsi="宋体" w:cs="宋体"/>
                <w:color w:val="auto"/>
                <w:sz w:val="24"/>
                <w:highlight w:val="none"/>
              </w:rPr>
              <w:tab/>
            </w:r>
            <w:r>
              <w:rPr>
                <w:rFonts w:hint="eastAsia" w:ascii="宋体" w:hAnsi="宋体" w:cs="宋体"/>
                <w:color w:val="auto"/>
                <w:sz w:val="24"/>
                <w:highlight w:val="none"/>
              </w:rPr>
              <w:tab/>
            </w:r>
            <w:r>
              <w:rPr>
                <w:rFonts w:hint="eastAsia" w:ascii="宋体" w:hAnsi="宋体" w:cs="宋体"/>
                <w:color w:val="auto"/>
                <w:sz w:val="24"/>
                <w:highlight w:val="none"/>
              </w:rPr>
              <w:tab/>
            </w:r>
          </w:p>
          <w:p w14:paraId="354AB307">
            <w:pPr>
              <w:autoSpaceDE w:val="0"/>
              <w:autoSpaceDN w:val="0"/>
              <w:snapToGrid w:val="0"/>
              <w:spacing w:line="360" w:lineRule="auto"/>
              <w:textAlignment w:val="bottom"/>
              <w:rPr>
                <w:rFonts w:ascii="宋体" w:hAnsi="宋体" w:cs="宋体"/>
                <w:color w:val="auto"/>
                <w:sz w:val="24"/>
                <w:highlight w:val="none"/>
              </w:rPr>
            </w:pPr>
            <w:r>
              <w:rPr>
                <w:rFonts w:hint="eastAsia" w:ascii="宋体" w:hAnsi="宋体" w:cs="宋体"/>
                <w:color w:val="auto"/>
                <w:sz w:val="24"/>
                <w:highlight w:val="none"/>
              </w:rPr>
              <w:t>7</w:t>
            </w:r>
            <w:r>
              <w:rPr>
                <w:rFonts w:hint="eastAsia" w:ascii="宋体" w:hAnsi="宋体" w:cs="宋体"/>
                <w:bCs/>
                <w:color w:val="auto"/>
                <w:sz w:val="24"/>
                <w:highlight w:val="none"/>
              </w:rPr>
              <w:t>.</w:t>
            </w:r>
            <w:r>
              <w:rPr>
                <w:rFonts w:hint="eastAsia" w:ascii="宋体" w:hAnsi="宋体" w:cs="宋体"/>
                <w:color w:val="auto"/>
                <w:sz w:val="24"/>
                <w:highlight w:val="none"/>
              </w:rPr>
              <w:t>联合体各方均应按照招标文件的规定提交资格证明文件。</w:t>
            </w:r>
          </w:p>
        </w:tc>
      </w:tr>
      <w:tr w14:paraId="1BC200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17C8050A">
            <w:pPr>
              <w:spacing w:line="360" w:lineRule="auto"/>
              <w:jc w:val="center"/>
              <w:rPr>
                <w:rFonts w:ascii="宋体" w:hAnsi="宋体" w:cs="宋体"/>
                <w:color w:val="auto"/>
                <w:sz w:val="24"/>
                <w:highlight w:val="none"/>
              </w:rPr>
            </w:pPr>
            <w:r>
              <w:rPr>
                <w:rFonts w:hint="eastAsia" w:ascii="宋体" w:hAnsi="宋体" w:cs="宋体"/>
                <w:color w:val="auto"/>
                <w:sz w:val="24"/>
                <w:highlight w:val="none"/>
              </w:rPr>
              <w:t>7.2</w:t>
            </w:r>
          </w:p>
        </w:tc>
        <w:tc>
          <w:tcPr>
            <w:tcW w:w="8708" w:type="dxa"/>
            <w:tcBorders>
              <w:top w:val="single" w:color="auto" w:sz="4" w:space="0"/>
              <w:left w:val="single" w:color="auto" w:sz="4" w:space="0"/>
              <w:bottom w:val="single" w:color="auto" w:sz="4" w:space="0"/>
              <w:right w:val="single" w:color="auto" w:sz="4" w:space="0"/>
            </w:tcBorders>
            <w:vAlign w:val="center"/>
          </w:tcPr>
          <w:p w14:paraId="21239063">
            <w:pPr>
              <w:pStyle w:val="17"/>
              <w:spacing w:line="360" w:lineRule="auto"/>
              <w:rPr>
                <w:rFonts w:ascii="宋体" w:hAnsi="宋体" w:cs="宋体"/>
                <w:color w:val="auto"/>
                <w:sz w:val="24"/>
                <w:highlight w:val="none"/>
              </w:rPr>
            </w:pPr>
            <w:r>
              <w:rPr>
                <w:rFonts w:hint="eastAsia" w:ascii="宋体" w:hAnsi="宋体" w:cs="宋体"/>
                <w:color w:val="auto"/>
                <w:sz w:val="24"/>
                <w:highlight w:val="none"/>
              </w:rPr>
              <w:sym w:font="Wingdings" w:char="00FE"/>
            </w:r>
            <w:r>
              <w:rPr>
                <w:rFonts w:hint="eastAsia" w:ascii="宋体" w:hAnsi="宋体" w:cs="宋体"/>
                <w:color w:val="auto"/>
                <w:sz w:val="24"/>
                <w:highlight w:val="none"/>
              </w:rPr>
              <w:t>本项目不允许分包。</w:t>
            </w:r>
          </w:p>
          <w:p w14:paraId="71759F57">
            <w:pPr>
              <w:pStyle w:val="17"/>
              <w:spacing w:line="360" w:lineRule="auto"/>
              <w:rPr>
                <w:rFonts w:ascii="宋体" w:hAnsi="宋体" w:cs="宋体"/>
                <w:color w:val="auto"/>
                <w:sz w:val="24"/>
                <w:highlight w:val="none"/>
              </w:rPr>
            </w:pPr>
            <w:r>
              <w:rPr>
                <w:rFonts w:hint="eastAsia" w:ascii="宋体" w:hAnsi="宋体" w:cs="宋体"/>
                <w:color w:val="auto"/>
                <w:sz w:val="24"/>
                <w:highlight w:val="none"/>
              </w:rPr>
              <w:sym w:font="Wingdings" w:char="00A8"/>
            </w:r>
            <w:r>
              <w:rPr>
                <w:rFonts w:hint="eastAsia" w:ascii="宋体" w:hAnsi="宋体" w:cs="宋体"/>
                <w:color w:val="auto"/>
                <w:sz w:val="24"/>
                <w:highlight w:val="none"/>
              </w:rPr>
              <w:t>本项目允许分包：</w:t>
            </w:r>
          </w:p>
          <w:p w14:paraId="3A706682">
            <w:pPr>
              <w:pStyle w:val="17"/>
              <w:spacing w:line="360" w:lineRule="auto"/>
              <w:rPr>
                <w:rFonts w:ascii="宋体" w:hAnsi="宋体" w:cs="宋体"/>
                <w:color w:val="auto"/>
                <w:sz w:val="24"/>
                <w:highlight w:val="none"/>
                <w:u w:val="single"/>
              </w:rPr>
            </w:pPr>
            <w:r>
              <w:rPr>
                <w:rFonts w:hint="eastAsia" w:ascii="宋体" w:hAnsi="宋体" w:cs="宋体"/>
                <w:color w:val="auto"/>
                <w:sz w:val="24"/>
                <w:highlight w:val="none"/>
              </w:rPr>
              <w:t>分包内容：</w:t>
            </w:r>
            <w:r>
              <w:rPr>
                <w:rFonts w:hint="eastAsia" w:ascii="宋体" w:hAnsi="宋体" w:cs="宋体"/>
                <w:color w:val="auto"/>
                <w:sz w:val="24"/>
                <w:highlight w:val="none"/>
                <w:u w:val="single"/>
              </w:rPr>
              <w:t>/</w:t>
            </w:r>
          </w:p>
          <w:p w14:paraId="790C676A">
            <w:pPr>
              <w:pStyle w:val="17"/>
              <w:spacing w:line="360" w:lineRule="auto"/>
              <w:jc w:val="both"/>
              <w:rPr>
                <w:rFonts w:ascii="宋体" w:hAnsi="宋体" w:cs="宋体"/>
                <w:color w:val="auto"/>
                <w:sz w:val="24"/>
                <w:highlight w:val="none"/>
                <w:u w:val="single"/>
              </w:rPr>
            </w:pPr>
            <w:r>
              <w:rPr>
                <w:rFonts w:hint="eastAsia" w:ascii="宋体" w:hAnsi="宋体" w:cs="宋体"/>
                <w:color w:val="auto"/>
                <w:sz w:val="24"/>
                <w:highlight w:val="none"/>
              </w:rPr>
              <w:t>分包金额或者比例：</w:t>
            </w:r>
            <w:r>
              <w:rPr>
                <w:rFonts w:hint="eastAsia" w:ascii="宋体" w:hAnsi="宋体" w:cs="宋体"/>
                <w:color w:val="auto"/>
                <w:sz w:val="24"/>
                <w:highlight w:val="none"/>
                <w:u w:val="single"/>
              </w:rPr>
              <w:t>/</w:t>
            </w:r>
          </w:p>
        </w:tc>
      </w:tr>
      <w:tr w14:paraId="232F8B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06" w:hRule="atLeast"/>
          <w:jc w:val="center"/>
        </w:trPr>
        <w:tc>
          <w:tcPr>
            <w:tcW w:w="895" w:type="dxa"/>
            <w:tcBorders>
              <w:top w:val="single" w:color="auto" w:sz="4" w:space="0"/>
              <w:left w:val="single" w:color="auto" w:sz="4" w:space="0"/>
              <w:bottom w:val="single" w:color="auto" w:sz="4" w:space="0"/>
              <w:right w:val="single" w:color="auto" w:sz="4" w:space="0"/>
            </w:tcBorders>
            <w:vAlign w:val="center"/>
          </w:tcPr>
          <w:p w14:paraId="60233555">
            <w:pPr>
              <w:spacing w:line="360" w:lineRule="auto"/>
              <w:jc w:val="center"/>
              <w:rPr>
                <w:rFonts w:ascii="宋体" w:hAnsi="宋体" w:cs="宋体"/>
                <w:color w:val="auto"/>
                <w:sz w:val="24"/>
                <w:highlight w:val="none"/>
              </w:rPr>
            </w:pPr>
            <w:r>
              <w:rPr>
                <w:rFonts w:hint="eastAsia" w:ascii="宋体" w:hAnsi="宋体" w:cs="宋体"/>
                <w:color w:val="auto"/>
                <w:sz w:val="24"/>
                <w:highlight w:val="none"/>
              </w:rPr>
              <w:t>8.1</w:t>
            </w:r>
          </w:p>
        </w:tc>
        <w:tc>
          <w:tcPr>
            <w:tcW w:w="8708" w:type="dxa"/>
            <w:tcBorders>
              <w:top w:val="single" w:color="auto" w:sz="4" w:space="0"/>
              <w:left w:val="single" w:color="auto" w:sz="4" w:space="0"/>
              <w:bottom w:val="single" w:color="auto" w:sz="4" w:space="0"/>
              <w:right w:val="single" w:color="auto" w:sz="4" w:space="0"/>
            </w:tcBorders>
            <w:vAlign w:val="center"/>
          </w:tcPr>
          <w:p w14:paraId="20693C81">
            <w:pPr>
              <w:autoSpaceDE w:val="0"/>
              <w:autoSpaceDN w:val="0"/>
              <w:snapToGrid w:val="0"/>
              <w:spacing w:line="360" w:lineRule="auto"/>
              <w:textAlignment w:val="bottom"/>
              <w:rPr>
                <w:rFonts w:ascii="宋体" w:hAnsi="宋体" w:cs="宋体"/>
                <w:color w:val="auto"/>
                <w:sz w:val="24"/>
                <w:highlight w:val="none"/>
              </w:rPr>
            </w:pPr>
            <w:r>
              <w:rPr>
                <w:rFonts w:hint="eastAsia" w:ascii="宋体" w:hAnsi="宋体" w:cs="宋体"/>
                <w:color w:val="auto"/>
                <w:sz w:val="24"/>
                <w:highlight w:val="none"/>
              </w:rPr>
              <w:t>1.采用最低评标价法的采购项目，提供相同品牌产品（非单一产品采购项目的，指核心产品）的不同投标人评标价相同时，按照下列方式确定一个投标人获得中标人推荐资格：评标委员会按投标报价低的原则确定，投标报价相同的按节能环保优先、技术指标高优先、质量保证期长优先、交货期短优先、故障响应时间短优先的顺序依次确定。</w:t>
            </w:r>
          </w:p>
          <w:p w14:paraId="61A6577B">
            <w:pPr>
              <w:autoSpaceDE w:val="0"/>
              <w:autoSpaceDN w:val="0"/>
              <w:snapToGrid w:val="0"/>
              <w:spacing w:line="360" w:lineRule="auto"/>
              <w:textAlignment w:val="bottom"/>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bCs/>
                <w:color w:val="auto"/>
                <w:sz w:val="24"/>
                <w:highlight w:val="none"/>
              </w:rPr>
              <w:t>.</w:t>
            </w:r>
            <w:r>
              <w:rPr>
                <w:rFonts w:hint="eastAsia" w:ascii="宋体" w:hAnsi="宋体" w:cs="宋体"/>
                <w:color w:val="auto"/>
                <w:sz w:val="24"/>
                <w:highlight w:val="none"/>
              </w:rPr>
              <w:t>采用综合评分法的采购项目，提供相同品牌产品（非单一产品采购项目的，指核心产品）的不同投标人评审后得分最高的同品牌投标人获得中标人推荐资格；评审得分相同时，依次按照投标报价低的优先、政策分得分高的优先、技术评分高的优先、商务评分高的优先、质量保证期长优先、交货期短优先、故障响应时间短优先的顺序确定一个投标人获得中标人推荐资格。</w:t>
            </w:r>
          </w:p>
        </w:tc>
      </w:tr>
      <w:tr w14:paraId="55FFD3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2" w:hRule="atLeast"/>
          <w:jc w:val="center"/>
        </w:trPr>
        <w:tc>
          <w:tcPr>
            <w:tcW w:w="895" w:type="dxa"/>
            <w:vMerge w:val="restart"/>
            <w:tcBorders>
              <w:top w:val="single" w:color="auto" w:sz="4" w:space="0"/>
              <w:left w:val="single" w:color="auto" w:sz="4" w:space="0"/>
              <w:right w:val="single" w:color="auto" w:sz="4" w:space="0"/>
            </w:tcBorders>
            <w:vAlign w:val="center"/>
          </w:tcPr>
          <w:p w14:paraId="24E61B8A">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11.5</w:t>
            </w:r>
          </w:p>
        </w:tc>
        <w:tc>
          <w:tcPr>
            <w:tcW w:w="8708" w:type="dxa"/>
            <w:tcBorders>
              <w:top w:val="single" w:color="auto" w:sz="4" w:space="0"/>
              <w:left w:val="single" w:color="auto" w:sz="4" w:space="0"/>
              <w:bottom w:val="single" w:color="auto" w:sz="4" w:space="0"/>
              <w:right w:val="single" w:color="auto" w:sz="4" w:space="0"/>
            </w:tcBorders>
            <w:vAlign w:val="center"/>
          </w:tcPr>
          <w:p w14:paraId="65F57F07">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本项目是否组织现场考察：否</w:t>
            </w:r>
          </w:p>
        </w:tc>
      </w:tr>
      <w:tr w14:paraId="0C95AE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895" w:type="dxa"/>
            <w:vMerge w:val="continue"/>
            <w:tcBorders>
              <w:left w:val="single" w:color="auto" w:sz="4" w:space="0"/>
              <w:bottom w:val="single" w:color="auto" w:sz="4" w:space="0"/>
              <w:right w:val="single" w:color="auto" w:sz="4" w:space="0"/>
            </w:tcBorders>
            <w:vAlign w:val="center"/>
          </w:tcPr>
          <w:p w14:paraId="42BDCBDF">
            <w:pPr>
              <w:spacing w:line="360" w:lineRule="auto"/>
              <w:jc w:val="center"/>
              <w:rPr>
                <w:rFonts w:ascii="宋体" w:hAnsi="宋体" w:cs="宋体"/>
                <w:color w:val="auto"/>
                <w:sz w:val="24"/>
                <w:highlight w:val="none"/>
              </w:rPr>
            </w:pPr>
          </w:p>
        </w:tc>
        <w:tc>
          <w:tcPr>
            <w:tcW w:w="8708" w:type="dxa"/>
            <w:tcBorders>
              <w:top w:val="single" w:color="auto" w:sz="4" w:space="0"/>
              <w:left w:val="single" w:color="auto" w:sz="4" w:space="0"/>
              <w:bottom w:val="single" w:color="auto" w:sz="4" w:space="0"/>
              <w:right w:val="single" w:color="auto" w:sz="4" w:space="0"/>
            </w:tcBorders>
            <w:vAlign w:val="center"/>
          </w:tcPr>
          <w:p w14:paraId="3E6CF00D">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sym w:font="Wingdings" w:char="00FE"/>
            </w:r>
            <w:r>
              <w:rPr>
                <w:rFonts w:hint="eastAsia" w:ascii="宋体" w:hAnsi="宋体" w:cs="宋体"/>
                <w:color w:val="auto"/>
                <w:sz w:val="24"/>
                <w:highlight w:val="none"/>
              </w:rPr>
              <w:t>本项目不组织召开开标前答疑会。</w:t>
            </w:r>
          </w:p>
          <w:p w14:paraId="4AB735D3">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sym w:font="Wingdings" w:char="00A8"/>
            </w:r>
            <w:r>
              <w:rPr>
                <w:rFonts w:hint="eastAsia" w:ascii="宋体" w:hAnsi="宋体" w:cs="宋体"/>
                <w:color w:val="auto"/>
                <w:sz w:val="24"/>
                <w:highlight w:val="none"/>
              </w:rPr>
              <w:t>本项目组织召开开标前答疑会：详见商务条款。</w:t>
            </w:r>
          </w:p>
        </w:tc>
      </w:tr>
      <w:tr w14:paraId="426946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vMerge w:val="restart"/>
            <w:tcBorders>
              <w:top w:val="single" w:color="auto" w:sz="4" w:space="0"/>
              <w:left w:val="single" w:color="auto" w:sz="4" w:space="0"/>
              <w:right w:val="single" w:color="auto" w:sz="4" w:space="0"/>
            </w:tcBorders>
            <w:vAlign w:val="center"/>
          </w:tcPr>
          <w:p w14:paraId="6963D4DF">
            <w:pPr>
              <w:spacing w:line="360" w:lineRule="auto"/>
              <w:jc w:val="center"/>
              <w:rPr>
                <w:rFonts w:ascii="宋体" w:hAnsi="宋体" w:cs="宋体"/>
                <w:color w:val="auto"/>
                <w:sz w:val="24"/>
                <w:highlight w:val="none"/>
              </w:rPr>
            </w:pPr>
            <w:bookmarkStart w:id="44" w:name="_13.1"/>
            <w:bookmarkEnd w:id="44"/>
            <w:r>
              <w:rPr>
                <w:rFonts w:hint="eastAsia" w:ascii="宋体" w:hAnsi="宋体" w:cs="宋体"/>
                <w:color w:val="auto"/>
                <w:sz w:val="24"/>
                <w:highlight w:val="none"/>
              </w:rPr>
              <w:t>13.</w:t>
            </w:r>
            <w:bookmarkStart w:id="45" w:name="_Hlt19632543"/>
            <w:r>
              <w:rPr>
                <w:rFonts w:hint="eastAsia" w:ascii="宋体" w:hAnsi="宋体" w:cs="宋体"/>
                <w:color w:val="auto"/>
                <w:sz w:val="24"/>
                <w:highlight w:val="none"/>
              </w:rPr>
              <w:t>1</w:t>
            </w:r>
            <w:bookmarkEnd w:id="45"/>
          </w:p>
        </w:tc>
        <w:tc>
          <w:tcPr>
            <w:tcW w:w="8708" w:type="dxa"/>
            <w:tcBorders>
              <w:top w:val="single" w:color="auto" w:sz="4" w:space="0"/>
              <w:left w:val="single" w:color="auto" w:sz="4" w:space="0"/>
              <w:bottom w:val="single" w:color="auto" w:sz="4" w:space="0"/>
              <w:right w:val="single" w:color="auto" w:sz="4" w:space="0"/>
            </w:tcBorders>
            <w:vAlign w:val="center"/>
          </w:tcPr>
          <w:p w14:paraId="13A318C4">
            <w:pPr>
              <w:autoSpaceDE w:val="0"/>
              <w:autoSpaceDN w:val="0"/>
              <w:snapToGrid w:val="0"/>
              <w:spacing w:line="360" w:lineRule="auto"/>
              <w:textAlignment w:val="bottom"/>
              <w:rPr>
                <w:rFonts w:ascii="宋体" w:hAnsi="宋体" w:cs="宋体"/>
                <w:color w:val="auto"/>
                <w:sz w:val="24"/>
                <w:highlight w:val="none"/>
              </w:rPr>
            </w:pPr>
            <w:r>
              <w:rPr>
                <w:rFonts w:hint="eastAsia" w:ascii="宋体" w:hAnsi="宋体" w:cs="宋体"/>
                <w:color w:val="auto"/>
                <w:sz w:val="24"/>
                <w:highlight w:val="none"/>
              </w:rPr>
              <w:t>报价文件：</w:t>
            </w:r>
          </w:p>
          <w:p w14:paraId="5BEF24E8">
            <w:pPr>
              <w:autoSpaceDE w:val="0"/>
              <w:autoSpaceDN w:val="0"/>
              <w:snapToGrid w:val="0"/>
              <w:spacing w:line="360" w:lineRule="auto"/>
              <w:textAlignment w:val="bottom"/>
              <w:rPr>
                <w:rFonts w:ascii="宋体" w:hAnsi="宋体" w:cs="宋体"/>
                <w:b/>
                <w:bCs/>
                <w:color w:val="auto"/>
                <w:sz w:val="24"/>
                <w:highlight w:val="none"/>
              </w:rPr>
            </w:pPr>
            <w:r>
              <w:rPr>
                <w:rFonts w:hint="eastAsia" w:ascii="宋体" w:hAnsi="宋体" w:cs="宋体"/>
                <w:color w:val="auto"/>
                <w:sz w:val="24"/>
                <w:highlight w:val="none"/>
              </w:rPr>
              <w:t>1</w:t>
            </w:r>
            <w:r>
              <w:rPr>
                <w:rFonts w:hint="eastAsia" w:ascii="宋体" w:hAnsi="宋体" w:cs="宋体"/>
                <w:bCs/>
                <w:color w:val="auto"/>
                <w:sz w:val="24"/>
                <w:highlight w:val="none"/>
              </w:rPr>
              <w:t>.</w:t>
            </w:r>
            <w:r>
              <w:rPr>
                <w:rFonts w:hint="eastAsia" w:ascii="宋体" w:hAnsi="宋体" w:cs="宋体"/>
                <w:color w:val="auto"/>
                <w:sz w:val="24"/>
                <w:highlight w:val="none"/>
              </w:rPr>
              <w:t>投标函（格式后附）；</w:t>
            </w:r>
            <w:r>
              <w:rPr>
                <w:rFonts w:hint="eastAsia" w:ascii="宋体" w:hAnsi="宋体" w:cs="宋体"/>
                <w:b/>
                <w:bCs/>
                <w:color w:val="auto"/>
                <w:sz w:val="24"/>
                <w:highlight w:val="none"/>
              </w:rPr>
              <w:t>（必须提供，否则按无效投标处理）</w:t>
            </w:r>
          </w:p>
          <w:p w14:paraId="1E297371">
            <w:pPr>
              <w:autoSpaceDE w:val="0"/>
              <w:autoSpaceDN w:val="0"/>
              <w:snapToGrid w:val="0"/>
              <w:spacing w:line="360" w:lineRule="auto"/>
              <w:textAlignment w:val="bottom"/>
              <w:rPr>
                <w:rFonts w:ascii="宋体" w:hAnsi="宋体" w:cs="宋体"/>
                <w:b/>
                <w:bCs/>
                <w:color w:val="auto"/>
                <w:sz w:val="24"/>
                <w:highlight w:val="none"/>
              </w:rPr>
            </w:pPr>
            <w:bookmarkStart w:id="46" w:name="_Hlk71299233"/>
            <w:r>
              <w:rPr>
                <w:rFonts w:hint="eastAsia" w:ascii="宋体" w:hAnsi="宋体" w:cs="宋体"/>
                <w:color w:val="auto"/>
                <w:sz w:val="24"/>
                <w:highlight w:val="none"/>
              </w:rPr>
              <w:t>2</w:t>
            </w:r>
            <w:r>
              <w:rPr>
                <w:rFonts w:hint="eastAsia" w:ascii="宋体" w:hAnsi="宋体" w:cs="宋体"/>
                <w:bCs/>
                <w:color w:val="auto"/>
                <w:sz w:val="24"/>
                <w:highlight w:val="none"/>
              </w:rPr>
              <w:t>.</w:t>
            </w:r>
            <w:r>
              <w:rPr>
                <w:rFonts w:hint="eastAsia" w:ascii="宋体" w:hAnsi="宋体" w:cs="宋体"/>
                <w:color w:val="auto"/>
                <w:sz w:val="24"/>
                <w:highlight w:val="none"/>
              </w:rPr>
              <w:t>开标一览表</w:t>
            </w:r>
            <w:bookmarkEnd w:id="46"/>
            <w:r>
              <w:rPr>
                <w:rFonts w:hint="eastAsia" w:ascii="宋体" w:hAnsi="宋体" w:cs="宋体"/>
                <w:color w:val="auto"/>
                <w:sz w:val="24"/>
                <w:highlight w:val="none"/>
              </w:rPr>
              <w:t>（格式后附）；</w:t>
            </w:r>
            <w:r>
              <w:rPr>
                <w:rFonts w:hint="eastAsia" w:ascii="宋体" w:hAnsi="宋体" w:cs="宋体"/>
                <w:b/>
                <w:bCs/>
                <w:color w:val="auto"/>
                <w:sz w:val="24"/>
                <w:highlight w:val="none"/>
              </w:rPr>
              <w:t xml:space="preserve"> （必须提供，否则按无效投标处理）</w:t>
            </w:r>
          </w:p>
          <w:p w14:paraId="2A99A342">
            <w:pPr>
              <w:autoSpaceDE w:val="0"/>
              <w:autoSpaceDN w:val="0"/>
              <w:snapToGrid w:val="0"/>
              <w:spacing w:line="360" w:lineRule="auto"/>
              <w:textAlignment w:val="bottom"/>
              <w:rPr>
                <w:rFonts w:ascii="宋体" w:hAnsi="宋体" w:cs="宋体"/>
                <w:color w:val="auto"/>
                <w:sz w:val="24"/>
                <w:highlight w:val="none"/>
              </w:rPr>
            </w:pPr>
            <w:r>
              <w:rPr>
                <w:rFonts w:hint="eastAsia" w:ascii="宋体" w:hAnsi="宋体" w:cs="宋体"/>
                <w:color w:val="auto"/>
                <w:sz w:val="24"/>
                <w:highlight w:val="none"/>
              </w:rPr>
              <w:t>3</w:t>
            </w:r>
            <w:r>
              <w:rPr>
                <w:rFonts w:hint="eastAsia" w:ascii="宋体" w:hAnsi="宋体" w:cs="宋体"/>
                <w:bCs/>
                <w:color w:val="auto"/>
                <w:sz w:val="24"/>
                <w:highlight w:val="none"/>
              </w:rPr>
              <w:t>.</w:t>
            </w:r>
            <w:r>
              <w:rPr>
                <w:rFonts w:hint="eastAsia" w:ascii="宋体" w:hAnsi="宋体" w:cs="宋体"/>
                <w:color w:val="auto"/>
                <w:sz w:val="24"/>
                <w:highlight w:val="none"/>
              </w:rPr>
              <w:t>投标人针对报价需要说明的其他文件和说明（格式自拟）。</w:t>
            </w:r>
          </w:p>
          <w:p w14:paraId="2678C423">
            <w:pPr>
              <w:autoSpaceDE w:val="0"/>
              <w:autoSpaceDN w:val="0"/>
              <w:snapToGrid w:val="0"/>
              <w:spacing w:line="360" w:lineRule="auto"/>
              <w:textAlignment w:val="bottom"/>
              <w:rPr>
                <w:rFonts w:ascii="楷体" w:hAnsi="楷体" w:eastAsia="楷体"/>
                <w:color w:val="auto"/>
                <w:highlight w:val="none"/>
              </w:rPr>
            </w:pPr>
            <w:r>
              <w:rPr>
                <w:rFonts w:hint="eastAsia" w:ascii="楷体" w:hAnsi="楷体" w:eastAsia="楷体" w:cs="宋体"/>
                <w:color w:val="auto"/>
                <w:sz w:val="24"/>
                <w:highlight w:val="none"/>
              </w:rPr>
              <w:t>注：投标函、开标一览表必须由法定代表人或者委托代理人在规定签章处逐一签字并加盖投标人公章，否则按无效投标处理。</w:t>
            </w:r>
          </w:p>
        </w:tc>
      </w:tr>
      <w:tr w14:paraId="66C674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vMerge w:val="continue"/>
            <w:tcBorders>
              <w:left w:val="single" w:color="auto" w:sz="4" w:space="0"/>
              <w:right w:val="single" w:color="auto" w:sz="4" w:space="0"/>
            </w:tcBorders>
            <w:vAlign w:val="center"/>
          </w:tcPr>
          <w:p w14:paraId="1CA2FB1E">
            <w:pPr>
              <w:spacing w:line="360" w:lineRule="auto"/>
              <w:rPr>
                <w:rFonts w:ascii="宋体" w:hAnsi="宋体" w:cs="宋体"/>
                <w:color w:val="auto"/>
                <w:sz w:val="24"/>
                <w:highlight w:val="none"/>
              </w:rPr>
            </w:pPr>
            <w:bookmarkStart w:id="47" w:name="_13.2"/>
            <w:bookmarkEnd w:id="47"/>
          </w:p>
        </w:tc>
        <w:tc>
          <w:tcPr>
            <w:tcW w:w="8708" w:type="dxa"/>
            <w:tcBorders>
              <w:top w:val="single" w:color="auto" w:sz="4" w:space="0"/>
              <w:left w:val="single" w:color="auto" w:sz="4" w:space="0"/>
              <w:bottom w:val="single" w:color="auto" w:sz="4" w:space="0"/>
              <w:right w:val="single" w:color="auto" w:sz="4" w:space="0"/>
            </w:tcBorders>
            <w:vAlign w:val="center"/>
          </w:tcPr>
          <w:p w14:paraId="1D0CEB45">
            <w:pPr>
              <w:snapToGrid w:val="0"/>
              <w:spacing w:line="360" w:lineRule="auto"/>
              <w:jc w:val="left"/>
              <w:rPr>
                <w:rFonts w:ascii="宋体" w:hAnsi="宋体" w:cs="宋体"/>
                <w:b/>
                <w:color w:val="auto"/>
                <w:sz w:val="24"/>
                <w:highlight w:val="none"/>
              </w:rPr>
            </w:pPr>
            <w:r>
              <w:rPr>
                <w:rFonts w:hint="eastAsia" w:ascii="宋体" w:hAnsi="宋体" w:cs="宋体"/>
                <w:b/>
                <w:color w:val="auto"/>
                <w:sz w:val="24"/>
                <w:highlight w:val="none"/>
              </w:rPr>
              <w:t>资格证明文件：</w:t>
            </w:r>
          </w:p>
          <w:p w14:paraId="750E6835">
            <w:pPr>
              <w:autoSpaceDE w:val="0"/>
              <w:autoSpaceDN w:val="0"/>
              <w:snapToGrid w:val="0"/>
              <w:spacing w:line="360" w:lineRule="auto"/>
              <w:textAlignment w:val="bottom"/>
              <w:rPr>
                <w:rFonts w:ascii="宋体" w:hAnsi="宋体" w:cs="宋体"/>
                <w:b/>
                <w:color w:val="auto"/>
                <w:sz w:val="24"/>
                <w:highlight w:val="none"/>
              </w:rPr>
            </w:pPr>
            <w:r>
              <w:rPr>
                <w:rFonts w:hint="eastAsia" w:ascii="宋体" w:hAnsi="宋体" w:cs="宋体"/>
                <w:color w:val="auto"/>
                <w:sz w:val="24"/>
                <w:highlight w:val="none"/>
              </w:rPr>
              <w:t>1</w:t>
            </w:r>
            <w:r>
              <w:rPr>
                <w:rFonts w:hint="eastAsia" w:ascii="宋体" w:hAnsi="宋体" w:cs="宋体"/>
                <w:bCs/>
                <w:color w:val="auto"/>
                <w:sz w:val="24"/>
                <w:highlight w:val="none"/>
              </w:rPr>
              <w:t>.</w:t>
            </w:r>
            <w:r>
              <w:rPr>
                <w:rFonts w:hint="eastAsia" w:ascii="宋体" w:hAnsi="宋体" w:cs="宋体"/>
                <w:color w:val="auto"/>
                <w:sz w:val="24"/>
                <w:highlight w:val="none"/>
              </w:rPr>
              <w:t>投标人为法人或者其他组织的，证明文件为其营业执照复印件（如营业执照或者事业单位法人证书或者执业许可证等）；投标人为自然人的，证明文件为其身份证复印件；</w:t>
            </w:r>
            <w:r>
              <w:rPr>
                <w:rFonts w:hint="eastAsia" w:ascii="宋体" w:hAnsi="宋体" w:cs="宋体"/>
                <w:b/>
                <w:color w:val="auto"/>
                <w:sz w:val="24"/>
                <w:highlight w:val="none"/>
              </w:rPr>
              <w:t>（必须提供，否则投标文件按无效投标处理）</w:t>
            </w:r>
          </w:p>
          <w:p w14:paraId="1CA5549E">
            <w:pPr>
              <w:autoSpaceDE w:val="0"/>
              <w:autoSpaceDN w:val="0"/>
              <w:snapToGrid w:val="0"/>
              <w:spacing w:line="360" w:lineRule="auto"/>
              <w:textAlignment w:val="bottom"/>
              <w:rPr>
                <w:rFonts w:ascii="宋体" w:hAnsi="宋体" w:cs="宋体"/>
                <w:b/>
                <w:color w:val="auto"/>
                <w:sz w:val="24"/>
                <w:highlight w:val="none"/>
              </w:rPr>
            </w:pPr>
            <w:r>
              <w:rPr>
                <w:rFonts w:hint="eastAsia" w:ascii="宋体" w:hAnsi="宋体" w:cs="宋体"/>
                <w:color w:val="auto"/>
                <w:sz w:val="24"/>
                <w:highlight w:val="none"/>
              </w:rPr>
              <w:t>2</w:t>
            </w:r>
            <w:r>
              <w:rPr>
                <w:rFonts w:hint="eastAsia" w:ascii="宋体" w:hAnsi="宋体" w:cs="宋体"/>
                <w:bCs/>
                <w:color w:val="auto"/>
                <w:sz w:val="24"/>
                <w:highlight w:val="none"/>
              </w:rPr>
              <w:t>.</w:t>
            </w:r>
            <w:r>
              <w:rPr>
                <w:rFonts w:hint="eastAsia" w:ascii="宋体" w:hAnsi="宋体" w:cs="宋体"/>
                <w:color w:val="auto"/>
                <w:sz w:val="24"/>
                <w:highlight w:val="none"/>
              </w:rPr>
              <w:t>投标人依法缴纳税收的相关材料（投标截止之日起近半年内任意一个月依法缴纳税收的凭据复印件；依法免税的供应商，必须提供相应文件证明其依法免税。从取得营业执照时间起到投标文件提交截止时间止不足要求月数的，只需提供从取得营业执照时间起的依法缴纳税收相应证明文件）；</w:t>
            </w:r>
            <w:r>
              <w:rPr>
                <w:rFonts w:hint="eastAsia" w:ascii="宋体" w:hAnsi="宋体" w:cs="宋体"/>
                <w:b/>
                <w:color w:val="auto"/>
                <w:sz w:val="24"/>
                <w:highlight w:val="none"/>
              </w:rPr>
              <w:t>（必须提供，否则按无效投标处理）</w:t>
            </w:r>
          </w:p>
          <w:p w14:paraId="18E4D290">
            <w:pPr>
              <w:autoSpaceDE w:val="0"/>
              <w:autoSpaceDN w:val="0"/>
              <w:snapToGrid w:val="0"/>
              <w:spacing w:line="360" w:lineRule="auto"/>
              <w:textAlignment w:val="bottom"/>
              <w:rPr>
                <w:rFonts w:ascii="宋体" w:hAnsi="宋体" w:cs="宋体"/>
                <w:b/>
                <w:color w:val="auto"/>
                <w:sz w:val="24"/>
                <w:highlight w:val="none"/>
              </w:rPr>
            </w:pPr>
            <w:r>
              <w:rPr>
                <w:rFonts w:hint="eastAsia" w:ascii="宋体" w:hAnsi="宋体" w:cs="宋体"/>
                <w:color w:val="auto"/>
                <w:sz w:val="24"/>
                <w:highlight w:val="none"/>
              </w:rPr>
              <w:t>3</w:t>
            </w:r>
            <w:r>
              <w:rPr>
                <w:rFonts w:hint="eastAsia" w:ascii="宋体" w:hAnsi="宋体" w:cs="宋体"/>
                <w:bCs/>
                <w:color w:val="auto"/>
                <w:sz w:val="24"/>
                <w:highlight w:val="none"/>
              </w:rPr>
              <w:t>.</w:t>
            </w:r>
            <w:r>
              <w:rPr>
                <w:rFonts w:hint="eastAsia" w:ascii="宋体" w:hAnsi="宋体" w:cs="宋体"/>
                <w:color w:val="auto"/>
                <w:sz w:val="24"/>
                <w:highlight w:val="none"/>
              </w:rPr>
              <w:t>投标人依法缴纳社会保障资金的相关材料[投标截止之日起近半年内任意一个月的依法缴纳社会保障资金的缴费凭证（专用收据或者社会保险缴纳清单）复印件；依法不需要缴纳社会保障资金的供应商，必须提供相应文件证明不需要缴纳社会保障资金。从取得营业执照时间起到投标文件提交截止时间止不足要求月数的只需提供从取得营业执照时间起的依法缴纳社会保障资金的相应证明文件]；</w:t>
            </w:r>
            <w:r>
              <w:rPr>
                <w:rFonts w:hint="eastAsia" w:ascii="宋体" w:hAnsi="宋体" w:cs="宋体"/>
                <w:b/>
                <w:color w:val="auto"/>
                <w:sz w:val="24"/>
                <w:highlight w:val="none"/>
              </w:rPr>
              <w:t>（必须提供，否则按无效投标处理）</w:t>
            </w:r>
          </w:p>
          <w:p w14:paraId="5A3AF0CD">
            <w:pPr>
              <w:autoSpaceDE w:val="0"/>
              <w:autoSpaceDN w:val="0"/>
              <w:snapToGrid w:val="0"/>
              <w:spacing w:line="360" w:lineRule="auto"/>
              <w:textAlignment w:val="bottom"/>
              <w:rPr>
                <w:rFonts w:ascii="宋体" w:hAnsi="宋体" w:cs="宋体"/>
                <w:b/>
                <w:color w:val="auto"/>
                <w:sz w:val="24"/>
                <w:highlight w:val="none"/>
              </w:rPr>
            </w:pPr>
            <w:r>
              <w:rPr>
                <w:rFonts w:hint="eastAsia" w:ascii="宋体" w:hAnsi="宋体" w:cs="宋体"/>
                <w:color w:val="auto"/>
                <w:sz w:val="24"/>
                <w:highlight w:val="none"/>
              </w:rPr>
              <w:t>4</w:t>
            </w:r>
            <w:r>
              <w:rPr>
                <w:rFonts w:hint="eastAsia" w:ascii="宋体" w:hAnsi="宋体" w:cs="宋体"/>
                <w:bCs/>
                <w:color w:val="auto"/>
                <w:sz w:val="24"/>
                <w:highlight w:val="none"/>
              </w:rPr>
              <w:t>.</w:t>
            </w:r>
            <w:r>
              <w:rPr>
                <w:rFonts w:hint="eastAsia" w:ascii="宋体" w:hAnsi="宋体" w:cs="宋体"/>
                <w:color w:val="auto"/>
                <w:sz w:val="24"/>
                <w:highlight w:val="none"/>
              </w:rPr>
              <w:t>投标人财务状况报告（提供2023年财务状况报告复印件，或者银行出具的资信证明（资信证明应在有效期内，未注明有效期的，银行出具时间至投标截止时间不超过一年）；</w:t>
            </w:r>
            <w:r>
              <w:rPr>
                <w:rFonts w:hint="eastAsia" w:ascii="宋体" w:hAnsi="宋体"/>
                <w:color w:val="auto"/>
                <w:sz w:val="24"/>
                <w:highlight w:val="none"/>
              </w:rPr>
              <w:t>供应商成立不满一年的应按提供首次响应文件提交截止时间上一个月的财务状况报告复印件</w:t>
            </w:r>
            <w:r>
              <w:rPr>
                <w:rFonts w:hint="eastAsia" w:ascii="宋体" w:hAnsi="宋体" w:cs="宋体"/>
                <w:color w:val="auto"/>
                <w:sz w:val="24"/>
                <w:highlight w:val="none"/>
              </w:rPr>
              <w:t>）；</w:t>
            </w:r>
            <w:r>
              <w:rPr>
                <w:rFonts w:hint="eastAsia" w:ascii="宋体" w:hAnsi="宋体" w:cs="宋体"/>
                <w:b/>
                <w:color w:val="auto"/>
                <w:sz w:val="24"/>
                <w:highlight w:val="none"/>
              </w:rPr>
              <w:t>（必须提供，否则按无效投标处理）</w:t>
            </w:r>
          </w:p>
          <w:p w14:paraId="64B6918B">
            <w:pPr>
              <w:autoSpaceDE w:val="0"/>
              <w:autoSpaceDN w:val="0"/>
              <w:snapToGrid w:val="0"/>
              <w:spacing w:line="360" w:lineRule="auto"/>
              <w:textAlignment w:val="bottom"/>
              <w:rPr>
                <w:rFonts w:ascii="宋体" w:hAnsi="宋体" w:cs="宋体"/>
                <w:b/>
                <w:color w:val="auto"/>
                <w:sz w:val="24"/>
                <w:highlight w:val="none"/>
              </w:rPr>
            </w:pPr>
            <w:r>
              <w:rPr>
                <w:rFonts w:hint="eastAsia" w:ascii="宋体" w:hAnsi="宋体" w:cs="宋体"/>
                <w:color w:val="auto"/>
                <w:sz w:val="24"/>
                <w:highlight w:val="none"/>
              </w:rPr>
              <w:t>5</w:t>
            </w:r>
            <w:r>
              <w:rPr>
                <w:rFonts w:hint="eastAsia" w:ascii="宋体" w:hAnsi="宋体" w:cs="宋体"/>
                <w:bCs/>
                <w:color w:val="auto"/>
                <w:sz w:val="24"/>
                <w:highlight w:val="none"/>
              </w:rPr>
              <w:t>.</w:t>
            </w:r>
            <w:r>
              <w:rPr>
                <w:rFonts w:hint="eastAsia" w:ascii="宋体" w:hAnsi="宋体" w:cs="宋体"/>
                <w:color w:val="auto"/>
                <w:sz w:val="24"/>
                <w:highlight w:val="none"/>
              </w:rPr>
              <w:t>投标人直接控股、管理关系信息表（格式后附）；</w:t>
            </w:r>
            <w:r>
              <w:rPr>
                <w:rFonts w:hint="eastAsia" w:ascii="宋体" w:hAnsi="宋体" w:cs="宋体"/>
                <w:b/>
                <w:color w:val="auto"/>
                <w:sz w:val="24"/>
                <w:highlight w:val="none"/>
              </w:rPr>
              <w:t>（必须提供，否则按无效投标处理）</w:t>
            </w:r>
          </w:p>
          <w:p w14:paraId="553380F5">
            <w:pPr>
              <w:autoSpaceDE w:val="0"/>
              <w:autoSpaceDN w:val="0"/>
              <w:snapToGrid w:val="0"/>
              <w:spacing w:line="360" w:lineRule="auto"/>
              <w:textAlignment w:val="bottom"/>
              <w:rPr>
                <w:rFonts w:ascii="宋体" w:hAnsi="宋体" w:cs="宋体"/>
                <w:b/>
                <w:color w:val="auto"/>
                <w:sz w:val="24"/>
                <w:highlight w:val="none"/>
              </w:rPr>
            </w:pPr>
            <w:r>
              <w:rPr>
                <w:rFonts w:hint="eastAsia" w:ascii="宋体" w:hAnsi="宋体" w:cs="宋体"/>
                <w:color w:val="auto"/>
                <w:sz w:val="24"/>
                <w:highlight w:val="none"/>
              </w:rPr>
              <w:t>6</w:t>
            </w:r>
            <w:r>
              <w:rPr>
                <w:rFonts w:hint="eastAsia" w:ascii="宋体" w:hAnsi="宋体" w:cs="宋体"/>
                <w:bCs/>
                <w:color w:val="auto"/>
                <w:sz w:val="24"/>
                <w:highlight w:val="none"/>
              </w:rPr>
              <w:t>.</w:t>
            </w:r>
            <w:r>
              <w:rPr>
                <w:rFonts w:hint="eastAsia" w:ascii="宋体" w:hAnsi="宋体" w:cs="宋体"/>
                <w:color w:val="auto"/>
                <w:sz w:val="24"/>
                <w:highlight w:val="none"/>
              </w:rPr>
              <w:t>投标声明（格式后附）；</w:t>
            </w:r>
            <w:r>
              <w:rPr>
                <w:rFonts w:hint="eastAsia" w:ascii="宋体" w:hAnsi="宋体" w:cs="宋体"/>
                <w:b/>
                <w:color w:val="auto"/>
                <w:sz w:val="24"/>
                <w:highlight w:val="none"/>
              </w:rPr>
              <w:t>（必须提供，否则按无效投标处理）</w:t>
            </w:r>
          </w:p>
          <w:p w14:paraId="411853F1">
            <w:pPr>
              <w:autoSpaceDE w:val="0"/>
              <w:autoSpaceDN w:val="0"/>
              <w:snapToGrid w:val="0"/>
              <w:spacing w:line="360" w:lineRule="auto"/>
              <w:textAlignment w:val="bottom"/>
              <w:rPr>
                <w:rFonts w:ascii="宋体" w:hAnsi="宋体" w:cs="宋体"/>
                <w:bCs/>
                <w:color w:val="auto"/>
                <w:sz w:val="24"/>
                <w:highlight w:val="none"/>
              </w:rPr>
            </w:pPr>
            <w:r>
              <w:rPr>
                <w:rFonts w:hint="eastAsia" w:ascii="宋体" w:hAnsi="宋体" w:cs="宋体"/>
                <w:color w:val="auto"/>
                <w:sz w:val="24"/>
                <w:highlight w:val="none"/>
              </w:rPr>
              <w:t>7</w:t>
            </w:r>
            <w:r>
              <w:rPr>
                <w:rFonts w:hint="eastAsia" w:ascii="宋体" w:hAnsi="宋体" w:cs="宋体"/>
                <w:bCs/>
                <w:color w:val="auto"/>
                <w:sz w:val="24"/>
                <w:highlight w:val="none"/>
              </w:rPr>
              <w:t>.中小企业声明函（或残疾人福利性单位声明函或监狱企业声明函，残疾人福利性单位或监狱企业视同小微企业）（格式后附）；</w:t>
            </w:r>
            <w:r>
              <w:rPr>
                <w:rFonts w:hint="eastAsia" w:ascii="宋体" w:hAnsi="宋体" w:cs="宋体"/>
                <w:b/>
                <w:color w:val="auto"/>
                <w:sz w:val="24"/>
                <w:highlight w:val="none"/>
              </w:rPr>
              <w:t>（必须提供，否则按无效投标处理）</w:t>
            </w:r>
          </w:p>
          <w:p w14:paraId="5E12A84A">
            <w:pPr>
              <w:autoSpaceDE w:val="0"/>
              <w:autoSpaceDN w:val="0"/>
              <w:snapToGrid w:val="0"/>
              <w:spacing w:line="360" w:lineRule="auto"/>
              <w:textAlignment w:val="bottom"/>
              <w:rPr>
                <w:rFonts w:ascii="宋体" w:hAnsi="宋体" w:cs="宋体"/>
                <w:color w:val="auto"/>
                <w:sz w:val="24"/>
                <w:highlight w:val="none"/>
              </w:rPr>
            </w:pPr>
            <w:r>
              <w:rPr>
                <w:rFonts w:hint="eastAsia" w:ascii="宋体" w:hAnsi="宋体" w:cs="宋体"/>
                <w:bCs/>
                <w:color w:val="auto"/>
                <w:sz w:val="24"/>
                <w:highlight w:val="none"/>
              </w:rPr>
              <w:t>8.</w:t>
            </w:r>
            <w:r>
              <w:rPr>
                <w:rFonts w:hint="eastAsia" w:ascii="宋体" w:hAnsi="宋体" w:cs="宋体"/>
                <w:color w:val="auto"/>
                <w:sz w:val="24"/>
                <w:highlight w:val="none"/>
              </w:rPr>
              <w:t>除招标文件规定必须提供以外，投标人认为需要提供的其他证明材料。</w:t>
            </w:r>
          </w:p>
          <w:p w14:paraId="375F6642">
            <w:pPr>
              <w:snapToGrid w:val="0"/>
              <w:spacing w:line="360" w:lineRule="auto"/>
              <w:jc w:val="left"/>
              <w:rPr>
                <w:rFonts w:ascii="楷体" w:hAnsi="楷体" w:eastAsia="楷体" w:cs="宋体"/>
                <w:color w:val="auto"/>
                <w:sz w:val="24"/>
                <w:highlight w:val="none"/>
              </w:rPr>
            </w:pPr>
            <w:r>
              <w:rPr>
                <w:rFonts w:hint="eastAsia" w:ascii="楷体" w:hAnsi="楷体" w:eastAsia="楷体" w:cs="宋体"/>
                <w:b/>
                <w:color w:val="auto"/>
                <w:sz w:val="24"/>
                <w:highlight w:val="none"/>
              </w:rPr>
              <w:t>【注】</w:t>
            </w:r>
            <w:r>
              <w:rPr>
                <w:rFonts w:ascii="楷体" w:hAnsi="楷体" w:eastAsia="楷体" w:cs="宋体"/>
                <w:color w:val="auto"/>
                <w:sz w:val="24"/>
                <w:highlight w:val="none"/>
              </w:rPr>
              <w:t>1</w:t>
            </w:r>
            <w:r>
              <w:rPr>
                <w:rFonts w:ascii="楷体" w:hAnsi="楷体" w:eastAsia="楷体" w:cs="宋体"/>
                <w:bCs/>
                <w:color w:val="auto"/>
                <w:sz w:val="24"/>
                <w:highlight w:val="none"/>
              </w:rPr>
              <w:t>.</w:t>
            </w:r>
            <w:r>
              <w:rPr>
                <w:rFonts w:hint="eastAsia" w:ascii="楷体" w:hAnsi="楷体" w:eastAsia="楷体" w:cs="宋体"/>
                <w:color w:val="auto"/>
                <w:sz w:val="24"/>
                <w:highlight w:val="none"/>
              </w:rPr>
              <w:t>以上标明“必须提供”的材料属于复印件的，必须加盖投标人公章，否则按无效投标处理。</w:t>
            </w:r>
          </w:p>
          <w:p w14:paraId="6C534BD0">
            <w:pPr>
              <w:snapToGrid w:val="0"/>
              <w:spacing w:line="360" w:lineRule="auto"/>
              <w:jc w:val="left"/>
              <w:rPr>
                <w:rFonts w:ascii="楷体" w:hAnsi="楷体" w:eastAsia="楷体" w:cs="宋体"/>
                <w:color w:val="auto"/>
                <w:sz w:val="24"/>
                <w:highlight w:val="none"/>
              </w:rPr>
            </w:pPr>
            <w:r>
              <w:rPr>
                <w:rFonts w:ascii="楷体" w:hAnsi="楷体" w:eastAsia="楷体" w:cs="宋体"/>
                <w:color w:val="auto"/>
                <w:sz w:val="24"/>
                <w:highlight w:val="none"/>
              </w:rPr>
              <w:t>2</w:t>
            </w:r>
            <w:r>
              <w:rPr>
                <w:rFonts w:ascii="楷体" w:hAnsi="楷体" w:eastAsia="楷体" w:cs="宋体"/>
                <w:bCs/>
                <w:color w:val="auto"/>
                <w:sz w:val="24"/>
                <w:highlight w:val="none"/>
              </w:rPr>
              <w:t>.</w:t>
            </w:r>
            <w:r>
              <w:rPr>
                <w:rFonts w:hint="eastAsia" w:ascii="楷体" w:hAnsi="楷体" w:eastAsia="楷体" w:cs="宋体"/>
                <w:color w:val="auto"/>
                <w:sz w:val="24"/>
                <w:highlight w:val="none"/>
              </w:rPr>
              <w:t>投标声明必须由法定代表人在规定签章处签字并加盖投标人公章，否则按无效投标处理。</w:t>
            </w:r>
          </w:p>
          <w:p w14:paraId="079B9751">
            <w:pPr>
              <w:snapToGrid w:val="0"/>
              <w:spacing w:line="360" w:lineRule="auto"/>
              <w:jc w:val="left"/>
              <w:rPr>
                <w:rFonts w:ascii="楷体" w:hAnsi="楷体" w:eastAsia="楷体" w:cs="宋体"/>
                <w:color w:val="auto"/>
                <w:sz w:val="24"/>
                <w:highlight w:val="none"/>
              </w:rPr>
            </w:pPr>
            <w:r>
              <w:rPr>
                <w:rFonts w:ascii="楷体" w:hAnsi="楷体" w:eastAsia="楷体" w:cs="宋体"/>
                <w:color w:val="auto"/>
                <w:sz w:val="24"/>
                <w:highlight w:val="none"/>
              </w:rPr>
              <w:t>3</w:t>
            </w:r>
            <w:r>
              <w:rPr>
                <w:rFonts w:ascii="楷体" w:hAnsi="楷体" w:eastAsia="楷体" w:cs="宋体"/>
                <w:bCs/>
                <w:color w:val="auto"/>
                <w:sz w:val="24"/>
                <w:highlight w:val="none"/>
              </w:rPr>
              <w:t>.</w:t>
            </w:r>
            <w:r>
              <w:rPr>
                <w:rFonts w:hint="eastAsia" w:ascii="楷体" w:hAnsi="楷体" w:eastAsia="楷体" w:cs="宋体"/>
                <w:color w:val="auto"/>
                <w:sz w:val="24"/>
                <w:highlight w:val="none"/>
              </w:rPr>
              <w:t>投标人直接控股、管理关系信息表必须由法定代表人或者委托代理人在规定签章处签字并加盖投标人公章，否则按无效投标处理。</w:t>
            </w:r>
          </w:p>
          <w:p w14:paraId="321AAA16">
            <w:pPr>
              <w:snapToGrid w:val="0"/>
              <w:spacing w:line="360" w:lineRule="auto"/>
              <w:jc w:val="left"/>
              <w:rPr>
                <w:rFonts w:ascii="楷体" w:hAnsi="楷体" w:eastAsia="楷体" w:cs="宋体"/>
                <w:color w:val="auto"/>
                <w:sz w:val="24"/>
                <w:highlight w:val="none"/>
              </w:rPr>
            </w:pPr>
            <w:r>
              <w:rPr>
                <w:rFonts w:ascii="楷体" w:hAnsi="楷体" w:eastAsia="楷体" w:cs="宋体"/>
                <w:color w:val="auto"/>
                <w:sz w:val="24"/>
                <w:highlight w:val="none"/>
              </w:rPr>
              <w:t>4</w:t>
            </w:r>
            <w:r>
              <w:rPr>
                <w:rFonts w:ascii="楷体" w:hAnsi="楷体" w:eastAsia="楷体" w:cs="宋体"/>
                <w:bCs/>
                <w:color w:val="auto"/>
                <w:sz w:val="24"/>
                <w:highlight w:val="none"/>
              </w:rPr>
              <w:t>.</w:t>
            </w:r>
            <w:r>
              <w:rPr>
                <w:rFonts w:hint="eastAsia" w:ascii="楷体" w:hAnsi="楷体" w:eastAsia="楷体" w:cs="宋体"/>
                <w:color w:val="auto"/>
                <w:sz w:val="24"/>
                <w:highlight w:val="none"/>
              </w:rPr>
              <w:t>联合体投标时，以上第</w:t>
            </w:r>
            <w:r>
              <w:rPr>
                <w:rFonts w:ascii="楷体" w:hAnsi="楷体" w:eastAsia="楷体" w:cs="宋体"/>
                <w:color w:val="auto"/>
                <w:sz w:val="24"/>
                <w:highlight w:val="none"/>
              </w:rPr>
              <w:t>1-5项资格证明文件联合体各方均必须分别提供，联合体各方分别盖章，否则按无效投标处理。</w:t>
            </w:r>
          </w:p>
          <w:p w14:paraId="797AED4A">
            <w:pPr>
              <w:snapToGrid w:val="0"/>
              <w:spacing w:line="360" w:lineRule="auto"/>
              <w:jc w:val="left"/>
              <w:rPr>
                <w:rFonts w:ascii="宋体" w:hAnsi="宋体" w:cs="宋体"/>
                <w:b/>
                <w:bCs/>
                <w:color w:val="auto"/>
                <w:sz w:val="24"/>
                <w:highlight w:val="none"/>
              </w:rPr>
            </w:pPr>
            <w:r>
              <w:rPr>
                <w:rFonts w:ascii="楷体" w:hAnsi="楷体" w:eastAsia="楷体" w:cs="宋体"/>
                <w:color w:val="auto"/>
                <w:sz w:val="24"/>
                <w:highlight w:val="none"/>
              </w:rPr>
              <w:t>5</w:t>
            </w:r>
            <w:r>
              <w:rPr>
                <w:rFonts w:ascii="楷体" w:hAnsi="楷体" w:eastAsia="楷体" w:cs="宋体"/>
                <w:bCs/>
                <w:color w:val="auto"/>
                <w:sz w:val="24"/>
                <w:highlight w:val="none"/>
              </w:rPr>
              <w:t>.</w:t>
            </w:r>
            <w:r>
              <w:rPr>
                <w:rFonts w:hint="eastAsia" w:ascii="楷体" w:hAnsi="楷体" w:eastAsia="楷体" w:cs="宋体"/>
                <w:color w:val="auto"/>
                <w:sz w:val="24"/>
                <w:highlight w:val="none"/>
              </w:rPr>
              <w:t>分公司参加投标的，应当取得总公司授权，否则按无效投标处理。</w:t>
            </w:r>
          </w:p>
        </w:tc>
      </w:tr>
      <w:tr w14:paraId="43087F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vMerge w:val="continue"/>
            <w:tcBorders>
              <w:left w:val="single" w:color="auto" w:sz="4" w:space="0"/>
              <w:right w:val="single" w:color="auto" w:sz="4" w:space="0"/>
            </w:tcBorders>
            <w:vAlign w:val="center"/>
          </w:tcPr>
          <w:p w14:paraId="2B4F7F6D">
            <w:pPr>
              <w:spacing w:line="360" w:lineRule="auto"/>
              <w:rPr>
                <w:rFonts w:ascii="宋体" w:hAnsi="宋体" w:cs="宋体"/>
                <w:color w:val="auto"/>
                <w:sz w:val="24"/>
                <w:highlight w:val="none"/>
              </w:rPr>
            </w:pPr>
            <w:bookmarkStart w:id="48" w:name="_13.3"/>
            <w:bookmarkEnd w:id="48"/>
          </w:p>
        </w:tc>
        <w:tc>
          <w:tcPr>
            <w:tcW w:w="8708" w:type="dxa"/>
            <w:tcBorders>
              <w:top w:val="single" w:color="auto" w:sz="4" w:space="0"/>
              <w:left w:val="single" w:color="auto" w:sz="4" w:space="0"/>
              <w:bottom w:val="single" w:color="auto" w:sz="4" w:space="0"/>
              <w:right w:val="single" w:color="auto" w:sz="4" w:space="0"/>
            </w:tcBorders>
            <w:vAlign w:val="center"/>
          </w:tcPr>
          <w:p w14:paraId="2072E7FA">
            <w:pPr>
              <w:snapToGrid w:val="0"/>
              <w:spacing w:line="360" w:lineRule="auto"/>
              <w:jc w:val="left"/>
              <w:rPr>
                <w:rFonts w:ascii="宋体" w:hAnsi="宋体" w:cs="宋体"/>
                <w:b/>
                <w:color w:val="auto"/>
                <w:sz w:val="24"/>
                <w:highlight w:val="none"/>
              </w:rPr>
            </w:pPr>
            <w:r>
              <w:rPr>
                <w:rFonts w:hint="eastAsia" w:ascii="宋体" w:hAnsi="宋体" w:cs="宋体"/>
                <w:b/>
                <w:color w:val="auto"/>
                <w:sz w:val="24"/>
                <w:highlight w:val="none"/>
              </w:rPr>
              <w:t>商务文件：</w:t>
            </w:r>
          </w:p>
          <w:p w14:paraId="210B5101">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bCs/>
                <w:color w:val="auto"/>
                <w:sz w:val="24"/>
                <w:highlight w:val="none"/>
              </w:rPr>
              <w:t>.</w:t>
            </w:r>
            <w:r>
              <w:rPr>
                <w:rFonts w:hint="eastAsia" w:ascii="宋体" w:hAnsi="宋体" w:cs="宋体"/>
                <w:color w:val="auto"/>
                <w:sz w:val="24"/>
                <w:highlight w:val="none"/>
              </w:rPr>
              <w:t>无串通投标行为的承诺函（格式后附）；（</w:t>
            </w:r>
            <w:r>
              <w:rPr>
                <w:rFonts w:hint="eastAsia" w:ascii="宋体" w:hAnsi="宋体" w:cs="宋体"/>
                <w:b/>
                <w:color w:val="auto"/>
                <w:sz w:val="24"/>
                <w:highlight w:val="none"/>
              </w:rPr>
              <w:t>必须提供，否则按无效投标处理</w:t>
            </w:r>
            <w:r>
              <w:rPr>
                <w:rFonts w:hint="eastAsia" w:ascii="宋体" w:hAnsi="宋体" w:cs="宋体"/>
                <w:color w:val="auto"/>
                <w:sz w:val="24"/>
                <w:highlight w:val="none"/>
              </w:rPr>
              <w:t>）</w:t>
            </w:r>
          </w:p>
          <w:p w14:paraId="22297977">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bCs/>
                <w:color w:val="auto"/>
                <w:sz w:val="24"/>
                <w:highlight w:val="none"/>
              </w:rPr>
              <w:t>.</w:t>
            </w:r>
            <w:r>
              <w:rPr>
                <w:rFonts w:hint="eastAsia" w:ascii="宋体" w:hAnsi="宋体" w:cs="宋体"/>
                <w:color w:val="auto"/>
                <w:sz w:val="24"/>
                <w:highlight w:val="none"/>
              </w:rPr>
              <w:t>投标保证金提交凭证；（</w:t>
            </w:r>
            <w:r>
              <w:rPr>
                <w:rFonts w:hint="eastAsia" w:ascii="宋体" w:hAnsi="宋体" w:cs="宋体"/>
                <w:b/>
                <w:color w:val="auto"/>
                <w:sz w:val="24"/>
                <w:highlight w:val="none"/>
              </w:rPr>
              <w:t>必须提供，否则按无效投标处理</w:t>
            </w:r>
            <w:r>
              <w:rPr>
                <w:rFonts w:hint="eastAsia" w:ascii="宋体" w:hAnsi="宋体" w:cs="宋体"/>
                <w:color w:val="auto"/>
                <w:sz w:val="24"/>
                <w:highlight w:val="none"/>
              </w:rPr>
              <w:t>）</w:t>
            </w:r>
          </w:p>
          <w:p w14:paraId="26E434E9">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3</w:t>
            </w:r>
            <w:r>
              <w:rPr>
                <w:rFonts w:hint="eastAsia" w:ascii="宋体" w:hAnsi="宋体" w:cs="宋体"/>
                <w:bCs/>
                <w:color w:val="auto"/>
                <w:sz w:val="24"/>
                <w:highlight w:val="none"/>
              </w:rPr>
              <w:t>.</w:t>
            </w:r>
            <w:r>
              <w:rPr>
                <w:rFonts w:hint="eastAsia" w:ascii="宋体" w:hAnsi="宋体" w:cs="宋体"/>
                <w:color w:val="auto"/>
                <w:sz w:val="24"/>
                <w:highlight w:val="none"/>
              </w:rPr>
              <w:t>法定代表人身份证明及法定代表人有效身份证正反面复印件（格式后附）；（</w:t>
            </w:r>
            <w:r>
              <w:rPr>
                <w:rFonts w:hint="eastAsia" w:ascii="宋体" w:hAnsi="宋体" w:cs="宋体"/>
                <w:b/>
                <w:bCs/>
                <w:color w:val="auto"/>
                <w:sz w:val="24"/>
                <w:highlight w:val="none"/>
              </w:rPr>
              <w:t>除自然人投标外</w:t>
            </w:r>
            <w:r>
              <w:rPr>
                <w:rFonts w:hint="eastAsia" w:ascii="宋体" w:hAnsi="宋体" w:cs="宋体"/>
                <w:b/>
                <w:color w:val="auto"/>
                <w:sz w:val="24"/>
                <w:highlight w:val="none"/>
              </w:rPr>
              <w:t>必须提供，否则按无效投标处理</w:t>
            </w:r>
            <w:r>
              <w:rPr>
                <w:rFonts w:hint="eastAsia" w:ascii="宋体" w:hAnsi="宋体" w:cs="宋体"/>
                <w:color w:val="auto"/>
                <w:sz w:val="24"/>
                <w:highlight w:val="none"/>
              </w:rPr>
              <w:t>）</w:t>
            </w:r>
          </w:p>
          <w:p w14:paraId="36A73C65">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4</w:t>
            </w:r>
            <w:r>
              <w:rPr>
                <w:rFonts w:hint="eastAsia" w:ascii="宋体" w:hAnsi="宋体" w:cs="宋体"/>
                <w:bCs/>
                <w:color w:val="auto"/>
                <w:sz w:val="24"/>
                <w:highlight w:val="none"/>
              </w:rPr>
              <w:t>.</w:t>
            </w:r>
            <w:r>
              <w:rPr>
                <w:rFonts w:hint="eastAsia" w:ascii="宋体" w:hAnsi="宋体" w:cs="宋体"/>
                <w:color w:val="auto"/>
                <w:sz w:val="24"/>
                <w:highlight w:val="none"/>
              </w:rPr>
              <w:t>授权委托书及委托代理人有效身份证正反面复印件（格式后附）；（</w:t>
            </w:r>
            <w:r>
              <w:rPr>
                <w:rFonts w:hint="eastAsia" w:ascii="宋体" w:hAnsi="宋体" w:cs="宋体"/>
                <w:b/>
                <w:color w:val="auto"/>
                <w:sz w:val="24"/>
                <w:highlight w:val="none"/>
              </w:rPr>
              <w:t>委托时必须提供，否则按无效投标处理</w:t>
            </w:r>
            <w:r>
              <w:rPr>
                <w:rFonts w:hint="eastAsia" w:ascii="宋体" w:hAnsi="宋体" w:cs="宋体"/>
                <w:color w:val="auto"/>
                <w:sz w:val="24"/>
                <w:highlight w:val="none"/>
              </w:rPr>
              <w:t>）</w:t>
            </w:r>
          </w:p>
          <w:p w14:paraId="25E939F9">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5</w:t>
            </w:r>
            <w:r>
              <w:rPr>
                <w:rFonts w:hint="eastAsia" w:ascii="宋体" w:hAnsi="宋体" w:cs="宋体"/>
                <w:bCs/>
                <w:color w:val="auto"/>
                <w:sz w:val="24"/>
                <w:highlight w:val="none"/>
              </w:rPr>
              <w:t>.</w:t>
            </w:r>
            <w:r>
              <w:rPr>
                <w:rFonts w:hint="eastAsia" w:ascii="宋体" w:hAnsi="宋体" w:cs="宋体"/>
                <w:color w:val="auto"/>
                <w:sz w:val="24"/>
                <w:highlight w:val="none"/>
              </w:rPr>
              <w:t>商务要求偏离表（格式后附）；（</w:t>
            </w:r>
            <w:r>
              <w:rPr>
                <w:rFonts w:hint="eastAsia" w:ascii="宋体" w:hAnsi="宋体" w:cs="宋体"/>
                <w:b/>
                <w:color w:val="auto"/>
                <w:sz w:val="24"/>
                <w:highlight w:val="none"/>
              </w:rPr>
              <w:t>必须提供，否则按无效投标处理</w:t>
            </w:r>
            <w:r>
              <w:rPr>
                <w:rFonts w:hint="eastAsia" w:ascii="宋体" w:hAnsi="宋体" w:cs="宋体"/>
                <w:color w:val="auto"/>
                <w:sz w:val="24"/>
                <w:highlight w:val="none"/>
              </w:rPr>
              <w:t>）</w:t>
            </w:r>
          </w:p>
          <w:p w14:paraId="790799BD">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6</w:t>
            </w:r>
            <w:r>
              <w:rPr>
                <w:rFonts w:hint="eastAsia" w:ascii="宋体" w:hAnsi="宋体" w:cs="宋体"/>
                <w:bCs/>
                <w:color w:val="auto"/>
                <w:sz w:val="24"/>
                <w:highlight w:val="none"/>
              </w:rPr>
              <w:t>.</w:t>
            </w:r>
            <w:r>
              <w:rPr>
                <w:rFonts w:hint="eastAsia" w:ascii="宋体" w:hAnsi="宋体" w:cs="宋体"/>
                <w:color w:val="auto"/>
                <w:sz w:val="24"/>
                <w:highlight w:val="none"/>
              </w:rPr>
              <w:t>售后服务承诺（格式自拟）；（</w:t>
            </w:r>
            <w:r>
              <w:rPr>
                <w:rFonts w:hint="eastAsia" w:ascii="宋体" w:hAnsi="宋体" w:cs="宋体"/>
                <w:b/>
                <w:bCs/>
                <w:color w:val="auto"/>
                <w:sz w:val="24"/>
                <w:highlight w:val="none"/>
              </w:rPr>
              <w:t>1分标</w:t>
            </w:r>
            <w:r>
              <w:rPr>
                <w:rFonts w:hint="eastAsia" w:ascii="宋体" w:hAnsi="宋体" w:cs="宋体"/>
                <w:b/>
                <w:color w:val="auto"/>
                <w:sz w:val="24"/>
                <w:highlight w:val="none"/>
              </w:rPr>
              <w:t>必须提供，否则按无效投标处理</w:t>
            </w:r>
            <w:r>
              <w:rPr>
                <w:rFonts w:hint="eastAsia" w:ascii="宋体" w:hAnsi="宋体" w:cs="宋体"/>
                <w:color w:val="auto"/>
                <w:sz w:val="24"/>
                <w:highlight w:val="none"/>
              </w:rPr>
              <w:t>）</w:t>
            </w:r>
          </w:p>
          <w:p w14:paraId="2F656629">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7</w:t>
            </w:r>
            <w:r>
              <w:rPr>
                <w:rFonts w:hint="eastAsia" w:ascii="宋体" w:hAnsi="宋体" w:cs="宋体"/>
                <w:bCs/>
                <w:color w:val="auto"/>
                <w:sz w:val="24"/>
                <w:highlight w:val="none"/>
              </w:rPr>
              <w:t>.</w:t>
            </w:r>
            <w:r>
              <w:rPr>
                <w:rFonts w:hint="eastAsia" w:ascii="宋体" w:hAnsi="宋体" w:cs="宋体"/>
                <w:color w:val="auto"/>
                <w:sz w:val="24"/>
                <w:highlight w:val="none"/>
              </w:rPr>
              <w:t>投标人情况介绍（格式自拟）；</w:t>
            </w:r>
          </w:p>
          <w:p w14:paraId="0AF6B462">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8</w:t>
            </w:r>
            <w:r>
              <w:rPr>
                <w:rFonts w:hint="eastAsia" w:ascii="宋体" w:hAnsi="宋体" w:cs="宋体"/>
                <w:bCs/>
                <w:color w:val="auto"/>
                <w:sz w:val="24"/>
                <w:highlight w:val="none"/>
              </w:rPr>
              <w:t>.</w:t>
            </w:r>
            <w:r>
              <w:rPr>
                <w:rFonts w:hint="eastAsia" w:ascii="宋体" w:hAnsi="宋体" w:cs="宋体"/>
                <w:color w:val="auto"/>
                <w:sz w:val="24"/>
                <w:highlight w:val="none"/>
              </w:rPr>
              <w:t>联合体协议书（格式后附）；（</w:t>
            </w:r>
            <w:r>
              <w:rPr>
                <w:rFonts w:hint="eastAsia" w:ascii="宋体" w:hAnsi="宋体" w:cs="宋体"/>
                <w:b/>
                <w:color w:val="auto"/>
                <w:sz w:val="24"/>
                <w:highlight w:val="none"/>
              </w:rPr>
              <w:t>联合体投标时必须提供，否则按无效投标处理</w:t>
            </w:r>
            <w:r>
              <w:rPr>
                <w:rFonts w:hint="eastAsia" w:ascii="宋体" w:hAnsi="宋体" w:cs="宋体"/>
                <w:color w:val="auto"/>
                <w:sz w:val="24"/>
                <w:highlight w:val="none"/>
              </w:rPr>
              <w:t>）</w:t>
            </w:r>
          </w:p>
          <w:p w14:paraId="0057A994">
            <w:pPr>
              <w:snapToGrid w:val="0"/>
              <w:spacing w:line="360" w:lineRule="auto"/>
              <w:jc w:val="left"/>
              <w:rPr>
                <w:rFonts w:ascii="宋体" w:hAnsi="宋体" w:cs="宋体"/>
                <w:b/>
                <w:bCs/>
                <w:color w:val="auto"/>
                <w:sz w:val="24"/>
                <w:highlight w:val="none"/>
              </w:rPr>
            </w:pPr>
            <w:r>
              <w:rPr>
                <w:rFonts w:hint="eastAsia" w:ascii="宋体" w:hAnsi="宋体" w:cs="宋体"/>
                <w:color w:val="auto"/>
                <w:sz w:val="24"/>
                <w:highlight w:val="none"/>
              </w:rPr>
              <w:t>9</w:t>
            </w:r>
            <w:r>
              <w:rPr>
                <w:rFonts w:hint="eastAsia" w:ascii="宋体" w:hAnsi="宋体" w:cs="宋体"/>
                <w:bCs/>
                <w:color w:val="auto"/>
                <w:sz w:val="24"/>
                <w:highlight w:val="none"/>
              </w:rPr>
              <w:t>.</w:t>
            </w:r>
            <w:r>
              <w:rPr>
                <w:rFonts w:hint="eastAsia" w:ascii="宋体" w:hAnsi="宋体" w:cs="宋体"/>
                <w:color w:val="auto"/>
                <w:sz w:val="24"/>
                <w:highlight w:val="none"/>
              </w:rPr>
              <w:t>除招标文件规定必须提供以外，投标人认为需要提供的其他证明材料（格式自拟）。（投标人根据“第二章 采购需求”及“第四章 评标方法及评标标准”提供有关证明材料）</w:t>
            </w:r>
          </w:p>
          <w:p w14:paraId="50A0E5D7">
            <w:pPr>
              <w:snapToGrid w:val="0"/>
              <w:spacing w:line="360" w:lineRule="auto"/>
              <w:jc w:val="left"/>
              <w:rPr>
                <w:rFonts w:ascii="仿宋" w:hAnsi="仿宋" w:eastAsia="仿宋" w:cs="宋体"/>
                <w:b/>
                <w:color w:val="auto"/>
                <w:sz w:val="24"/>
                <w:highlight w:val="none"/>
              </w:rPr>
            </w:pPr>
            <w:r>
              <w:rPr>
                <w:rFonts w:hint="eastAsia" w:ascii="仿宋" w:hAnsi="仿宋" w:eastAsia="仿宋" w:cs="宋体"/>
                <w:b/>
                <w:color w:val="auto"/>
                <w:sz w:val="24"/>
                <w:highlight w:val="none"/>
              </w:rPr>
              <w:t>【注】</w:t>
            </w:r>
          </w:p>
          <w:p w14:paraId="40A62B85">
            <w:pPr>
              <w:snapToGrid w:val="0"/>
              <w:spacing w:line="360" w:lineRule="auto"/>
              <w:jc w:val="left"/>
              <w:rPr>
                <w:rFonts w:ascii="楷体" w:hAnsi="楷体" w:eastAsia="楷体" w:cs="宋体"/>
                <w:color w:val="auto"/>
                <w:sz w:val="24"/>
                <w:highlight w:val="none"/>
              </w:rPr>
            </w:pPr>
            <w:r>
              <w:rPr>
                <w:rFonts w:ascii="楷体" w:hAnsi="楷体" w:eastAsia="楷体" w:cs="宋体"/>
                <w:color w:val="auto"/>
                <w:sz w:val="24"/>
                <w:highlight w:val="none"/>
              </w:rPr>
              <w:t>1</w:t>
            </w:r>
            <w:r>
              <w:rPr>
                <w:rFonts w:ascii="楷体" w:hAnsi="楷体" w:eastAsia="楷体" w:cs="宋体"/>
                <w:bCs/>
                <w:color w:val="auto"/>
                <w:sz w:val="24"/>
                <w:highlight w:val="none"/>
              </w:rPr>
              <w:t>.</w:t>
            </w:r>
            <w:r>
              <w:rPr>
                <w:rFonts w:hint="eastAsia" w:ascii="楷体" w:hAnsi="楷体" w:eastAsia="楷体" w:cs="宋体"/>
                <w:color w:val="auto"/>
                <w:sz w:val="24"/>
                <w:highlight w:val="none"/>
              </w:rPr>
              <w:t>法定代表人授权委托书必须由法定代表人及委托代理人签字，并加盖投标人公章，否则做无效投标处理。</w:t>
            </w:r>
          </w:p>
          <w:p w14:paraId="698BE8F3">
            <w:pPr>
              <w:snapToGrid w:val="0"/>
              <w:spacing w:line="360" w:lineRule="auto"/>
              <w:jc w:val="left"/>
              <w:rPr>
                <w:rFonts w:ascii="宋体" w:hAnsi="宋体" w:cs="宋体"/>
                <w:color w:val="auto"/>
                <w:sz w:val="24"/>
                <w:highlight w:val="none"/>
              </w:rPr>
            </w:pPr>
            <w:r>
              <w:rPr>
                <w:rFonts w:ascii="楷体" w:hAnsi="楷体" w:eastAsia="楷体" w:cs="宋体"/>
                <w:color w:val="auto"/>
                <w:sz w:val="24"/>
                <w:highlight w:val="none"/>
              </w:rPr>
              <w:t>2</w:t>
            </w:r>
            <w:r>
              <w:rPr>
                <w:rFonts w:ascii="楷体" w:hAnsi="楷体" w:eastAsia="楷体" w:cs="宋体"/>
                <w:bCs/>
                <w:color w:val="auto"/>
                <w:sz w:val="24"/>
                <w:highlight w:val="none"/>
              </w:rPr>
              <w:t>.</w:t>
            </w:r>
            <w:r>
              <w:rPr>
                <w:rFonts w:hint="eastAsia" w:ascii="楷体" w:hAnsi="楷体" w:eastAsia="楷体" w:cs="宋体"/>
                <w:color w:val="auto"/>
                <w:sz w:val="24"/>
                <w:highlight w:val="none"/>
              </w:rPr>
              <w:t>以上标明“必须提供”的材料属于复印件的，必须加盖投标人公章，否则按无效投标处理。</w:t>
            </w:r>
          </w:p>
        </w:tc>
      </w:tr>
      <w:tr w14:paraId="616823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vMerge w:val="continue"/>
            <w:tcBorders>
              <w:left w:val="single" w:color="auto" w:sz="4" w:space="0"/>
              <w:bottom w:val="single" w:color="auto" w:sz="4" w:space="0"/>
              <w:right w:val="single" w:color="auto" w:sz="4" w:space="0"/>
            </w:tcBorders>
            <w:vAlign w:val="center"/>
          </w:tcPr>
          <w:p w14:paraId="3BA0E343">
            <w:pPr>
              <w:spacing w:line="360" w:lineRule="auto"/>
              <w:rPr>
                <w:rFonts w:ascii="宋体" w:hAnsi="宋体" w:cs="宋体"/>
                <w:color w:val="auto"/>
                <w:sz w:val="24"/>
                <w:highlight w:val="none"/>
              </w:rPr>
            </w:pPr>
            <w:bookmarkStart w:id="49" w:name="_13.4"/>
            <w:bookmarkEnd w:id="49"/>
          </w:p>
        </w:tc>
        <w:tc>
          <w:tcPr>
            <w:tcW w:w="8708" w:type="dxa"/>
            <w:tcBorders>
              <w:top w:val="single" w:color="auto" w:sz="4" w:space="0"/>
              <w:left w:val="single" w:color="auto" w:sz="4" w:space="0"/>
              <w:bottom w:val="single" w:color="auto" w:sz="4" w:space="0"/>
              <w:right w:val="single" w:color="auto" w:sz="4" w:space="0"/>
            </w:tcBorders>
            <w:vAlign w:val="center"/>
          </w:tcPr>
          <w:p w14:paraId="6FCC5FF4">
            <w:pPr>
              <w:snapToGrid w:val="0"/>
              <w:spacing w:line="360" w:lineRule="auto"/>
              <w:jc w:val="left"/>
              <w:rPr>
                <w:rFonts w:ascii="宋体" w:hAnsi="宋体" w:cs="宋体"/>
                <w:b/>
                <w:color w:val="auto"/>
                <w:sz w:val="24"/>
                <w:highlight w:val="none"/>
              </w:rPr>
            </w:pPr>
            <w:r>
              <w:rPr>
                <w:rFonts w:hint="eastAsia" w:ascii="宋体" w:hAnsi="宋体" w:cs="宋体"/>
                <w:b/>
                <w:color w:val="auto"/>
                <w:sz w:val="24"/>
                <w:highlight w:val="none"/>
              </w:rPr>
              <w:t>技术文件：</w:t>
            </w:r>
          </w:p>
          <w:p w14:paraId="63A487B0">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bCs/>
                <w:color w:val="auto"/>
                <w:sz w:val="24"/>
                <w:highlight w:val="none"/>
              </w:rPr>
              <w:t>.</w:t>
            </w:r>
            <w:r>
              <w:rPr>
                <w:rFonts w:hint="eastAsia" w:ascii="宋体" w:hAnsi="宋体" w:cs="宋体"/>
                <w:color w:val="auto"/>
                <w:sz w:val="24"/>
                <w:highlight w:val="none"/>
              </w:rPr>
              <w:t>设备性能配置清单（格式后附）；</w:t>
            </w:r>
            <w:r>
              <w:rPr>
                <w:rFonts w:hint="eastAsia" w:ascii="宋体" w:hAnsi="宋体" w:cs="宋体"/>
                <w:b/>
                <w:bCs/>
                <w:color w:val="auto"/>
                <w:sz w:val="24"/>
                <w:highlight w:val="none"/>
              </w:rPr>
              <w:t>（1分标必须</w:t>
            </w:r>
            <w:r>
              <w:rPr>
                <w:rFonts w:hint="eastAsia" w:ascii="宋体" w:hAnsi="宋体" w:cs="宋体"/>
                <w:b/>
                <w:color w:val="auto"/>
                <w:sz w:val="24"/>
                <w:highlight w:val="none"/>
              </w:rPr>
              <w:t>提供，否则按无效投标处理</w:t>
            </w:r>
            <w:r>
              <w:rPr>
                <w:rFonts w:hint="eastAsia" w:ascii="宋体" w:hAnsi="宋体" w:cs="宋体"/>
                <w:color w:val="auto"/>
                <w:sz w:val="24"/>
                <w:highlight w:val="none"/>
              </w:rPr>
              <w:t>）</w:t>
            </w:r>
          </w:p>
          <w:p w14:paraId="525D118D">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bCs/>
                <w:color w:val="auto"/>
                <w:sz w:val="24"/>
                <w:highlight w:val="none"/>
              </w:rPr>
              <w:t>.</w:t>
            </w:r>
            <w:r>
              <w:rPr>
                <w:rFonts w:hint="eastAsia" w:ascii="宋体" w:hAnsi="宋体" w:cs="宋体"/>
                <w:color w:val="auto"/>
                <w:sz w:val="24"/>
                <w:highlight w:val="none"/>
              </w:rPr>
              <w:t>技术要求偏离表（格式后附）；（</w:t>
            </w:r>
            <w:r>
              <w:rPr>
                <w:rFonts w:hint="eastAsia" w:ascii="宋体" w:hAnsi="宋体" w:cs="宋体"/>
                <w:b/>
                <w:color w:val="auto"/>
                <w:sz w:val="24"/>
                <w:highlight w:val="none"/>
              </w:rPr>
              <w:t>必须提供，否则按无效投标处理</w:t>
            </w:r>
            <w:r>
              <w:rPr>
                <w:rFonts w:hint="eastAsia" w:ascii="宋体" w:hAnsi="宋体" w:cs="宋体"/>
                <w:color w:val="auto"/>
                <w:sz w:val="24"/>
                <w:highlight w:val="none"/>
              </w:rPr>
              <w:t>）</w:t>
            </w:r>
          </w:p>
          <w:p w14:paraId="0D9F3515">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3</w:t>
            </w:r>
            <w:r>
              <w:rPr>
                <w:rFonts w:hint="eastAsia" w:ascii="宋体" w:hAnsi="宋体" w:cs="宋体"/>
                <w:bCs/>
                <w:color w:val="auto"/>
                <w:sz w:val="24"/>
                <w:highlight w:val="none"/>
              </w:rPr>
              <w:t>.</w:t>
            </w:r>
            <w:r>
              <w:rPr>
                <w:rFonts w:hint="eastAsia" w:ascii="宋体" w:hAnsi="宋体" w:cs="宋体"/>
                <w:color w:val="auto"/>
                <w:sz w:val="24"/>
                <w:highlight w:val="none"/>
              </w:rPr>
              <w:t>项目实施方案（格式自拟）[项目前期准备、项目实施计划（项目实施人员一览表（格式后附）、技术服务、技术培训的内容和措施）]；（</w:t>
            </w:r>
            <w:r>
              <w:rPr>
                <w:rFonts w:hint="eastAsia" w:ascii="宋体" w:hAnsi="宋体" w:cs="宋体"/>
                <w:b/>
                <w:color w:val="auto"/>
                <w:sz w:val="24"/>
                <w:highlight w:val="none"/>
              </w:rPr>
              <w:t>必须提供，否则按无效投标处理</w:t>
            </w:r>
            <w:r>
              <w:rPr>
                <w:rFonts w:hint="eastAsia" w:ascii="宋体" w:hAnsi="宋体" w:cs="宋体"/>
                <w:color w:val="auto"/>
                <w:sz w:val="24"/>
                <w:highlight w:val="none"/>
              </w:rPr>
              <w:t>）</w:t>
            </w:r>
          </w:p>
          <w:p w14:paraId="325FCE29">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4</w:t>
            </w:r>
            <w:r>
              <w:rPr>
                <w:rFonts w:hint="eastAsia" w:ascii="宋体" w:hAnsi="宋体" w:cs="宋体"/>
                <w:bCs/>
                <w:color w:val="auto"/>
                <w:sz w:val="24"/>
                <w:highlight w:val="none"/>
              </w:rPr>
              <w:t>.</w:t>
            </w:r>
            <w:r>
              <w:rPr>
                <w:rFonts w:hint="eastAsia" w:ascii="宋体" w:hAnsi="宋体" w:cs="宋体"/>
                <w:color w:val="auto"/>
                <w:sz w:val="24"/>
                <w:highlight w:val="none"/>
              </w:rPr>
              <w:t>对本项目系统总体要求的理解。包括：功能说明、性能指标及设备选型说明（质量、性能、价格、外观、体积等方面进行比较和选择的理由及过程，格式自拟）；</w:t>
            </w:r>
          </w:p>
          <w:p w14:paraId="542B8B46">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5</w:t>
            </w:r>
            <w:r>
              <w:rPr>
                <w:rFonts w:hint="eastAsia" w:ascii="宋体" w:hAnsi="宋体" w:cs="宋体"/>
                <w:bCs/>
                <w:color w:val="auto"/>
                <w:sz w:val="24"/>
                <w:highlight w:val="none"/>
              </w:rPr>
              <w:t>.</w:t>
            </w:r>
            <w:r>
              <w:rPr>
                <w:rFonts w:hint="eastAsia" w:ascii="宋体" w:hAnsi="宋体" w:cs="宋体"/>
                <w:color w:val="auto"/>
                <w:sz w:val="24"/>
                <w:highlight w:val="none"/>
              </w:rPr>
              <w:t>产品出厂标准、质量检测报告[其中有精度要求的仪器设备类政府采购项目，应当要求投标人提供精度数据（国家认可的有资质的第三方检测机构出具的检测报告复印件或者由采购人在投标前组织的实测获得）]；（</w:t>
            </w:r>
            <w:r>
              <w:rPr>
                <w:rFonts w:hint="eastAsia" w:ascii="宋体" w:hAnsi="宋体" w:cs="宋体"/>
                <w:b/>
                <w:color w:val="auto"/>
                <w:sz w:val="24"/>
                <w:highlight w:val="none"/>
              </w:rPr>
              <w:t>采购需求中要求必须提供时必须提供，否则按无效投标处理</w:t>
            </w:r>
            <w:r>
              <w:rPr>
                <w:rFonts w:hint="eastAsia" w:ascii="宋体" w:hAnsi="宋体" w:cs="宋体"/>
                <w:color w:val="auto"/>
                <w:sz w:val="24"/>
                <w:highlight w:val="none"/>
              </w:rPr>
              <w:t>）</w:t>
            </w:r>
          </w:p>
          <w:p w14:paraId="66A22D99">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6</w:t>
            </w:r>
            <w:r>
              <w:rPr>
                <w:rFonts w:hint="eastAsia" w:ascii="宋体" w:hAnsi="宋体" w:cs="宋体"/>
                <w:bCs/>
                <w:color w:val="auto"/>
                <w:sz w:val="24"/>
                <w:highlight w:val="none"/>
              </w:rPr>
              <w:t>.</w:t>
            </w:r>
            <w:r>
              <w:rPr>
                <w:rFonts w:hint="eastAsia" w:ascii="宋体" w:hAnsi="宋体" w:cs="宋体"/>
                <w:color w:val="auto"/>
                <w:sz w:val="24"/>
                <w:highlight w:val="none"/>
              </w:rPr>
              <w:t>优惠条件：投标人承诺给予招标人的各种优惠条件，包括售后服务、备品备件、专用耗材等方面的优惠；投标人不得给予赠品或者与采购无关的其他商品、服务；</w:t>
            </w:r>
          </w:p>
          <w:p w14:paraId="114FA5B8">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7</w:t>
            </w:r>
            <w:r>
              <w:rPr>
                <w:rFonts w:hint="eastAsia" w:ascii="宋体" w:hAnsi="宋体" w:cs="宋体"/>
                <w:bCs/>
                <w:color w:val="auto"/>
                <w:sz w:val="24"/>
                <w:highlight w:val="none"/>
              </w:rPr>
              <w:t>.</w:t>
            </w:r>
            <w:r>
              <w:rPr>
                <w:rFonts w:hint="eastAsia" w:ascii="宋体" w:hAnsi="宋体" w:cs="宋体"/>
                <w:color w:val="auto"/>
                <w:sz w:val="24"/>
                <w:highlight w:val="none"/>
              </w:rPr>
              <w:t>投标人对本项目的合理化建议和改进措施（格式自拟）；</w:t>
            </w:r>
          </w:p>
          <w:p w14:paraId="63240388">
            <w:pPr>
              <w:snapToGrid w:val="0"/>
              <w:spacing w:line="360" w:lineRule="auto"/>
              <w:jc w:val="left"/>
              <w:rPr>
                <w:rFonts w:ascii="宋体" w:hAnsi="宋体" w:cs="宋体"/>
                <w:bCs/>
                <w:color w:val="auto"/>
                <w:sz w:val="24"/>
                <w:highlight w:val="none"/>
              </w:rPr>
            </w:pPr>
            <w:r>
              <w:rPr>
                <w:rFonts w:hint="eastAsia" w:ascii="宋体" w:hAnsi="宋体" w:cs="宋体"/>
                <w:color w:val="auto"/>
                <w:sz w:val="24"/>
                <w:highlight w:val="none"/>
              </w:rPr>
              <w:t>8</w:t>
            </w:r>
            <w:r>
              <w:rPr>
                <w:rFonts w:hint="eastAsia" w:ascii="宋体" w:hAnsi="宋体" w:cs="宋体"/>
                <w:bCs/>
                <w:color w:val="auto"/>
                <w:sz w:val="24"/>
                <w:highlight w:val="none"/>
              </w:rPr>
              <w:t>.</w:t>
            </w:r>
            <w:r>
              <w:rPr>
                <w:rFonts w:hint="eastAsia" w:ascii="宋体" w:hAnsi="宋体" w:cs="宋体"/>
                <w:color w:val="auto"/>
                <w:sz w:val="24"/>
                <w:highlight w:val="none"/>
              </w:rPr>
              <w:t>除招标文件规定必须提供以外，投标人需要说明的其他文件和说明（格式自拟）。</w:t>
            </w:r>
          </w:p>
          <w:p w14:paraId="3BE86270">
            <w:pPr>
              <w:snapToGrid w:val="0"/>
              <w:spacing w:line="360" w:lineRule="auto"/>
              <w:jc w:val="left"/>
              <w:rPr>
                <w:rFonts w:ascii="楷体" w:hAnsi="楷体" w:eastAsia="楷体" w:cs="宋体"/>
                <w:bCs/>
                <w:color w:val="auto"/>
                <w:sz w:val="24"/>
                <w:highlight w:val="none"/>
              </w:rPr>
            </w:pPr>
            <w:r>
              <w:rPr>
                <w:rFonts w:hint="eastAsia" w:ascii="楷体" w:hAnsi="楷体" w:eastAsia="楷体" w:cs="宋体"/>
                <w:b/>
                <w:bCs/>
                <w:color w:val="auto"/>
                <w:sz w:val="24"/>
                <w:highlight w:val="none"/>
              </w:rPr>
              <w:t>注</w:t>
            </w:r>
            <w:r>
              <w:rPr>
                <w:rFonts w:hint="eastAsia" w:ascii="楷体" w:hAnsi="楷体" w:eastAsia="楷体" w:cs="宋体"/>
                <w:bCs/>
                <w:color w:val="auto"/>
                <w:sz w:val="24"/>
                <w:highlight w:val="none"/>
              </w:rPr>
              <w:t>：以上标明“必须提供”的材料属于复印件的，必须加盖投标人公章，否则按无效投标</w:t>
            </w:r>
            <w:r>
              <w:rPr>
                <w:rFonts w:hint="eastAsia" w:ascii="楷体" w:hAnsi="楷体" w:eastAsia="楷体" w:cs="宋体"/>
                <w:color w:val="auto"/>
                <w:sz w:val="24"/>
                <w:highlight w:val="none"/>
              </w:rPr>
              <w:t>处理</w:t>
            </w:r>
            <w:r>
              <w:rPr>
                <w:rFonts w:hint="eastAsia" w:ascii="楷体" w:hAnsi="楷体" w:eastAsia="楷体" w:cs="宋体"/>
                <w:bCs/>
                <w:color w:val="auto"/>
                <w:sz w:val="24"/>
                <w:highlight w:val="none"/>
              </w:rPr>
              <w:t>。</w:t>
            </w:r>
          </w:p>
        </w:tc>
      </w:tr>
      <w:tr w14:paraId="0A42DF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3FE82EF7">
            <w:pPr>
              <w:spacing w:line="360" w:lineRule="auto"/>
              <w:jc w:val="center"/>
              <w:rPr>
                <w:rFonts w:ascii="宋体" w:hAnsi="宋体" w:cs="宋体"/>
                <w:color w:val="auto"/>
                <w:sz w:val="24"/>
                <w:highlight w:val="none"/>
              </w:rPr>
            </w:pPr>
            <w:bookmarkStart w:id="50" w:name="_16.2"/>
            <w:bookmarkEnd w:id="50"/>
            <w:bookmarkStart w:id="51" w:name="_13.5"/>
            <w:bookmarkEnd w:id="51"/>
            <w:r>
              <w:rPr>
                <w:rFonts w:hint="eastAsia" w:ascii="宋体" w:hAnsi="宋体" w:cs="宋体"/>
                <w:color w:val="auto"/>
                <w:sz w:val="24"/>
                <w:highlight w:val="none"/>
              </w:rPr>
              <w:t>16</w:t>
            </w:r>
            <w:bookmarkStart w:id="52" w:name="_Hlt19194066"/>
            <w:bookmarkStart w:id="53" w:name="_Hlt19693758"/>
            <w:bookmarkStart w:id="54" w:name="_Hlt19194067"/>
            <w:bookmarkStart w:id="55" w:name="_Hlt19693759"/>
            <w:r>
              <w:rPr>
                <w:rFonts w:hint="eastAsia" w:ascii="宋体" w:hAnsi="宋体" w:cs="宋体"/>
                <w:color w:val="auto"/>
                <w:sz w:val="24"/>
                <w:highlight w:val="none"/>
              </w:rPr>
              <w:t>.</w:t>
            </w:r>
            <w:bookmarkEnd w:id="52"/>
            <w:bookmarkEnd w:id="53"/>
            <w:bookmarkEnd w:id="54"/>
            <w:bookmarkEnd w:id="55"/>
            <w:r>
              <w:rPr>
                <w:rFonts w:hint="eastAsia" w:ascii="宋体" w:hAnsi="宋体" w:cs="宋体"/>
                <w:color w:val="auto"/>
                <w:sz w:val="24"/>
                <w:highlight w:val="none"/>
              </w:rPr>
              <w:t>2</w:t>
            </w:r>
          </w:p>
        </w:tc>
        <w:tc>
          <w:tcPr>
            <w:tcW w:w="8708" w:type="dxa"/>
            <w:tcBorders>
              <w:top w:val="single" w:color="auto" w:sz="4" w:space="0"/>
              <w:left w:val="single" w:color="auto" w:sz="4" w:space="0"/>
              <w:bottom w:val="single" w:color="auto" w:sz="4" w:space="0"/>
              <w:right w:val="single" w:color="auto" w:sz="4" w:space="0"/>
            </w:tcBorders>
            <w:vAlign w:val="center"/>
          </w:tcPr>
          <w:p w14:paraId="02C6FECC">
            <w:pPr>
              <w:snapToGrid w:val="0"/>
              <w:spacing w:line="360" w:lineRule="auto"/>
              <w:rPr>
                <w:rFonts w:ascii="宋体" w:hAnsi="宋体" w:cs="宋体"/>
                <w:b/>
                <w:color w:val="auto"/>
                <w:sz w:val="24"/>
                <w:highlight w:val="none"/>
              </w:rPr>
            </w:pPr>
            <w:r>
              <w:rPr>
                <w:rFonts w:hint="eastAsia" w:ascii="宋体" w:hAnsi="宋体" w:cs="宋体"/>
                <w:color w:val="auto"/>
                <w:sz w:val="24"/>
                <w:highlight w:val="none"/>
              </w:rPr>
              <w:t>投标报价是履行合同的最终价格，包含设备、随配附件、备品备件、辅助材料、工具、运抵指定交货地点、材料运输及人工搬运费、装修施工垃圾清理及排放、完工清场清洁、保险、现场安装、培训、调试及验收的各种费用和售后服务、人工费、税费及其他所有成本费用的总和。合同履行过程中，采购人不再支付合同以外的其他费用。（采购需求另有约定的，按其约定）</w:t>
            </w:r>
          </w:p>
        </w:tc>
      </w:tr>
      <w:tr w14:paraId="585547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572EA0B7">
            <w:pPr>
              <w:spacing w:line="360" w:lineRule="auto"/>
              <w:jc w:val="center"/>
              <w:rPr>
                <w:rFonts w:ascii="宋体" w:hAnsi="宋体" w:cs="宋体"/>
                <w:color w:val="auto"/>
                <w:sz w:val="24"/>
                <w:highlight w:val="none"/>
              </w:rPr>
            </w:pPr>
            <w:bookmarkStart w:id="56" w:name="_17.1"/>
            <w:bookmarkEnd w:id="56"/>
            <w:r>
              <w:rPr>
                <w:rFonts w:hint="eastAsia" w:ascii="宋体" w:hAnsi="宋体" w:cs="宋体"/>
                <w:color w:val="auto"/>
                <w:sz w:val="24"/>
                <w:highlight w:val="none"/>
              </w:rPr>
              <w:t>17.2</w:t>
            </w:r>
          </w:p>
        </w:tc>
        <w:tc>
          <w:tcPr>
            <w:tcW w:w="8708" w:type="dxa"/>
            <w:tcBorders>
              <w:top w:val="single" w:color="auto" w:sz="4" w:space="0"/>
              <w:left w:val="single" w:color="auto" w:sz="4" w:space="0"/>
              <w:bottom w:val="single" w:color="auto" w:sz="4" w:space="0"/>
              <w:right w:val="single" w:color="auto" w:sz="4" w:space="0"/>
            </w:tcBorders>
            <w:vAlign w:val="center"/>
          </w:tcPr>
          <w:p w14:paraId="19AE25A6">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投标有效期：投标截止之日起</w:t>
            </w:r>
            <w:r>
              <w:rPr>
                <w:rFonts w:ascii="宋体" w:hAnsi="宋体" w:cs="宋体"/>
                <w:color w:val="auto"/>
                <w:sz w:val="24"/>
                <w:highlight w:val="none"/>
              </w:rPr>
              <w:t>60</w:t>
            </w:r>
            <w:r>
              <w:rPr>
                <w:rFonts w:hint="eastAsia" w:ascii="宋体" w:hAnsi="宋体" w:cs="宋体"/>
                <w:color w:val="auto"/>
                <w:sz w:val="24"/>
                <w:highlight w:val="none"/>
              </w:rPr>
              <w:t>天内。</w:t>
            </w:r>
          </w:p>
        </w:tc>
      </w:tr>
      <w:tr w14:paraId="780FE6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5BF6EB0B">
            <w:pPr>
              <w:spacing w:line="360" w:lineRule="auto"/>
              <w:jc w:val="center"/>
              <w:rPr>
                <w:rFonts w:ascii="宋体" w:hAnsi="宋体" w:cs="宋体"/>
                <w:color w:val="auto"/>
                <w:sz w:val="24"/>
                <w:highlight w:val="none"/>
              </w:rPr>
            </w:pPr>
            <w:bookmarkStart w:id="57" w:name="_18"/>
            <w:bookmarkEnd w:id="57"/>
            <w:r>
              <w:rPr>
                <w:rFonts w:hint="eastAsia" w:ascii="宋体" w:hAnsi="宋体" w:cs="宋体"/>
                <w:color w:val="auto"/>
                <w:sz w:val="24"/>
                <w:highlight w:val="none"/>
              </w:rPr>
              <w:t>18.1</w:t>
            </w:r>
          </w:p>
        </w:tc>
        <w:tc>
          <w:tcPr>
            <w:tcW w:w="8708" w:type="dxa"/>
            <w:tcBorders>
              <w:top w:val="single" w:color="auto" w:sz="4" w:space="0"/>
              <w:left w:val="single" w:color="auto" w:sz="4" w:space="0"/>
              <w:bottom w:val="single" w:color="auto" w:sz="4" w:space="0"/>
              <w:right w:val="single" w:color="auto" w:sz="4" w:space="0"/>
            </w:tcBorders>
            <w:vAlign w:val="center"/>
          </w:tcPr>
          <w:p w14:paraId="1F08A598">
            <w:pPr>
              <w:autoSpaceDE w:val="0"/>
              <w:autoSpaceDN w:val="0"/>
              <w:snapToGrid w:val="0"/>
              <w:spacing w:line="360" w:lineRule="auto"/>
              <w:textAlignment w:val="bottom"/>
              <w:rPr>
                <w:rFonts w:ascii="宋体" w:hAnsi="宋体" w:cs="宋体"/>
                <w:color w:val="auto"/>
                <w:sz w:val="24"/>
                <w:highlight w:val="none"/>
              </w:rPr>
            </w:pPr>
            <w:r>
              <w:rPr>
                <w:rFonts w:hint="eastAsia" w:ascii="宋体" w:hAnsi="宋体" w:cs="宋体"/>
                <w:color w:val="auto"/>
                <w:sz w:val="24"/>
                <w:highlight w:val="none"/>
              </w:rPr>
              <w:sym w:font="Wingdings" w:char="00A8"/>
            </w:r>
            <w:r>
              <w:rPr>
                <w:rFonts w:hint="eastAsia" w:ascii="宋体" w:hAnsi="宋体" w:cs="宋体"/>
                <w:color w:val="auto"/>
                <w:sz w:val="24"/>
                <w:highlight w:val="none"/>
              </w:rPr>
              <w:t>本项目不收取投标保证金。</w:t>
            </w:r>
          </w:p>
          <w:p w14:paraId="36D4C8AF">
            <w:pPr>
              <w:spacing w:line="360" w:lineRule="auto"/>
              <w:jc w:val="left"/>
              <w:rPr>
                <w:rFonts w:ascii="宋体" w:hAnsi="宋体" w:cs="宋体"/>
                <w:color w:val="auto"/>
                <w:sz w:val="24"/>
                <w:highlight w:val="none"/>
              </w:rPr>
            </w:pPr>
            <w:r>
              <w:rPr>
                <w:rFonts w:hint="eastAsia" w:ascii="宋体" w:hAnsi="宋体" w:cs="宋体"/>
                <w:color w:val="auto"/>
                <w:sz w:val="24"/>
                <w:highlight w:val="none"/>
              </w:rPr>
              <w:sym w:font="Wingdings" w:char="00FE"/>
            </w:r>
            <w:r>
              <w:rPr>
                <w:rFonts w:hint="eastAsia" w:ascii="宋体" w:hAnsi="宋体" w:cs="宋体"/>
                <w:color w:val="auto"/>
                <w:sz w:val="24"/>
                <w:highlight w:val="none"/>
              </w:rPr>
              <w:t>本项目收取投标保证金。</w:t>
            </w:r>
          </w:p>
          <w:p w14:paraId="45530151">
            <w:pPr>
              <w:spacing w:line="360" w:lineRule="auto"/>
              <w:jc w:val="left"/>
              <w:rPr>
                <w:rFonts w:ascii="宋体" w:hAnsi="宋体" w:cs="宋体"/>
                <w:color w:val="auto"/>
                <w:sz w:val="24"/>
                <w:highlight w:val="none"/>
              </w:rPr>
            </w:pPr>
            <w:r>
              <w:rPr>
                <w:rFonts w:hint="eastAsia" w:ascii="宋体" w:hAnsi="宋体" w:cs="宋体"/>
                <w:color w:val="auto"/>
                <w:sz w:val="24"/>
                <w:highlight w:val="none"/>
              </w:rPr>
              <w:t>投标保证金：1分标25000元，2分标14000元，保证金专用银行账号：</w:t>
            </w:r>
          </w:p>
          <w:p w14:paraId="7C76E1F5">
            <w:pPr>
              <w:spacing w:line="360" w:lineRule="auto"/>
              <w:jc w:val="left"/>
              <w:rPr>
                <w:rFonts w:ascii="宋体" w:hAnsi="宋体" w:cs="宋体"/>
                <w:color w:val="auto"/>
                <w:sz w:val="24"/>
                <w:highlight w:val="none"/>
              </w:rPr>
            </w:pPr>
            <w:r>
              <w:rPr>
                <w:rFonts w:hint="eastAsia" w:ascii="宋体" w:hAnsi="宋体" w:cs="宋体"/>
                <w:color w:val="auto"/>
                <w:sz w:val="24"/>
                <w:highlight w:val="none"/>
              </w:rPr>
              <w:t>开户名称：广西科文招标有限公司</w:t>
            </w:r>
          </w:p>
          <w:p w14:paraId="1DF4064A">
            <w:pPr>
              <w:spacing w:line="360" w:lineRule="auto"/>
              <w:jc w:val="left"/>
              <w:rPr>
                <w:rFonts w:ascii="宋体" w:hAnsi="宋体" w:cs="宋体"/>
                <w:color w:val="auto"/>
                <w:sz w:val="24"/>
                <w:highlight w:val="none"/>
              </w:rPr>
            </w:pPr>
            <w:r>
              <w:rPr>
                <w:rFonts w:hint="eastAsia" w:ascii="宋体" w:hAnsi="宋体" w:cs="宋体"/>
                <w:color w:val="auto"/>
                <w:sz w:val="24"/>
                <w:highlight w:val="none"/>
              </w:rPr>
              <w:t>开户银行：广西北部湾银行南宁分行</w:t>
            </w:r>
          </w:p>
          <w:p w14:paraId="015D0847">
            <w:pPr>
              <w:spacing w:line="360" w:lineRule="auto"/>
              <w:jc w:val="left"/>
              <w:rPr>
                <w:rFonts w:ascii="宋体" w:hAnsi="宋体" w:cs="宋体"/>
                <w:color w:val="auto"/>
                <w:sz w:val="24"/>
                <w:highlight w:val="none"/>
              </w:rPr>
            </w:pPr>
            <w:r>
              <w:rPr>
                <w:rFonts w:hint="eastAsia" w:ascii="宋体" w:hAnsi="宋体" w:cs="宋体"/>
                <w:color w:val="auto"/>
                <w:sz w:val="24"/>
                <w:highlight w:val="none"/>
              </w:rPr>
              <w:t>银行账号：0101012090615689</w:t>
            </w:r>
          </w:p>
          <w:p w14:paraId="2641929B">
            <w:pPr>
              <w:snapToGrid w:val="0"/>
              <w:spacing w:line="360" w:lineRule="auto"/>
              <w:rPr>
                <w:rFonts w:ascii="宋体" w:hAnsi="宋体" w:cs="宋体"/>
                <w:color w:val="auto"/>
                <w:sz w:val="24"/>
                <w:highlight w:val="none"/>
              </w:rPr>
            </w:pPr>
            <w:r>
              <w:rPr>
                <w:rFonts w:hint="eastAsia" w:ascii="宋体" w:hAnsi="宋体" w:cs="宋体"/>
                <w:color w:val="auto"/>
                <w:kern w:val="0"/>
                <w:sz w:val="24"/>
                <w:highlight w:val="none"/>
              </w:rPr>
              <w:t>投标保证金的交纳方式：银行转账、支票、汇票、本票或者金融、担保机构出具的保函，禁止采用现钞方式。采用银行转账方式的，在投标截止时间前交至指定账户并且到账。采用支票、汇票、本票或者保函等方式的，在投标截止时间前，投标人必须递交支票、汇票、本票或者保函原件。否则视为无效投标保证金。</w:t>
            </w:r>
          </w:p>
          <w:p w14:paraId="6FA5750D">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相关要求：</w:t>
            </w:r>
          </w:p>
          <w:p w14:paraId="2DD0E063">
            <w:pPr>
              <w:pStyle w:val="17"/>
              <w:spacing w:line="360" w:lineRule="auto"/>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bCs/>
                <w:color w:val="auto"/>
                <w:sz w:val="24"/>
                <w:highlight w:val="none"/>
              </w:rPr>
              <w:t>.</w:t>
            </w:r>
            <w:r>
              <w:rPr>
                <w:rFonts w:hint="eastAsia" w:ascii="宋体" w:hAnsi="宋体" w:cs="宋体"/>
                <w:color w:val="auto"/>
                <w:sz w:val="24"/>
                <w:highlight w:val="none"/>
              </w:rPr>
              <w:t>投标保证金采用银行转账交纳方式的，在投标截止时间前交至指定账户并且到账，投标人应将银行转账底单的复印件作为投标保证金提交凭证，放置于商务文件中，否则投标无效。</w:t>
            </w:r>
          </w:p>
          <w:p w14:paraId="3949E788">
            <w:pPr>
              <w:pStyle w:val="17"/>
              <w:spacing w:line="360" w:lineRule="auto"/>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bCs/>
                <w:color w:val="auto"/>
                <w:sz w:val="24"/>
                <w:highlight w:val="none"/>
              </w:rPr>
              <w:t>.</w:t>
            </w:r>
            <w:r>
              <w:rPr>
                <w:rFonts w:hint="eastAsia" w:ascii="宋体" w:hAnsi="宋体" w:cs="宋体"/>
                <w:color w:val="auto"/>
                <w:sz w:val="24"/>
                <w:highlight w:val="none"/>
              </w:rPr>
              <w:t>投标保证金采用支票、汇票、本票或者金融、担保机构出具的保函交纳方式的，投标人应将支票、汇票、本票或者金融、担保机构出具的保函的复印件作为投标保证金提交凭证，放置于商务文件中，否则投标无效。投标人必须在投标截止时间前将支票、汇票、本票或者金融、担保机构出具的保函原件提交给采购代理机构，由采购代理机构向投标人出具回执，并妥善保管。</w:t>
            </w:r>
          </w:p>
          <w:p w14:paraId="1A6BA81A">
            <w:pPr>
              <w:pStyle w:val="17"/>
              <w:spacing w:line="360" w:lineRule="auto"/>
              <w:rPr>
                <w:rFonts w:ascii="宋体" w:hAnsi="宋体" w:cs="宋体"/>
                <w:color w:val="auto"/>
                <w:sz w:val="24"/>
                <w:highlight w:val="none"/>
              </w:rPr>
            </w:pPr>
            <w:r>
              <w:rPr>
                <w:rFonts w:hint="eastAsia" w:ascii="宋体" w:hAnsi="宋体" w:cs="宋体"/>
                <w:color w:val="auto"/>
                <w:sz w:val="24"/>
                <w:highlight w:val="none"/>
              </w:rPr>
              <w:t>3.投标人为联合体的，可以由联合体中的一方或者多方共同交纳投标保证金，其交纳的保证金对联合体各方均具有约束力。</w:t>
            </w:r>
          </w:p>
          <w:p w14:paraId="5226D0CF">
            <w:pPr>
              <w:pStyle w:val="17"/>
              <w:spacing w:line="360" w:lineRule="auto"/>
              <w:rPr>
                <w:rFonts w:ascii="宋体" w:hAnsi="宋体" w:cs="宋体"/>
                <w:color w:val="auto"/>
                <w:sz w:val="24"/>
                <w:highlight w:val="none"/>
              </w:rPr>
            </w:pPr>
            <w:r>
              <w:rPr>
                <w:rFonts w:hint="eastAsia" w:ascii="宋体" w:hAnsi="宋体" w:cs="宋体"/>
                <w:color w:val="auto"/>
                <w:sz w:val="24"/>
                <w:highlight w:val="none"/>
              </w:rPr>
              <w:t xml:space="preserve">【备注】 </w:t>
            </w:r>
          </w:p>
          <w:p w14:paraId="44AA0B54">
            <w:pPr>
              <w:snapToGrid w:val="0"/>
              <w:spacing w:line="360" w:lineRule="auto"/>
              <w:rPr>
                <w:rFonts w:ascii="楷体" w:hAnsi="楷体" w:eastAsia="楷体" w:cs="宋体"/>
                <w:bCs/>
                <w:color w:val="auto"/>
                <w:sz w:val="24"/>
                <w:highlight w:val="none"/>
              </w:rPr>
            </w:pPr>
            <w:r>
              <w:rPr>
                <w:rFonts w:hint="eastAsia" w:ascii="楷体" w:hAnsi="楷体" w:eastAsia="楷体" w:cs="宋体"/>
                <w:bCs/>
                <w:color w:val="auto"/>
                <w:sz w:val="24"/>
                <w:highlight w:val="none"/>
              </w:rPr>
              <w:t>1.投标保证金在投标截止时间后提交的，或者不按规定交纳方式交纳的，或者未足额交纳的（包含保函额度不足的），视为无效投标保证金。</w:t>
            </w:r>
          </w:p>
          <w:p w14:paraId="33D5C427">
            <w:pPr>
              <w:snapToGrid w:val="0"/>
              <w:spacing w:line="360" w:lineRule="auto"/>
              <w:rPr>
                <w:rFonts w:ascii="楷体" w:hAnsi="楷体" w:eastAsia="楷体" w:cs="宋体"/>
                <w:bCs/>
                <w:color w:val="auto"/>
                <w:sz w:val="24"/>
                <w:highlight w:val="none"/>
              </w:rPr>
            </w:pPr>
            <w:r>
              <w:rPr>
                <w:rFonts w:hint="eastAsia" w:ascii="楷体" w:hAnsi="楷体" w:eastAsia="楷体" w:cs="宋体"/>
                <w:bCs/>
                <w:color w:val="auto"/>
                <w:sz w:val="24"/>
                <w:highlight w:val="none"/>
              </w:rPr>
              <w:t>2.投标人采用现钞方式或者从个人账户（自然人投标除外）转出的投标保证金，视为无效投标保证金。</w:t>
            </w:r>
          </w:p>
          <w:p w14:paraId="3F799AC2">
            <w:pPr>
              <w:snapToGrid w:val="0"/>
              <w:spacing w:line="360" w:lineRule="auto"/>
              <w:rPr>
                <w:rFonts w:ascii="楷体" w:hAnsi="楷体" w:eastAsia="楷体" w:cs="宋体"/>
                <w:bCs/>
                <w:color w:val="auto"/>
                <w:sz w:val="24"/>
                <w:highlight w:val="none"/>
              </w:rPr>
            </w:pPr>
            <w:r>
              <w:rPr>
                <w:rFonts w:hint="eastAsia" w:ascii="楷体" w:hAnsi="楷体" w:eastAsia="楷体" w:cs="宋体"/>
                <w:bCs/>
                <w:color w:val="auto"/>
                <w:sz w:val="24"/>
                <w:highlight w:val="none"/>
              </w:rPr>
              <w:t>3.支票、汇票或者本票出现无效或者背书情形的，视为无效投标保证金。</w:t>
            </w:r>
          </w:p>
          <w:p w14:paraId="62E9DBA9">
            <w:pPr>
              <w:snapToGrid w:val="0"/>
              <w:spacing w:line="360" w:lineRule="auto"/>
              <w:rPr>
                <w:rFonts w:ascii="楷体" w:hAnsi="楷体" w:eastAsia="楷体" w:cs="宋体"/>
                <w:bCs/>
                <w:color w:val="auto"/>
                <w:sz w:val="24"/>
                <w:highlight w:val="none"/>
              </w:rPr>
            </w:pPr>
            <w:r>
              <w:rPr>
                <w:rFonts w:hint="eastAsia" w:ascii="楷体" w:hAnsi="楷体" w:eastAsia="楷体" w:cs="宋体"/>
                <w:bCs/>
                <w:color w:val="auto"/>
                <w:sz w:val="24"/>
                <w:highlight w:val="none"/>
              </w:rPr>
              <w:t>4.保函有效期低于投标有效期的，视为无效投标保证金。</w:t>
            </w:r>
          </w:p>
          <w:p w14:paraId="179AED7A">
            <w:pPr>
              <w:snapToGrid w:val="0"/>
              <w:spacing w:line="360" w:lineRule="auto"/>
              <w:rPr>
                <w:color w:val="auto"/>
                <w:highlight w:val="none"/>
              </w:rPr>
            </w:pPr>
            <w:r>
              <w:rPr>
                <w:rFonts w:hint="eastAsia" w:ascii="楷体" w:hAnsi="楷体" w:eastAsia="楷体" w:cs="宋体"/>
                <w:bCs/>
                <w:color w:val="auto"/>
                <w:sz w:val="24"/>
                <w:highlight w:val="none"/>
              </w:rPr>
              <w:t>5.采用银行、保险机构出具保函的，必须为无条件保函，否则视为无效投标保证金。</w:t>
            </w:r>
          </w:p>
        </w:tc>
      </w:tr>
      <w:tr w14:paraId="46D035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65AD117F">
            <w:pPr>
              <w:spacing w:line="360" w:lineRule="auto"/>
              <w:jc w:val="center"/>
              <w:rPr>
                <w:rFonts w:ascii="宋体" w:hAnsi="宋体" w:cs="宋体"/>
                <w:color w:val="auto"/>
                <w:sz w:val="24"/>
                <w:highlight w:val="none"/>
              </w:rPr>
            </w:pPr>
            <w:bookmarkStart w:id="58" w:name="_19.2"/>
            <w:bookmarkEnd w:id="58"/>
            <w:r>
              <w:rPr>
                <w:rFonts w:hint="eastAsia" w:ascii="宋体" w:hAnsi="宋体" w:cs="宋体"/>
                <w:color w:val="auto"/>
                <w:sz w:val="24"/>
                <w:highlight w:val="none"/>
              </w:rPr>
              <w:t>19.2</w:t>
            </w:r>
          </w:p>
        </w:tc>
        <w:tc>
          <w:tcPr>
            <w:tcW w:w="8708" w:type="dxa"/>
            <w:tcBorders>
              <w:top w:val="single" w:color="auto" w:sz="4" w:space="0"/>
              <w:left w:val="single" w:color="auto" w:sz="4" w:space="0"/>
              <w:bottom w:val="single" w:color="auto" w:sz="4" w:space="0"/>
              <w:right w:val="single" w:color="auto" w:sz="4" w:space="0"/>
            </w:tcBorders>
            <w:vAlign w:val="center"/>
          </w:tcPr>
          <w:p w14:paraId="2F1FF696">
            <w:pPr>
              <w:autoSpaceDE w:val="0"/>
              <w:autoSpaceDN w:val="0"/>
              <w:snapToGrid w:val="0"/>
              <w:spacing w:line="360" w:lineRule="auto"/>
              <w:textAlignment w:val="bottom"/>
              <w:rPr>
                <w:rFonts w:ascii="宋体" w:hAnsi="宋体" w:cs="宋体"/>
                <w:color w:val="auto"/>
                <w:sz w:val="24"/>
                <w:highlight w:val="none"/>
              </w:rPr>
            </w:pPr>
            <w:r>
              <w:rPr>
                <w:rFonts w:hint="eastAsia" w:ascii="宋体" w:hAnsi="宋体" w:cs="宋体"/>
                <w:color w:val="auto"/>
                <w:sz w:val="24"/>
                <w:highlight w:val="none"/>
              </w:rPr>
              <w:t>投标文件应按报价文件、资格证明文件、商务文件、技术文件分别编制，</w:t>
            </w:r>
            <w:r>
              <w:rPr>
                <w:rFonts w:hint="eastAsia" w:ascii="宋体" w:hAnsi="宋体" w:cs="宋体"/>
                <w:color w:val="auto"/>
                <w:sz w:val="24"/>
                <w:highlight w:val="none"/>
                <w:lang w:bidi="ar"/>
              </w:rPr>
              <w:t>并按广西政府采购云平台的要求编制、加密、上传。（注：按照本招标文件“第六章 投标文件格式”编写，第六章未附格式的，由投标人自行拟定。）</w:t>
            </w:r>
          </w:p>
        </w:tc>
      </w:tr>
      <w:tr w14:paraId="7A5DD5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6432C30E">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20.1</w:t>
            </w:r>
          </w:p>
        </w:tc>
        <w:tc>
          <w:tcPr>
            <w:tcW w:w="8708" w:type="dxa"/>
            <w:tcBorders>
              <w:top w:val="single" w:color="auto" w:sz="4" w:space="0"/>
              <w:left w:val="single" w:color="auto" w:sz="4" w:space="0"/>
              <w:bottom w:val="single" w:color="auto" w:sz="4" w:space="0"/>
              <w:right w:val="single" w:color="auto" w:sz="4" w:space="0"/>
            </w:tcBorders>
            <w:vAlign w:val="center"/>
          </w:tcPr>
          <w:p w14:paraId="0F764721">
            <w:pPr>
              <w:autoSpaceDE w:val="0"/>
              <w:autoSpaceDN w:val="0"/>
              <w:snapToGrid w:val="0"/>
              <w:spacing w:line="360" w:lineRule="auto"/>
              <w:textAlignment w:val="bottom"/>
              <w:rPr>
                <w:rFonts w:ascii="宋体" w:hAnsi="宋体" w:cs="宋体"/>
                <w:color w:val="auto"/>
                <w:sz w:val="24"/>
                <w:highlight w:val="none"/>
              </w:rPr>
            </w:pPr>
            <w:r>
              <w:rPr>
                <w:rFonts w:hint="eastAsia" w:ascii="宋体" w:hAnsi="宋体" w:cs="宋体"/>
                <w:color w:val="auto"/>
                <w:sz w:val="24"/>
                <w:highlight w:val="none"/>
              </w:rPr>
              <w:t>电子投标文件应在制作完成后，投标人应按广西政府采购云平台的要求进行加密，并在规定时间内解密，否则，由此产生的后果由投标人自行负责。</w:t>
            </w:r>
          </w:p>
        </w:tc>
      </w:tr>
      <w:tr w14:paraId="0CBC6D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6" w:hRule="atLeast"/>
          <w:jc w:val="center"/>
        </w:trPr>
        <w:tc>
          <w:tcPr>
            <w:tcW w:w="895" w:type="dxa"/>
            <w:tcBorders>
              <w:top w:val="single" w:color="auto" w:sz="4" w:space="0"/>
              <w:left w:val="single" w:color="auto" w:sz="4" w:space="0"/>
              <w:bottom w:val="single" w:color="auto" w:sz="4" w:space="0"/>
              <w:right w:val="single" w:color="auto" w:sz="4" w:space="0"/>
            </w:tcBorders>
            <w:vAlign w:val="center"/>
          </w:tcPr>
          <w:p w14:paraId="43769A07">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0.2</w:t>
            </w:r>
          </w:p>
        </w:tc>
        <w:tc>
          <w:tcPr>
            <w:tcW w:w="8708" w:type="dxa"/>
            <w:tcBorders>
              <w:top w:val="single" w:color="auto" w:sz="4" w:space="0"/>
              <w:left w:val="single" w:color="auto" w:sz="4" w:space="0"/>
              <w:bottom w:val="single" w:color="auto" w:sz="4" w:space="0"/>
              <w:right w:val="single" w:color="auto" w:sz="4" w:space="0"/>
            </w:tcBorders>
            <w:vAlign w:val="center"/>
          </w:tcPr>
          <w:p w14:paraId="6BA7C2B6">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本项目不接受电子备份投标文件</w:t>
            </w:r>
          </w:p>
        </w:tc>
      </w:tr>
      <w:tr w14:paraId="663A02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6" w:hRule="atLeast"/>
          <w:jc w:val="center"/>
        </w:trPr>
        <w:tc>
          <w:tcPr>
            <w:tcW w:w="895" w:type="dxa"/>
            <w:tcBorders>
              <w:top w:val="single" w:color="auto" w:sz="4" w:space="0"/>
              <w:left w:val="single" w:color="auto" w:sz="4" w:space="0"/>
              <w:bottom w:val="single" w:color="auto" w:sz="4" w:space="0"/>
              <w:right w:val="single" w:color="auto" w:sz="4" w:space="0"/>
            </w:tcBorders>
            <w:vAlign w:val="center"/>
          </w:tcPr>
          <w:p w14:paraId="56C1170A">
            <w:pPr>
              <w:spacing w:line="360" w:lineRule="auto"/>
              <w:jc w:val="center"/>
              <w:rPr>
                <w:rFonts w:ascii="宋体" w:hAnsi="宋体" w:cs="宋体"/>
                <w:color w:val="auto"/>
                <w:sz w:val="24"/>
                <w:highlight w:val="none"/>
              </w:rPr>
            </w:pPr>
            <w:bookmarkStart w:id="59" w:name="_21.1"/>
            <w:bookmarkEnd w:id="59"/>
            <w:r>
              <w:rPr>
                <w:rFonts w:hint="eastAsia" w:ascii="宋体" w:hAnsi="宋体" w:cs="宋体"/>
                <w:color w:val="auto"/>
                <w:sz w:val="24"/>
                <w:highlight w:val="none"/>
              </w:rPr>
              <w:t>21.1</w:t>
            </w:r>
          </w:p>
        </w:tc>
        <w:tc>
          <w:tcPr>
            <w:tcW w:w="8708" w:type="dxa"/>
            <w:tcBorders>
              <w:top w:val="single" w:color="auto" w:sz="4" w:space="0"/>
              <w:left w:val="single" w:color="auto" w:sz="4" w:space="0"/>
              <w:bottom w:val="single" w:color="auto" w:sz="4" w:space="0"/>
              <w:right w:val="single" w:color="auto" w:sz="4" w:space="0"/>
            </w:tcBorders>
            <w:vAlign w:val="center"/>
          </w:tcPr>
          <w:p w14:paraId="06DBA620">
            <w:pPr>
              <w:snapToGrid w:val="0"/>
              <w:spacing w:line="360" w:lineRule="auto"/>
              <w:rPr>
                <w:rFonts w:ascii="宋体" w:hAnsi="宋体" w:cs="宋体"/>
                <w:color w:val="auto"/>
                <w:sz w:val="24"/>
                <w:highlight w:val="none"/>
                <w:u w:val="single"/>
              </w:rPr>
            </w:pPr>
            <w:r>
              <w:rPr>
                <w:rFonts w:hint="eastAsia" w:ascii="宋体" w:hAnsi="宋体" w:cs="宋体"/>
                <w:color w:val="auto"/>
                <w:sz w:val="24"/>
                <w:highlight w:val="none"/>
              </w:rPr>
              <w:t>1</w:t>
            </w:r>
            <w:r>
              <w:rPr>
                <w:rFonts w:hint="eastAsia" w:ascii="宋体" w:hAnsi="宋体" w:cs="宋体"/>
                <w:bCs/>
                <w:color w:val="auto"/>
                <w:sz w:val="24"/>
                <w:highlight w:val="none"/>
              </w:rPr>
              <w:t>.</w:t>
            </w:r>
            <w:r>
              <w:rPr>
                <w:rFonts w:hint="eastAsia" w:ascii="宋体" w:hAnsi="宋体" w:cs="宋体"/>
                <w:color w:val="auto"/>
                <w:sz w:val="24"/>
                <w:highlight w:val="none"/>
              </w:rPr>
              <w:t>投标截止时间：详见招标公告</w:t>
            </w:r>
          </w:p>
          <w:p w14:paraId="3EF9C810">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bCs/>
                <w:color w:val="auto"/>
                <w:sz w:val="24"/>
                <w:highlight w:val="none"/>
              </w:rPr>
              <w:t>.</w:t>
            </w:r>
            <w:r>
              <w:rPr>
                <w:rFonts w:hint="eastAsia" w:ascii="宋体" w:hAnsi="宋体" w:cs="宋体"/>
                <w:color w:val="auto"/>
                <w:sz w:val="24"/>
                <w:highlight w:val="none"/>
              </w:rPr>
              <w:t>投标地点：详见招标公告</w:t>
            </w:r>
          </w:p>
        </w:tc>
      </w:tr>
      <w:tr w14:paraId="59EEA3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20DBBB9B">
            <w:pPr>
              <w:spacing w:line="360" w:lineRule="auto"/>
              <w:jc w:val="center"/>
              <w:rPr>
                <w:rFonts w:ascii="宋体" w:hAnsi="宋体" w:cs="宋体"/>
                <w:color w:val="auto"/>
                <w:sz w:val="24"/>
                <w:highlight w:val="none"/>
              </w:rPr>
            </w:pPr>
            <w:bookmarkStart w:id="60" w:name="_23"/>
            <w:bookmarkEnd w:id="60"/>
            <w:r>
              <w:rPr>
                <w:rFonts w:hint="eastAsia" w:ascii="宋体" w:hAnsi="宋体" w:cs="宋体"/>
                <w:color w:val="auto"/>
                <w:sz w:val="24"/>
                <w:highlight w:val="none"/>
              </w:rPr>
              <w:t>23</w:t>
            </w:r>
          </w:p>
        </w:tc>
        <w:tc>
          <w:tcPr>
            <w:tcW w:w="8708" w:type="dxa"/>
            <w:tcBorders>
              <w:top w:val="single" w:color="auto" w:sz="4" w:space="0"/>
              <w:left w:val="single" w:color="auto" w:sz="4" w:space="0"/>
              <w:bottom w:val="single" w:color="auto" w:sz="4" w:space="0"/>
              <w:right w:val="single" w:color="auto" w:sz="4" w:space="0"/>
            </w:tcBorders>
            <w:vAlign w:val="center"/>
          </w:tcPr>
          <w:p w14:paraId="370EF438">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bCs/>
                <w:color w:val="auto"/>
                <w:sz w:val="24"/>
                <w:highlight w:val="none"/>
              </w:rPr>
              <w:t>.</w:t>
            </w:r>
            <w:r>
              <w:rPr>
                <w:rFonts w:hint="eastAsia" w:ascii="宋体" w:hAnsi="宋体" w:cs="宋体"/>
                <w:color w:val="auto"/>
                <w:sz w:val="24"/>
                <w:highlight w:val="none"/>
              </w:rPr>
              <w:t>开标时间：详见招标公告</w:t>
            </w:r>
          </w:p>
          <w:p w14:paraId="58B6B35F">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bCs/>
                <w:color w:val="auto"/>
                <w:sz w:val="24"/>
                <w:highlight w:val="none"/>
              </w:rPr>
              <w:t>.</w:t>
            </w:r>
            <w:r>
              <w:rPr>
                <w:rFonts w:hint="eastAsia" w:ascii="宋体" w:hAnsi="宋体" w:cs="宋体"/>
                <w:color w:val="auto"/>
                <w:sz w:val="24"/>
                <w:highlight w:val="none"/>
              </w:rPr>
              <w:t>开标地点：详见招标公告</w:t>
            </w:r>
          </w:p>
        </w:tc>
      </w:tr>
      <w:tr w14:paraId="77829A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08DA41DD">
            <w:pPr>
              <w:spacing w:line="360" w:lineRule="auto"/>
              <w:jc w:val="center"/>
              <w:rPr>
                <w:rFonts w:ascii="宋体" w:hAnsi="宋体" w:cs="宋体"/>
                <w:color w:val="auto"/>
                <w:sz w:val="24"/>
                <w:highlight w:val="none"/>
              </w:rPr>
            </w:pPr>
            <w:r>
              <w:rPr>
                <w:rFonts w:hint="eastAsia" w:ascii="宋体" w:hAnsi="宋体" w:cs="宋体"/>
                <w:bCs/>
                <w:color w:val="auto"/>
                <w:sz w:val="24"/>
                <w:highlight w:val="none"/>
              </w:rPr>
              <w:t>24.2</w:t>
            </w:r>
          </w:p>
        </w:tc>
        <w:tc>
          <w:tcPr>
            <w:tcW w:w="8708" w:type="dxa"/>
            <w:tcBorders>
              <w:top w:val="single" w:color="auto" w:sz="4" w:space="0"/>
              <w:left w:val="single" w:color="auto" w:sz="4" w:space="0"/>
              <w:bottom w:val="single" w:color="auto" w:sz="4" w:space="0"/>
              <w:right w:val="single" w:color="auto" w:sz="4" w:space="0"/>
            </w:tcBorders>
            <w:vAlign w:val="center"/>
          </w:tcPr>
          <w:p w14:paraId="3F7780FC">
            <w:pPr>
              <w:autoSpaceDE w:val="0"/>
              <w:autoSpaceDN w:val="0"/>
              <w:adjustRightInd w:val="0"/>
              <w:spacing w:line="360" w:lineRule="auto"/>
              <w:rPr>
                <w:rFonts w:ascii="宋体" w:hAnsi="宋体" w:cs="宋体"/>
                <w:color w:val="auto"/>
                <w:sz w:val="24"/>
                <w:highlight w:val="none"/>
              </w:rPr>
            </w:pPr>
            <w:r>
              <w:rPr>
                <w:rFonts w:hint="eastAsia" w:ascii="宋体" w:hAnsi="宋体" w:cs="宋体"/>
                <w:bCs/>
                <w:color w:val="auto"/>
                <w:sz w:val="24"/>
                <w:highlight w:val="none"/>
              </w:rPr>
              <w:t>广西政府采购云平台按开标时间自动提取所有投标文件。采购代理机构依托广西政府采购云平台向各投标人发出电子加密投标文件【开始解密】通知，由投标人进行投标文件解密。</w:t>
            </w:r>
            <w:r>
              <w:rPr>
                <w:rFonts w:hint="eastAsia" w:ascii="宋体" w:hAnsi="宋体" w:cs="宋体"/>
                <w:b/>
                <w:bCs/>
                <w:color w:val="auto"/>
                <w:sz w:val="24"/>
                <w:highlight w:val="none"/>
              </w:rPr>
              <w:t>投标人的法定代表人或其委托代理人须携带加密时所用的CA锁准时登录到广西政府采购云平台电子开标大厅签到</w:t>
            </w:r>
            <w:r>
              <w:rPr>
                <w:rFonts w:hint="eastAsia" w:ascii="宋体" w:hAnsi="宋体" w:cs="宋体"/>
                <w:b/>
                <w:color w:val="auto"/>
                <w:sz w:val="24"/>
                <w:highlight w:val="none"/>
              </w:rPr>
              <w:t>并在发起解密</w:t>
            </w:r>
            <w:r>
              <w:rPr>
                <w:rFonts w:hint="eastAsia" w:ascii="宋体" w:hAnsi="宋体" w:cs="宋体"/>
                <w:b/>
                <w:bCs/>
                <w:color w:val="auto"/>
                <w:sz w:val="24"/>
                <w:highlight w:val="none"/>
              </w:rPr>
              <w:t>通知</w:t>
            </w:r>
            <w:r>
              <w:rPr>
                <w:rFonts w:hint="eastAsia" w:ascii="宋体" w:hAnsi="宋体" w:cs="宋体"/>
                <w:b/>
                <w:color w:val="auto"/>
                <w:sz w:val="24"/>
                <w:highlight w:val="none"/>
              </w:rPr>
              <w:t>之时起30分钟内完成</w:t>
            </w:r>
            <w:r>
              <w:rPr>
                <w:rFonts w:hint="eastAsia" w:ascii="宋体" w:hAnsi="宋体" w:cs="宋体"/>
                <w:b/>
                <w:bCs/>
                <w:color w:val="auto"/>
                <w:sz w:val="24"/>
                <w:highlight w:val="none"/>
              </w:rPr>
              <w:t>对电子投标文件解密。投标文件未按时解密的，视为无效投标。</w:t>
            </w:r>
          </w:p>
        </w:tc>
      </w:tr>
      <w:tr w14:paraId="7E140A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5EF11D10">
            <w:pPr>
              <w:spacing w:line="360" w:lineRule="auto"/>
              <w:jc w:val="center"/>
              <w:rPr>
                <w:rFonts w:ascii="宋体" w:hAnsi="宋体" w:cs="宋体"/>
                <w:color w:val="auto"/>
                <w:sz w:val="24"/>
                <w:highlight w:val="none"/>
              </w:rPr>
            </w:pPr>
            <w:bookmarkStart w:id="61" w:name="_25.3"/>
            <w:bookmarkEnd w:id="61"/>
            <w:r>
              <w:rPr>
                <w:rFonts w:hint="eastAsia" w:ascii="宋体" w:hAnsi="宋体" w:cs="宋体"/>
                <w:color w:val="auto"/>
                <w:sz w:val="24"/>
                <w:highlight w:val="none"/>
              </w:rPr>
              <w:t>25.3（3）</w:t>
            </w:r>
          </w:p>
        </w:tc>
        <w:tc>
          <w:tcPr>
            <w:tcW w:w="8708" w:type="dxa"/>
            <w:tcBorders>
              <w:top w:val="single" w:color="auto" w:sz="4" w:space="0"/>
              <w:left w:val="single" w:color="auto" w:sz="4" w:space="0"/>
              <w:bottom w:val="single" w:color="auto" w:sz="4" w:space="0"/>
              <w:right w:val="single" w:color="auto" w:sz="4" w:space="0"/>
            </w:tcBorders>
            <w:vAlign w:val="center"/>
          </w:tcPr>
          <w:p w14:paraId="172E9711">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采购人或者采购代理机构在资格审查结束前，对投标人进行信用查询。</w:t>
            </w:r>
          </w:p>
          <w:p w14:paraId="61FA5203">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查询渠道：“信用中国”网站（www.creditchina.gov.cn）、中国政府采购网（</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Style w:val="53"/>
                <w:rFonts w:hint="eastAsia" w:ascii="宋体" w:hAnsi="宋体" w:cs="宋体"/>
                <w:color w:val="auto"/>
                <w:sz w:val="24"/>
                <w:highlight w:val="none"/>
              </w:rPr>
              <w:t>www.ccgp.gov.cn</w:t>
            </w:r>
            <w:r>
              <w:rPr>
                <w:rStyle w:val="53"/>
                <w:rFonts w:hint="eastAsia" w:ascii="宋体" w:hAnsi="宋体" w:cs="宋体"/>
                <w:color w:val="auto"/>
                <w:sz w:val="24"/>
                <w:highlight w:val="none"/>
              </w:rPr>
              <w:fldChar w:fldCharType="end"/>
            </w:r>
            <w:r>
              <w:rPr>
                <w:rFonts w:hint="eastAsia" w:ascii="宋体" w:hAnsi="宋体" w:cs="宋体"/>
                <w:color w:val="auto"/>
                <w:sz w:val="24"/>
                <w:highlight w:val="none"/>
              </w:rPr>
              <w:t>）。</w:t>
            </w:r>
          </w:p>
          <w:p w14:paraId="691CD35A">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信用查询截止时点：资格审查结束前。</w:t>
            </w:r>
          </w:p>
          <w:p w14:paraId="562FB85B">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查询记录和证据留存方式：将查询网站中的查询记录截图并作为评审资料保存。</w:t>
            </w:r>
          </w:p>
          <w:p w14:paraId="18BBA3A0">
            <w:pPr>
              <w:snapToGrid w:val="0"/>
              <w:spacing w:line="360" w:lineRule="auto"/>
              <w:rPr>
                <w:rFonts w:ascii="宋体" w:hAnsi="宋体" w:cs="宋体"/>
                <w:b/>
                <w:color w:val="auto"/>
                <w:sz w:val="24"/>
                <w:highlight w:val="none"/>
              </w:rPr>
            </w:pPr>
            <w:r>
              <w:rPr>
                <w:rFonts w:hint="eastAsia" w:ascii="宋体" w:hAnsi="宋体" w:cs="宋体"/>
                <w:color w:val="auto"/>
                <w:sz w:val="24"/>
                <w:highlight w:val="none"/>
              </w:rPr>
              <w:t>信用信息使用规则：根据财政部《关于在政府采购活动中查询及使用信用记录有关问题的通知》（财库〔2016〕125号）的规定，</w:t>
            </w:r>
            <w:r>
              <w:rPr>
                <w:rFonts w:hint="eastAsia" w:ascii="宋体" w:hAnsi="宋体" w:cs="宋体"/>
                <w:color w:val="auto"/>
                <w:sz w:val="24"/>
                <w:highlight w:val="none"/>
                <w:lang w:bidi="ar"/>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79293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11BB9591">
            <w:pPr>
              <w:spacing w:line="360" w:lineRule="auto"/>
              <w:jc w:val="center"/>
              <w:rPr>
                <w:rFonts w:ascii="宋体" w:hAnsi="宋体" w:cs="宋体"/>
                <w:color w:val="auto"/>
                <w:sz w:val="24"/>
                <w:highlight w:val="none"/>
              </w:rPr>
            </w:pPr>
            <w:bookmarkStart w:id="62" w:name="_26"/>
            <w:bookmarkEnd w:id="62"/>
            <w:r>
              <w:rPr>
                <w:rFonts w:hint="eastAsia" w:ascii="宋体" w:hAnsi="宋体" w:cs="宋体"/>
                <w:color w:val="auto"/>
                <w:sz w:val="24"/>
                <w:highlight w:val="none"/>
              </w:rPr>
              <w:t>26</w:t>
            </w:r>
          </w:p>
        </w:tc>
        <w:tc>
          <w:tcPr>
            <w:tcW w:w="8708" w:type="dxa"/>
            <w:tcBorders>
              <w:top w:val="single" w:color="auto" w:sz="4" w:space="0"/>
              <w:left w:val="single" w:color="auto" w:sz="4" w:space="0"/>
              <w:bottom w:val="single" w:color="auto" w:sz="4" w:space="0"/>
              <w:right w:val="single" w:color="auto" w:sz="4" w:space="0"/>
            </w:tcBorders>
            <w:vAlign w:val="center"/>
          </w:tcPr>
          <w:p w14:paraId="5176E8C5">
            <w:pPr>
              <w:autoSpaceDE w:val="0"/>
              <w:autoSpaceDN w:val="0"/>
              <w:snapToGrid w:val="0"/>
              <w:spacing w:line="360" w:lineRule="auto"/>
              <w:textAlignment w:val="bottom"/>
              <w:rPr>
                <w:rFonts w:ascii="宋体" w:hAnsi="宋体" w:cs="宋体"/>
                <w:color w:val="auto"/>
                <w:sz w:val="24"/>
                <w:highlight w:val="none"/>
              </w:rPr>
            </w:pPr>
            <w:r>
              <w:rPr>
                <w:rFonts w:hint="eastAsia" w:ascii="宋体" w:hAnsi="宋体" w:cs="宋体"/>
                <w:color w:val="auto"/>
                <w:sz w:val="24"/>
                <w:highlight w:val="none"/>
              </w:rPr>
              <w:t>评标委员会的人数：5人或以上单数。（采购项目符合下列情形之一的，评标委员会成员人数应当为7人以上单数：1.采购预算金额在1000万元以上；2.技术复杂；3.社会影响较大。）</w:t>
            </w:r>
          </w:p>
        </w:tc>
      </w:tr>
      <w:tr w14:paraId="15FFBE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04359D22">
            <w:pPr>
              <w:spacing w:line="360" w:lineRule="auto"/>
              <w:jc w:val="center"/>
              <w:rPr>
                <w:rFonts w:ascii="宋体" w:hAnsi="宋体" w:cs="宋体"/>
                <w:color w:val="auto"/>
                <w:sz w:val="24"/>
                <w:highlight w:val="none"/>
              </w:rPr>
            </w:pPr>
            <w:bookmarkStart w:id="63" w:name="_28.3"/>
            <w:bookmarkEnd w:id="63"/>
            <w:r>
              <w:rPr>
                <w:rFonts w:hint="eastAsia" w:ascii="宋体" w:hAnsi="宋体" w:cs="宋体"/>
                <w:color w:val="auto"/>
                <w:sz w:val="24"/>
                <w:highlight w:val="none"/>
              </w:rPr>
              <w:t>29.1</w:t>
            </w:r>
          </w:p>
        </w:tc>
        <w:tc>
          <w:tcPr>
            <w:tcW w:w="8708" w:type="dxa"/>
            <w:tcBorders>
              <w:top w:val="single" w:color="auto" w:sz="4" w:space="0"/>
              <w:left w:val="single" w:color="auto" w:sz="4" w:space="0"/>
              <w:bottom w:val="single" w:color="auto" w:sz="4" w:space="0"/>
              <w:right w:val="single" w:color="auto" w:sz="4" w:space="0"/>
            </w:tcBorders>
            <w:vAlign w:val="center"/>
          </w:tcPr>
          <w:p w14:paraId="1264D098">
            <w:pPr>
              <w:autoSpaceDE w:val="0"/>
              <w:autoSpaceDN w:val="0"/>
              <w:snapToGrid w:val="0"/>
              <w:spacing w:line="360" w:lineRule="auto"/>
              <w:textAlignment w:val="bottom"/>
              <w:rPr>
                <w:rFonts w:ascii="宋体" w:hAnsi="宋体" w:cs="宋体"/>
                <w:color w:val="auto"/>
                <w:sz w:val="24"/>
                <w:highlight w:val="none"/>
              </w:rPr>
            </w:pPr>
            <w:r>
              <w:rPr>
                <w:rFonts w:hint="eastAsia" w:ascii="宋体" w:hAnsi="宋体" w:cs="宋体"/>
                <w:color w:val="auto"/>
                <w:sz w:val="24"/>
                <w:highlight w:val="none"/>
              </w:rPr>
              <w:t>评标方法：</w:t>
            </w:r>
          </w:p>
          <w:p w14:paraId="22B05391">
            <w:pPr>
              <w:autoSpaceDE w:val="0"/>
              <w:autoSpaceDN w:val="0"/>
              <w:snapToGrid w:val="0"/>
              <w:spacing w:line="360" w:lineRule="auto"/>
              <w:textAlignment w:val="bottom"/>
              <w:rPr>
                <w:rFonts w:ascii="宋体" w:hAnsi="宋体" w:cs="宋体"/>
                <w:color w:val="auto"/>
                <w:sz w:val="24"/>
                <w:highlight w:val="none"/>
              </w:rPr>
            </w:pPr>
            <w:r>
              <w:rPr>
                <w:rFonts w:ascii="Segoe UI Emoji" w:hAnsi="Segoe UI Emoji" w:cs="Segoe UI Emoji"/>
                <w:color w:val="auto"/>
                <w:sz w:val="24"/>
                <w:highlight w:val="none"/>
              </w:rPr>
              <w:t>☑</w:t>
            </w:r>
            <w:r>
              <w:rPr>
                <w:rFonts w:hint="eastAsia" w:ascii="宋体" w:hAnsi="宋体" w:cs="宋体"/>
                <w:color w:val="auto"/>
                <w:sz w:val="24"/>
                <w:highlight w:val="none"/>
              </w:rPr>
              <w:t>综合评分法</w:t>
            </w:r>
          </w:p>
          <w:p w14:paraId="2A39210E">
            <w:pPr>
              <w:autoSpaceDE w:val="0"/>
              <w:autoSpaceDN w:val="0"/>
              <w:snapToGrid w:val="0"/>
              <w:spacing w:line="360" w:lineRule="auto"/>
              <w:textAlignment w:val="bottom"/>
              <w:rPr>
                <w:color w:val="auto"/>
                <w:highlight w:val="none"/>
              </w:rPr>
            </w:pPr>
            <w:r>
              <w:rPr>
                <w:rFonts w:hint="eastAsia" w:ascii="宋体" w:hAnsi="宋体" w:cs="宋体"/>
                <w:color w:val="auto"/>
                <w:sz w:val="24"/>
                <w:highlight w:val="none"/>
              </w:rPr>
              <w:t>□最低评标价法</w:t>
            </w:r>
          </w:p>
        </w:tc>
      </w:tr>
      <w:tr w14:paraId="31CC6B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895" w:type="dxa"/>
            <w:vMerge w:val="restart"/>
            <w:tcBorders>
              <w:top w:val="single" w:color="auto" w:sz="4" w:space="0"/>
              <w:left w:val="single" w:color="auto" w:sz="4" w:space="0"/>
              <w:right w:val="single" w:color="auto" w:sz="4" w:space="0"/>
            </w:tcBorders>
            <w:vAlign w:val="center"/>
          </w:tcPr>
          <w:p w14:paraId="1BAC89DD">
            <w:pPr>
              <w:spacing w:line="360" w:lineRule="auto"/>
              <w:jc w:val="center"/>
              <w:rPr>
                <w:rFonts w:ascii="宋体" w:hAnsi="宋体" w:cs="宋体"/>
                <w:color w:val="auto"/>
                <w:sz w:val="24"/>
                <w:highlight w:val="none"/>
              </w:rPr>
            </w:pPr>
            <w:bookmarkStart w:id="64" w:name="_29.2.2（2）"/>
            <w:bookmarkEnd w:id="64"/>
            <w:r>
              <w:rPr>
                <w:rFonts w:hint="eastAsia" w:ascii="宋体" w:hAnsi="宋体" w:cs="宋体"/>
                <w:color w:val="auto"/>
                <w:sz w:val="24"/>
                <w:highlight w:val="none"/>
              </w:rPr>
              <w:t>29.2</w:t>
            </w:r>
          </w:p>
        </w:tc>
        <w:tc>
          <w:tcPr>
            <w:tcW w:w="8708" w:type="dxa"/>
            <w:tcBorders>
              <w:top w:val="single" w:color="auto" w:sz="4" w:space="0"/>
              <w:left w:val="single" w:color="auto" w:sz="4" w:space="0"/>
              <w:right w:val="single" w:color="auto" w:sz="4" w:space="0"/>
            </w:tcBorders>
            <w:vAlign w:val="center"/>
          </w:tcPr>
          <w:p w14:paraId="6B59E228">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单个分标商务要求评审中允许负偏离的条款数为</w:t>
            </w:r>
            <w:r>
              <w:rPr>
                <w:rFonts w:ascii="宋体" w:hAnsi="宋体" w:cs="宋体"/>
                <w:color w:val="auto"/>
                <w:sz w:val="24"/>
                <w:highlight w:val="none"/>
                <w:u w:val="single"/>
              </w:rPr>
              <w:t>0</w:t>
            </w:r>
            <w:r>
              <w:rPr>
                <w:rFonts w:hint="eastAsia" w:ascii="宋体" w:hAnsi="宋体" w:cs="宋体"/>
                <w:color w:val="auto"/>
                <w:sz w:val="24"/>
                <w:highlight w:val="none"/>
              </w:rPr>
              <w:t>项。</w:t>
            </w:r>
          </w:p>
          <w:p w14:paraId="1272EA19">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单个分标技术要求评审中允许负偏离的条款数为</w:t>
            </w:r>
            <w:r>
              <w:rPr>
                <w:rFonts w:hint="eastAsia" w:ascii="宋体" w:hAnsi="宋体" w:cs="宋体"/>
                <w:color w:val="auto"/>
                <w:sz w:val="24"/>
                <w:highlight w:val="none"/>
                <w:u w:val="single"/>
              </w:rPr>
              <w:t>1</w:t>
            </w:r>
            <w:r>
              <w:rPr>
                <w:rFonts w:hint="eastAsia" w:ascii="宋体" w:hAnsi="宋体" w:cs="宋体"/>
                <w:color w:val="auto"/>
                <w:sz w:val="24"/>
                <w:highlight w:val="none"/>
              </w:rPr>
              <w:t>项。</w:t>
            </w:r>
          </w:p>
        </w:tc>
      </w:tr>
      <w:tr w14:paraId="20BC1F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895" w:type="dxa"/>
            <w:vMerge w:val="continue"/>
            <w:tcBorders>
              <w:left w:val="single" w:color="auto" w:sz="4" w:space="0"/>
              <w:right w:val="single" w:color="auto" w:sz="4" w:space="0"/>
            </w:tcBorders>
            <w:vAlign w:val="center"/>
          </w:tcPr>
          <w:p w14:paraId="4FC6E61D">
            <w:pPr>
              <w:spacing w:line="360" w:lineRule="auto"/>
              <w:jc w:val="center"/>
              <w:rPr>
                <w:rFonts w:ascii="宋体" w:hAnsi="宋体" w:cs="宋体"/>
                <w:color w:val="auto"/>
                <w:sz w:val="24"/>
                <w:highlight w:val="none"/>
              </w:rPr>
            </w:pPr>
          </w:p>
        </w:tc>
        <w:tc>
          <w:tcPr>
            <w:tcW w:w="8708" w:type="dxa"/>
            <w:tcBorders>
              <w:top w:val="single" w:color="auto" w:sz="4" w:space="0"/>
              <w:left w:val="single" w:color="auto" w:sz="4" w:space="0"/>
              <w:right w:val="single" w:color="auto" w:sz="4" w:space="0"/>
            </w:tcBorders>
            <w:vAlign w:val="center"/>
          </w:tcPr>
          <w:p w14:paraId="248E231E">
            <w:pPr>
              <w:snapToGrid w:val="0"/>
              <w:spacing w:line="360" w:lineRule="auto"/>
              <w:rPr>
                <w:rFonts w:ascii="宋体" w:hAnsi="宋体" w:cs="宋体"/>
                <w:color w:val="auto"/>
                <w:sz w:val="24"/>
                <w:highlight w:val="none"/>
                <w:u w:val="single"/>
              </w:rPr>
            </w:pPr>
            <w:r>
              <w:rPr>
                <w:rFonts w:hint="eastAsia" w:ascii="宋体" w:hAnsi="宋体" w:cs="宋体"/>
                <w:color w:val="auto"/>
                <w:sz w:val="24"/>
                <w:highlight w:val="none"/>
              </w:rPr>
              <w:t>单个分标中标候选人推荐数量：3家</w:t>
            </w:r>
          </w:p>
        </w:tc>
      </w:tr>
      <w:tr w14:paraId="0A3299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33CCE31D">
            <w:pPr>
              <w:spacing w:line="360" w:lineRule="auto"/>
              <w:jc w:val="center"/>
              <w:rPr>
                <w:rFonts w:ascii="宋体" w:hAnsi="宋体" w:cs="宋体"/>
                <w:color w:val="auto"/>
                <w:sz w:val="24"/>
                <w:highlight w:val="none"/>
              </w:rPr>
            </w:pPr>
            <w:r>
              <w:rPr>
                <w:rFonts w:hint="eastAsia" w:ascii="宋体" w:hAnsi="宋体" w:cs="宋体"/>
                <w:color w:val="auto"/>
                <w:sz w:val="24"/>
                <w:highlight w:val="none"/>
              </w:rPr>
              <w:t>30.1</w:t>
            </w:r>
          </w:p>
        </w:tc>
        <w:tc>
          <w:tcPr>
            <w:tcW w:w="8708" w:type="dxa"/>
            <w:tcBorders>
              <w:top w:val="single" w:color="auto" w:sz="4" w:space="0"/>
              <w:left w:val="single" w:color="auto" w:sz="4" w:space="0"/>
              <w:bottom w:val="single" w:color="auto" w:sz="4" w:space="0"/>
              <w:right w:val="single" w:color="auto" w:sz="4" w:space="0"/>
            </w:tcBorders>
            <w:vAlign w:val="center"/>
          </w:tcPr>
          <w:p w14:paraId="4F1B3D27">
            <w:pPr>
              <w:autoSpaceDE w:val="0"/>
              <w:autoSpaceDN w:val="0"/>
              <w:snapToGrid w:val="0"/>
              <w:spacing w:line="360" w:lineRule="auto"/>
              <w:textAlignment w:val="bottom"/>
              <w:rPr>
                <w:rFonts w:ascii="宋体" w:hAnsi="宋体" w:cs="宋体"/>
                <w:color w:val="auto"/>
                <w:sz w:val="24"/>
                <w:highlight w:val="none"/>
              </w:rPr>
            </w:pPr>
            <w:r>
              <w:rPr>
                <w:rFonts w:hint="eastAsia" w:ascii="宋体" w:hAnsi="宋体" w:cs="宋体"/>
                <w:color w:val="auto"/>
                <w:sz w:val="24"/>
                <w:highlight w:val="none"/>
              </w:rPr>
              <w:t>1</w:t>
            </w:r>
            <w:r>
              <w:rPr>
                <w:rFonts w:ascii="宋体" w:hAnsi="宋体" w:cs="宋体"/>
                <w:color w:val="auto"/>
                <w:sz w:val="24"/>
                <w:highlight w:val="none"/>
              </w:rPr>
              <w:t>.</w:t>
            </w:r>
            <w:r>
              <w:rPr>
                <w:rFonts w:hint="eastAsia" w:ascii="宋体" w:hAnsi="宋体" w:cs="宋体"/>
                <w:color w:val="auto"/>
                <w:sz w:val="24"/>
                <w:highlight w:val="none"/>
              </w:rPr>
              <w:t>采用综合评分法的采购项目，采购人确定中标人时，出现中标候选人并列的情形，采购人按以下的方式确定中标人：</w:t>
            </w:r>
          </w:p>
          <w:p w14:paraId="1F7EB1A5">
            <w:pPr>
              <w:spacing w:line="360" w:lineRule="auto"/>
              <w:jc w:val="left"/>
              <w:rPr>
                <w:rFonts w:ascii="宋体" w:hAnsi="宋体" w:cs="宋体"/>
                <w:color w:val="auto"/>
                <w:sz w:val="24"/>
                <w:highlight w:val="none"/>
              </w:rPr>
            </w:pPr>
            <w:r>
              <w:rPr>
                <w:rFonts w:hint="eastAsia" w:ascii="宋体" w:hAnsi="宋体" w:cs="宋体"/>
                <w:color w:val="auto"/>
                <w:sz w:val="24"/>
                <w:highlight w:val="none"/>
              </w:rPr>
              <w:t>依次按投标报价低的优先、政策分得分高的优先、技术评分高的优先、商务评分高的优先、质量保证期长优先、交货期短优先、故障响应时间短优先的顺序确定。</w:t>
            </w:r>
          </w:p>
          <w:p w14:paraId="54FC17AB">
            <w:pPr>
              <w:spacing w:line="500" w:lineRule="exact"/>
              <w:contextualSpacing/>
              <w:rPr>
                <w:rFonts w:ascii="宋体" w:hAnsi="宋体" w:cs="宋体"/>
                <w:color w:val="auto"/>
                <w:sz w:val="24"/>
                <w:highlight w:val="none"/>
              </w:rPr>
            </w:pPr>
            <w:r>
              <w:rPr>
                <w:rFonts w:hint="eastAsia" w:ascii="宋体" w:hAnsi="宋体"/>
                <w:iCs/>
                <w:color w:val="auto"/>
                <w:sz w:val="24"/>
                <w:highlight w:val="none"/>
              </w:rPr>
              <w:t>2</w:t>
            </w:r>
            <w:r>
              <w:rPr>
                <w:rFonts w:ascii="宋体" w:hAnsi="宋体"/>
                <w:iCs/>
                <w:color w:val="auto"/>
                <w:sz w:val="24"/>
                <w:highlight w:val="none"/>
              </w:rPr>
              <w:t>.</w:t>
            </w:r>
            <w:r>
              <w:rPr>
                <w:rFonts w:hint="eastAsia" w:ascii="宋体" w:hAnsi="宋体"/>
                <w:iCs/>
                <w:color w:val="auto"/>
                <w:sz w:val="24"/>
                <w:highlight w:val="none"/>
              </w:rPr>
              <w:t>采用最低评标价法的采购项目，</w:t>
            </w:r>
            <w:r>
              <w:rPr>
                <w:rFonts w:hint="eastAsia" w:ascii="宋体" w:hAnsi="宋体" w:cs="宋体"/>
                <w:color w:val="auto"/>
                <w:sz w:val="24"/>
                <w:highlight w:val="none"/>
              </w:rPr>
              <w:t>评标价相同时，按以下原则确定成交候选人的顺序：</w:t>
            </w:r>
          </w:p>
          <w:p w14:paraId="2537BD64">
            <w:pPr>
              <w:autoSpaceDE w:val="0"/>
              <w:autoSpaceDN w:val="0"/>
              <w:snapToGrid w:val="0"/>
              <w:spacing w:line="360" w:lineRule="auto"/>
              <w:textAlignment w:val="bottom"/>
              <w:rPr>
                <w:color w:val="auto"/>
                <w:highlight w:val="none"/>
              </w:rPr>
            </w:pPr>
            <w:r>
              <w:rPr>
                <w:rFonts w:hint="eastAsia" w:ascii="宋体" w:hAnsi="宋体" w:cs="宋体"/>
                <w:color w:val="auto"/>
                <w:sz w:val="24"/>
                <w:highlight w:val="none"/>
              </w:rPr>
              <w:t>依次按带“▲”的实质性要求正偏离项数多的优先、均无正偏离或者正偏离项数一致时负偏离项数少的优先、质量保证期长优先、交货期短优先、故障响应时间短优先、节能环保产品累计金额多的优先的顺序排列。</w:t>
            </w:r>
          </w:p>
        </w:tc>
      </w:tr>
      <w:tr w14:paraId="0B4603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895" w:type="dxa"/>
            <w:tcBorders>
              <w:top w:val="single" w:color="auto" w:sz="4" w:space="0"/>
              <w:left w:val="single" w:color="auto" w:sz="4" w:space="0"/>
              <w:bottom w:val="single" w:color="auto" w:sz="4" w:space="0"/>
              <w:right w:val="single" w:color="auto" w:sz="4" w:space="0"/>
            </w:tcBorders>
            <w:vAlign w:val="center"/>
          </w:tcPr>
          <w:p w14:paraId="3DB2EA36">
            <w:pPr>
              <w:spacing w:line="360" w:lineRule="auto"/>
              <w:jc w:val="center"/>
              <w:rPr>
                <w:rFonts w:ascii="宋体" w:hAnsi="宋体" w:cs="宋体"/>
                <w:color w:val="auto"/>
                <w:sz w:val="24"/>
                <w:highlight w:val="none"/>
              </w:rPr>
            </w:pPr>
            <w:bookmarkStart w:id="65" w:name="_39.1"/>
            <w:bookmarkEnd w:id="65"/>
            <w:r>
              <w:rPr>
                <w:rFonts w:hint="eastAsia" w:ascii="宋体" w:hAnsi="宋体" w:cs="宋体"/>
                <w:color w:val="auto"/>
                <w:sz w:val="24"/>
                <w:highlight w:val="none"/>
              </w:rPr>
              <w:t>35.1</w:t>
            </w:r>
          </w:p>
        </w:tc>
        <w:tc>
          <w:tcPr>
            <w:tcW w:w="8708" w:type="dxa"/>
            <w:tcBorders>
              <w:top w:val="single" w:color="auto" w:sz="4" w:space="0"/>
              <w:left w:val="single" w:color="auto" w:sz="4" w:space="0"/>
              <w:bottom w:val="single" w:color="auto" w:sz="4" w:space="0"/>
              <w:right w:val="single" w:color="auto" w:sz="4" w:space="0"/>
            </w:tcBorders>
            <w:vAlign w:val="center"/>
          </w:tcPr>
          <w:p w14:paraId="48C5EBBF">
            <w:pPr>
              <w:autoSpaceDE w:val="0"/>
              <w:autoSpaceDN w:val="0"/>
              <w:snapToGrid w:val="0"/>
              <w:spacing w:line="360" w:lineRule="auto"/>
              <w:textAlignment w:val="bottom"/>
              <w:rPr>
                <w:rFonts w:ascii="宋体" w:hAnsi="宋体" w:cs="宋体"/>
                <w:color w:val="auto"/>
                <w:sz w:val="24"/>
                <w:highlight w:val="none"/>
              </w:rPr>
            </w:pPr>
            <w:r>
              <w:rPr>
                <w:rFonts w:hint="eastAsia" w:ascii="宋体" w:hAnsi="宋体" w:cs="宋体"/>
                <w:color w:val="auto"/>
                <w:sz w:val="24"/>
                <w:highlight w:val="none"/>
              </w:rPr>
              <w:sym w:font="Wingdings" w:char="00A8"/>
            </w:r>
            <w:r>
              <w:rPr>
                <w:rFonts w:hint="eastAsia" w:ascii="宋体" w:hAnsi="宋体" w:cs="宋体"/>
                <w:color w:val="auto"/>
                <w:sz w:val="24"/>
                <w:highlight w:val="none"/>
              </w:rPr>
              <w:t>本项目不收取履约保证金。</w:t>
            </w:r>
          </w:p>
          <w:p w14:paraId="43CDB6CC">
            <w:pPr>
              <w:pStyle w:val="17"/>
              <w:spacing w:line="360" w:lineRule="auto"/>
              <w:rPr>
                <w:rFonts w:ascii="宋体" w:hAnsi="宋体" w:cs="宋体"/>
                <w:color w:val="auto"/>
                <w:sz w:val="24"/>
                <w:highlight w:val="none"/>
              </w:rPr>
            </w:pPr>
            <w:r>
              <w:rPr>
                <w:rFonts w:hint="eastAsia" w:ascii="宋体" w:hAnsi="宋体" w:cs="宋体"/>
                <w:color w:val="auto"/>
                <w:sz w:val="24"/>
                <w:highlight w:val="none"/>
              </w:rPr>
              <w:sym w:font="Wingdings" w:char="00FE"/>
            </w:r>
            <w:r>
              <w:rPr>
                <w:rFonts w:hint="eastAsia" w:ascii="宋体" w:hAnsi="宋体" w:cs="宋体"/>
                <w:color w:val="auto"/>
                <w:sz w:val="24"/>
                <w:highlight w:val="none"/>
              </w:rPr>
              <w:t>本项目收取履约保证金：详见商务条款。</w:t>
            </w:r>
          </w:p>
          <w:p w14:paraId="0F547EFC">
            <w:pPr>
              <w:autoSpaceDE w:val="0"/>
              <w:autoSpaceDN w:val="0"/>
              <w:snapToGrid w:val="0"/>
              <w:spacing w:line="360" w:lineRule="auto"/>
              <w:textAlignment w:val="bottom"/>
              <w:rPr>
                <w:rFonts w:ascii="宋体" w:hAnsi="宋体" w:cs="宋体"/>
                <w:color w:val="auto"/>
                <w:sz w:val="24"/>
                <w:highlight w:val="none"/>
              </w:rPr>
            </w:pPr>
            <w:r>
              <w:rPr>
                <w:rFonts w:hint="eastAsia" w:ascii="宋体" w:hAnsi="宋体" w:cs="宋体"/>
                <w:color w:val="auto"/>
                <w:sz w:val="24"/>
                <w:highlight w:val="none"/>
              </w:rPr>
              <w:t>履约保证金递交方式：详见商务条款。</w:t>
            </w:r>
          </w:p>
          <w:p w14:paraId="4ECE0721">
            <w:pPr>
              <w:autoSpaceDE w:val="0"/>
              <w:autoSpaceDN w:val="0"/>
              <w:snapToGrid w:val="0"/>
              <w:spacing w:line="360" w:lineRule="auto"/>
              <w:textAlignment w:val="bottom"/>
              <w:rPr>
                <w:rFonts w:ascii="宋体" w:hAnsi="宋体" w:cs="宋体"/>
                <w:color w:val="auto"/>
                <w:sz w:val="24"/>
                <w:highlight w:val="none"/>
                <w:u w:val="single"/>
              </w:rPr>
            </w:pPr>
            <w:r>
              <w:rPr>
                <w:rFonts w:hint="eastAsia" w:ascii="宋体" w:hAnsi="宋体" w:cs="宋体"/>
                <w:color w:val="auto"/>
                <w:sz w:val="24"/>
                <w:highlight w:val="none"/>
              </w:rPr>
              <w:t>履约保证金退付方式、时间及条件详见商务条款。</w:t>
            </w:r>
          </w:p>
          <w:p w14:paraId="0B3D46F1">
            <w:pPr>
              <w:spacing w:line="360" w:lineRule="auto"/>
              <w:jc w:val="left"/>
              <w:rPr>
                <w:rFonts w:ascii="仿宋" w:hAnsi="仿宋" w:eastAsia="仿宋" w:cs="宋体"/>
                <w:b/>
                <w:bCs/>
                <w:color w:val="auto"/>
                <w:sz w:val="24"/>
                <w:highlight w:val="none"/>
              </w:rPr>
            </w:pPr>
            <w:r>
              <w:rPr>
                <w:rFonts w:hint="eastAsia" w:ascii="仿宋" w:hAnsi="仿宋" w:eastAsia="仿宋" w:cs="宋体"/>
                <w:b/>
                <w:bCs/>
                <w:color w:val="auto"/>
                <w:sz w:val="24"/>
                <w:highlight w:val="none"/>
              </w:rPr>
              <w:t>【备注】</w:t>
            </w:r>
          </w:p>
          <w:p w14:paraId="6D919EC5">
            <w:pPr>
              <w:spacing w:line="360" w:lineRule="auto"/>
              <w:jc w:val="left"/>
              <w:rPr>
                <w:rFonts w:ascii="楷体" w:hAnsi="楷体" w:eastAsia="楷体" w:cs="宋体"/>
                <w:b/>
                <w:color w:val="auto"/>
                <w:sz w:val="24"/>
                <w:highlight w:val="none"/>
              </w:rPr>
            </w:pPr>
            <w:r>
              <w:rPr>
                <w:rFonts w:ascii="楷体" w:hAnsi="楷体" w:eastAsia="楷体" w:cs="宋体"/>
                <w:color w:val="auto"/>
                <w:sz w:val="24"/>
                <w:highlight w:val="none"/>
              </w:rPr>
              <w:t>1</w:t>
            </w:r>
            <w:bookmarkStart w:id="66" w:name="_Hlk54170335"/>
            <w:r>
              <w:rPr>
                <w:rFonts w:ascii="楷体" w:hAnsi="楷体" w:eastAsia="楷体" w:cs="宋体"/>
                <w:bCs/>
                <w:color w:val="auto"/>
                <w:sz w:val="24"/>
                <w:highlight w:val="none"/>
              </w:rPr>
              <w:t>.</w:t>
            </w:r>
            <w:r>
              <w:rPr>
                <w:rFonts w:hint="eastAsia"/>
                <w:color w:val="auto"/>
                <w:highlight w:val="none"/>
              </w:rPr>
              <w:t xml:space="preserve"> </w:t>
            </w:r>
            <w:r>
              <w:rPr>
                <w:rFonts w:hint="eastAsia" w:ascii="楷体" w:hAnsi="楷体" w:eastAsia="楷体" w:cs="宋体"/>
                <w:b/>
                <w:color w:val="auto"/>
                <w:sz w:val="24"/>
                <w:highlight w:val="none"/>
              </w:rPr>
              <w:t>根据《桂财规〔2022〕8号 广西壮族自治区财政厅关于规范政府采购货物和服务项目保证金管理的通知》，采购人在采购文件中要求提交履约保证金的，履约保证金数额不得超过政府采购合同金额的5%；政府采购要加大对中小企业发展的扶持力度，对中小企业收取的履约保证金数额不得超过政府采购合同金额的2%。</w:t>
            </w:r>
          </w:p>
          <w:bookmarkEnd w:id="66"/>
          <w:p w14:paraId="0CE3133D">
            <w:pPr>
              <w:spacing w:line="360" w:lineRule="auto"/>
              <w:jc w:val="left"/>
              <w:rPr>
                <w:rFonts w:ascii="楷体" w:hAnsi="楷体" w:eastAsia="楷体" w:cs="宋体"/>
                <w:color w:val="auto"/>
                <w:sz w:val="24"/>
                <w:highlight w:val="none"/>
              </w:rPr>
            </w:pPr>
            <w:r>
              <w:rPr>
                <w:rFonts w:ascii="楷体" w:hAnsi="楷体" w:eastAsia="楷体" w:cs="宋体"/>
                <w:color w:val="auto"/>
                <w:sz w:val="24"/>
                <w:highlight w:val="none"/>
              </w:rPr>
              <w:t>2</w:t>
            </w:r>
            <w:r>
              <w:rPr>
                <w:rFonts w:ascii="楷体" w:hAnsi="楷体" w:eastAsia="楷体" w:cs="宋体"/>
                <w:bCs/>
                <w:color w:val="auto"/>
                <w:sz w:val="24"/>
                <w:highlight w:val="none"/>
              </w:rPr>
              <w:t>.</w:t>
            </w:r>
            <w:r>
              <w:rPr>
                <w:rFonts w:hint="eastAsia" w:ascii="楷体" w:hAnsi="楷体" w:eastAsia="楷体" w:cs="宋体"/>
                <w:color w:val="auto"/>
                <w:sz w:val="24"/>
                <w:highlight w:val="none"/>
              </w:rPr>
              <w:t>履约保证金不足额缴纳的（包含银行保函额度不足的），或者不按规定提交方式提交的，或者保函有效期低于合同履行期限（即签订采购合同之日起至履行完合同约定的义务之日止）的，不予签订合同。</w:t>
            </w:r>
          </w:p>
          <w:p w14:paraId="42A419F6">
            <w:pPr>
              <w:spacing w:line="360" w:lineRule="auto"/>
              <w:jc w:val="left"/>
              <w:rPr>
                <w:rFonts w:ascii="楷体" w:hAnsi="楷体" w:eastAsia="楷体" w:cs="宋体"/>
                <w:color w:val="auto"/>
                <w:sz w:val="24"/>
                <w:highlight w:val="none"/>
              </w:rPr>
            </w:pPr>
            <w:r>
              <w:rPr>
                <w:rFonts w:ascii="楷体" w:hAnsi="楷体" w:eastAsia="楷体" w:cs="宋体"/>
                <w:color w:val="auto"/>
                <w:sz w:val="24"/>
                <w:highlight w:val="none"/>
              </w:rPr>
              <w:t>3</w:t>
            </w:r>
            <w:r>
              <w:rPr>
                <w:rFonts w:ascii="楷体" w:hAnsi="楷体" w:eastAsia="楷体" w:cs="宋体"/>
                <w:bCs/>
                <w:color w:val="auto"/>
                <w:sz w:val="24"/>
                <w:highlight w:val="none"/>
              </w:rPr>
              <w:t>.</w:t>
            </w:r>
            <w:r>
              <w:rPr>
                <w:rFonts w:hint="eastAsia" w:ascii="楷体" w:hAnsi="楷体" w:eastAsia="楷体" w:cs="宋体"/>
                <w:color w:val="auto"/>
                <w:sz w:val="24"/>
                <w:highlight w:val="none"/>
              </w:rPr>
              <w:t>采用银行出具的保函的，必须为无条件的银行保函，否则不予签订合同。</w:t>
            </w:r>
          </w:p>
          <w:p w14:paraId="7F748160">
            <w:pPr>
              <w:spacing w:line="360" w:lineRule="auto"/>
              <w:jc w:val="left"/>
              <w:rPr>
                <w:rFonts w:ascii="宋体" w:hAnsi="宋体" w:cs="宋体"/>
                <w:color w:val="auto"/>
                <w:kern w:val="0"/>
                <w:sz w:val="24"/>
                <w:highlight w:val="none"/>
              </w:rPr>
            </w:pPr>
            <w:r>
              <w:rPr>
                <w:rFonts w:ascii="楷体" w:hAnsi="楷体" w:eastAsia="楷体" w:cs="宋体"/>
                <w:color w:val="auto"/>
                <w:sz w:val="24"/>
                <w:highlight w:val="none"/>
              </w:rPr>
              <w:t>4</w:t>
            </w:r>
            <w:r>
              <w:rPr>
                <w:rFonts w:ascii="楷体" w:hAnsi="楷体" w:eastAsia="楷体" w:cs="宋体"/>
                <w:bCs/>
                <w:color w:val="auto"/>
                <w:sz w:val="24"/>
                <w:highlight w:val="none"/>
              </w:rPr>
              <w:t>.</w:t>
            </w:r>
            <w:r>
              <w:rPr>
                <w:rFonts w:hint="eastAsia" w:ascii="楷体" w:hAnsi="楷体" w:eastAsia="楷体" w:cs="宋体"/>
                <w:color w:val="auto"/>
                <w:sz w:val="24"/>
                <w:highlight w:val="none"/>
              </w:rPr>
              <w:t>投标人为联合体的，由联合体其中一方按规定提交的履约保证金，视为有效履约保证金。</w:t>
            </w:r>
          </w:p>
        </w:tc>
      </w:tr>
      <w:tr w14:paraId="43C04F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5E456B33">
            <w:pPr>
              <w:spacing w:line="360" w:lineRule="auto"/>
              <w:jc w:val="center"/>
              <w:rPr>
                <w:rFonts w:ascii="宋体" w:hAnsi="宋体" w:cs="宋体"/>
                <w:color w:val="auto"/>
                <w:sz w:val="24"/>
                <w:highlight w:val="none"/>
              </w:rPr>
            </w:pPr>
            <w:bookmarkStart w:id="67" w:name="_40.1"/>
            <w:bookmarkEnd w:id="67"/>
            <w:r>
              <w:rPr>
                <w:rFonts w:hint="eastAsia" w:ascii="宋体" w:hAnsi="宋体" w:cs="宋体"/>
                <w:color w:val="auto"/>
                <w:sz w:val="24"/>
                <w:highlight w:val="none"/>
              </w:rPr>
              <w:t>36.1</w:t>
            </w:r>
          </w:p>
        </w:tc>
        <w:tc>
          <w:tcPr>
            <w:tcW w:w="8708" w:type="dxa"/>
            <w:tcBorders>
              <w:top w:val="single" w:color="auto" w:sz="4" w:space="0"/>
              <w:left w:val="single" w:color="auto" w:sz="4" w:space="0"/>
              <w:bottom w:val="single" w:color="auto" w:sz="4" w:space="0"/>
              <w:right w:val="single" w:color="auto" w:sz="4" w:space="0"/>
            </w:tcBorders>
            <w:vAlign w:val="center"/>
          </w:tcPr>
          <w:p w14:paraId="07B16A27">
            <w:pPr>
              <w:autoSpaceDE w:val="0"/>
              <w:autoSpaceDN w:val="0"/>
              <w:snapToGrid w:val="0"/>
              <w:spacing w:line="360" w:lineRule="auto"/>
              <w:textAlignment w:val="bottom"/>
              <w:rPr>
                <w:rFonts w:ascii="宋体" w:hAnsi="宋体" w:cs="宋体"/>
                <w:color w:val="auto"/>
                <w:sz w:val="24"/>
                <w:highlight w:val="none"/>
              </w:rPr>
            </w:pPr>
            <w:r>
              <w:rPr>
                <w:rFonts w:hint="eastAsia" w:ascii="宋体" w:hAnsi="宋体" w:cs="宋体"/>
                <w:color w:val="auto"/>
                <w:sz w:val="24"/>
                <w:highlight w:val="none"/>
              </w:rPr>
              <w:t xml:space="preserve">签订合同携带的证明材料： </w:t>
            </w:r>
          </w:p>
          <w:p w14:paraId="46F46577">
            <w:pPr>
              <w:autoSpaceDE w:val="0"/>
              <w:autoSpaceDN w:val="0"/>
              <w:snapToGrid w:val="0"/>
              <w:spacing w:line="360" w:lineRule="auto"/>
              <w:textAlignment w:val="bottom"/>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bCs/>
                <w:color w:val="auto"/>
                <w:sz w:val="24"/>
                <w:highlight w:val="none"/>
              </w:rPr>
              <w:t>.</w:t>
            </w:r>
            <w:r>
              <w:rPr>
                <w:rFonts w:hint="eastAsia" w:ascii="宋体" w:hAnsi="宋体" w:cs="宋体"/>
                <w:color w:val="auto"/>
                <w:sz w:val="24"/>
                <w:highlight w:val="none"/>
              </w:rPr>
              <w:t>委托代理人负责签订合同的，须携带授权委托书及委托代理人身份证原件等其他资格证件。</w:t>
            </w:r>
          </w:p>
          <w:p w14:paraId="13CB5F52">
            <w:pPr>
              <w:autoSpaceDE w:val="0"/>
              <w:autoSpaceDN w:val="0"/>
              <w:snapToGrid w:val="0"/>
              <w:spacing w:line="360" w:lineRule="auto"/>
              <w:textAlignment w:val="bottom"/>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bCs/>
                <w:color w:val="auto"/>
                <w:sz w:val="24"/>
                <w:highlight w:val="none"/>
              </w:rPr>
              <w:t>.</w:t>
            </w:r>
            <w:r>
              <w:rPr>
                <w:rFonts w:hint="eastAsia" w:ascii="宋体" w:hAnsi="宋体" w:cs="宋体"/>
                <w:color w:val="auto"/>
                <w:sz w:val="24"/>
                <w:highlight w:val="none"/>
              </w:rPr>
              <w:t>法定代表人负责签订合同的，须携带法定代表人身份证明原件及身份证原件等其他证明材料。</w:t>
            </w:r>
          </w:p>
        </w:tc>
      </w:tr>
      <w:tr w14:paraId="0DA657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0702C232">
            <w:pPr>
              <w:spacing w:line="360" w:lineRule="auto"/>
              <w:jc w:val="center"/>
              <w:rPr>
                <w:rFonts w:ascii="宋体" w:hAnsi="宋体" w:cs="宋体"/>
                <w:color w:val="auto"/>
                <w:sz w:val="24"/>
                <w:highlight w:val="none"/>
              </w:rPr>
            </w:pPr>
            <w:r>
              <w:rPr>
                <w:rFonts w:hint="eastAsia" w:ascii="宋体" w:hAnsi="宋体" w:cs="宋体"/>
                <w:color w:val="auto"/>
                <w:sz w:val="24"/>
                <w:highlight w:val="none"/>
              </w:rPr>
              <w:t>38.2</w:t>
            </w:r>
          </w:p>
        </w:tc>
        <w:tc>
          <w:tcPr>
            <w:tcW w:w="8708" w:type="dxa"/>
            <w:tcBorders>
              <w:top w:val="single" w:color="auto" w:sz="4" w:space="0"/>
              <w:left w:val="single" w:color="auto" w:sz="4" w:space="0"/>
              <w:bottom w:val="single" w:color="auto" w:sz="4" w:space="0"/>
              <w:right w:val="single" w:color="auto" w:sz="4" w:space="0"/>
            </w:tcBorders>
            <w:vAlign w:val="center"/>
          </w:tcPr>
          <w:p w14:paraId="15B42DB7">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接收质疑函方式：以纸质书面形式</w:t>
            </w:r>
          </w:p>
          <w:p w14:paraId="130B6B51">
            <w:pPr>
              <w:autoSpaceDE w:val="0"/>
              <w:autoSpaceDN w:val="0"/>
              <w:snapToGrid w:val="0"/>
              <w:spacing w:line="360" w:lineRule="auto"/>
              <w:textAlignment w:val="bottom"/>
              <w:rPr>
                <w:rFonts w:ascii="宋体" w:hAnsi="宋体" w:cs="宋体"/>
                <w:color w:val="auto"/>
                <w:sz w:val="24"/>
                <w:highlight w:val="none"/>
              </w:rPr>
            </w:pPr>
            <w:r>
              <w:rPr>
                <w:rFonts w:hint="eastAsia" w:ascii="宋体" w:hAnsi="宋体" w:cs="宋体"/>
                <w:color w:val="auto"/>
                <w:sz w:val="24"/>
                <w:highlight w:val="none"/>
              </w:rPr>
              <w:t>质疑联系部门及联系方式：广西科文招标有限公司</w:t>
            </w:r>
          </w:p>
          <w:p w14:paraId="558B8E45">
            <w:pPr>
              <w:autoSpaceDE w:val="0"/>
              <w:autoSpaceDN w:val="0"/>
              <w:snapToGrid w:val="0"/>
              <w:spacing w:line="360" w:lineRule="auto"/>
              <w:textAlignment w:val="bottom"/>
              <w:rPr>
                <w:rFonts w:ascii="宋体" w:hAnsi="宋体" w:cs="宋体"/>
                <w:color w:val="auto"/>
                <w:sz w:val="24"/>
                <w:highlight w:val="none"/>
              </w:rPr>
            </w:pPr>
            <w:r>
              <w:rPr>
                <w:rFonts w:hint="eastAsia" w:ascii="宋体" w:hAnsi="宋体" w:cs="宋体"/>
                <w:color w:val="auto"/>
                <w:sz w:val="24"/>
                <w:highlight w:val="none"/>
              </w:rPr>
              <w:t>联系电话：0771-2023650</w:t>
            </w:r>
          </w:p>
          <w:p w14:paraId="4FC5CC40">
            <w:pPr>
              <w:autoSpaceDE w:val="0"/>
              <w:autoSpaceDN w:val="0"/>
              <w:snapToGrid w:val="0"/>
              <w:spacing w:line="360" w:lineRule="auto"/>
              <w:textAlignment w:val="bottom"/>
              <w:rPr>
                <w:rFonts w:ascii="宋体" w:hAnsi="宋体" w:cs="宋体"/>
                <w:color w:val="auto"/>
                <w:sz w:val="24"/>
                <w:highlight w:val="none"/>
              </w:rPr>
            </w:pPr>
            <w:r>
              <w:rPr>
                <w:rFonts w:hint="eastAsia" w:ascii="宋体" w:hAnsi="宋体" w:cs="宋体"/>
                <w:color w:val="auto"/>
                <w:sz w:val="24"/>
                <w:highlight w:val="none"/>
              </w:rPr>
              <w:t>通讯地址：广西南宁市民族大道141号中鼎万象东方D区五层</w:t>
            </w:r>
          </w:p>
          <w:p w14:paraId="41ED7305">
            <w:pPr>
              <w:autoSpaceDE w:val="0"/>
              <w:autoSpaceDN w:val="0"/>
              <w:snapToGrid w:val="0"/>
              <w:spacing w:line="360" w:lineRule="auto"/>
              <w:textAlignment w:val="bottom"/>
              <w:rPr>
                <w:rFonts w:ascii="宋体" w:hAnsi="宋体" w:cs="宋体"/>
                <w:color w:val="auto"/>
                <w:sz w:val="24"/>
                <w:highlight w:val="none"/>
              </w:rPr>
            </w:pPr>
            <w:r>
              <w:rPr>
                <w:rFonts w:hint="eastAsia" w:ascii="宋体" w:hAnsi="宋体" w:cs="宋体"/>
                <w:color w:val="auto"/>
                <w:sz w:val="24"/>
                <w:highlight w:val="none"/>
              </w:rPr>
              <w:t>业务时间：工作日，上午8:00-12:00；下午15:00-18:00（北京时间）</w:t>
            </w:r>
          </w:p>
        </w:tc>
      </w:tr>
      <w:tr w14:paraId="4ACE98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1355A580">
            <w:pPr>
              <w:spacing w:line="360" w:lineRule="auto"/>
              <w:jc w:val="center"/>
              <w:rPr>
                <w:rFonts w:ascii="宋体" w:hAnsi="宋体" w:cs="宋体"/>
                <w:color w:val="auto"/>
                <w:sz w:val="24"/>
                <w:highlight w:val="none"/>
              </w:rPr>
            </w:pPr>
            <w:bookmarkStart w:id="68" w:name="_41"/>
            <w:bookmarkEnd w:id="68"/>
            <w:bookmarkStart w:id="69" w:name="_42"/>
            <w:bookmarkEnd w:id="69"/>
            <w:bookmarkStart w:id="70" w:name="_Hlt17709148"/>
            <w:r>
              <w:rPr>
                <w:rFonts w:hint="eastAsia" w:ascii="宋体" w:hAnsi="宋体" w:cs="宋体"/>
                <w:color w:val="auto"/>
                <w:sz w:val="24"/>
                <w:highlight w:val="none"/>
              </w:rPr>
              <w:t>3</w:t>
            </w:r>
            <w:bookmarkEnd w:id="70"/>
            <w:r>
              <w:rPr>
                <w:rFonts w:hint="eastAsia" w:ascii="宋体" w:hAnsi="宋体" w:cs="宋体"/>
                <w:color w:val="auto"/>
                <w:sz w:val="24"/>
                <w:highlight w:val="none"/>
              </w:rPr>
              <w:t>9</w:t>
            </w:r>
          </w:p>
        </w:tc>
        <w:tc>
          <w:tcPr>
            <w:tcW w:w="8708" w:type="dxa"/>
            <w:tcBorders>
              <w:top w:val="single" w:color="auto" w:sz="4" w:space="0"/>
              <w:left w:val="single" w:color="auto" w:sz="4" w:space="0"/>
              <w:bottom w:val="single" w:color="auto" w:sz="4" w:space="0"/>
              <w:right w:val="single" w:color="auto" w:sz="4" w:space="0"/>
            </w:tcBorders>
            <w:vAlign w:val="center"/>
          </w:tcPr>
          <w:p w14:paraId="262E995D">
            <w:pPr>
              <w:pStyle w:val="24"/>
              <w:snapToGrid w:val="0"/>
              <w:spacing w:line="360" w:lineRule="auto"/>
              <w:rPr>
                <w:rFonts w:hAnsi="宋体" w:cs="宋体"/>
                <w:color w:val="auto"/>
                <w:sz w:val="24"/>
                <w:szCs w:val="24"/>
                <w:highlight w:val="none"/>
              </w:rPr>
            </w:pPr>
            <w:r>
              <w:rPr>
                <w:rFonts w:hint="eastAsia" w:hAnsi="宋体" w:cs="宋体"/>
                <w:color w:val="auto"/>
                <w:sz w:val="24"/>
                <w:szCs w:val="24"/>
                <w:highlight w:val="none"/>
              </w:rPr>
              <w:t>1</w:t>
            </w:r>
            <w:r>
              <w:rPr>
                <w:rFonts w:hint="eastAsia" w:hAnsi="宋体" w:cs="宋体"/>
                <w:bCs/>
                <w:color w:val="auto"/>
                <w:sz w:val="24"/>
                <w:szCs w:val="24"/>
                <w:highlight w:val="none"/>
              </w:rPr>
              <w:t>.</w:t>
            </w:r>
            <w:r>
              <w:rPr>
                <w:rFonts w:hint="eastAsia" w:hAnsi="宋体" w:cs="宋体"/>
                <w:color w:val="auto"/>
                <w:sz w:val="24"/>
                <w:szCs w:val="24"/>
                <w:highlight w:val="none"/>
              </w:rPr>
              <w:t>采购代理服务费支付方式：本项目的招标代理服务费按以下收费标准向中标人收取，领取中标通知书前，中标人应向采购代理机构一次付清招标代理服务费，否则采购代理机构有权不予以办理。</w:t>
            </w:r>
          </w:p>
          <w:p w14:paraId="28D22277">
            <w:pPr>
              <w:pStyle w:val="24"/>
              <w:snapToGrid w:val="0"/>
              <w:spacing w:line="360" w:lineRule="auto"/>
              <w:rPr>
                <w:rFonts w:hAnsi="宋体" w:cs="宋体"/>
                <w:color w:val="auto"/>
                <w:sz w:val="24"/>
                <w:szCs w:val="24"/>
                <w:highlight w:val="none"/>
              </w:rPr>
            </w:pPr>
            <w:r>
              <w:rPr>
                <w:rFonts w:hint="eastAsia" w:hAnsi="宋体" w:cs="宋体"/>
                <w:color w:val="auto"/>
                <w:sz w:val="24"/>
                <w:szCs w:val="24"/>
                <w:highlight w:val="none"/>
              </w:rPr>
              <w:t>2</w:t>
            </w:r>
            <w:r>
              <w:rPr>
                <w:rFonts w:hint="eastAsia" w:hAnsi="宋体" w:cs="宋体"/>
                <w:bCs/>
                <w:color w:val="auto"/>
                <w:sz w:val="24"/>
                <w:szCs w:val="24"/>
                <w:highlight w:val="none"/>
              </w:rPr>
              <w:t>.</w:t>
            </w:r>
            <w:r>
              <w:rPr>
                <w:rFonts w:hint="eastAsia" w:hAnsi="宋体" w:cs="宋体"/>
                <w:color w:val="auto"/>
                <w:sz w:val="24"/>
                <w:szCs w:val="24"/>
                <w:highlight w:val="none"/>
              </w:rPr>
              <w:t>采购代理服务费收取标准：</w:t>
            </w:r>
          </w:p>
          <w:p w14:paraId="282BFE7B">
            <w:pPr>
              <w:pStyle w:val="24"/>
              <w:snapToGrid w:val="0"/>
              <w:spacing w:line="360" w:lineRule="auto"/>
              <w:rPr>
                <w:rFonts w:hAnsi="宋体" w:cs="宋体"/>
                <w:color w:val="auto"/>
                <w:sz w:val="24"/>
                <w:szCs w:val="24"/>
                <w:highlight w:val="none"/>
              </w:rPr>
            </w:pPr>
            <w:r>
              <w:rPr>
                <w:rFonts w:hint="eastAsia" w:hAnsi="宋体" w:cs="宋体"/>
                <w:color w:val="auto"/>
                <w:sz w:val="24"/>
                <w:szCs w:val="24"/>
                <w:highlight w:val="none"/>
              </w:rPr>
              <w:t>以中标金额为计费额，按本招标文件之投标人须知正文第39.2条规定的收费计算标准货物招标采用差额定率累进法计算出收费基准价格，采购代理服务费收费以收费基准价格收取。</w:t>
            </w:r>
          </w:p>
          <w:p w14:paraId="66A79C4A">
            <w:pPr>
              <w:spacing w:line="360" w:lineRule="auto"/>
              <w:rPr>
                <w:rFonts w:hAnsi="宋体" w:cs="宋体"/>
                <w:color w:val="auto"/>
                <w:sz w:val="24"/>
                <w:highlight w:val="none"/>
              </w:rPr>
            </w:pPr>
            <w:r>
              <w:rPr>
                <w:rFonts w:hint="eastAsia" w:hAnsi="宋体" w:cs="宋体"/>
                <w:color w:val="auto"/>
                <w:sz w:val="24"/>
                <w:highlight w:val="none"/>
              </w:rPr>
              <w:t>3.代理服务费收费专用银行账户：</w:t>
            </w:r>
          </w:p>
          <w:p w14:paraId="04E54E97">
            <w:pPr>
              <w:spacing w:line="360" w:lineRule="auto"/>
              <w:rPr>
                <w:rFonts w:hAnsi="宋体" w:cs="宋体"/>
                <w:color w:val="auto"/>
                <w:sz w:val="24"/>
                <w:highlight w:val="none"/>
              </w:rPr>
            </w:pPr>
            <w:r>
              <w:rPr>
                <w:rFonts w:hint="eastAsia" w:hAnsi="宋体" w:cs="宋体"/>
                <w:color w:val="auto"/>
                <w:sz w:val="24"/>
                <w:highlight w:val="none"/>
              </w:rPr>
              <w:t>账户名称：广西科文招标有限公司南宁咨询一分公司</w:t>
            </w:r>
          </w:p>
          <w:p w14:paraId="1ED16971">
            <w:pPr>
              <w:spacing w:line="360" w:lineRule="auto"/>
              <w:rPr>
                <w:rFonts w:hAnsi="宋体" w:cs="宋体"/>
                <w:color w:val="auto"/>
                <w:sz w:val="24"/>
                <w:highlight w:val="none"/>
              </w:rPr>
            </w:pPr>
            <w:r>
              <w:rPr>
                <w:rFonts w:hint="eastAsia" w:hAnsi="宋体" w:cs="宋体"/>
                <w:color w:val="auto"/>
                <w:sz w:val="24"/>
                <w:highlight w:val="none"/>
              </w:rPr>
              <w:t>开户银行：广西北部湾银行股份有限公司南宁市云景支行</w:t>
            </w:r>
          </w:p>
          <w:p w14:paraId="785AB547">
            <w:pPr>
              <w:spacing w:line="360" w:lineRule="auto"/>
              <w:rPr>
                <w:rFonts w:hAnsi="宋体" w:cs="宋体"/>
                <w:color w:val="auto"/>
                <w:sz w:val="24"/>
                <w:highlight w:val="none"/>
              </w:rPr>
            </w:pPr>
            <w:r>
              <w:rPr>
                <w:rFonts w:hint="eastAsia" w:hAnsi="宋体" w:cs="宋体"/>
                <w:color w:val="auto"/>
                <w:sz w:val="24"/>
                <w:highlight w:val="none"/>
              </w:rPr>
              <w:t>银行账号：805030137000001</w:t>
            </w:r>
          </w:p>
        </w:tc>
      </w:tr>
      <w:tr w14:paraId="42FD51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5AB46DCB">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40.1</w:t>
            </w:r>
          </w:p>
        </w:tc>
        <w:tc>
          <w:tcPr>
            <w:tcW w:w="8708" w:type="dxa"/>
            <w:tcBorders>
              <w:top w:val="single" w:color="auto" w:sz="4" w:space="0"/>
              <w:left w:val="single" w:color="auto" w:sz="4" w:space="0"/>
              <w:bottom w:val="single" w:color="auto" w:sz="4" w:space="0"/>
              <w:right w:val="single" w:color="auto" w:sz="4" w:space="0"/>
            </w:tcBorders>
            <w:vAlign w:val="center"/>
          </w:tcPr>
          <w:p w14:paraId="1077FC8B">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解释：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由采购人或者采购代理机构负责解释。</w:t>
            </w:r>
          </w:p>
        </w:tc>
      </w:tr>
      <w:tr w14:paraId="2E95C6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148F2682">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40.2</w:t>
            </w:r>
          </w:p>
        </w:tc>
        <w:tc>
          <w:tcPr>
            <w:tcW w:w="8708" w:type="dxa"/>
            <w:tcBorders>
              <w:top w:val="single" w:color="auto" w:sz="4" w:space="0"/>
              <w:left w:val="single" w:color="auto" w:sz="4" w:space="0"/>
              <w:bottom w:val="single" w:color="auto" w:sz="4" w:space="0"/>
              <w:right w:val="single" w:color="auto" w:sz="4" w:space="0"/>
            </w:tcBorders>
            <w:vAlign w:val="center"/>
          </w:tcPr>
          <w:p w14:paraId="4546E249">
            <w:pPr>
              <w:pStyle w:val="24"/>
              <w:snapToGrid w:val="0"/>
              <w:spacing w:line="360" w:lineRule="auto"/>
              <w:rPr>
                <w:rFonts w:hAnsi="宋体" w:cs="宋体"/>
                <w:bCs/>
                <w:color w:val="auto"/>
                <w:sz w:val="24"/>
                <w:szCs w:val="24"/>
                <w:highlight w:val="none"/>
              </w:rPr>
            </w:pPr>
            <w:r>
              <w:rPr>
                <w:rFonts w:hint="eastAsia" w:hAnsi="宋体" w:cs="宋体"/>
                <w:bCs/>
                <w:color w:val="auto"/>
                <w:sz w:val="24"/>
                <w:szCs w:val="24"/>
                <w:highlight w:val="none"/>
              </w:rPr>
              <w:t>1.本招标文件中描述投标人的“公章”是指根据我国对公章的管理规定，用投标人法定主体名称制作的印章</w:t>
            </w:r>
            <w:r>
              <w:rPr>
                <w:rFonts w:hint="eastAsia" w:hAnsi="宋体" w:cs="宋体"/>
                <w:color w:val="auto"/>
                <w:sz w:val="24"/>
                <w:szCs w:val="24"/>
                <w:highlight w:val="none"/>
              </w:rPr>
              <w:t>或投标人通过指定电子化政府采购平台办理数字证书（CA认证）获得的以法定主体名称制作的电子印章。</w:t>
            </w:r>
            <w:r>
              <w:rPr>
                <w:rFonts w:hint="eastAsia" w:hAnsi="宋体" w:cs="宋体"/>
                <w:bCs/>
                <w:color w:val="auto"/>
                <w:sz w:val="24"/>
                <w:szCs w:val="24"/>
                <w:highlight w:val="none"/>
              </w:rPr>
              <w:t>除本招标文件有特殊规定外，投标人的财务章、部门章、分公司章、工会章、合同章、投标专用章、业务专用章及银行的转账章、现金收讫章、现金付讫章等其他形式印章均不能代替公章。</w:t>
            </w:r>
          </w:p>
          <w:p w14:paraId="2C41778D">
            <w:pPr>
              <w:pStyle w:val="24"/>
              <w:snapToGrid w:val="0"/>
              <w:spacing w:line="360" w:lineRule="auto"/>
              <w:rPr>
                <w:rFonts w:hAnsi="宋体" w:cs="宋体"/>
                <w:bCs/>
                <w:color w:val="auto"/>
                <w:sz w:val="24"/>
                <w:szCs w:val="24"/>
                <w:highlight w:val="none"/>
              </w:rPr>
            </w:pPr>
            <w:r>
              <w:rPr>
                <w:rFonts w:hint="eastAsia" w:hAnsi="宋体" w:cs="宋体"/>
                <w:bCs/>
                <w:color w:val="auto"/>
                <w:sz w:val="24"/>
                <w:szCs w:val="24"/>
                <w:highlight w:val="none"/>
              </w:rPr>
              <w:t>2.投标人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7B13B552">
            <w:pPr>
              <w:pStyle w:val="24"/>
              <w:snapToGrid w:val="0"/>
              <w:spacing w:line="360" w:lineRule="auto"/>
              <w:rPr>
                <w:rFonts w:hAnsi="宋体" w:cs="宋体"/>
                <w:bCs/>
                <w:color w:val="auto"/>
                <w:sz w:val="24"/>
                <w:szCs w:val="24"/>
                <w:highlight w:val="none"/>
              </w:rPr>
            </w:pPr>
            <w:r>
              <w:rPr>
                <w:rFonts w:hint="eastAsia" w:hAnsi="宋体" w:cs="宋体"/>
                <w:bCs/>
                <w:color w:val="auto"/>
                <w:sz w:val="24"/>
                <w:szCs w:val="24"/>
                <w:highlight w:val="none"/>
              </w:rPr>
              <w:t>3.本招标文件中描述投标人的“签字”是指投标人的法定代表人或者委托代理人</w:t>
            </w:r>
            <w:r>
              <w:rPr>
                <w:rFonts w:hint="eastAsia" w:hAnsi="宋体" w:cs="宋体"/>
                <w:color w:val="auto"/>
                <w:sz w:val="24"/>
                <w:szCs w:val="24"/>
                <w:highlight w:val="none"/>
              </w:rPr>
              <w:t>在文件规定签署处签名或者指投标人通过指定电子化政府采购平台办理数字证书（CA认证）获得的以投标人法定代表人或者委托代理人姓名制作的电子印章签名的行为，私章、印鉴等其他形式均不能代替签字</w:t>
            </w:r>
            <w:r>
              <w:rPr>
                <w:rFonts w:hint="eastAsia" w:hAnsi="宋体" w:cs="宋体"/>
                <w:bCs/>
                <w:color w:val="auto"/>
                <w:sz w:val="24"/>
                <w:szCs w:val="24"/>
                <w:highlight w:val="none"/>
              </w:rPr>
              <w:t>。</w:t>
            </w:r>
          </w:p>
          <w:p w14:paraId="11098B33">
            <w:pPr>
              <w:pStyle w:val="24"/>
              <w:snapToGrid w:val="0"/>
              <w:spacing w:line="360" w:lineRule="auto"/>
              <w:rPr>
                <w:rFonts w:hAnsi="宋体" w:cs="宋体"/>
                <w:bCs/>
                <w:color w:val="auto"/>
                <w:sz w:val="24"/>
                <w:szCs w:val="24"/>
                <w:highlight w:val="none"/>
              </w:rPr>
            </w:pPr>
            <w:r>
              <w:rPr>
                <w:rFonts w:hint="eastAsia" w:hAnsi="宋体" w:cs="宋体"/>
                <w:bCs/>
                <w:color w:val="auto"/>
                <w:sz w:val="24"/>
                <w:szCs w:val="24"/>
                <w:highlight w:val="none"/>
              </w:rPr>
              <w:t>4.本招标文件所称的“电子签章”“电子签名”，是指经广西政府采购云平台认可的CA认证的电子签名数据为表现形式的印章，可用于签署电子响应文件，电子印章与实物印章具有同等法律效力，不因其采用电子化表现形式而否定其法律效力。</w:t>
            </w:r>
          </w:p>
          <w:p w14:paraId="5024969F">
            <w:pPr>
              <w:pStyle w:val="24"/>
              <w:snapToGrid w:val="0"/>
              <w:spacing w:line="360" w:lineRule="auto"/>
              <w:rPr>
                <w:rFonts w:hAnsi="宋体" w:cs="宋体"/>
                <w:bCs/>
                <w:color w:val="auto"/>
                <w:sz w:val="24"/>
                <w:szCs w:val="24"/>
                <w:highlight w:val="none"/>
              </w:rPr>
            </w:pPr>
            <w:r>
              <w:rPr>
                <w:rFonts w:hAnsi="宋体" w:cs="宋体"/>
                <w:bCs/>
                <w:color w:val="auto"/>
                <w:sz w:val="24"/>
                <w:szCs w:val="24"/>
                <w:highlight w:val="none"/>
              </w:rPr>
              <w:t>5</w:t>
            </w:r>
            <w:r>
              <w:rPr>
                <w:rFonts w:hint="eastAsia" w:hAnsi="宋体" w:cs="宋体"/>
                <w:bCs/>
                <w:color w:val="auto"/>
                <w:sz w:val="24"/>
                <w:szCs w:val="24"/>
                <w:highlight w:val="none"/>
              </w:rPr>
              <w:t>.自然人投标的，招标文件规定盖公章处由自然人摁手指指印。</w:t>
            </w:r>
          </w:p>
          <w:p w14:paraId="011065FE">
            <w:pPr>
              <w:spacing w:line="360" w:lineRule="auto"/>
              <w:jc w:val="left"/>
              <w:rPr>
                <w:rFonts w:ascii="宋体" w:hAnsi="宋体" w:cs="宋体"/>
                <w:color w:val="auto"/>
                <w:sz w:val="24"/>
                <w:highlight w:val="none"/>
              </w:rPr>
            </w:pPr>
            <w:r>
              <w:rPr>
                <w:rFonts w:ascii="宋体" w:hAnsi="宋体" w:cs="宋体"/>
                <w:bCs/>
                <w:color w:val="auto"/>
                <w:sz w:val="24"/>
                <w:highlight w:val="none"/>
              </w:rPr>
              <w:t>6</w:t>
            </w:r>
            <w:r>
              <w:rPr>
                <w:rFonts w:hint="eastAsia" w:ascii="宋体" w:hAnsi="宋体" w:cs="宋体"/>
                <w:bCs/>
                <w:color w:val="auto"/>
                <w:sz w:val="24"/>
                <w:highlight w:val="none"/>
              </w:rPr>
              <w:t>.本招标文件所称的“以上”“以下”“以内”“届满”，包括本数；所称的“不满”“超过”“以外”，不包括本数。</w:t>
            </w:r>
          </w:p>
        </w:tc>
      </w:tr>
    </w:tbl>
    <w:p w14:paraId="2DBE043E">
      <w:pPr>
        <w:snapToGrid w:val="0"/>
        <w:rPr>
          <w:rFonts w:ascii="宋体" w:hAnsi="宋体" w:cs="宋体"/>
          <w:color w:val="auto"/>
          <w:sz w:val="24"/>
          <w:szCs w:val="20"/>
          <w:highlight w:val="none"/>
        </w:rPr>
      </w:pPr>
    </w:p>
    <w:p w14:paraId="3429252A">
      <w:pPr>
        <w:rPr>
          <w:rFonts w:ascii="宋体" w:hAnsi="宋体" w:cs="宋体"/>
          <w:color w:val="auto"/>
          <w:highlight w:val="none"/>
        </w:rPr>
      </w:pPr>
      <w:r>
        <w:rPr>
          <w:rFonts w:hint="eastAsia" w:ascii="宋体" w:hAnsi="宋体" w:cs="宋体"/>
          <w:color w:val="auto"/>
          <w:highlight w:val="none"/>
        </w:rPr>
        <w:br w:type="page"/>
      </w:r>
    </w:p>
    <w:p w14:paraId="55F7FEC9">
      <w:pPr>
        <w:pStyle w:val="5"/>
        <w:keepNext w:val="0"/>
        <w:keepLines w:val="0"/>
        <w:jc w:val="center"/>
        <w:rPr>
          <w:rFonts w:ascii="宋体" w:hAnsi="宋体" w:cs="宋体"/>
          <w:color w:val="auto"/>
          <w:highlight w:val="none"/>
        </w:rPr>
      </w:pPr>
      <w:r>
        <w:rPr>
          <w:rFonts w:hint="eastAsia" w:ascii="宋体" w:hAnsi="宋体" w:cs="宋体"/>
          <w:color w:val="auto"/>
          <w:highlight w:val="none"/>
        </w:rPr>
        <w:t>投标人须知正文</w:t>
      </w:r>
    </w:p>
    <w:p w14:paraId="1FE9D05D">
      <w:pPr>
        <w:pStyle w:val="5"/>
        <w:keepNext w:val="0"/>
        <w:keepLines w:val="0"/>
        <w:jc w:val="center"/>
        <w:rPr>
          <w:rFonts w:ascii="宋体" w:hAnsi="宋体" w:cs="宋体"/>
          <w:color w:val="auto"/>
          <w:highlight w:val="none"/>
        </w:rPr>
      </w:pPr>
      <w:r>
        <w:rPr>
          <w:rFonts w:hint="eastAsia" w:ascii="宋体" w:hAnsi="宋体" w:cs="宋体"/>
          <w:color w:val="auto"/>
          <w:highlight w:val="none"/>
        </w:rPr>
        <w:t>一、总  则</w:t>
      </w:r>
    </w:p>
    <w:p w14:paraId="700C2543">
      <w:pPr>
        <w:pStyle w:val="8"/>
        <w:keepNext w:val="0"/>
        <w:keepLines w:val="0"/>
        <w:spacing w:before="0" w:after="0" w:line="360" w:lineRule="auto"/>
        <w:ind w:left="420" w:leftChars="200"/>
        <w:rPr>
          <w:rFonts w:ascii="宋体" w:hAnsi="宋体" w:cs="宋体"/>
          <w:color w:val="auto"/>
          <w:sz w:val="24"/>
          <w:highlight w:val="none"/>
        </w:rPr>
      </w:pPr>
      <w:bookmarkStart w:id="71" w:name="_Toc254970527"/>
      <w:bookmarkStart w:id="72" w:name="_Toc254970668"/>
      <w:r>
        <w:rPr>
          <w:rFonts w:hint="eastAsia" w:ascii="宋体" w:hAnsi="宋体" w:cs="宋体"/>
          <w:color w:val="auto"/>
          <w:sz w:val="24"/>
          <w:highlight w:val="none"/>
        </w:rPr>
        <w:t>1.适用范围</w:t>
      </w:r>
      <w:bookmarkEnd w:id="71"/>
      <w:bookmarkEnd w:id="72"/>
    </w:p>
    <w:p w14:paraId="206E89F4">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6A5EC544">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1.2本招标文件</w:t>
      </w:r>
      <w:r>
        <w:rPr>
          <w:rFonts w:hint="eastAsia" w:ascii="宋体" w:hAnsi="宋体" w:cs="宋体"/>
          <w:color w:val="auto"/>
          <w:spacing w:val="-6"/>
          <w:sz w:val="24"/>
          <w:highlight w:val="none"/>
        </w:rPr>
        <w:t>适用于本项目的所有采购程序和环节（法律、法规另有规定的，从其规定）。</w:t>
      </w:r>
    </w:p>
    <w:p w14:paraId="78FF2041">
      <w:pPr>
        <w:pStyle w:val="8"/>
        <w:keepNext w:val="0"/>
        <w:keepLines w:val="0"/>
        <w:numPr>
          <w:ilvl w:val="0"/>
          <w:numId w:val="0"/>
        </w:numPr>
        <w:spacing w:before="0" w:after="0" w:line="360" w:lineRule="auto"/>
        <w:ind w:left="420" w:leftChars="200"/>
        <w:rPr>
          <w:rFonts w:ascii="宋体" w:hAnsi="宋体" w:cs="宋体"/>
          <w:color w:val="auto"/>
          <w:sz w:val="24"/>
          <w:highlight w:val="none"/>
        </w:rPr>
      </w:pPr>
      <w:bookmarkStart w:id="73" w:name="_Toc254970528"/>
      <w:bookmarkStart w:id="74" w:name="_Toc254970669"/>
      <w:r>
        <w:rPr>
          <w:rFonts w:hint="eastAsia" w:ascii="宋体" w:hAnsi="宋体" w:cs="宋体"/>
          <w:color w:val="auto"/>
          <w:sz w:val="24"/>
          <w:highlight w:val="none"/>
        </w:rPr>
        <w:t>2.定义</w:t>
      </w:r>
      <w:bookmarkEnd w:id="73"/>
      <w:bookmarkEnd w:id="74"/>
    </w:p>
    <w:p w14:paraId="5BBCE57A">
      <w:pPr>
        <w:pStyle w:val="8"/>
        <w:keepNext w:val="0"/>
        <w:keepLines w:val="0"/>
        <w:numPr>
          <w:ilvl w:val="0"/>
          <w:numId w:val="0"/>
        </w:numPr>
        <w:spacing w:before="0" w:after="0" w:line="360" w:lineRule="auto"/>
        <w:ind w:firstLine="480" w:firstLineChars="200"/>
        <w:rPr>
          <w:rFonts w:ascii="宋体" w:hAnsi="宋体" w:cs="宋体"/>
          <w:b w:val="0"/>
          <w:color w:val="auto"/>
          <w:sz w:val="24"/>
          <w:highlight w:val="none"/>
        </w:rPr>
      </w:pPr>
      <w:r>
        <w:rPr>
          <w:rFonts w:hint="eastAsia" w:ascii="宋体" w:hAnsi="宋体" w:cs="宋体"/>
          <w:b w:val="0"/>
          <w:color w:val="auto"/>
          <w:sz w:val="24"/>
          <w:highlight w:val="none"/>
        </w:rPr>
        <w:t>2.1“采购人”是指依法进行政府采购的国家机关、事业单位、团体组织。</w:t>
      </w:r>
    </w:p>
    <w:p w14:paraId="75A59034">
      <w:pPr>
        <w:pStyle w:val="8"/>
        <w:keepNext w:val="0"/>
        <w:keepLines w:val="0"/>
        <w:numPr>
          <w:ilvl w:val="0"/>
          <w:numId w:val="0"/>
        </w:numPr>
        <w:spacing w:before="0" w:after="0" w:line="360" w:lineRule="auto"/>
        <w:ind w:firstLine="480" w:firstLineChars="200"/>
        <w:rPr>
          <w:rFonts w:ascii="宋体" w:hAnsi="宋体" w:cs="宋体"/>
          <w:b w:val="0"/>
          <w:color w:val="auto"/>
          <w:sz w:val="24"/>
          <w:highlight w:val="none"/>
        </w:rPr>
      </w:pPr>
      <w:r>
        <w:rPr>
          <w:rFonts w:hint="eastAsia" w:ascii="宋体" w:hAnsi="宋体" w:cs="宋体"/>
          <w:b w:val="0"/>
          <w:color w:val="auto"/>
          <w:sz w:val="24"/>
          <w:highlight w:val="none"/>
        </w:rPr>
        <w:t>2.2“采购代理机构”是指政府采购集中采购机构和集中采购机构以外的采购代理机构。2.3“供应商”是指向采购人提供货物、工程或者服务的法人、其他组织或者自然人。</w:t>
      </w:r>
    </w:p>
    <w:p w14:paraId="571AA31F">
      <w:pPr>
        <w:pStyle w:val="6"/>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2.4“投标人”是指响应招标、参加投标竞争的法人、其他组织或者自然人。</w:t>
      </w:r>
    </w:p>
    <w:p w14:paraId="16F8F31F">
      <w:pPr>
        <w:pStyle w:val="8"/>
        <w:keepNext w:val="0"/>
        <w:keepLines w:val="0"/>
        <w:numPr>
          <w:ilvl w:val="0"/>
          <w:numId w:val="0"/>
        </w:numPr>
        <w:spacing w:before="0" w:after="0" w:line="360" w:lineRule="auto"/>
        <w:ind w:firstLine="480" w:firstLineChars="200"/>
        <w:rPr>
          <w:rFonts w:ascii="宋体" w:hAnsi="宋体" w:cs="宋体"/>
          <w:b w:val="0"/>
          <w:color w:val="auto"/>
          <w:sz w:val="24"/>
          <w:highlight w:val="none"/>
        </w:rPr>
      </w:pPr>
      <w:r>
        <w:rPr>
          <w:rFonts w:hint="eastAsia" w:ascii="宋体" w:hAnsi="宋体" w:cs="宋体"/>
          <w:b w:val="0"/>
          <w:color w:val="auto"/>
          <w:sz w:val="24"/>
          <w:highlight w:val="none"/>
        </w:rPr>
        <w:t>2.5“货物”是指各种形态和种类的物品，包括原材料、燃料、设备、产品等。</w:t>
      </w:r>
    </w:p>
    <w:p w14:paraId="48A94481">
      <w:pPr>
        <w:pStyle w:val="8"/>
        <w:keepNext w:val="0"/>
        <w:keepLines w:val="0"/>
        <w:numPr>
          <w:ilvl w:val="0"/>
          <w:numId w:val="0"/>
        </w:numPr>
        <w:spacing w:before="0" w:after="0" w:line="360" w:lineRule="auto"/>
        <w:ind w:firstLine="480" w:firstLineChars="200"/>
        <w:rPr>
          <w:rFonts w:ascii="宋体" w:hAnsi="宋体" w:cs="宋体"/>
          <w:b w:val="0"/>
          <w:color w:val="auto"/>
          <w:sz w:val="24"/>
          <w:highlight w:val="none"/>
        </w:rPr>
      </w:pPr>
      <w:r>
        <w:rPr>
          <w:rFonts w:hint="eastAsia" w:ascii="宋体" w:hAnsi="宋体" w:cs="宋体"/>
          <w:b w:val="0"/>
          <w:color w:val="auto"/>
          <w:sz w:val="24"/>
          <w:highlight w:val="none"/>
        </w:rPr>
        <w:t>2.6“售后服务” 是指商品出售以后所提供的各种服务，包含但不限于投标人须承担的备品备件、包装、运输、装卸、保险、货到就位以及安装、调试、培训、保修以及其他各种服务。</w:t>
      </w:r>
    </w:p>
    <w:p w14:paraId="33034E38">
      <w:pPr>
        <w:pStyle w:val="8"/>
        <w:keepNext w:val="0"/>
        <w:keepLines w:val="0"/>
        <w:numPr>
          <w:ilvl w:val="0"/>
          <w:numId w:val="0"/>
        </w:numPr>
        <w:spacing w:before="0" w:after="0" w:line="360" w:lineRule="auto"/>
        <w:ind w:firstLine="480" w:firstLineChars="200"/>
        <w:rPr>
          <w:rFonts w:ascii="宋体" w:hAnsi="宋体" w:cs="宋体"/>
          <w:b w:val="0"/>
          <w:color w:val="auto"/>
          <w:sz w:val="24"/>
          <w:highlight w:val="none"/>
        </w:rPr>
      </w:pPr>
      <w:r>
        <w:rPr>
          <w:rFonts w:hint="eastAsia" w:ascii="宋体" w:hAnsi="宋体" w:cs="宋体"/>
          <w:b w:val="0"/>
          <w:color w:val="auto"/>
          <w:sz w:val="24"/>
          <w:highlight w:val="none"/>
        </w:rPr>
        <w:t>2.7“书面形式”是指合同书、信件和数据电文（包括电报、电传、传真、电子数据交换和电子邮件）等可以有形地表现所载内容的形式。</w:t>
      </w:r>
    </w:p>
    <w:p w14:paraId="0FA43F55">
      <w:pPr>
        <w:pStyle w:val="8"/>
        <w:keepNext w:val="0"/>
        <w:keepLines w:val="0"/>
        <w:numPr>
          <w:ilvl w:val="0"/>
          <w:numId w:val="0"/>
        </w:numPr>
        <w:spacing w:before="0" w:after="0" w:line="360" w:lineRule="auto"/>
        <w:ind w:firstLine="480" w:firstLineChars="200"/>
        <w:rPr>
          <w:rFonts w:ascii="宋体" w:hAnsi="宋体" w:cs="宋体"/>
          <w:b w:val="0"/>
          <w:color w:val="auto"/>
          <w:sz w:val="24"/>
          <w:highlight w:val="none"/>
        </w:rPr>
      </w:pPr>
      <w:r>
        <w:rPr>
          <w:rFonts w:hint="eastAsia" w:ascii="宋体" w:hAnsi="宋体" w:cs="宋体"/>
          <w:b w:val="0"/>
          <w:color w:val="auto"/>
          <w:sz w:val="24"/>
          <w:highlight w:val="none"/>
        </w:rPr>
        <w:t>2.8“实质性要求”是指招标文件中已经指明不满足则投标无效的条款，或者不容许负偏离的条款，或者采购需求中带“▲”的条款。</w:t>
      </w:r>
    </w:p>
    <w:p w14:paraId="1F7167DE">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2.9 “正偏离”，是指投标文件对招标文件“采购需求”中有关条款作出的响应优于条款要求并有利于采购人的情形。</w:t>
      </w:r>
    </w:p>
    <w:p w14:paraId="6C8156E7">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2.10“负偏离”，是指投标文件对招标文件“采购需求”中有关条款作出的响应不满足条款要求，导致采购人要求不能得到满足的情形。</w:t>
      </w:r>
    </w:p>
    <w:p w14:paraId="06AB7B00">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2.11“允许负偏离的条款”是指采购需求中的不属于“实质性要求”的条款。</w:t>
      </w:r>
      <w:bookmarkStart w:id="75" w:name="_Toc254970670"/>
      <w:bookmarkStart w:id="76" w:name="_Toc254970529"/>
    </w:p>
    <w:p w14:paraId="2FA36A17">
      <w:pPr>
        <w:pStyle w:val="8"/>
        <w:keepNext w:val="0"/>
        <w:keepLines w:val="0"/>
        <w:spacing w:before="0" w:after="0" w:line="360" w:lineRule="auto"/>
        <w:ind w:left="420" w:leftChars="200"/>
        <w:rPr>
          <w:rFonts w:ascii="宋体" w:hAnsi="宋体" w:cs="宋体"/>
          <w:color w:val="auto"/>
          <w:sz w:val="24"/>
          <w:highlight w:val="none"/>
        </w:rPr>
      </w:pPr>
      <w:r>
        <w:rPr>
          <w:rFonts w:hint="eastAsia" w:ascii="宋体" w:hAnsi="宋体" w:cs="宋体"/>
          <w:color w:val="auto"/>
          <w:sz w:val="24"/>
          <w:highlight w:val="none"/>
        </w:rPr>
        <w:t>3.</w:t>
      </w:r>
      <w:bookmarkEnd w:id="75"/>
      <w:bookmarkEnd w:id="76"/>
      <w:r>
        <w:rPr>
          <w:rFonts w:hint="eastAsia" w:ascii="宋体" w:hAnsi="宋体" w:cs="宋体"/>
          <w:color w:val="auto"/>
          <w:sz w:val="24"/>
          <w:highlight w:val="none"/>
        </w:rPr>
        <w:t>投标人的资格要求</w:t>
      </w:r>
    </w:p>
    <w:p w14:paraId="30955468">
      <w:pPr>
        <w:snapToGrid w:val="0"/>
        <w:spacing w:line="360" w:lineRule="auto"/>
        <w:ind w:firstLine="420" w:firstLineChars="175"/>
        <w:jc w:val="left"/>
        <w:rPr>
          <w:rFonts w:ascii="宋体" w:hAnsi="宋体" w:cs="宋体"/>
          <w:color w:val="auto"/>
          <w:sz w:val="24"/>
          <w:highlight w:val="none"/>
        </w:rPr>
      </w:pPr>
      <w:r>
        <w:rPr>
          <w:rFonts w:hint="eastAsia" w:ascii="宋体" w:hAnsi="宋体" w:cs="宋体"/>
          <w:color w:val="auto"/>
          <w:sz w:val="24"/>
          <w:highlight w:val="none"/>
        </w:rPr>
        <w:t>投标人的资格要求详见“投标人须知前附表”。</w:t>
      </w:r>
    </w:p>
    <w:p w14:paraId="46A8317B">
      <w:pPr>
        <w:pStyle w:val="8"/>
        <w:keepNext w:val="0"/>
        <w:keepLines w:val="0"/>
        <w:spacing w:before="0" w:after="0" w:line="360" w:lineRule="auto"/>
        <w:ind w:left="420" w:leftChars="200"/>
        <w:rPr>
          <w:rFonts w:ascii="宋体" w:hAnsi="宋体" w:cs="宋体"/>
          <w:color w:val="auto"/>
          <w:sz w:val="24"/>
          <w:highlight w:val="none"/>
        </w:rPr>
      </w:pPr>
      <w:bookmarkStart w:id="77" w:name="_Toc254970530"/>
      <w:bookmarkStart w:id="78" w:name="_Toc254970671"/>
      <w:r>
        <w:rPr>
          <w:rFonts w:hint="eastAsia" w:ascii="宋体" w:hAnsi="宋体" w:cs="宋体"/>
          <w:color w:val="auto"/>
          <w:sz w:val="24"/>
          <w:highlight w:val="none"/>
        </w:rPr>
        <w:t>4.投标委托</w:t>
      </w:r>
      <w:bookmarkEnd w:id="77"/>
      <w:bookmarkEnd w:id="78"/>
    </w:p>
    <w:p w14:paraId="5C4DCC44">
      <w:pPr>
        <w:snapToGrid w:val="0"/>
        <w:spacing w:line="360" w:lineRule="auto"/>
        <w:ind w:firstLine="420" w:firstLineChars="175"/>
        <w:jc w:val="left"/>
        <w:rPr>
          <w:rFonts w:ascii="宋体" w:hAnsi="宋体" w:cs="宋体"/>
          <w:color w:val="auto"/>
          <w:sz w:val="24"/>
          <w:highlight w:val="none"/>
        </w:rPr>
      </w:pPr>
      <w:r>
        <w:rPr>
          <w:rFonts w:hint="eastAsia" w:ascii="宋体" w:hAnsi="宋体" w:cs="宋体"/>
          <w:color w:val="auto"/>
          <w:sz w:val="24"/>
          <w:highlight w:val="none"/>
        </w:rPr>
        <w:t>投标人代表参加投标活动过程中必须提供个人有效身份证件。如投标人代表不是法定代表人，须持有授权委托书（按第六章要求格式填写）。</w:t>
      </w:r>
    </w:p>
    <w:p w14:paraId="03C272AB">
      <w:pPr>
        <w:pStyle w:val="8"/>
        <w:keepNext w:val="0"/>
        <w:keepLines w:val="0"/>
        <w:spacing w:before="0" w:after="0" w:line="360" w:lineRule="auto"/>
        <w:ind w:left="420" w:leftChars="200"/>
        <w:rPr>
          <w:rFonts w:ascii="宋体" w:hAnsi="宋体" w:cs="宋体"/>
          <w:color w:val="auto"/>
          <w:sz w:val="24"/>
          <w:highlight w:val="none"/>
        </w:rPr>
      </w:pPr>
      <w:bookmarkStart w:id="79" w:name="_5.投标费用"/>
      <w:bookmarkEnd w:id="79"/>
      <w:bookmarkStart w:id="80" w:name="_Toc254970672"/>
      <w:bookmarkStart w:id="81" w:name="_Toc254970531"/>
      <w:r>
        <w:rPr>
          <w:rFonts w:hint="eastAsia" w:ascii="宋体" w:hAnsi="宋体" w:cs="宋体"/>
          <w:color w:val="auto"/>
          <w:sz w:val="24"/>
          <w:highlight w:val="none"/>
        </w:rPr>
        <w:t>5.投标费用</w:t>
      </w:r>
      <w:bookmarkEnd w:id="80"/>
      <w:bookmarkEnd w:id="81"/>
    </w:p>
    <w:p w14:paraId="343B4BC2">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投标费用：投标人应承担参与本次采购活动有关的所有费用，包括但不限于获取招标文件、勘查现场、编制和提交投标文件、参加澄清说明、签订合同等，不论投标结果如何，均应自行承担。</w:t>
      </w:r>
    </w:p>
    <w:p w14:paraId="13B3016C">
      <w:pPr>
        <w:pStyle w:val="8"/>
        <w:keepNext w:val="0"/>
        <w:keepLines w:val="0"/>
        <w:spacing w:before="0" w:after="0" w:line="360" w:lineRule="auto"/>
        <w:ind w:left="420" w:leftChars="200"/>
        <w:rPr>
          <w:rFonts w:ascii="宋体" w:hAnsi="宋体" w:cs="宋体"/>
          <w:color w:val="auto"/>
          <w:sz w:val="24"/>
          <w:highlight w:val="none"/>
        </w:rPr>
      </w:pPr>
      <w:r>
        <w:rPr>
          <w:rFonts w:hint="eastAsia" w:ascii="宋体" w:hAnsi="宋体" w:cs="宋体"/>
          <w:color w:val="auto"/>
          <w:sz w:val="24"/>
          <w:highlight w:val="none"/>
        </w:rPr>
        <w:t>6.联合体投标</w:t>
      </w:r>
    </w:p>
    <w:p w14:paraId="31925E9B">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6.1本项目是否接受联合体投标，详见“投标人须知前附表”。</w:t>
      </w:r>
    </w:p>
    <w:p w14:paraId="57D9CB9B">
      <w:pPr>
        <w:snapToGrid w:val="0"/>
        <w:spacing w:line="360" w:lineRule="auto"/>
        <w:ind w:firstLine="480" w:firstLineChars="200"/>
        <w:jc w:val="left"/>
        <w:rPr>
          <w:rFonts w:ascii="宋体" w:hAnsi="宋体" w:cs="宋体"/>
          <w:bCs/>
          <w:color w:val="auto"/>
          <w:sz w:val="24"/>
          <w:highlight w:val="none"/>
        </w:rPr>
      </w:pPr>
      <w:r>
        <w:rPr>
          <w:rFonts w:hint="eastAsia" w:ascii="宋体" w:hAnsi="宋体" w:cs="宋体"/>
          <w:bCs/>
          <w:color w:val="auto"/>
          <w:sz w:val="24"/>
          <w:highlight w:val="none"/>
        </w:rPr>
        <w:t>6.2如接受联合体投标，联合体投标要求详见“投标人须知前附表”。</w:t>
      </w:r>
    </w:p>
    <w:p w14:paraId="0AE3A5FE">
      <w:pPr>
        <w:pStyle w:val="8"/>
        <w:keepNext w:val="0"/>
        <w:keepLines w:val="0"/>
        <w:spacing w:before="0" w:after="0" w:line="360" w:lineRule="auto"/>
        <w:ind w:firstLine="484" w:firstLineChars="202"/>
        <w:rPr>
          <w:rFonts w:ascii="宋体" w:hAnsi="宋体" w:cs="宋体"/>
          <w:color w:val="auto"/>
          <w:sz w:val="24"/>
          <w:highlight w:val="none"/>
        </w:rPr>
      </w:pPr>
      <w:r>
        <w:rPr>
          <w:rFonts w:hint="eastAsia" w:ascii="宋体" w:hAnsi="宋体" w:cs="宋体"/>
          <w:b w:val="0"/>
          <w:bCs/>
          <w:color w:val="auto"/>
          <w:sz w:val="24"/>
          <w:highlight w:val="none"/>
        </w:rPr>
        <w:t xml:space="preserve">6.3 </w:t>
      </w:r>
      <w:bookmarkStart w:id="82" w:name="_Hlk65857072"/>
      <w:r>
        <w:rPr>
          <w:rFonts w:hint="eastAsia" w:ascii="宋体" w:hAnsi="宋体" w:cs="宋体"/>
          <w:b w:val="0"/>
          <w:bCs/>
          <w:color w:val="auto"/>
          <w:sz w:val="24"/>
          <w:highlight w:val="none"/>
        </w:rPr>
        <w:t>根据《政府采购促进中小企业发展管理办法》（财库〔2020〕46号）及《关于进一步加大政府采购支持中小企业力度的通知》（财库〔2022〕19号 ）的规定，大中型企业与小微企业组成联合体或者大中型企业向小微企业分包的，评审优惠6%。政府采购工程的价格评审优惠按照财库〔2020〕46号文件的规定执行，用扣除后的价格参加评审。</w:t>
      </w:r>
      <w:bookmarkEnd w:id="82"/>
    </w:p>
    <w:p w14:paraId="4A5B6EAD">
      <w:pPr>
        <w:pStyle w:val="8"/>
        <w:keepNext w:val="0"/>
        <w:keepLines w:val="0"/>
        <w:spacing w:before="0" w:after="0" w:line="360" w:lineRule="auto"/>
        <w:ind w:left="420" w:leftChars="200"/>
        <w:rPr>
          <w:rFonts w:ascii="宋体" w:hAnsi="宋体" w:cs="宋体"/>
          <w:color w:val="auto"/>
          <w:sz w:val="24"/>
          <w:highlight w:val="none"/>
        </w:rPr>
      </w:pPr>
      <w:r>
        <w:rPr>
          <w:rFonts w:hint="eastAsia" w:ascii="宋体" w:hAnsi="宋体" w:cs="宋体"/>
          <w:color w:val="auto"/>
          <w:sz w:val="24"/>
          <w:highlight w:val="none"/>
        </w:rPr>
        <w:t xml:space="preserve">7.转包与分包             </w:t>
      </w:r>
    </w:p>
    <w:p w14:paraId="511424F5">
      <w:pPr>
        <w:pStyle w:val="8"/>
        <w:keepNext w:val="0"/>
        <w:keepLines w:val="0"/>
        <w:numPr>
          <w:ilvl w:val="0"/>
          <w:numId w:val="0"/>
        </w:numPr>
        <w:spacing w:before="0" w:after="0" w:line="360" w:lineRule="auto"/>
        <w:ind w:firstLine="420" w:firstLineChars="175"/>
        <w:rPr>
          <w:rFonts w:ascii="宋体" w:hAnsi="宋体" w:cs="宋体"/>
          <w:b w:val="0"/>
          <w:color w:val="auto"/>
          <w:sz w:val="24"/>
          <w:highlight w:val="none"/>
        </w:rPr>
      </w:pPr>
      <w:r>
        <w:rPr>
          <w:rFonts w:hint="eastAsia" w:ascii="宋体" w:hAnsi="宋体" w:cs="宋体"/>
          <w:b w:val="0"/>
          <w:color w:val="auto"/>
          <w:sz w:val="24"/>
          <w:highlight w:val="none"/>
        </w:rPr>
        <w:t>7.1本项目不允许转包。</w:t>
      </w:r>
    </w:p>
    <w:p w14:paraId="68865B3B">
      <w:pPr>
        <w:pStyle w:val="8"/>
        <w:keepNext w:val="0"/>
        <w:keepLines w:val="0"/>
        <w:spacing w:before="0" w:after="0" w:line="360" w:lineRule="auto"/>
        <w:ind w:firstLine="420" w:firstLineChars="175"/>
        <w:rPr>
          <w:rFonts w:ascii="宋体" w:hAnsi="宋体" w:cs="宋体"/>
          <w:b w:val="0"/>
          <w:color w:val="auto"/>
          <w:sz w:val="24"/>
          <w:highlight w:val="none"/>
        </w:rPr>
      </w:pPr>
      <w:r>
        <w:rPr>
          <w:rFonts w:hint="eastAsia" w:ascii="宋体" w:hAnsi="宋体" w:cs="宋体"/>
          <w:b w:val="0"/>
          <w:color w:val="auto"/>
          <w:sz w:val="24"/>
          <w:highlight w:val="none"/>
        </w:rPr>
        <w:t>7.2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14:paraId="44E91C37">
      <w:pPr>
        <w:pStyle w:val="8"/>
        <w:keepNext w:val="0"/>
        <w:keepLines w:val="0"/>
        <w:spacing w:before="0" w:after="0" w:line="360" w:lineRule="auto"/>
        <w:ind w:firstLine="420" w:firstLineChars="175"/>
        <w:rPr>
          <w:rFonts w:ascii="宋体" w:hAnsi="宋体" w:cs="宋体"/>
          <w:b w:val="0"/>
          <w:color w:val="auto"/>
          <w:sz w:val="24"/>
          <w:highlight w:val="none"/>
        </w:rPr>
      </w:pPr>
      <w:r>
        <w:rPr>
          <w:rFonts w:hint="eastAsia" w:ascii="宋体" w:hAnsi="宋体" w:cs="宋体"/>
          <w:b w:val="0"/>
          <w:color w:val="auto"/>
          <w:sz w:val="24"/>
          <w:highlight w:val="none"/>
        </w:rPr>
        <w:t>7.3投标人根据招标文件的规定和采购项目的实际情况，拟在中标后将中标项目的非主体、非关键性工作分包的，应当在投标文件中载明分包承担主体，分包承担主体应当具备相应资质条件且不得再次分包。</w:t>
      </w:r>
    </w:p>
    <w:p w14:paraId="25D6B28B">
      <w:pPr>
        <w:pStyle w:val="8"/>
        <w:keepNext w:val="0"/>
        <w:keepLines w:val="0"/>
        <w:spacing w:before="0" w:after="0" w:line="360" w:lineRule="auto"/>
        <w:ind w:left="420" w:leftChars="200"/>
        <w:rPr>
          <w:rFonts w:ascii="宋体" w:hAnsi="宋体" w:cs="宋体"/>
          <w:color w:val="auto"/>
          <w:sz w:val="24"/>
          <w:highlight w:val="none"/>
        </w:rPr>
      </w:pPr>
      <w:bookmarkStart w:id="83" w:name="_Toc254970532"/>
      <w:bookmarkStart w:id="84" w:name="_Toc254970673"/>
      <w:r>
        <w:rPr>
          <w:rFonts w:hint="eastAsia" w:ascii="宋体" w:hAnsi="宋体" w:cs="宋体"/>
          <w:color w:val="auto"/>
          <w:sz w:val="24"/>
          <w:highlight w:val="none"/>
        </w:rPr>
        <w:t>8.特别说明</w:t>
      </w:r>
      <w:bookmarkEnd w:id="83"/>
      <w:bookmarkEnd w:id="84"/>
    </w:p>
    <w:p w14:paraId="5F6CA927">
      <w:pPr>
        <w:pStyle w:val="8"/>
        <w:keepNext w:val="0"/>
        <w:keepLines w:val="0"/>
        <w:spacing w:before="0" w:after="0" w:line="360" w:lineRule="auto"/>
        <w:ind w:firstLine="480" w:firstLineChars="200"/>
        <w:rPr>
          <w:rFonts w:ascii="宋体" w:hAnsi="宋体" w:cs="宋体"/>
          <w:b w:val="0"/>
          <w:color w:val="auto"/>
          <w:sz w:val="24"/>
          <w:highlight w:val="none"/>
        </w:rPr>
      </w:pPr>
      <w:bookmarkStart w:id="85" w:name="_8.1提供相同品牌产品且通过资格审查、符合性审查的不同投标人参加同一合"/>
      <w:bookmarkEnd w:id="85"/>
      <w:r>
        <w:rPr>
          <w:rFonts w:hint="eastAsia" w:ascii="宋体" w:hAnsi="宋体" w:cs="宋体"/>
          <w:b w:val="0"/>
          <w:color w:val="auto"/>
          <w:sz w:val="24"/>
          <w:highlight w:val="none"/>
        </w:rPr>
        <w:fldChar w:fldCharType="begin"/>
      </w:r>
      <w:r>
        <w:rPr>
          <w:rFonts w:hint="eastAsia" w:ascii="宋体" w:hAnsi="宋体" w:cs="宋体"/>
          <w:b w:val="0"/>
          <w:color w:val="auto"/>
          <w:sz w:val="24"/>
          <w:highlight w:val="none"/>
        </w:rPr>
        <w:instrText xml:space="preserve"> HYPERLINK  \l "_8.1" </w:instrText>
      </w:r>
      <w:r>
        <w:rPr>
          <w:rFonts w:hint="eastAsia" w:ascii="宋体" w:hAnsi="宋体" w:cs="宋体"/>
          <w:b w:val="0"/>
          <w:color w:val="auto"/>
          <w:sz w:val="24"/>
          <w:highlight w:val="none"/>
        </w:rPr>
        <w:fldChar w:fldCharType="separate"/>
      </w:r>
      <w:r>
        <w:rPr>
          <w:rFonts w:hint="eastAsia" w:ascii="宋体" w:hAnsi="宋体" w:cs="宋体"/>
          <w:b w:val="0"/>
          <w:color w:val="auto"/>
          <w:sz w:val="24"/>
          <w:highlight w:val="none"/>
        </w:rPr>
        <w:t>8.1</w:t>
      </w:r>
      <w:r>
        <w:rPr>
          <w:rFonts w:hint="eastAsia" w:ascii="宋体" w:hAnsi="宋体" w:cs="宋体"/>
          <w:b w:val="0"/>
          <w:color w:val="auto"/>
          <w:sz w:val="24"/>
          <w:highlight w:val="none"/>
        </w:rPr>
        <w:fldChar w:fldCharType="end"/>
      </w:r>
      <w:r>
        <w:rPr>
          <w:rFonts w:hint="eastAsia" w:ascii="宋体" w:hAnsi="宋体" w:cs="宋体"/>
          <w:b w:val="0"/>
          <w:color w:val="auto"/>
          <w:sz w:val="24"/>
          <w:highlight w:val="none"/>
        </w:rPr>
        <w:t>采用最低评标价法的采购项目，提供相同品牌产品的不同投标人参加同一合同项下投标的，以其中通过资格审查、符合性审查且报价最低的参加评标；报价相同的，由采购人或者采购人委托评标委员会按照“投标人须知前附表”规定的方式确定一个参加评标的投标人，</w:t>
      </w:r>
      <w:r>
        <w:rPr>
          <w:rFonts w:hint="eastAsia" w:ascii="宋体" w:hAnsi="宋体" w:cs="宋体"/>
          <w:color w:val="auto"/>
          <w:sz w:val="24"/>
          <w:highlight w:val="none"/>
        </w:rPr>
        <w:t>其他投标无效。</w:t>
      </w:r>
    </w:p>
    <w:p w14:paraId="679D2E61">
      <w:pPr>
        <w:pStyle w:val="8"/>
        <w:keepNext w:val="0"/>
        <w:keepLines w:val="0"/>
        <w:spacing w:before="0" w:after="0" w:line="360" w:lineRule="auto"/>
        <w:ind w:firstLine="480" w:firstLineChars="200"/>
        <w:rPr>
          <w:rFonts w:ascii="宋体" w:hAnsi="宋体" w:cs="宋体"/>
          <w:b w:val="0"/>
          <w:color w:val="auto"/>
          <w:sz w:val="24"/>
          <w:highlight w:val="none"/>
        </w:rPr>
      </w:pPr>
      <w:r>
        <w:rPr>
          <w:rFonts w:hint="eastAsia" w:ascii="宋体" w:hAnsi="宋体" w:cs="宋体"/>
          <w:b w:val="0"/>
          <w:color w:val="auto"/>
          <w:sz w:val="24"/>
          <w:highlight w:val="none"/>
        </w:rPr>
        <w:t>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其他同品牌投标人不作为中标候选人。</w:t>
      </w:r>
    </w:p>
    <w:p w14:paraId="3D1269BA">
      <w:pPr>
        <w:pStyle w:val="24"/>
        <w:snapToGrid w:val="0"/>
        <w:spacing w:line="360" w:lineRule="auto"/>
        <w:ind w:left="2" w:leftChars="1" w:firstLine="480" w:firstLineChars="200"/>
        <w:rPr>
          <w:rFonts w:hAnsi="宋体" w:cs="宋体"/>
          <w:color w:val="auto"/>
          <w:kern w:val="2"/>
          <w:sz w:val="24"/>
          <w:szCs w:val="24"/>
          <w:highlight w:val="none"/>
        </w:rPr>
      </w:pPr>
      <w:r>
        <w:rPr>
          <w:rFonts w:hint="eastAsia" w:hAnsi="宋体" w:cs="宋体"/>
          <w:color w:val="auto"/>
          <w:kern w:val="2"/>
          <w:sz w:val="24"/>
          <w:szCs w:val="24"/>
          <w:highlight w:val="none"/>
        </w:rPr>
        <w:t>非单一产品采购项目，多家投标人提供的核心产品品牌相同的，</w:t>
      </w:r>
      <w:r>
        <w:rPr>
          <w:rFonts w:hint="eastAsia" w:hAnsi="宋体" w:cs="宋体"/>
          <w:color w:val="auto"/>
          <w:sz w:val="24"/>
          <w:szCs w:val="24"/>
          <w:highlight w:val="none"/>
        </w:rPr>
        <w:t>按前两款规定处理</w:t>
      </w:r>
      <w:r>
        <w:rPr>
          <w:rFonts w:hint="eastAsia" w:hAnsi="宋体" w:cs="宋体"/>
          <w:color w:val="auto"/>
          <w:kern w:val="2"/>
          <w:sz w:val="24"/>
          <w:szCs w:val="24"/>
          <w:highlight w:val="none"/>
        </w:rPr>
        <w:t>。</w:t>
      </w:r>
    </w:p>
    <w:p w14:paraId="2BDA921C">
      <w:pPr>
        <w:pStyle w:val="8"/>
        <w:keepNext w:val="0"/>
        <w:keepLines w:val="0"/>
        <w:spacing w:before="0" w:after="0" w:line="360" w:lineRule="auto"/>
        <w:ind w:firstLine="420" w:firstLineChars="175"/>
        <w:rPr>
          <w:rFonts w:ascii="宋体" w:hAnsi="宋体" w:cs="宋体"/>
          <w:b w:val="0"/>
          <w:color w:val="auto"/>
          <w:sz w:val="24"/>
          <w:highlight w:val="none"/>
        </w:rPr>
      </w:pPr>
      <w:r>
        <w:rPr>
          <w:rFonts w:hint="eastAsia" w:ascii="宋体" w:hAnsi="宋体" w:cs="宋体"/>
          <w:b w:val="0"/>
          <w:color w:val="auto"/>
          <w:sz w:val="24"/>
          <w:highlight w:val="none"/>
        </w:rPr>
        <w:t xml:space="preserve"> 8.2如果本招标文件要求提供投标人或制造商的资格、信誉、荣誉、业绩与企业认证等材料的，资格、信誉、荣誉、业绩与企业认证等必须为投标人或者制造商所拥有或自身获得 。</w:t>
      </w:r>
    </w:p>
    <w:p w14:paraId="43AE8FFA">
      <w:pPr>
        <w:pStyle w:val="8"/>
        <w:keepNext w:val="0"/>
        <w:keepLines w:val="0"/>
        <w:spacing w:before="0" w:after="0" w:line="360" w:lineRule="auto"/>
        <w:ind w:firstLine="420" w:firstLineChars="175"/>
        <w:rPr>
          <w:rFonts w:ascii="宋体" w:hAnsi="宋体" w:cs="宋体"/>
          <w:b w:val="0"/>
          <w:color w:val="auto"/>
          <w:sz w:val="24"/>
          <w:highlight w:val="none"/>
        </w:rPr>
      </w:pPr>
      <w:r>
        <w:rPr>
          <w:rFonts w:hint="eastAsia" w:ascii="宋体" w:hAnsi="宋体" w:cs="宋体"/>
          <w:b w:val="0"/>
          <w:color w:val="auto"/>
          <w:sz w:val="24"/>
          <w:highlight w:val="none"/>
        </w:rPr>
        <w:t xml:space="preserve"> 8.3投标人应仔细阅读招标文件的所有内容，按照招标文件的要求提交投标文件，并对所提供的全部资料的真实性承担法律责任。</w:t>
      </w:r>
    </w:p>
    <w:p w14:paraId="5DBC48B2">
      <w:pPr>
        <w:pStyle w:val="8"/>
        <w:keepNext w:val="0"/>
        <w:keepLines w:val="0"/>
        <w:spacing w:before="0" w:after="0" w:line="360" w:lineRule="auto"/>
        <w:ind w:firstLine="420" w:firstLineChars="175"/>
        <w:rPr>
          <w:rFonts w:ascii="宋体" w:hAnsi="宋体" w:cs="宋体"/>
          <w:b w:val="0"/>
          <w:color w:val="auto"/>
          <w:sz w:val="24"/>
          <w:highlight w:val="none"/>
        </w:rPr>
      </w:pPr>
      <w:r>
        <w:rPr>
          <w:rFonts w:hint="eastAsia" w:ascii="宋体" w:hAnsi="宋体" w:cs="宋体"/>
          <w:b w:val="0"/>
          <w:color w:val="auto"/>
          <w:sz w:val="24"/>
          <w:highlight w:val="none"/>
        </w:rPr>
        <w:t xml:space="preserve"> 8.4投标人在投标活动中提供任何虚假材料，将报监管部门查处；中标后发现的，中标人须依法赔偿采购人，且民事赔偿并不免除违法投标人的行政与刑事责任。</w:t>
      </w:r>
    </w:p>
    <w:p w14:paraId="5A03E69F">
      <w:pPr>
        <w:pStyle w:val="8"/>
        <w:keepNext w:val="0"/>
        <w:keepLines w:val="0"/>
        <w:spacing w:before="0" w:after="0" w:line="360" w:lineRule="auto"/>
        <w:ind w:left="420" w:leftChars="200"/>
        <w:rPr>
          <w:rFonts w:ascii="宋体" w:hAnsi="宋体" w:cs="宋体"/>
          <w:color w:val="auto"/>
          <w:sz w:val="24"/>
          <w:highlight w:val="none"/>
        </w:rPr>
      </w:pPr>
      <w:r>
        <w:rPr>
          <w:rFonts w:hint="eastAsia" w:ascii="宋体" w:hAnsi="宋体" w:cs="宋体"/>
          <w:color w:val="auto"/>
          <w:sz w:val="24"/>
          <w:highlight w:val="none"/>
        </w:rPr>
        <w:t>9.回避与串通投标</w:t>
      </w:r>
    </w:p>
    <w:p w14:paraId="089C741A">
      <w:pPr>
        <w:pStyle w:val="8"/>
        <w:keepNext w:val="0"/>
        <w:keepLines w:val="0"/>
        <w:spacing w:before="0" w:after="0" w:line="360" w:lineRule="auto"/>
        <w:ind w:firstLine="420" w:firstLineChars="175"/>
        <w:rPr>
          <w:rFonts w:ascii="宋体" w:hAnsi="宋体" w:cs="宋体"/>
          <w:b w:val="0"/>
          <w:color w:val="auto"/>
          <w:sz w:val="24"/>
          <w:highlight w:val="none"/>
        </w:rPr>
      </w:pPr>
      <w:r>
        <w:rPr>
          <w:rFonts w:hint="eastAsia" w:ascii="宋体" w:hAnsi="宋体" w:cs="宋体"/>
          <w:b w:val="0"/>
          <w:color w:val="auto"/>
          <w:sz w:val="24"/>
          <w:highlight w:val="none"/>
        </w:rPr>
        <w:t>9.1在政府采购活动中，采购人员及相关人员与供应商有下列利害关系之一的，应当回避：</w:t>
      </w:r>
    </w:p>
    <w:p w14:paraId="4F242123">
      <w:pPr>
        <w:pStyle w:val="24"/>
        <w:snapToGrid w:val="0"/>
        <w:spacing w:line="360" w:lineRule="auto"/>
        <w:ind w:left="2" w:leftChars="1" w:firstLine="480" w:firstLineChars="200"/>
        <w:rPr>
          <w:rFonts w:hAnsi="宋体" w:cs="宋体"/>
          <w:color w:val="auto"/>
          <w:kern w:val="2"/>
          <w:sz w:val="24"/>
          <w:szCs w:val="24"/>
          <w:highlight w:val="none"/>
        </w:rPr>
      </w:pPr>
      <w:r>
        <w:rPr>
          <w:rFonts w:hint="eastAsia" w:hAnsi="宋体" w:cs="宋体"/>
          <w:color w:val="auto"/>
          <w:kern w:val="2"/>
          <w:sz w:val="24"/>
          <w:szCs w:val="24"/>
          <w:highlight w:val="none"/>
        </w:rPr>
        <w:t>（1）参加采购活动前3年内与供应商存在劳动关系；</w:t>
      </w:r>
    </w:p>
    <w:p w14:paraId="28931BD5">
      <w:pPr>
        <w:pStyle w:val="24"/>
        <w:snapToGrid w:val="0"/>
        <w:spacing w:line="360" w:lineRule="auto"/>
        <w:ind w:left="2" w:leftChars="1" w:firstLine="480" w:firstLineChars="200"/>
        <w:rPr>
          <w:rFonts w:hAnsi="宋体" w:cs="宋体"/>
          <w:color w:val="auto"/>
          <w:kern w:val="2"/>
          <w:sz w:val="24"/>
          <w:szCs w:val="24"/>
          <w:highlight w:val="none"/>
        </w:rPr>
      </w:pPr>
      <w:r>
        <w:rPr>
          <w:rFonts w:hint="eastAsia" w:hAnsi="宋体" w:cs="宋体"/>
          <w:color w:val="auto"/>
          <w:kern w:val="2"/>
          <w:sz w:val="24"/>
          <w:szCs w:val="24"/>
          <w:highlight w:val="none"/>
        </w:rPr>
        <w:t>（2）参加采购活动前3年内担任供应商的董事、监事；</w:t>
      </w:r>
    </w:p>
    <w:p w14:paraId="5D5CD56C">
      <w:pPr>
        <w:pStyle w:val="24"/>
        <w:snapToGrid w:val="0"/>
        <w:spacing w:line="360" w:lineRule="auto"/>
        <w:ind w:left="2" w:leftChars="1" w:firstLine="480" w:firstLineChars="200"/>
        <w:rPr>
          <w:rFonts w:hAnsi="宋体" w:cs="宋体"/>
          <w:color w:val="auto"/>
          <w:kern w:val="2"/>
          <w:sz w:val="24"/>
          <w:szCs w:val="24"/>
          <w:highlight w:val="none"/>
        </w:rPr>
      </w:pPr>
      <w:r>
        <w:rPr>
          <w:rFonts w:hint="eastAsia" w:hAnsi="宋体" w:cs="宋体"/>
          <w:color w:val="auto"/>
          <w:kern w:val="2"/>
          <w:sz w:val="24"/>
          <w:szCs w:val="24"/>
          <w:highlight w:val="none"/>
        </w:rPr>
        <w:t>（3）参加采购活动前3年内是供应商的控股股东或者实际控制人；</w:t>
      </w:r>
    </w:p>
    <w:p w14:paraId="23692839">
      <w:pPr>
        <w:pStyle w:val="24"/>
        <w:snapToGrid w:val="0"/>
        <w:spacing w:line="360" w:lineRule="auto"/>
        <w:ind w:left="2" w:leftChars="1" w:firstLine="480" w:firstLineChars="200"/>
        <w:rPr>
          <w:rFonts w:hAnsi="宋体" w:cs="宋体"/>
          <w:color w:val="auto"/>
          <w:kern w:val="2"/>
          <w:sz w:val="24"/>
          <w:szCs w:val="24"/>
          <w:highlight w:val="none"/>
        </w:rPr>
      </w:pPr>
      <w:r>
        <w:rPr>
          <w:rFonts w:hint="eastAsia" w:hAnsi="宋体" w:cs="宋体"/>
          <w:color w:val="auto"/>
          <w:kern w:val="2"/>
          <w:sz w:val="24"/>
          <w:szCs w:val="24"/>
          <w:highlight w:val="none"/>
        </w:rPr>
        <w:t>（4）与供应商的法定代表人或者负责人有夫妻、直系血亲、三代以内旁系血亲或者近姻亲关系；</w:t>
      </w:r>
    </w:p>
    <w:p w14:paraId="18C5457E">
      <w:pPr>
        <w:pStyle w:val="24"/>
        <w:snapToGrid w:val="0"/>
        <w:spacing w:line="360" w:lineRule="auto"/>
        <w:ind w:left="2" w:leftChars="1" w:firstLine="480" w:firstLineChars="200"/>
        <w:rPr>
          <w:rFonts w:hAnsi="宋体" w:cs="宋体"/>
          <w:color w:val="auto"/>
          <w:kern w:val="2"/>
          <w:sz w:val="24"/>
          <w:szCs w:val="24"/>
          <w:highlight w:val="none"/>
        </w:rPr>
      </w:pPr>
      <w:r>
        <w:rPr>
          <w:rFonts w:hint="eastAsia" w:hAnsi="宋体" w:cs="宋体"/>
          <w:color w:val="auto"/>
          <w:kern w:val="2"/>
          <w:sz w:val="24"/>
          <w:szCs w:val="24"/>
          <w:highlight w:val="none"/>
        </w:rPr>
        <w:t>（5）与供应商有其他可能影响政府采购活动公平、公正进行的关系。</w:t>
      </w:r>
    </w:p>
    <w:p w14:paraId="5EB99CEB">
      <w:pPr>
        <w:pStyle w:val="24"/>
        <w:snapToGrid w:val="0"/>
        <w:spacing w:line="360" w:lineRule="auto"/>
        <w:ind w:left="2" w:leftChars="1" w:firstLine="480" w:firstLineChars="200"/>
        <w:rPr>
          <w:rFonts w:hAnsi="宋体" w:cs="宋体"/>
          <w:color w:val="auto"/>
          <w:kern w:val="2"/>
          <w:sz w:val="24"/>
          <w:szCs w:val="24"/>
          <w:highlight w:val="none"/>
        </w:rPr>
      </w:pPr>
      <w:r>
        <w:rPr>
          <w:rFonts w:hint="eastAsia" w:hAnsi="宋体" w:cs="宋体"/>
          <w:color w:val="auto"/>
          <w:kern w:val="2"/>
          <w:sz w:val="24"/>
          <w:szCs w:val="24"/>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7E5DFE16">
      <w:pPr>
        <w:pStyle w:val="8"/>
        <w:keepNext w:val="0"/>
        <w:keepLines w:val="0"/>
        <w:spacing w:before="0" w:after="0" w:line="360" w:lineRule="auto"/>
        <w:ind w:left="420" w:leftChars="200"/>
        <w:rPr>
          <w:rFonts w:ascii="宋体" w:hAnsi="宋体" w:cs="宋体"/>
          <w:color w:val="auto"/>
          <w:sz w:val="24"/>
          <w:highlight w:val="none"/>
        </w:rPr>
      </w:pPr>
      <w:r>
        <w:rPr>
          <w:rFonts w:hint="eastAsia" w:ascii="宋体" w:hAnsi="宋体" w:cs="宋体"/>
          <w:color w:val="auto"/>
          <w:sz w:val="24"/>
          <w:highlight w:val="none"/>
        </w:rPr>
        <w:t>9.2有下列情形之一的视为投标人相互串通投标，投标文件将被视为无效：</w:t>
      </w:r>
    </w:p>
    <w:p w14:paraId="4FD322AE">
      <w:pPr>
        <w:pStyle w:val="24"/>
        <w:snapToGrid w:val="0"/>
        <w:spacing w:line="360" w:lineRule="auto"/>
        <w:ind w:left="2" w:leftChars="1" w:firstLine="482" w:firstLineChars="200"/>
        <w:rPr>
          <w:rFonts w:hAnsi="宋体" w:cs="宋体"/>
          <w:b/>
          <w:color w:val="auto"/>
          <w:kern w:val="2"/>
          <w:sz w:val="24"/>
          <w:szCs w:val="24"/>
          <w:highlight w:val="none"/>
        </w:rPr>
      </w:pPr>
      <w:r>
        <w:rPr>
          <w:rFonts w:hint="eastAsia" w:hAnsi="宋体" w:cs="宋体"/>
          <w:b/>
          <w:color w:val="auto"/>
          <w:kern w:val="2"/>
          <w:sz w:val="24"/>
          <w:szCs w:val="24"/>
          <w:highlight w:val="none"/>
        </w:rPr>
        <w:t xml:space="preserve">（1）不同投标人的投标文件由同一单位或者个人编制； </w:t>
      </w:r>
    </w:p>
    <w:p w14:paraId="6FFDA025">
      <w:pPr>
        <w:pStyle w:val="24"/>
        <w:snapToGrid w:val="0"/>
        <w:spacing w:line="360" w:lineRule="auto"/>
        <w:ind w:left="2" w:leftChars="1" w:firstLine="482" w:firstLineChars="200"/>
        <w:rPr>
          <w:rFonts w:hAnsi="宋体" w:cs="宋体"/>
          <w:b/>
          <w:color w:val="auto"/>
          <w:kern w:val="2"/>
          <w:sz w:val="24"/>
          <w:szCs w:val="24"/>
          <w:highlight w:val="none"/>
        </w:rPr>
      </w:pPr>
      <w:r>
        <w:rPr>
          <w:rFonts w:hint="eastAsia" w:hAnsi="宋体" w:cs="宋体"/>
          <w:b/>
          <w:color w:val="auto"/>
          <w:kern w:val="2"/>
          <w:sz w:val="24"/>
          <w:szCs w:val="24"/>
          <w:highlight w:val="none"/>
        </w:rPr>
        <w:t>（2）不同投标人委托同一单位或者个人办理投标事宜；</w:t>
      </w:r>
    </w:p>
    <w:p w14:paraId="30C63F2F">
      <w:pPr>
        <w:pStyle w:val="24"/>
        <w:snapToGrid w:val="0"/>
        <w:spacing w:line="360" w:lineRule="auto"/>
        <w:ind w:left="2" w:leftChars="1" w:firstLine="482" w:firstLineChars="200"/>
        <w:rPr>
          <w:rFonts w:hAnsi="宋体" w:cs="宋体"/>
          <w:b/>
          <w:color w:val="auto"/>
          <w:kern w:val="2"/>
          <w:sz w:val="24"/>
          <w:szCs w:val="24"/>
          <w:highlight w:val="none"/>
        </w:rPr>
      </w:pPr>
      <w:r>
        <w:rPr>
          <w:rFonts w:hint="eastAsia" w:hAnsi="宋体" w:cs="宋体"/>
          <w:b/>
          <w:color w:val="auto"/>
          <w:kern w:val="2"/>
          <w:sz w:val="24"/>
          <w:szCs w:val="24"/>
          <w:highlight w:val="none"/>
        </w:rPr>
        <w:t>（3）不同的投标人的投标文件载明的项目管理员为同一个人；</w:t>
      </w:r>
    </w:p>
    <w:p w14:paraId="5B8011E5">
      <w:pPr>
        <w:pStyle w:val="24"/>
        <w:snapToGrid w:val="0"/>
        <w:spacing w:line="360" w:lineRule="auto"/>
        <w:ind w:left="2" w:leftChars="1" w:firstLine="482" w:firstLineChars="200"/>
        <w:rPr>
          <w:rFonts w:hAnsi="宋体" w:cs="宋体"/>
          <w:b/>
          <w:color w:val="auto"/>
          <w:kern w:val="2"/>
          <w:sz w:val="24"/>
          <w:szCs w:val="24"/>
          <w:highlight w:val="none"/>
        </w:rPr>
      </w:pPr>
      <w:r>
        <w:rPr>
          <w:rFonts w:hint="eastAsia" w:hAnsi="宋体" w:cs="宋体"/>
          <w:b/>
          <w:color w:val="auto"/>
          <w:kern w:val="2"/>
          <w:sz w:val="24"/>
          <w:szCs w:val="24"/>
          <w:highlight w:val="none"/>
        </w:rPr>
        <w:t>（4）不同投标人的投标文件异常一致或者投标报价呈规律性差异；</w:t>
      </w:r>
    </w:p>
    <w:p w14:paraId="2B72C40F">
      <w:pPr>
        <w:pStyle w:val="24"/>
        <w:snapToGrid w:val="0"/>
        <w:spacing w:line="360" w:lineRule="auto"/>
        <w:ind w:left="2" w:leftChars="1" w:firstLine="482" w:firstLineChars="200"/>
        <w:rPr>
          <w:rFonts w:hAnsi="宋体" w:cs="宋体"/>
          <w:b/>
          <w:color w:val="auto"/>
          <w:kern w:val="2"/>
          <w:sz w:val="24"/>
          <w:szCs w:val="24"/>
          <w:highlight w:val="none"/>
        </w:rPr>
      </w:pPr>
      <w:r>
        <w:rPr>
          <w:rFonts w:hint="eastAsia" w:hAnsi="宋体" w:cs="宋体"/>
          <w:b/>
          <w:color w:val="auto"/>
          <w:kern w:val="2"/>
          <w:sz w:val="24"/>
          <w:szCs w:val="24"/>
          <w:highlight w:val="none"/>
        </w:rPr>
        <w:t>（5）不同投标人的投标文件相互混装；</w:t>
      </w:r>
    </w:p>
    <w:p w14:paraId="7CD8E35B">
      <w:pPr>
        <w:pStyle w:val="24"/>
        <w:snapToGrid w:val="0"/>
        <w:spacing w:line="360" w:lineRule="auto"/>
        <w:ind w:left="2" w:leftChars="1" w:firstLine="482" w:firstLineChars="200"/>
        <w:rPr>
          <w:rFonts w:hAnsi="宋体" w:cs="宋体"/>
          <w:b/>
          <w:color w:val="auto"/>
          <w:kern w:val="2"/>
          <w:sz w:val="24"/>
          <w:szCs w:val="24"/>
          <w:highlight w:val="none"/>
        </w:rPr>
      </w:pPr>
      <w:r>
        <w:rPr>
          <w:rFonts w:hint="eastAsia" w:hAnsi="宋体" w:cs="宋体"/>
          <w:b/>
          <w:color w:val="auto"/>
          <w:kern w:val="2"/>
          <w:sz w:val="24"/>
          <w:szCs w:val="24"/>
          <w:highlight w:val="none"/>
        </w:rPr>
        <w:t>（6）不同投标人的投标保证金从同一单位或者个人账户转出。</w:t>
      </w:r>
    </w:p>
    <w:p w14:paraId="5F40E8DB">
      <w:pPr>
        <w:pStyle w:val="24"/>
        <w:snapToGrid w:val="0"/>
        <w:spacing w:line="360" w:lineRule="auto"/>
        <w:ind w:firstLine="482" w:firstLineChars="200"/>
        <w:rPr>
          <w:rFonts w:hAnsi="宋体" w:cs="宋体"/>
          <w:color w:val="auto"/>
          <w:sz w:val="24"/>
          <w:highlight w:val="none"/>
        </w:rPr>
      </w:pPr>
      <w:r>
        <w:rPr>
          <w:rFonts w:hint="eastAsia" w:hAnsi="宋体" w:cs="宋体"/>
          <w:b/>
          <w:color w:val="auto"/>
          <w:kern w:val="2"/>
          <w:sz w:val="24"/>
          <w:szCs w:val="24"/>
          <w:highlight w:val="none"/>
        </w:rPr>
        <w:t>（</w:t>
      </w:r>
      <w:r>
        <w:rPr>
          <w:rFonts w:hAnsi="宋体" w:cs="宋体"/>
          <w:b/>
          <w:color w:val="auto"/>
          <w:kern w:val="2"/>
          <w:sz w:val="24"/>
          <w:szCs w:val="24"/>
          <w:highlight w:val="none"/>
        </w:rPr>
        <w:t>7</w:t>
      </w:r>
      <w:r>
        <w:rPr>
          <w:rFonts w:hint="eastAsia" w:hAnsi="宋体" w:cs="宋体"/>
          <w:b/>
          <w:color w:val="auto"/>
          <w:kern w:val="2"/>
          <w:sz w:val="24"/>
          <w:szCs w:val="24"/>
          <w:highlight w:val="none"/>
        </w:rPr>
        <w:t>）投标人之间协商投标报价等投标文件的实质性内容；</w:t>
      </w:r>
    </w:p>
    <w:p w14:paraId="4CA82BA0">
      <w:pPr>
        <w:pStyle w:val="24"/>
        <w:snapToGrid w:val="0"/>
        <w:spacing w:line="360" w:lineRule="auto"/>
        <w:ind w:firstLine="482" w:firstLineChars="200"/>
        <w:rPr>
          <w:rFonts w:hAnsi="宋体" w:cs="宋体"/>
          <w:color w:val="auto"/>
          <w:sz w:val="24"/>
          <w:highlight w:val="none"/>
        </w:rPr>
      </w:pPr>
      <w:r>
        <w:rPr>
          <w:rFonts w:hint="eastAsia" w:hAnsi="宋体" w:cs="宋体"/>
          <w:b/>
          <w:color w:val="auto"/>
          <w:kern w:val="2"/>
          <w:sz w:val="24"/>
          <w:szCs w:val="24"/>
          <w:highlight w:val="none"/>
        </w:rPr>
        <w:t>（</w:t>
      </w:r>
      <w:r>
        <w:rPr>
          <w:rFonts w:hAnsi="宋体" w:cs="宋体"/>
          <w:b/>
          <w:color w:val="auto"/>
          <w:kern w:val="2"/>
          <w:sz w:val="24"/>
          <w:szCs w:val="24"/>
          <w:highlight w:val="none"/>
        </w:rPr>
        <w:t>8</w:t>
      </w:r>
      <w:r>
        <w:rPr>
          <w:rFonts w:hint="eastAsia" w:hAnsi="宋体" w:cs="宋体"/>
          <w:b/>
          <w:color w:val="auto"/>
          <w:kern w:val="2"/>
          <w:sz w:val="24"/>
          <w:szCs w:val="24"/>
          <w:highlight w:val="none"/>
        </w:rPr>
        <w:t>）投标人之间约定中标人；</w:t>
      </w:r>
    </w:p>
    <w:p w14:paraId="5FA83770">
      <w:pPr>
        <w:pStyle w:val="24"/>
        <w:snapToGrid w:val="0"/>
        <w:spacing w:line="360" w:lineRule="auto"/>
        <w:ind w:firstLine="482" w:firstLineChars="200"/>
        <w:rPr>
          <w:rFonts w:hAnsi="宋体" w:cs="宋体"/>
          <w:color w:val="auto"/>
          <w:sz w:val="24"/>
          <w:highlight w:val="none"/>
        </w:rPr>
      </w:pPr>
      <w:r>
        <w:rPr>
          <w:rFonts w:hint="eastAsia" w:hAnsi="宋体" w:cs="宋体"/>
          <w:b/>
          <w:color w:val="auto"/>
          <w:kern w:val="2"/>
          <w:sz w:val="24"/>
          <w:szCs w:val="24"/>
          <w:highlight w:val="none"/>
        </w:rPr>
        <w:t>（</w:t>
      </w:r>
      <w:r>
        <w:rPr>
          <w:rFonts w:hAnsi="宋体" w:cs="宋体"/>
          <w:b/>
          <w:color w:val="auto"/>
          <w:kern w:val="2"/>
          <w:sz w:val="24"/>
          <w:szCs w:val="24"/>
          <w:highlight w:val="none"/>
        </w:rPr>
        <w:t>9</w:t>
      </w:r>
      <w:r>
        <w:rPr>
          <w:rFonts w:hint="eastAsia" w:hAnsi="宋体" w:cs="宋体"/>
          <w:b/>
          <w:color w:val="auto"/>
          <w:kern w:val="2"/>
          <w:sz w:val="24"/>
          <w:szCs w:val="24"/>
          <w:highlight w:val="none"/>
        </w:rPr>
        <w:t>）投标人之间约定部分投标人放弃投标或者中标；</w:t>
      </w:r>
    </w:p>
    <w:p w14:paraId="1F8BE169">
      <w:pPr>
        <w:pStyle w:val="24"/>
        <w:snapToGrid w:val="0"/>
        <w:spacing w:line="360" w:lineRule="auto"/>
        <w:ind w:left="2" w:leftChars="1" w:firstLine="482" w:firstLineChars="200"/>
        <w:rPr>
          <w:rFonts w:hAnsi="宋体" w:cs="宋体"/>
          <w:color w:val="auto"/>
          <w:sz w:val="24"/>
          <w:highlight w:val="none"/>
        </w:rPr>
      </w:pPr>
      <w:r>
        <w:rPr>
          <w:rFonts w:hint="eastAsia" w:hAnsi="宋体" w:cs="宋体"/>
          <w:b/>
          <w:color w:val="auto"/>
          <w:kern w:val="2"/>
          <w:sz w:val="24"/>
          <w:szCs w:val="24"/>
          <w:highlight w:val="none"/>
        </w:rPr>
        <w:t>（</w:t>
      </w:r>
      <w:r>
        <w:rPr>
          <w:rFonts w:hAnsi="宋体" w:cs="宋体"/>
          <w:b/>
          <w:color w:val="auto"/>
          <w:kern w:val="2"/>
          <w:sz w:val="24"/>
          <w:szCs w:val="24"/>
          <w:highlight w:val="none"/>
        </w:rPr>
        <w:t>10</w:t>
      </w:r>
      <w:r>
        <w:rPr>
          <w:rFonts w:hint="eastAsia" w:hAnsi="宋体" w:cs="宋体"/>
          <w:b/>
          <w:color w:val="auto"/>
          <w:kern w:val="2"/>
          <w:sz w:val="24"/>
          <w:szCs w:val="24"/>
          <w:highlight w:val="none"/>
        </w:rPr>
        <w:t>）属于同一集团、协会、商会等组织成员的投标人按照该组织要求协同投标；</w:t>
      </w:r>
    </w:p>
    <w:p w14:paraId="1DA66721">
      <w:pPr>
        <w:pStyle w:val="24"/>
        <w:snapToGrid w:val="0"/>
        <w:spacing w:line="360" w:lineRule="auto"/>
        <w:ind w:left="2" w:leftChars="1" w:firstLine="482" w:firstLineChars="200"/>
        <w:rPr>
          <w:rFonts w:hAnsi="宋体" w:cs="宋体"/>
          <w:b/>
          <w:color w:val="auto"/>
          <w:kern w:val="2"/>
          <w:sz w:val="24"/>
          <w:szCs w:val="24"/>
          <w:highlight w:val="none"/>
        </w:rPr>
      </w:pPr>
      <w:r>
        <w:rPr>
          <w:rFonts w:hint="eastAsia" w:hAnsi="宋体" w:cs="宋体"/>
          <w:b/>
          <w:color w:val="auto"/>
          <w:kern w:val="2"/>
          <w:sz w:val="24"/>
          <w:szCs w:val="24"/>
          <w:highlight w:val="none"/>
        </w:rPr>
        <w:t>（</w:t>
      </w:r>
      <w:r>
        <w:rPr>
          <w:rFonts w:hAnsi="宋体" w:cs="宋体"/>
          <w:b/>
          <w:color w:val="auto"/>
          <w:kern w:val="2"/>
          <w:sz w:val="24"/>
          <w:szCs w:val="24"/>
          <w:highlight w:val="none"/>
        </w:rPr>
        <w:t>11</w:t>
      </w:r>
      <w:r>
        <w:rPr>
          <w:rFonts w:hint="eastAsia" w:hAnsi="宋体" w:cs="宋体"/>
          <w:b/>
          <w:color w:val="auto"/>
          <w:kern w:val="2"/>
          <w:sz w:val="24"/>
          <w:szCs w:val="24"/>
          <w:highlight w:val="none"/>
        </w:rPr>
        <w:t>）投标人之间为谋取中标或者排斥特定投标人而采取的其他联合行动。</w:t>
      </w:r>
    </w:p>
    <w:p w14:paraId="7B18C0DC">
      <w:pPr>
        <w:pStyle w:val="8"/>
        <w:keepNext w:val="0"/>
        <w:keepLines w:val="0"/>
        <w:spacing w:before="0" w:after="0" w:line="360" w:lineRule="auto"/>
        <w:ind w:left="420" w:leftChars="200"/>
        <w:rPr>
          <w:rFonts w:ascii="宋体" w:hAnsi="宋体" w:cs="宋体"/>
          <w:b w:val="0"/>
          <w:color w:val="auto"/>
          <w:sz w:val="24"/>
          <w:highlight w:val="none"/>
        </w:rPr>
      </w:pPr>
      <w:r>
        <w:rPr>
          <w:rFonts w:hint="eastAsia" w:ascii="宋体" w:hAnsi="宋体" w:cs="宋体"/>
          <w:b w:val="0"/>
          <w:color w:val="auto"/>
          <w:sz w:val="24"/>
          <w:highlight w:val="none"/>
        </w:rPr>
        <w:t>9.3供应商有下列情形之一的，属于恶意串通行为，将报同级监督管理部门：</w:t>
      </w:r>
    </w:p>
    <w:p w14:paraId="70911480">
      <w:pPr>
        <w:pStyle w:val="24"/>
        <w:snapToGrid w:val="0"/>
        <w:spacing w:line="360" w:lineRule="auto"/>
        <w:ind w:left="2" w:leftChars="1" w:firstLine="480" w:firstLineChars="200"/>
        <w:rPr>
          <w:rFonts w:hAnsi="宋体" w:cs="宋体"/>
          <w:color w:val="auto"/>
          <w:kern w:val="2"/>
          <w:sz w:val="24"/>
          <w:szCs w:val="24"/>
          <w:highlight w:val="none"/>
        </w:rPr>
      </w:pPr>
      <w:r>
        <w:rPr>
          <w:rFonts w:hint="eastAsia" w:hAnsi="宋体" w:cs="宋体"/>
          <w:color w:val="auto"/>
          <w:kern w:val="2"/>
          <w:sz w:val="24"/>
          <w:szCs w:val="24"/>
          <w:highlight w:val="none"/>
        </w:rPr>
        <w:t>（1）供应商直接或者间接从采购人或者采购代理机构处获得其他供应商的相关信息并修改其投标文件或者响应文件；</w:t>
      </w:r>
    </w:p>
    <w:p w14:paraId="7E59A847">
      <w:pPr>
        <w:pStyle w:val="24"/>
        <w:snapToGrid w:val="0"/>
        <w:spacing w:line="360" w:lineRule="auto"/>
        <w:ind w:left="2" w:leftChars="1" w:firstLine="480" w:firstLineChars="200"/>
        <w:rPr>
          <w:rFonts w:hAnsi="宋体" w:cs="宋体"/>
          <w:color w:val="auto"/>
          <w:kern w:val="2"/>
          <w:sz w:val="24"/>
          <w:szCs w:val="24"/>
          <w:highlight w:val="none"/>
        </w:rPr>
      </w:pPr>
      <w:r>
        <w:rPr>
          <w:rFonts w:hint="eastAsia" w:hAnsi="宋体" w:cs="宋体"/>
          <w:color w:val="auto"/>
          <w:kern w:val="2"/>
          <w:sz w:val="24"/>
          <w:szCs w:val="24"/>
          <w:highlight w:val="none"/>
        </w:rPr>
        <w:t>（2）供应商按照采购人或者采购代理机构的授意撤换、修改投标文件或者响应文件；</w:t>
      </w:r>
    </w:p>
    <w:p w14:paraId="54B8F844">
      <w:pPr>
        <w:pStyle w:val="24"/>
        <w:snapToGrid w:val="0"/>
        <w:spacing w:line="360" w:lineRule="auto"/>
        <w:ind w:left="2" w:leftChars="1" w:firstLine="480" w:firstLineChars="200"/>
        <w:rPr>
          <w:rFonts w:hAnsi="宋体" w:cs="宋体"/>
          <w:color w:val="auto"/>
          <w:kern w:val="2"/>
          <w:sz w:val="24"/>
          <w:szCs w:val="24"/>
          <w:highlight w:val="none"/>
        </w:rPr>
      </w:pPr>
      <w:r>
        <w:rPr>
          <w:rFonts w:hint="eastAsia" w:hAnsi="宋体" w:cs="宋体"/>
          <w:color w:val="auto"/>
          <w:kern w:val="2"/>
          <w:sz w:val="24"/>
          <w:szCs w:val="24"/>
          <w:highlight w:val="none"/>
        </w:rPr>
        <w:t>（3）供应商之间协商报价、技术方案等投标文件或者响应文件的实质性内容；</w:t>
      </w:r>
    </w:p>
    <w:p w14:paraId="39DFD012">
      <w:pPr>
        <w:pStyle w:val="24"/>
        <w:snapToGrid w:val="0"/>
        <w:spacing w:line="360" w:lineRule="auto"/>
        <w:ind w:left="2" w:leftChars="1" w:firstLine="480" w:firstLineChars="200"/>
        <w:rPr>
          <w:rFonts w:hAnsi="宋体" w:cs="宋体"/>
          <w:color w:val="auto"/>
          <w:kern w:val="2"/>
          <w:sz w:val="24"/>
          <w:szCs w:val="24"/>
          <w:highlight w:val="none"/>
        </w:rPr>
      </w:pPr>
      <w:r>
        <w:rPr>
          <w:rFonts w:hint="eastAsia" w:hAnsi="宋体" w:cs="宋体"/>
          <w:color w:val="auto"/>
          <w:kern w:val="2"/>
          <w:sz w:val="24"/>
          <w:szCs w:val="24"/>
          <w:highlight w:val="none"/>
        </w:rPr>
        <w:t>（4）属于同一集团、协会、商会等组织成员的供应商按照该组织要求协同参加政府采购活动；</w:t>
      </w:r>
    </w:p>
    <w:p w14:paraId="7AE91742">
      <w:pPr>
        <w:pStyle w:val="24"/>
        <w:snapToGrid w:val="0"/>
        <w:spacing w:line="360" w:lineRule="auto"/>
        <w:ind w:left="2" w:leftChars="1" w:firstLine="480" w:firstLineChars="200"/>
        <w:rPr>
          <w:rFonts w:hAnsi="宋体" w:cs="宋体"/>
          <w:color w:val="auto"/>
          <w:kern w:val="2"/>
          <w:sz w:val="24"/>
          <w:szCs w:val="24"/>
          <w:highlight w:val="none"/>
        </w:rPr>
      </w:pPr>
      <w:r>
        <w:rPr>
          <w:rFonts w:hint="eastAsia" w:hAnsi="宋体" w:cs="宋体"/>
          <w:color w:val="auto"/>
          <w:kern w:val="2"/>
          <w:sz w:val="24"/>
          <w:szCs w:val="24"/>
          <w:highlight w:val="none"/>
        </w:rPr>
        <w:t>（5）供应商之间事先约定一致抬高或者压低投标报价，或者在招标项目中事先约定轮流以高价位或者低价位中标，或者事先约定由某一特定供应商中标，然后再参加投标；</w:t>
      </w:r>
    </w:p>
    <w:p w14:paraId="6E796C2B">
      <w:pPr>
        <w:pStyle w:val="24"/>
        <w:snapToGrid w:val="0"/>
        <w:spacing w:line="360" w:lineRule="auto"/>
        <w:ind w:left="2" w:leftChars="1" w:firstLine="480" w:firstLineChars="200"/>
        <w:rPr>
          <w:rFonts w:hAnsi="宋体" w:cs="宋体"/>
          <w:color w:val="auto"/>
          <w:kern w:val="2"/>
          <w:sz w:val="24"/>
          <w:szCs w:val="24"/>
          <w:highlight w:val="none"/>
        </w:rPr>
      </w:pPr>
      <w:r>
        <w:rPr>
          <w:rFonts w:hint="eastAsia" w:hAnsi="宋体" w:cs="宋体"/>
          <w:color w:val="auto"/>
          <w:kern w:val="2"/>
          <w:sz w:val="24"/>
          <w:szCs w:val="24"/>
          <w:highlight w:val="none"/>
        </w:rPr>
        <w:t>（6）供应商之间商定部分供应商放弃参加政府采购活动或者放弃中标；</w:t>
      </w:r>
    </w:p>
    <w:p w14:paraId="17A740BD">
      <w:pPr>
        <w:pStyle w:val="24"/>
        <w:snapToGrid w:val="0"/>
        <w:spacing w:line="360" w:lineRule="auto"/>
        <w:ind w:left="2" w:leftChars="1" w:firstLine="480" w:firstLineChars="200"/>
        <w:rPr>
          <w:rFonts w:hAnsi="宋体" w:cs="宋体"/>
          <w:color w:val="auto"/>
          <w:kern w:val="2"/>
          <w:sz w:val="24"/>
          <w:szCs w:val="24"/>
          <w:highlight w:val="none"/>
        </w:rPr>
      </w:pPr>
      <w:r>
        <w:rPr>
          <w:rFonts w:hint="eastAsia" w:hAnsi="宋体" w:cs="宋体"/>
          <w:color w:val="auto"/>
          <w:kern w:val="2"/>
          <w:sz w:val="24"/>
          <w:szCs w:val="24"/>
          <w:highlight w:val="none"/>
        </w:rPr>
        <w:t>（7）供应商与采购人或者采购代理机构之间、供应商相互之间，为谋求特定供应商中标或者排斥其他供应商的其他串通行为。</w:t>
      </w:r>
    </w:p>
    <w:p w14:paraId="1E3B486C">
      <w:pPr>
        <w:pStyle w:val="24"/>
        <w:snapToGrid w:val="0"/>
        <w:spacing w:line="360" w:lineRule="auto"/>
        <w:ind w:left="2" w:leftChars="1" w:firstLine="422" w:firstLineChars="200"/>
        <w:rPr>
          <w:rFonts w:hAnsi="宋体" w:cs="宋体"/>
          <w:b/>
          <w:color w:val="auto"/>
          <w:kern w:val="2"/>
          <w:sz w:val="21"/>
          <w:highlight w:val="none"/>
        </w:rPr>
      </w:pPr>
    </w:p>
    <w:p w14:paraId="3543C9E0">
      <w:pPr>
        <w:pStyle w:val="5"/>
        <w:keepNext w:val="0"/>
        <w:keepLines w:val="0"/>
        <w:jc w:val="center"/>
        <w:rPr>
          <w:rFonts w:ascii="宋体" w:hAnsi="宋体" w:cs="宋体"/>
          <w:color w:val="auto"/>
          <w:highlight w:val="none"/>
        </w:rPr>
      </w:pPr>
      <w:bookmarkStart w:id="86" w:name="_Toc254970534"/>
      <w:bookmarkStart w:id="87" w:name="_Toc254970675"/>
      <w:r>
        <w:rPr>
          <w:rFonts w:hint="eastAsia" w:ascii="宋体" w:hAnsi="宋体" w:cs="宋体"/>
          <w:color w:val="auto"/>
          <w:highlight w:val="none"/>
        </w:rPr>
        <w:t>二、招标文件</w:t>
      </w:r>
      <w:bookmarkEnd w:id="86"/>
      <w:bookmarkEnd w:id="87"/>
    </w:p>
    <w:p w14:paraId="3D6AE9CA">
      <w:pPr>
        <w:pStyle w:val="8"/>
        <w:keepNext w:val="0"/>
        <w:keepLines w:val="0"/>
        <w:spacing w:before="0" w:after="0" w:line="360" w:lineRule="auto"/>
        <w:ind w:left="420" w:leftChars="200"/>
        <w:rPr>
          <w:rFonts w:ascii="宋体" w:hAnsi="宋体" w:cs="宋体"/>
          <w:color w:val="auto"/>
          <w:sz w:val="24"/>
          <w:highlight w:val="none"/>
        </w:rPr>
      </w:pPr>
      <w:r>
        <w:rPr>
          <w:rFonts w:hint="eastAsia" w:ascii="宋体" w:hAnsi="宋体" w:cs="宋体"/>
          <w:color w:val="auto"/>
          <w:sz w:val="24"/>
          <w:highlight w:val="none"/>
        </w:rPr>
        <w:t>10.招标文件的组成</w:t>
      </w:r>
    </w:p>
    <w:p w14:paraId="78F4812D">
      <w:pPr>
        <w:snapToGrid w:val="0"/>
        <w:spacing w:line="360" w:lineRule="auto"/>
        <w:ind w:firstLine="420"/>
        <w:jc w:val="left"/>
        <w:rPr>
          <w:rFonts w:ascii="宋体" w:hAnsi="宋体" w:cs="宋体"/>
          <w:color w:val="auto"/>
          <w:sz w:val="24"/>
          <w:highlight w:val="none"/>
        </w:rPr>
      </w:pPr>
      <w:r>
        <w:rPr>
          <w:rFonts w:hint="eastAsia" w:ascii="宋体" w:hAnsi="宋体" w:cs="宋体"/>
          <w:color w:val="auto"/>
          <w:sz w:val="24"/>
          <w:highlight w:val="none"/>
        </w:rPr>
        <w:t>（1）招标公告；</w:t>
      </w:r>
    </w:p>
    <w:p w14:paraId="5CD19ACC">
      <w:pPr>
        <w:snapToGrid w:val="0"/>
        <w:spacing w:line="360" w:lineRule="auto"/>
        <w:ind w:firstLine="420"/>
        <w:jc w:val="left"/>
        <w:rPr>
          <w:rFonts w:ascii="宋体" w:hAnsi="宋体" w:cs="宋体"/>
          <w:color w:val="auto"/>
          <w:sz w:val="24"/>
          <w:highlight w:val="none"/>
        </w:rPr>
      </w:pPr>
      <w:r>
        <w:rPr>
          <w:rFonts w:hint="eastAsia" w:ascii="宋体" w:hAnsi="宋体" w:cs="宋体"/>
          <w:color w:val="auto"/>
          <w:sz w:val="24"/>
          <w:highlight w:val="none"/>
        </w:rPr>
        <w:t xml:space="preserve">（2）采购需求； </w:t>
      </w:r>
    </w:p>
    <w:p w14:paraId="63826A26">
      <w:pPr>
        <w:snapToGrid w:val="0"/>
        <w:spacing w:line="360" w:lineRule="auto"/>
        <w:ind w:firstLine="420"/>
        <w:jc w:val="left"/>
        <w:rPr>
          <w:rFonts w:ascii="宋体" w:hAnsi="宋体" w:cs="宋体"/>
          <w:color w:val="auto"/>
          <w:sz w:val="24"/>
          <w:highlight w:val="none"/>
        </w:rPr>
      </w:pPr>
      <w:r>
        <w:rPr>
          <w:rFonts w:hint="eastAsia" w:ascii="宋体" w:hAnsi="宋体" w:cs="宋体"/>
          <w:color w:val="auto"/>
          <w:sz w:val="24"/>
          <w:highlight w:val="none"/>
        </w:rPr>
        <w:t>（3）投标人须知；</w:t>
      </w:r>
    </w:p>
    <w:p w14:paraId="74218505">
      <w:pPr>
        <w:snapToGrid w:val="0"/>
        <w:spacing w:line="360" w:lineRule="auto"/>
        <w:ind w:firstLine="420"/>
        <w:jc w:val="left"/>
        <w:rPr>
          <w:rFonts w:ascii="宋体" w:hAnsi="宋体" w:cs="宋体"/>
          <w:color w:val="auto"/>
          <w:sz w:val="24"/>
          <w:highlight w:val="none"/>
        </w:rPr>
      </w:pPr>
      <w:r>
        <w:rPr>
          <w:rFonts w:hint="eastAsia" w:ascii="宋体" w:hAnsi="宋体" w:cs="宋体"/>
          <w:color w:val="auto"/>
          <w:sz w:val="24"/>
          <w:highlight w:val="none"/>
        </w:rPr>
        <w:t>（4）评标方法及评标标准；</w:t>
      </w:r>
    </w:p>
    <w:p w14:paraId="666F3AFE">
      <w:pPr>
        <w:snapToGrid w:val="0"/>
        <w:spacing w:line="360" w:lineRule="auto"/>
        <w:ind w:firstLine="420"/>
        <w:jc w:val="left"/>
        <w:rPr>
          <w:rFonts w:ascii="宋体" w:hAnsi="宋体" w:cs="宋体"/>
          <w:color w:val="auto"/>
          <w:sz w:val="24"/>
          <w:highlight w:val="none"/>
        </w:rPr>
      </w:pPr>
      <w:r>
        <w:rPr>
          <w:rFonts w:hint="eastAsia" w:ascii="宋体" w:hAnsi="宋体" w:cs="宋体"/>
          <w:color w:val="auto"/>
          <w:sz w:val="24"/>
          <w:highlight w:val="none"/>
        </w:rPr>
        <w:t>（5）拟签订的合同文本；</w:t>
      </w:r>
    </w:p>
    <w:p w14:paraId="21DE9F59">
      <w:pPr>
        <w:snapToGrid w:val="0"/>
        <w:spacing w:line="360" w:lineRule="auto"/>
        <w:ind w:firstLine="420"/>
        <w:jc w:val="left"/>
        <w:rPr>
          <w:rFonts w:ascii="宋体" w:hAnsi="宋体" w:cs="宋体"/>
          <w:color w:val="auto"/>
          <w:sz w:val="24"/>
          <w:highlight w:val="none"/>
        </w:rPr>
      </w:pPr>
      <w:r>
        <w:rPr>
          <w:rFonts w:hint="eastAsia" w:ascii="宋体" w:hAnsi="宋体" w:cs="宋体"/>
          <w:color w:val="auto"/>
          <w:sz w:val="24"/>
          <w:highlight w:val="none"/>
        </w:rPr>
        <w:t>（6）投标文件格式。</w:t>
      </w:r>
    </w:p>
    <w:p w14:paraId="47AD9CA4">
      <w:pPr>
        <w:pStyle w:val="8"/>
        <w:keepNext w:val="0"/>
        <w:keepLines w:val="0"/>
        <w:spacing w:before="0" w:after="0" w:line="360" w:lineRule="auto"/>
        <w:ind w:left="420" w:leftChars="200"/>
        <w:rPr>
          <w:rFonts w:ascii="宋体" w:hAnsi="宋体" w:cs="宋体"/>
          <w:color w:val="auto"/>
          <w:sz w:val="24"/>
          <w:highlight w:val="none"/>
        </w:rPr>
      </w:pPr>
      <w:r>
        <w:rPr>
          <w:rFonts w:hint="eastAsia" w:ascii="宋体" w:hAnsi="宋体" w:cs="宋体"/>
          <w:color w:val="auto"/>
          <w:sz w:val="24"/>
          <w:highlight w:val="none"/>
        </w:rPr>
        <w:t>11.招标文件的澄清、修改 、现场考察和答疑会</w:t>
      </w:r>
    </w:p>
    <w:p w14:paraId="4412A7D4">
      <w:pPr>
        <w:pStyle w:val="8"/>
        <w:keepNext w:val="0"/>
        <w:keepLines w:val="0"/>
        <w:spacing w:before="0" w:after="0" w:line="360" w:lineRule="auto"/>
        <w:ind w:firstLine="360" w:firstLineChars="150"/>
        <w:rPr>
          <w:rFonts w:ascii="宋体" w:hAnsi="宋体" w:cs="宋体"/>
          <w:b w:val="0"/>
          <w:color w:val="auto"/>
          <w:sz w:val="24"/>
          <w:highlight w:val="none"/>
        </w:rPr>
      </w:pPr>
      <w:r>
        <w:rPr>
          <w:rFonts w:hint="eastAsia" w:ascii="宋体" w:hAnsi="宋体" w:cs="宋体"/>
          <w:b w:val="0"/>
          <w:color w:val="auto"/>
          <w:sz w:val="24"/>
          <w:highlight w:val="none"/>
        </w:rPr>
        <w:t xml:space="preserve"> 11.1投标人应认真审阅本招标文件，如有疑问，或发现其中有误或有要求不合理的，应在招标公告期限届满之日起7个工作日内以纸质书面形式要求采购人或采购代理机构对招标文件予以澄清；否则，由此产生的后果由投标人自行负责。</w:t>
      </w:r>
    </w:p>
    <w:p w14:paraId="6AD8155A">
      <w:pPr>
        <w:pStyle w:val="8"/>
        <w:keepNext w:val="0"/>
        <w:keepLines w:val="0"/>
        <w:numPr>
          <w:ilvl w:val="0"/>
          <w:numId w:val="0"/>
        </w:numPr>
        <w:spacing w:before="0" w:after="0" w:line="360" w:lineRule="auto"/>
        <w:ind w:firstLine="480" w:firstLineChars="200"/>
        <w:rPr>
          <w:rFonts w:ascii="宋体" w:hAnsi="宋体" w:cs="宋体"/>
          <w:color w:val="auto"/>
          <w:sz w:val="24"/>
          <w:highlight w:val="none"/>
        </w:rPr>
      </w:pPr>
      <w:r>
        <w:rPr>
          <w:rFonts w:hint="eastAsia" w:ascii="宋体" w:hAnsi="宋体" w:cs="宋体"/>
          <w:b w:val="0"/>
          <w:color w:val="auto"/>
          <w:sz w:val="24"/>
          <w:highlight w:val="none"/>
        </w:rPr>
        <w:t>11.2采购人或者采购代理机构可以对已发出的招标文件进行必要的澄清或者修改，但不得改变采购标的和资格条件。澄清或者修改将在原公告发布媒体上发布更正公告。澄清或者修改的内容为招标文件的组成部分。澄清或者修改的内容可能影响投标文件编制的，采购人或者采购代理机构应当在投标截止时间至少15日前，在原公告发布媒体上发布更正公告；不足15日的，采购人或者采购代理机构应当顺延提交投标文件的截止时间。发出的澄清或者修改不影响投标文件编制的也应在截标前3日发出。澄清或者更正公告在招标公告发布媒体上发布，一经发布，视作已以书面形式通知所有获取招标文件的潜在投标人，不再另行通知，所有潜在投标人应密切关注招标公告发布媒体，因未能及时获知，由此产生的后果均应自行承担。</w:t>
      </w:r>
    </w:p>
    <w:p w14:paraId="6B15E82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11.3采购人和采购代理机构可以视采购具体情况，变更投标截止时间和开标时间，并在原公告发布媒体上发布更正公告。</w:t>
      </w:r>
    </w:p>
    <w:p w14:paraId="5349282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11.4招标文件澄清、答复、修改、补充的内容为招标文件的组成部分。</w:t>
      </w:r>
      <w:r>
        <w:rPr>
          <w:rFonts w:hint="eastAsia" w:ascii="宋体" w:hAnsi="宋体" w:cs="宋体"/>
          <w:b/>
          <w:color w:val="auto"/>
          <w:sz w:val="24"/>
          <w:highlight w:val="none"/>
        </w:rPr>
        <w:t>当招标文件与招标文件的澄清、答复、修改、补充通知就同一内容的表述不一致时，以最后发出的文件为准。</w:t>
      </w:r>
    </w:p>
    <w:p w14:paraId="59611279">
      <w:pPr>
        <w:pStyle w:val="24"/>
        <w:snapToGrid w:val="0"/>
        <w:spacing w:line="360" w:lineRule="auto"/>
        <w:ind w:firstLine="480" w:firstLineChars="200"/>
        <w:rPr>
          <w:rFonts w:hAnsi="宋体" w:cs="宋体"/>
          <w:color w:val="auto"/>
          <w:sz w:val="21"/>
          <w:highlight w:val="none"/>
        </w:rPr>
      </w:pPr>
      <w:r>
        <w:rPr>
          <w:rFonts w:hint="eastAsia" w:hAnsi="宋体" w:cs="宋体"/>
          <w:color w:val="auto"/>
          <w:sz w:val="24"/>
          <w:szCs w:val="24"/>
          <w:highlight w:val="none"/>
        </w:rPr>
        <w:t>11.</w:t>
      </w:r>
      <w:bookmarkStart w:id="88" w:name="_Hlk53134511"/>
      <w:r>
        <w:rPr>
          <w:rFonts w:hint="eastAsia" w:hAnsi="宋体" w:cs="宋体"/>
          <w:color w:val="auto"/>
          <w:sz w:val="24"/>
          <w:szCs w:val="24"/>
          <w:highlight w:val="none"/>
        </w:rPr>
        <w:t>5采购人或者采购代理机构可以在招标文件提供期限截止后，组织已获取招标文件的潜在投标人现场考察或者召开开标前答疑会，具体详见“投标人须知前附表”。</w:t>
      </w:r>
    </w:p>
    <w:bookmarkEnd w:id="88"/>
    <w:p w14:paraId="1D724E48">
      <w:pPr>
        <w:pStyle w:val="24"/>
        <w:snapToGrid w:val="0"/>
        <w:spacing w:line="360" w:lineRule="auto"/>
        <w:ind w:firstLine="420" w:firstLineChars="200"/>
        <w:rPr>
          <w:rFonts w:hAnsi="宋体" w:cs="宋体"/>
          <w:color w:val="auto"/>
          <w:sz w:val="21"/>
          <w:highlight w:val="none"/>
        </w:rPr>
      </w:pPr>
    </w:p>
    <w:p w14:paraId="337437D4">
      <w:pPr>
        <w:pStyle w:val="5"/>
        <w:keepNext w:val="0"/>
        <w:keepLines w:val="0"/>
        <w:jc w:val="center"/>
        <w:rPr>
          <w:rFonts w:ascii="宋体" w:hAnsi="宋体" w:cs="宋体"/>
          <w:color w:val="auto"/>
          <w:highlight w:val="none"/>
        </w:rPr>
      </w:pPr>
      <w:bookmarkStart w:id="89" w:name="_Toc254970676"/>
      <w:bookmarkStart w:id="90" w:name="_Toc254970535"/>
      <w:r>
        <w:rPr>
          <w:rFonts w:hint="eastAsia" w:ascii="宋体" w:hAnsi="宋体" w:cs="宋体"/>
          <w:color w:val="auto"/>
          <w:highlight w:val="none"/>
        </w:rPr>
        <w:t>三、投标文件的编制</w:t>
      </w:r>
      <w:bookmarkEnd w:id="89"/>
      <w:bookmarkEnd w:id="90"/>
    </w:p>
    <w:p w14:paraId="04F00E38">
      <w:pPr>
        <w:pStyle w:val="8"/>
        <w:keepNext w:val="0"/>
        <w:keepLines w:val="0"/>
        <w:spacing w:before="0" w:after="0" w:line="360" w:lineRule="auto"/>
        <w:ind w:left="420" w:leftChars="200"/>
        <w:rPr>
          <w:rFonts w:ascii="宋体" w:hAnsi="宋体" w:cs="宋体"/>
          <w:color w:val="auto"/>
          <w:sz w:val="24"/>
          <w:highlight w:val="none"/>
        </w:rPr>
      </w:pPr>
      <w:bookmarkStart w:id="91" w:name="_Toc254970536"/>
      <w:bookmarkStart w:id="92" w:name="_Toc254970677"/>
      <w:r>
        <w:rPr>
          <w:rFonts w:hint="eastAsia" w:ascii="宋体" w:hAnsi="宋体" w:cs="宋体"/>
          <w:color w:val="auto"/>
          <w:sz w:val="24"/>
          <w:highlight w:val="none"/>
        </w:rPr>
        <w:t>12.投标文件的编制原则</w:t>
      </w:r>
    </w:p>
    <w:p w14:paraId="740424FA">
      <w:pPr>
        <w:snapToGrid w:val="0"/>
        <w:spacing w:line="360" w:lineRule="auto"/>
        <w:ind w:firstLine="420"/>
        <w:jc w:val="left"/>
        <w:rPr>
          <w:rFonts w:ascii="宋体" w:hAnsi="宋体" w:cs="宋体"/>
          <w:color w:val="auto"/>
          <w:sz w:val="24"/>
          <w:highlight w:val="none"/>
        </w:rPr>
      </w:pPr>
      <w:r>
        <w:rPr>
          <w:rFonts w:hint="eastAsia" w:ascii="宋体" w:hAnsi="宋体" w:cs="宋体"/>
          <w:color w:val="auto"/>
          <w:sz w:val="24"/>
          <w:highlight w:val="none"/>
        </w:rPr>
        <w:t>投标人必须按照招标文件的要求编制投标文件。投标文件必须对招标文件提出的要求和条件作出明确响应。</w:t>
      </w:r>
    </w:p>
    <w:p w14:paraId="22739FED">
      <w:pPr>
        <w:pStyle w:val="8"/>
        <w:keepNext w:val="0"/>
        <w:keepLines w:val="0"/>
        <w:spacing w:before="0" w:after="0" w:line="360" w:lineRule="auto"/>
        <w:ind w:left="420" w:leftChars="200"/>
        <w:rPr>
          <w:rFonts w:ascii="宋体" w:hAnsi="宋体" w:cs="宋体"/>
          <w:color w:val="auto"/>
          <w:sz w:val="24"/>
          <w:highlight w:val="none"/>
        </w:rPr>
      </w:pPr>
      <w:r>
        <w:rPr>
          <w:rFonts w:hint="eastAsia" w:ascii="宋体" w:hAnsi="宋体" w:cs="宋体"/>
          <w:color w:val="auto"/>
          <w:sz w:val="24"/>
          <w:highlight w:val="none"/>
        </w:rPr>
        <w:t>13.投标文件的组成</w:t>
      </w:r>
      <w:bookmarkEnd w:id="91"/>
      <w:bookmarkEnd w:id="92"/>
    </w:p>
    <w:p w14:paraId="012127A9">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13.1投标文件由报价文件、资格证明文件、商务文件、技术文件四部分组成。</w:t>
      </w:r>
    </w:p>
    <w:p w14:paraId="3515AC9D">
      <w:pPr>
        <w:pStyle w:val="8"/>
        <w:keepNext w:val="0"/>
        <w:keepLines w:val="0"/>
        <w:spacing w:before="0" w:after="0" w:line="360" w:lineRule="auto"/>
        <w:ind w:left="420" w:leftChars="200"/>
        <w:rPr>
          <w:rFonts w:ascii="宋体" w:hAnsi="宋体" w:cs="宋体"/>
          <w:b w:val="0"/>
          <w:color w:val="auto"/>
          <w:sz w:val="24"/>
          <w:highlight w:val="none"/>
        </w:rPr>
      </w:pPr>
      <w:bookmarkStart w:id="93" w:name="_13.1报价文件:_具体材料见“投标人须知前附表”。"/>
      <w:bookmarkEnd w:id="93"/>
      <w:r>
        <w:rPr>
          <w:rFonts w:hint="eastAsia" w:ascii="宋体" w:hAnsi="宋体" w:cs="宋体"/>
          <w:b w:val="0"/>
          <w:color w:val="auto"/>
          <w:sz w:val="24"/>
          <w:highlight w:val="none"/>
        </w:rPr>
        <w:t>（1）报价文件： 具体材料见“投标人须知前附表”。</w:t>
      </w:r>
    </w:p>
    <w:p w14:paraId="054A0080">
      <w:pPr>
        <w:pStyle w:val="8"/>
        <w:keepNext w:val="0"/>
        <w:keepLines w:val="0"/>
        <w:spacing w:before="0" w:after="0" w:line="360" w:lineRule="auto"/>
        <w:ind w:left="420" w:leftChars="200"/>
        <w:rPr>
          <w:rFonts w:ascii="宋体" w:hAnsi="宋体" w:cs="宋体"/>
          <w:b w:val="0"/>
          <w:color w:val="auto"/>
          <w:sz w:val="24"/>
          <w:highlight w:val="none"/>
        </w:rPr>
      </w:pPr>
      <w:bookmarkStart w:id="94" w:name="_13.2资格证明文件：具体材料见“投标人须知前附表”。"/>
      <w:bookmarkEnd w:id="94"/>
      <w:r>
        <w:rPr>
          <w:rFonts w:hint="eastAsia" w:ascii="宋体" w:hAnsi="宋体" w:cs="宋体"/>
          <w:b w:val="0"/>
          <w:color w:val="auto"/>
          <w:sz w:val="24"/>
          <w:highlight w:val="none"/>
        </w:rPr>
        <w:t>（2）资格证明文件：具体材料见“投标人须知前附表”。</w:t>
      </w:r>
    </w:p>
    <w:p w14:paraId="66DF1CB7">
      <w:pPr>
        <w:pStyle w:val="8"/>
        <w:keepNext w:val="0"/>
        <w:keepLines w:val="0"/>
        <w:spacing w:before="0" w:after="0" w:line="360" w:lineRule="auto"/>
        <w:ind w:left="420" w:leftChars="200"/>
        <w:rPr>
          <w:rFonts w:ascii="宋体" w:hAnsi="宋体" w:cs="宋体"/>
          <w:b w:val="0"/>
          <w:color w:val="auto"/>
          <w:sz w:val="24"/>
          <w:highlight w:val="none"/>
        </w:rPr>
      </w:pPr>
      <w:bookmarkStart w:id="95" w:name="_13.3商务文件:_具体材料见“投标人须知前附表”。"/>
      <w:bookmarkEnd w:id="95"/>
      <w:r>
        <w:rPr>
          <w:rFonts w:hint="eastAsia" w:ascii="宋体" w:hAnsi="宋体" w:cs="宋体"/>
          <w:b w:val="0"/>
          <w:color w:val="auto"/>
          <w:sz w:val="24"/>
          <w:highlight w:val="none"/>
        </w:rPr>
        <w:t>（3）商务文件：具体材料见“投标人须知前附表”。</w:t>
      </w:r>
    </w:p>
    <w:p w14:paraId="71BFA0F2">
      <w:pPr>
        <w:pStyle w:val="8"/>
        <w:keepNext w:val="0"/>
        <w:keepLines w:val="0"/>
        <w:spacing w:before="0" w:after="0" w:line="360" w:lineRule="auto"/>
        <w:ind w:left="420" w:leftChars="200"/>
        <w:rPr>
          <w:rFonts w:ascii="宋体" w:hAnsi="宋体" w:cs="宋体"/>
          <w:b w:val="0"/>
          <w:color w:val="auto"/>
          <w:sz w:val="24"/>
          <w:highlight w:val="none"/>
        </w:rPr>
      </w:pPr>
      <w:bookmarkStart w:id="96" w:name="_13.4技术文件：具体材料见“投标人须知前附表”。"/>
      <w:bookmarkEnd w:id="96"/>
      <w:r>
        <w:rPr>
          <w:rFonts w:hint="eastAsia" w:ascii="宋体" w:hAnsi="宋体" w:cs="宋体"/>
          <w:b w:val="0"/>
          <w:color w:val="auto"/>
          <w:sz w:val="24"/>
          <w:highlight w:val="none"/>
        </w:rPr>
        <w:t>（4）技术文件：具体材料见“投标人须知前附表”。</w:t>
      </w:r>
      <w:bookmarkStart w:id="97" w:name="_13.5投标文件电子版：具体材料见“投标人须知前附表”。"/>
      <w:bookmarkEnd w:id="97"/>
    </w:p>
    <w:p w14:paraId="48F91199">
      <w:pPr>
        <w:pStyle w:val="8"/>
        <w:keepNext w:val="0"/>
        <w:keepLines w:val="0"/>
        <w:spacing w:before="0" w:after="0" w:line="360" w:lineRule="auto"/>
        <w:ind w:left="420" w:leftChars="200"/>
        <w:rPr>
          <w:rFonts w:ascii="宋体" w:hAnsi="宋体" w:cs="宋体"/>
          <w:color w:val="auto"/>
          <w:sz w:val="24"/>
          <w:highlight w:val="none"/>
        </w:rPr>
      </w:pPr>
      <w:bookmarkStart w:id="98" w:name="_Toc254970678"/>
      <w:bookmarkStart w:id="99" w:name="_Toc254970537"/>
      <w:r>
        <w:rPr>
          <w:rFonts w:hint="eastAsia" w:ascii="宋体" w:hAnsi="宋体" w:cs="宋体"/>
          <w:color w:val="auto"/>
          <w:sz w:val="24"/>
          <w:highlight w:val="none"/>
        </w:rPr>
        <w:t>14.投标文件的语言及计量</w:t>
      </w:r>
      <w:bookmarkEnd w:id="98"/>
      <w:bookmarkEnd w:id="99"/>
    </w:p>
    <w:p w14:paraId="232CBAC6">
      <w:pPr>
        <w:pStyle w:val="8"/>
        <w:keepNext w:val="0"/>
        <w:keepLines w:val="0"/>
        <w:spacing w:before="0" w:after="0" w:line="360" w:lineRule="auto"/>
        <w:ind w:left="420" w:leftChars="200"/>
        <w:rPr>
          <w:rFonts w:ascii="宋体" w:hAnsi="宋体" w:cs="宋体"/>
          <w:b w:val="0"/>
          <w:color w:val="auto"/>
          <w:sz w:val="24"/>
          <w:highlight w:val="none"/>
        </w:rPr>
      </w:pPr>
      <w:r>
        <w:rPr>
          <w:rFonts w:hint="eastAsia" w:ascii="宋体" w:hAnsi="宋体" w:cs="宋体"/>
          <w:b w:val="0"/>
          <w:color w:val="auto"/>
          <w:sz w:val="24"/>
          <w:highlight w:val="none"/>
        </w:rPr>
        <w:t>14.1语言文字</w:t>
      </w:r>
    </w:p>
    <w:p w14:paraId="35BE86C1">
      <w:pPr>
        <w:pStyle w:val="8"/>
        <w:keepNext w:val="0"/>
        <w:keepLines w:val="0"/>
        <w:spacing w:before="0" w:after="0" w:line="360" w:lineRule="auto"/>
        <w:ind w:firstLine="480" w:firstLineChars="200"/>
        <w:rPr>
          <w:rFonts w:ascii="宋体" w:hAnsi="宋体" w:cs="宋体"/>
          <w:b w:val="0"/>
          <w:color w:val="auto"/>
          <w:sz w:val="24"/>
          <w:highlight w:val="none"/>
        </w:rPr>
      </w:pPr>
      <w:r>
        <w:rPr>
          <w:rFonts w:hint="eastAsia" w:ascii="宋体" w:hAnsi="宋体" w:cs="宋体"/>
          <w:b w:val="0"/>
          <w:color w:val="auto"/>
          <w:sz w:val="24"/>
          <w:highlight w:val="none"/>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7DB4DB08">
      <w:pPr>
        <w:pStyle w:val="8"/>
        <w:keepNext w:val="0"/>
        <w:keepLines w:val="0"/>
        <w:spacing w:before="0" w:after="0" w:line="360" w:lineRule="auto"/>
        <w:ind w:firstLine="480" w:firstLineChars="200"/>
        <w:rPr>
          <w:rFonts w:ascii="宋体" w:hAnsi="宋体" w:cs="宋体"/>
          <w:b w:val="0"/>
          <w:color w:val="auto"/>
          <w:sz w:val="24"/>
          <w:highlight w:val="none"/>
        </w:rPr>
      </w:pPr>
      <w:r>
        <w:rPr>
          <w:rFonts w:hint="eastAsia" w:ascii="宋体" w:hAnsi="宋体" w:cs="宋体"/>
          <w:b w:val="0"/>
          <w:color w:val="auto"/>
          <w:sz w:val="24"/>
          <w:highlight w:val="none"/>
        </w:rPr>
        <w:t>14.2投标计量单位</w:t>
      </w:r>
    </w:p>
    <w:p w14:paraId="3B7FB973">
      <w:pPr>
        <w:pStyle w:val="8"/>
        <w:keepNext w:val="0"/>
        <w:keepLines w:val="0"/>
        <w:spacing w:before="0" w:after="0" w:line="360" w:lineRule="auto"/>
        <w:ind w:firstLine="480" w:firstLineChars="200"/>
        <w:rPr>
          <w:rFonts w:ascii="宋体" w:hAnsi="宋体" w:cs="宋体"/>
          <w:b w:val="0"/>
          <w:color w:val="auto"/>
          <w:sz w:val="24"/>
          <w:highlight w:val="none"/>
        </w:rPr>
      </w:pPr>
      <w:r>
        <w:rPr>
          <w:rFonts w:hint="eastAsia" w:ascii="宋体" w:hAnsi="宋体" w:cs="宋体"/>
          <w:b w:val="0"/>
          <w:color w:val="auto"/>
          <w:sz w:val="24"/>
          <w:highlight w:val="none"/>
        </w:rPr>
        <w:t>招标文件已有明确规定的，使用招标文件规定的计量单位；招标文件没有规定的，应采用中华人民共和国法定计量单位，货币种类为人民币，否则视同未响应。</w:t>
      </w:r>
    </w:p>
    <w:p w14:paraId="1D5B9FB1">
      <w:pPr>
        <w:pStyle w:val="8"/>
        <w:keepNext w:val="0"/>
        <w:keepLines w:val="0"/>
        <w:spacing w:before="0" w:after="0" w:line="360" w:lineRule="auto"/>
        <w:ind w:left="420" w:leftChars="200"/>
        <w:rPr>
          <w:rFonts w:ascii="宋体" w:hAnsi="宋体" w:cs="宋体"/>
          <w:color w:val="auto"/>
          <w:sz w:val="24"/>
          <w:highlight w:val="none"/>
        </w:rPr>
      </w:pPr>
      <w:r>
        <w:rPr>
          <w:rFonts w:hint="eastAsia" w:ascii="宋体" w:hAnsi="宋体" w:cs="宋体"/>
          <w:color w:val="auto"/>
          <w:sz w:val="24"/>
          <w:highlight w:val="none"/>
        </w:rPr>
        <w:t>15.投标的风险</w:t>
      </w:r>
    </w:p>
    <w:p w14:paraId="0DE0BC8E">
      <w:pPr>
        <w:pStyle w:val="24"/>
        <w:snapToGrid w:val="0"/>
        <w:spacing w:line="360" w:lineRule="auto"/>
        <w:ind w:firstLine="480" w:firstLineChars="200"/>
        <w:jc w:val="left"/>
        <w:rPr>
          <w:rFonts w:hAnsi="宋体" w:cs="宋体"/>
          <w:color w:val="auto"/>
          <w:sz w:val="24"/>
          <w:szCs w:val="24"/>
          <w:highlight w:val="none"/>
        </w:rPr>
      </w:pPr>
      <w:r>
        <w:rPr>
          <w:rFonts w:hint="eastAsia" w:hAnsi="宋体" w:cs="宋体"/>
          <w:color w:val="auto"/>
          <w:sz w:val="24"/>
          <w:szCs w:val="24"/>
          <w:highlight w:val="none"/>
        </w:rPr>
        <w:t>投标人没有按照招标文件要求提供全部资料，或者投标人没有对招标文件作出实质性响应是投标人的风险，并可能导致其投标被拒绝。</w:t>
      </w:r>
    </w:p>
    <w:p w14:paraId="712370B4">
      <w:pPr>
        <w:pStyle w:val="8"/>
        <w:keepNext w:val="0"/>
        <w:keepLines w:val="0"/>
        <w:spacing w:before="0" w:after="0" w:line="360" w:lineRule="auto"/>
        <w:ind w:left="420" w:leftChars="200"/>
        <w:rPr>
          <w:rFonts w:ascii="宋体" w:hAnsi="宋体" w:cs="宋体"/>
          <w:color w:val="auto"/>
          <w:sz w:val="24"/>
          <w:highlight w:val="none"/>
        </w:rPr>
      </w:pPr>
      <w:bookmarkStart w:id="100" w:name="_Toc254970679"/>
      <w:bookmarkStart w:id="101" w:name="_Toc254970538"/>
      <w:r>
        <w:rPr>
          <w:rFonts w:hint="eastAsia" w:ascii="宋体" w:hAnsi="宋体" w:cs="宋体"/>
          <w:color w:val="auto"/>
          <w:sz w:val="24"/>
          <w:highlight w:val="none"/>
        </w:rPr>
        <w:t>16.投标报价</w:t>
      </w:r>
      <w:bookmarkEnd w:id="100"/>
      <w:bookmarkEnd w:id="101"/>
    </w:p>
    <w:p w14:paraId="1DEF8C81">
      <w:pPr>
        <w:pStyle w:val="8"/>
        <w:keepNext w:val="0"/>
        <w:keepLines w:val="0"/>
        <w:spacing w:before="0" w:after="0" w:line="360" w:lineRule="auto"/>
        <w:ind w:left="420" w:leftChars="200"/>
        <w:rPr>
          <w:rFonts w:ascii="宋体" w:hAnsi="宋体" w:cs="宋体"/>
          <w:b w:val="0"/>
          <w:color w:val="auto"/>
          <w:sz w:val="24"/>
          <w:highlight w:val="none"/>
        </w:rPr>
      </w:pPr>
      <w:r>
        <w:rPr>
          <w:rFonts w:hint="eastAsia" w:ascii="宋体" w:hAnsi="宋体" w:cs="宋体"/>
          <w:b w:val="0"/>
          <w:color w:val="auto"/>
          <w:sz w:val="24"/>
          <w:highlight w:val="none"/>
        </w:rPr>
        <w:t>16.1投标报价应按“第六章　投标文件格式”中“开标一览表”格式填写。</w:t>
      </w:r>
    </w:p>
    <w:p w14:paraId="2DDA67E3">
      <w:pPr>
        <w:pStyle w:val="8"/>
        <w:keepNext w:val="0"/>
        <w:keepLines w:val="0"/>
        <w:spacing w:before="0" w:after="0" w:line="360" w:lineRule="auto"/>
        <w:ind w:left="420" w:leftChars="200"/>
        <w:rPr>
          <w:rFonts w:ascii="宋体" w:hAnsi="宋体" w:cs="宋体"/>
          <w:b w:val="0"/>
          <w:color w:val="auto"/>
          <w:sz w:val="24"/>
          <w:highlight w:val="none"/>
        </w:rPr>
      </w:pPr>
      <w:bookmarkStart w:id="102" w:name="_16.2投标报价具体定义见投标人须知前附表。"/>
      <w:bookmarkEnd w:id="102"/>
      <w:r>
        <w:rPr>
          <w:rFonts w:hint="eastAsia" w:ascii="宋体" w:hAnsi="宋体" w:cs="宋体"/>
          <w:b w:val="0"/>
          <w:color w:val="auto"/>
          <w:sz w:val="24"/>
          <w:highlight w:val="none"/>
        </w:rPr>
        <w:t>16.2投标报价具体包括内容详见“投标人须知前附表”。</w:t>
      </w:r>
    </w:p>
    <w:p w14:paraId="4DD5FEDA">
      <w:pPr>
        <w:pStyle w:val="8"/>
        <w:keepNext w:val="0"/>
        <w:keepLines w:val="0"/>
        <w:spacing w:before="0" w:after="0" w:line="360" w:lineRule="auto"/>
        <w:ind w:firstLine="480" w:firstLineChars="200"/>
        <w:rPr>
          <w:rFonts w:ascii="宋体" w:hAnsi="宋体" w:cs="宋体"/>
          <w:b w:val="0"/>
          <w:color w:val="auto"/>
          <w:sz w:val="24"/>
          <w:highlight w:val="none"/>
        </w:rPr>
      </w:pPr>
      <w:r>
        <w:rPr>
          <w:rFonts w:hint="eastAsia" w:ascii="宋体" w:hAnsi="宋体" w:cs="宋体"/>
          <w:b w:val="0"/>
          <w:color w:val="auto"/>
          <w:sz w:val="24"/>
          <w:highlight w:val="none"/>
        </w:rPr>
        <w:t>16.3投标人必须就所投每个分标的全部内容分别作完整唯一总价报价，不得存在漏项报价；投标人必须就所投分标的单项内容作唯一报价。</w:t>
      </w:r>
    </w:p>
    <w:p w14:paraId="764EFDAF">
      <w:pPr>
        <w:pStyle w:val="8"/>
        <w:keepNext w:val="0"/>
        <w:keepLines w:val="0"/>
        <w:spacing w:before="0" w:after="0" w:line="360" w:lineRule="auto"/>
        <w:ind w:left="420" w:leftChars="200"/>
        <w:rPr>
          <w:rFonts w:ascii="宋体" w:hAnsi="宋体" w:cs="宋体"/>
          <w:color w:val="auto"/>
          <w:sz w:val="24"/>
          <w:highlight w:val="none"/>
        </w:rPr>
      </w:pPr>
      <w:r>
        <w:rPr>
          <w:rFonts w:hint="eastAsia" w:ascii="宋体" w:hAnsi="宋体" w:cs="宋体"/>
          <w:color w:val="auto"/>
          <w:sz w:val="24"/>
          <w:highlight w:val="none"/>
        </w:rPr>
        <w:t>17.投标有效期</w:t>
      </w:r>
    </w:p>
    <w:p w14:paraId="1C2B0023">
      <w:pPr>
        <w:pStyle w:val="8"/>
        <w:keepNext w:val="0"/>
        <w:keepLines w:val="0"/>
        <w:spacing w:before="0" w:after="0" w:line="360" w:lineRule="auto"/>
        <w:ind w:firstLine="480" w:firstLineChars="200"/>
        <w:rPr>
          <w:rFonts w:ascii="宋体" w:hAnsi="宋体" w:cs="宋体"/>
          <w:b w:val="0"/>
          <w:color w:val="auto"/>
          <w:sz w:val="24"/>
          <w:highlight w:val="none"/>
        </w:rPr>
      </w:pPr>
      <w:bookmarkStart w:id="103" w:name="_17.1投标有效期应按“投标人须知中的前附表”规定的期限。"/>
      <w:bookmarkEnd w:id="103"/>
      <w:r>
        <w:rPr>
          <w:rFonts w:hint="eastAsia" w:ascii="宋体" w:hAnsi="宋体" w:cs="宋体"/>
          <w:b w:val="0"/>
          <w:color w:val="auto"/>
          <w:sz w:val="24"/>
          <w:highlight w:val="none"/>
        </w:rPr>
        <w:t>17.1投标有效期是指为保证采购人有足够的时间在开标后完成评标、定标、合同签订等工作而要求投标人提交的投标文件在一定时间内保持有效的期限。</w:t>
      </w:r>
    </w:p>
    <w:p w14:paraId="7933F6C1">
      <w:pPr>
        <w:pStyle w:val="8"/>
        <w:keepNext w:val="0"/>
        <w:keepLines w:val="0"/>
        <w:spacing w:before="0" w:after="0" w:line="360" w:lineRule="auto"/>
        <w:ind w:left="420" w:leftChars="200"/>
        <w:rPr>
          <w:rFonts w:ascii="宋体" w:hAnsi="宋体" w:cs="宋体"/>
          <w:b w:val="0"/>
          <w:color w:val="auto"/>
          <w:sz w:val="24"/>
          <w:highlight w:val="none"/>
        </w:rPr>
      </w:pPr>
      <w:r>
        <w:rPr>
          <w:rFonts w:hint="eastAsia" w:ascii="宋体" w:hAnsi="宋体" w:cs="宋体"/>
          <w:b w:val="0"/>
          <w:color w:val="auto"/>
          <w:sz w:val="24"/>
          <w:highlight w:val="none"/>
        </w:rPr>
        <w:t>17.2</w:t>
      </w:r>
      <w:bookmarkStart w:id="104" w:name="_Toc254970540"/>
      <w:bookmarkStart w:id="105" w:name="_Toc254970681"/>
      <w:r>
        <w:rPr>
          <w:rFonts w:hint="eastAsia" w:ascii="宋体" w:hAnsi="宋体" w:cs="宋体"/>
          <w:b w:val="0"/>
          <w:color w:val="auto"/>
          <w:sz w:val="24"/>
          <w:highlight w:val="none"/>
        </w:rPr>
        <w:t xml:space="preserve"> 投标有效期应按规定的期限作出承诺，具体详见“投标人须知前附表”。</w:t>
      </w:r>
    </w:p>
    <w:p w14:paraId="459896A2">
      <w:pPr>
        <w:pStyle w:val="8"/>
        <w:keepNext w:val="0"/>
        <w:keepLines w:val="0"/>
        <w:spacing w:before="0" w:after="0" w:line="360" w:lineRule="auto"/>
        <w:ind w:left="420" w:leftChars="200"/>
        <w:rPr>
          <w:rFonts w:ascii="宋体" w:hAnsi="宋体" w:cs="宋体"/>
          <w:b w:val="0"/>
          <w:color w:val="auto"/>
          <w:sz w:val="24"/>
          <w:highlight w:val="none"/>
        </w:rPr>
      </w:pPr>
      <w:r>
        <w:rPr>
          <w:rFonts w:hint="eastAsia" w:ascii="宋体" w:hAnsi="宋体" w:cs="宋体"/>
          <w:b w:val="0"/>
          <w:color w:val="auto"/>
          <w:sz w:val="24"/>
          <w:highlight w:val="none"/>
        </w:rPr>
        <w:t>17.3投标人的投标文件在投标有效期内均保持有效。</w:t>
      </w:r>
      <w:bookmarkEnd w:id="104"/>
      <w:bookmarkEnd w:id="105"/>
    </w:p>
    <w:p w14:paraId="00681EF9">
      <w:pPr>
        <w:pStyle w:val="8"/>
        <w:keepNext w:val="0"/>
        <w:keepLines w:val="0"/>
        <w:spacing w:before="0" w:after="0" w:line="360" w:lineRule="auto"/>
        <w:ind w:left="420" w:leftChars="200"/>
        <w:rPr>
          <w:rFonts w:ascii="宋体" w:hAnsi="宋体" w:cs="宋体"/>
          <w:color w:val="auto"/>
          <w:sz w:val="24"/>
          <w:highlight w:val="none"/>
        </w:rPr>
      </w:pPr>
      <w:bookmarkStart w:id="106" w:name="_18.投标保证金"/>
      <w:bookmarkEnd w:id="106"/>
      <w:bookmarkStart w:id="107" w:name="_Toc254970541"/>
      <w:bookmarkStart w:id="108" w:name="_Toc254970682"/>
      <w:r>
        <w:rPr>
          <w:rFonts w:hint="eastAsia" w:ascii="宋体" w:hAnsi="宋体" w:cs="宋体"/>
          <w:color w:val="auto"/>
          <w:sz w:val="24"/>
          <w:highlight w:val="none"/>
        </w:rPr>
        <w:t>18.投标保证金</w:t>
      </w:r>
      <w:bookmarkEnd w:id="107"/>
      <w:bookmarkEnd w:id="108"/>
    </w:p>
    <w:p w14:paraId="784BB6A9">
      <w:pPr>
        <w:pStyle w:val="8"/>
        <w:keepNext w:val="0"/>
        <w:keepLines w:val="0"/>
        <w:spacing w:before="0" w:after="0" w:line="360" w:lineRule="auto"/>
        <w:ind w:left="420" w:leftChars="200"/>
        <w:rPr>
          <w:rFonts w:ascii="宋体" w:hAnsi="宋体" w:cs="宋体"/>
          <w:b w:val="0"/>
          <w:color w:val="auto"/>
          <w:sz w:val="24"/>
          <w:highlight w:val="none"/>
        </w:rPr>
      </w:pPr>
      <w:r>
        <w:rPr>
          <w:rFonts w:hint="eastAsia" w:ascii="宋体" w:hAnsi="宋体" w:cs="宋体"/>
          <w:b w:val="0"/>
          <w:color w:val="auto"/>
          <w:sz w:val="24"/>
          <w:highlight w:val="none"/>
        </w:rPr>
        <w:t>18.1投标人须按“投标人须知前附表” 的规定提交投标保证金。</w:t>
      </w:r>
    </w:p>
    <w:p w14:paraId="66E59392">
      <w:pPr>
        <w:pStyle w:val="8"/>
        <w:keepNext w:val="0"/>
        <w:keepLines w:val="0"/>
        <w:spacing w:before="0" w:after="0" w:line="360" w:lineRule="auto"/>
        <w:ind w:firstLine="480" w:firstLineChars="200"/>
        <w:rPr>
          <w:rFonts w:ascii="宋体" w:hAnsi="宋体" w:cs="宋体"/>
          <w:b w:val="0"/>
          <w:color w:val="auto"/>
          <w:sz w:val="24"/>
          <w:highlight w:val="none"/>
        </w:rPr>
      </w:pPr>
      <w:r>
        <w:rPr>
          <w:rFonts w:hint="eastAsia" w:ascii="宋体" w:hAnsi="宋体" w:cs="宋体"/>
          <w:b w:val="0"/>
          <w:color w:val="auto"/>
          <w:sz w:val="24"/>
          <w:highlight w:val="none"/>
        </w:rPr>
        <w:t>18.2投标保证金的退还</w:t>
      </w:r>
    </w:p>
    <w:p w14:paraId="1044D3F1">
      <w:pPr>
        <w:pStyle w:val="8"/>
        <w:keepNext w:val="0"/>
        <w:keepLines w:val="0"/>
        <w:spacing w:before="0" w:after="0" w:line="360" w:lineRule="auto"/>
        <w:ind w:firstLine="480" w:firstLineChars="200"/>
        <w:rPr>
          <w:rFonts w:ascii="宋体" w:hAnsi="宋体" w:cs="宋体"/>
          <w:b w:val="0"/>
          <w:color w:val="auto"/>
          <w:sz w:val="24"/>
          <w:highlight w:val="none"/>
        </w:rPr>
      </w:pPr>
      <w:r>
        <w:rPr>
          <w:rFonts w:hint="eastAsia" w:ascii="宋体" w:hAnsi="宋体" w:cs="宋体"/>
          <w:b w:val="0"/>
          <w:color w:val="auto"/>
          <w:sz w:val="24"/>
          <w:highlight w:val="none"/>
        </w:rPr>
        <w:t xml:space="preserve">未中标人的投标保证金自中标通知书发出之日起5个工作日内退还；中标人的投标保证金自政府采购合同签订之日起5个工作日内退还。 </w:t>
      </w:r>
    </w:p>
    <w:p w14:paraId="401EB16B">
      <w:pPr>
        <w:pStyle w:val="8"/>
        <w:keepNext w:val="0"/>
        <w:keepLines w:val="0"/>
        <w:spacing w:before="0" w:after="0" w:line="360" w:lineRule="auto"/>
        <w:ind w:left="420" w:leftChars="200"/>
        <w:rPr>
          <w:rFonts w:ascii="宋体" w:hAnsi="宋体" w:cs="宋体"/>
          <w:b w:val="0"/>
          <w:color w:val="auto"/>
          <w:sz w:val="24"/>
          <w:highlight w:val="none"/>
        </w:rPr>
      </w:pPr>
      <w:r>
        <w:rPr>
          <w:rFonts w:hint="eastAsia" w:ascii="宋体" w:hAnsi="宋体" w:cs="宋体"/>
          <w:b w:val="0"/>
          <w:color w:val="auto"/>
          <w:sz w:val="24"/>
          <w:highlight w:val="none"/>
        </w:rPr>
        <w:t>18.3除逾期退还投标保证金和终止招标的情形以外，投标保证金不计息。</w:t>
      </w:r>
    </w:p>
    <w:p w14:paraId="1CED4582">
      <w:pPr>
        <w:pStyle w:val="8"/>
        <w:keepNext w:val="0"/>
        <w:keepLines w:val="0"/>
        <w:spacing w:before="0" w:after="0" w:line="360" w:lineRule="auto"/>
        <w:ind w:left="420" w:leftChars="200"/>
        <w:rPr>
          <w:rFonts w:ascii="宋体" w:hAnsi="宋体" w:cs="宋体"/>
          <w:b w:val="0"/>
          <w:color w:val="auto"/>
          <w:sz w:val="24"/>
          <w:highlight w:val="none"/>
        </w:rPr>
      </w:pPr>
      <w:r>
        <w:rPr>
          <w:rFonts w:hint="eastAsia" w:ascii="宋体" w:hAnsi="宋体" w:cs="宋体"/>
          <w:b w:val="0"/>
          <w:color w:val="auto"/>
          <w:sz w:val="24"/>
          <w:highlight w:val="none"/>
        </w:rPr>
        <w:t xml:space="preserve">18.4投标人有下列情形之一的，投标保证金将不予退还： </w:t>
      </w:r>
    </w:p>
    <w:p w14:paraId="2B9A760D">
      <w:pPr>
        <w:snapToGrid w:val="0"/>
        <w:spacing w:line="360" w:lineRule="auto"/>
        <w:ind w:firstLine="470" w:firstLineChars="196"/>
        <w:jc w:val="left"/>
        <w:rPr>
          <w:rFonts w:ascii="宋体" w:hAnsi="宋体" w:cs="宋体"/>
          <w:color w:val="auto"/>
          <w:sz w:val="24"/>
          <w:highlight w:val="none"/>
        </w:rPr>
      </w:pPr>
      <w:r>
        <w:rPr>
          <w:rFonts w:hint="eastAsia" w:ascii="宋体" w:hAnsi="宋体" w:cs="宋体"/>
          <w:color w:val="auto"/>
          <w:sz w:val="24"/>
          <w:highlight w:val="none"/>
        </w:rPr>
        <w:t>（1）投标人在投标截止时间后至有效期内撤回投标文件的；</w:t>
      </w:r>
    </w:p>
    <w:p w14:paraId="43D7A353">
      <w:pPr>
        <w:snapToGrid w:val="0"/>
        <w:spacing w:line="360" w:lineRule="auto"/>
        <w:ind w:firstLine="470" w:firstLineChars="196"/>
        <w:jc w:val="left"/>
        <w:rPr>
          <w:rFonts w:ascii="宋体" w:hAnsi="宋体" w:cs="宋体"/>
          <w:color w:val="auto"/>
          <w:sz w:val="24"/>
          <w:highlight w:val="none"/>
        </w:rPr>
      </w:pPr>
      <w:r>
        <w:rPr>
          <w:rFonts w:hint="eastAsia" w:ascii="宋体" w:hAnsi="宋体" w:cs="宋体"/>
          <w:color w:val="auto"/>
          <w:sz w:val="24"/>
          <w:highlight w:val="none"/>
        </w:rPr>
        <w:t>（2）中标后未按规定提交履约保证金的；</w:t>
      </w:r>
    </w:p>
    <w:p w14:paraId="464A4E66">
      <w:pPr>
        <w:snapToGrid w:val="0"/>
        <w:spacing w:line="360" w:lineRule="auto"/>
        <w:ind w:firstLine="470" w:firstLineChars="196"/>
        <w:jc w:val="left"/>
        <w:rPr>
          <w:rFonts w:ascii="宋体" w:hAnsi="宋体" w:cs="宋体"/>
          <w:color w:val="auto"/>
          <w:sz w:val="24"/>
          <w:highlight w:val="none"/>
        </w:rPr>
      </w:pPr>
      <w:r>
        <w:rPr>
          <w:rFonts w:hint="eastAsia" w:ascii="宋体" w:hAnsi="宋体" w:cs="宋体"/>
          <w:color w:val="auto"/>
          <w:sz w:val="24"/>
          <w:highlight w:val="none"/>
        </w:rPr>
        <w:t>（3）投标人在投标过程中弄虚作假，提供虚假材料的；</w:t>
      </w:r>
    </w:p>
    <w:p w14:paraId="70BF135B">
      <w:pPr>
        <w:snapToGrid w:val="0"/>
        <w:spacing w:line="360" w:lineRule="auto"/>
        <w:ind w:firstLine="470" w:firstLineChars="196"/>
        <w:rPr>
          <w:rFonts w:ascii="宋体" w:hAnsi="宋体" w:cs="宋体"/>
          <w:color w:val="auto"/>
          <w:sz w:val="24"/>
          <w:highlight w:val="none"/>
        </w:rPr>
      </w:pPr>
      <w:r>
        <w:rPr>
          <w:rFonts w:hint="eastAsia" w:ascii="宋体" w:hAnsi="宋体" w:cs="宋体"/>
          <w:color w:val="auto"/>
          <w:sz w:val="24"/>
          <w:highlight w:val="none"/>
        </w:rPr>
        <w:t>（4）中标人无正当理由不与采购人签订合同的；</w:t>
      </w:r>
    </w:p>
    <w:p w14:paraId="7B5198F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（5）投标人出现本章第9.2、9.3、3</w:t>
      </w:r>
      <w:r>
        <w:rPr>
          <w:rFonts w:ascii="宋体" w:hAnsi="宋体" w:cs="宋体"/>
          <w:color w:val="auto"/>
          <w:sz w:val="24"/>
          <w:highlight w:val="none"/>
        </w:rPr>
        <w:t>0.4</w:t>
      </w:r>
      <w:r>
        <w:rPr>
          <w:rFonts w:hint="eastAsia" w:ascii="宋体" w:hAnsi="宋体" w:cs="宋体"/>
          <w:color w:val="auto"/>
          <w:sz w:val="24"/>
          <w:highlight w:val="none"/>
        </w:rPr>
        <w:t>情形的；</w:t>
      </w:r>
    </w:p>
    <w:p w14:paraId="1ADD2FD1">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（6）法律法规规定的其他情形。</w:t>
      </w:r>
    </w:p>
    <w:p w14:paraId="6FE6EFA5">
      <w:pPr>
        <w:pStyle w:val="8"/>
        <w:keepNext w:val="0"/>
        <w:keepLines w:val="0"/>
        <w:spacing w:before="0" w:after="0" w:line="360" w:lineRule="auto"/>
        <w:ind w:left="420" w:leftChars="200"/>
        <w:rPr>
          <w:rFonts w:ascii="宋体" w:hAnsi="宋体" w:cs="宋体"/>
          <w:color w:val="auto"/>
          <w:sz w:val="24"/>
          <w:highlight w:val="none"/>
        </w:rPr>
      </w:pPr>
      <w:bookmarkStart w:id="109" w:name="_Toc254970542"/>
      <w:bookmarkStart w:id="110" w:name="_Toc254970683"/>
      <w:r>
        <w:rPr>
          <w:rFonts w:hint="eastAsia" w:ascii="宋体" w:hAnsi="宋体" w:cs="宋体"/>
          <w:color w:val="auto"/>
          <w:sz w:val="24"/>
          <w:highlight w:val="none"/>
        </w:rPr>
        <w:t>19.投标文件的</w:t>
      </w:r>
      <w:bookmarkEnd w:id="109"/>
      <w:bookmarkEnd w:id="110"/>
      <w:r>
        <w:rPr>
          <w:rFonts w:hint="eastAsia" w:ascii="宋体" w:hAnsi="宋体" w:cs="宋体"/>
          <w:color w:val="auto"/>
          <w:sz w:val="24"/>
          <w:highlight w:val="none"/>
        </w:rPr>
        <w:t>编制</w:t>
      </w:r>
    </w:p>
    <w:p w14:paraId="3AC2187E">
      <w:pPr>
        <w:pStyle w:val="8"/>
        <w:keepNext w:val="0"/>
        <w:keepLines w:val="0"/>
        <w:spacing w:before="0" w:after="0" w:line="360" w:lineRule="auto"/>
        <w:ind w:firstLine="360" w:firstLineChars="150"/>
        <w:rPr>
          <w:rFonts w:ascii="宋体" w:hAnsi="宋体" w:cs="宋体"/>
          <w:b w:val="0"/>
          <w:color w:val="auto"/>
          <w:sz w:val="24"/>
          <w:highlight w:val="none"/>
        </w:rPr>
      </w:pPr>
      <w:r>
        <w:rPr>
          <w:rFonts w:hint="eastAsia" w:ascii="宋体" w:hAnsi="宋体" w:cs="宋体"/>
          <w:b w:val="0"/>
          <w:color w:val="auto"/>
          <w:sz w:val="24"/>
          <w:highlight w:val="none"/>
        </w:rPr>
        <w:t xml:space="preserve"> 19.1投标人应按本招标文件规定的格式和顺序编制、装订投标文件并标注页码，投标文件内容不完整、编排混乱导致投标文件被误读、漏读或者查找不到相关内容的，由此引发的后果由投标人承担。</w:t>
      </w:r>
    </w:p>
    <w:p w14:paraId="758A9819">
      <w:pPr>
        <w:pStyle w:val="8"/>
        <w:keepNext w:val="0"/>
        <w:keepLines w:val="0"/>
        <w:numPr>
          <w:ilvl w:val="0"/>
          <w:numId w:val="0"/>
        </w:numPr>
        <w:spacing w:before="0" w:after="0" w:line="360" w:lineRule="auto"/>
        <w:ind w:firstLine="480" w:firstLineChars="200"/>
        <w:rPr>
          <w:rFonts w:ascii="宋体" w:hAnsi="宋体" w:cs="宋体"/>
          <w:b w:val="0"/>
          <w:color w:val="auto"/>
          <w:sz w:val="24"/>
          <w:highlight w:val="none"/>
        </w:rPr>
      </w:pPr>
      <w:bookmarkStart w:id="111" w:name="_19.2投标文件应按报价文件、资格证明文件、商务文件、技术文件分别编制"/>
      <w:bookmarkEnd w:id="111"/>
      <w:r>
        <w:rPr>
          <w:rFonts w:hint="eastAsia" w:ascii="宋体" w:hAnsi="宋体" w:cs="宋体"/>
          <w:b w:val="0"/>
          <w:color w:val="auto"/>
          <w:sz w:val="24"/>
          <w:highlight w:val="none"/>
        </w:rPr>
        <w:t>19.2投标文件应按报价文件、资格证明文件、商务文件、技术文件分别编制电子文件，并按广西政府采购云平台的要求编制、加密、上传。</w:t>
      </w:r>
    </w:p>
    <w:p w14:paraId="280B2699">
      <w:pPr>
        <w:pStyle w:val="8"/>
        <w:keepNext w:val="0"/>
        <w:keepLines w:val="0"/>
        <w:numPr>
          <w:ilvl w:val="0"/>
          <w:numId w:val="0"/>
        </w:numPr>
        <w:spacing w:before="0" w:after="0" w:line="360" w:lineRule="auto"/>
        <w:ind w:firstLine="480" w:firstLineChars="200"/>
        <w:rPr>
          <w:rFonts w:ascii="宋体" w:hAnsi="宋体" w:cs="宋体"/>
          <w:b w:val="0"/>
          <w:color w:val="auto"/>
          <w:sz w:val="24"/>
          <w:highlight w:val="none"/>
        </w:rPr>
      </w:pPr>
      <w:r>
        <w:rPr>
          <w:rFonts w:hint="eastAsia" w:ascii="宋体" w:hAnsi="宋体" w:cs="宋体"/>
          <w:b w:val="0"/>
          <w:color w:val="auto"/>
          <w:sz w:val="24"/>
          <w:highlight w:val="none"/>
        </w:rPr>
        <w:t>19.</w:t>
      </w:r>
      <w:bookmarkStart w:id="112" w:name="_Hlk65832616"/>
      <w:r>
        <w:rPr>
          <w:rFonts w:hint="eastAsia" w:ascii="宋体" w:hAnsi="宋体" w:cs="宋体"/>
          <w:b w:val="0"/>
          <w:color w:val="auto"/>
          <w:sz w:val="24"/>
          <w:highlight w:val="none"/>
        </w:rPr>
        <w:t>3投标文件须由投标人在规定位置盖公章并签字</w:t>
      </w:r>
      <w:bookmarkStart w:id="113" w:name="_Hlk65832569"/>
      <w:r>
        <w:rPr>
          <w:rFonts w:hint="eastAsia" w:ascii="宋体" w:hAnsi="宋体" w:cs="宋体"/>
          <w:b w:val="0"/>
          <w:color w:val="auto"/>
          <w:sz w:val="24"/>
          <w:highlight w:val="none"/>
        </w:rPr>
        <w:t>（具体以投标人须知前附表或投标文件格式规定为准）</w:t>
      </w:r>
      <w:bookmarkEnd w:id="112"/>
      <w:bookmarkEnd w:id="113"/>
      <w:r>
        <w:rPr>
          <w:rFonts w:hint="eastAsia" w:ascii="宋体" w:hAnsi="宋体" w:cs="宋体"/>
          <w:b w:val="0"/>
          <w:color w:val="auto"/>
          <w:sz w:val="24"/>
          <w:highlight w:val="none"/>
        </w:rPr>
        <w:t>，</w:t>
      </w:r>
      <w:r>
        <w:rPr>
          <w:rFonts w:hint="eastAsia" w:ascii="宋体" w:hAnsi="宋体" w:cs="宋体"/>
          <w:bCs/>
          <w:color w:val="auto"/>
          <w:sz w:val="24"/>
          <w:highlight w:val="none"/>
        </w:rPr>
        <w:t>否则按无效投标处理</w:t>
      </w:r>
      <w:r>
        <w:rPr>
          <w:rFonts w:hint="eastAsia" w:ascii="宋体" w:hAnsi="宋体" w:cs="宋体"/>
          <w:b w:val="0"/>
          <w:color w:val="auto"/>
          <w:sz w:val="24"/>
          <w:highlight w:val="none"/>
        </w:rPr>
        <w:t>。</w:t>
      </w:r>
    </w:p>
    <w:p w14:paraId="7B5BFAE0">
      <w:pPr>
        <w:pStyle w:val="8"/>
        <w:keepNext w:val="0"/>
        <w:keepLines w:val="0"/>
        <w:spacing w:before="0" w:after="0" w:line="360" w:lineRule="auto"/>
        <w:ind w:firstLine="360" w:firstLineChars="150"/>
        <w:rPr>
          <w:rFonts w:ascii="宋体" w:hAnsi="宋体" w:cs="宋体"/>
          <w:b w:val="0"/>
          <w:color w:val="auto"/>
          <w:sz w:val="24"/>
          <w:highlight w:val="none"/>
        </w:rPr>
      </w:pPr>
      <w:r>
        <w:rPr>
          <w:rFonts w:hint="eastAsia" w:ascii="宋体" w:hAnsi="宋体" w:cs="宋体"/>
          <w:b w:val="0"/>
          <w:color w:val="auto"/>
          <w:sz w:val="24"/>
          <w:highlight w:val="none"/>
        </w:rPr>
        <w:t xml:space="preserve"> 19.4投标文件中标注的投标人名称应与主体资格证明（如营业执照、事业单位法人证书、执业许可证、自然人身份证等）及公章一致，</w:t>
      </w:r>
      <w:r>
        <w:rPr>
          <w:rFonts w:hint="eastAsia" w:ascii="宋体" w:hAnsi="宋体" w:cs="宋体"/>
          <w:color w:val="auto"/>
          <w:sz w:val="24"/>
          <w:highlight w:val="none"/>
        </w:rPr>
        <w:t>否则按无效投标处理</w:t>
      </w:r>
      <w:r>
        <w:rPr>
          <w:rFonts w:hint="eastAsia" w:ascii="宋体" w:hAnsi="宋体" w:cs="宋体"/>
          <w:b w:val="0"/>
          <w:color w:val="auto"/>
          <w:sz w:val="24"/>
          <w:highlight w:val="none"/>
        </w:rPr>
        <w:t>。</w:t>
      </w:r>
    </w:p>
    <w:p w14:paraId="6FBA682A">
      <w:pPr>
        <w:pStyle w:val="8"/>
        <w:keepNext w:val="0"/>
        <w:keepLines w:val="0"/>
        <w:spacing w:before="0" w:after="0" w:line="360" w:lineRule="auto"/>
        <w:ind w:firstLine="360" w:firstLineChars="150"/>
        <w:rPr>
          <w:rFonts w:ascii="宋体" w:hAnsi="宋体" w:cs="宋体"/>
          <w:b w:val="0"/>
          <w:color w:val="auto"/>
          <w:sz w:val="24"/>
          <w:highlight w:val="none"/>
        </w:rPr>
      </w:pPr>
      <w:r>
        <w:rPr>
          <w:rFonts w:hint="eastAsia" w:ascii="宋体" w:hAnsi="宋体" w:cs="宋体"/>
          <w:b w:val="0"/>
          <w:color w:val="auto"/>
          <w:sz w:val="24"/>
          <w:highlight w:val="none"/>
        </w:rPr>
        <w:t xml:space="preserve"> 19.5投标文件应尽量避免涂改、行间插字或者删除。如果出现上述情况，改动之处应由投标人的法定代表人或者其委托代理人签字或者加盖公章。投标文件因字迹潦草或者表达不清所引起的后果由投标人承担。</w:t>
      </w:r>
    </w:p>
    <w:p w14:paraId="2CC83844">
      <w:pPr>
        <w:pStyle w:val="8"/>
        <w:keepNext w:val="0"/>
        <w:keepLines w:val="0"/>
        <w:spacing w:before="0" w:after="0" w:line="360" w:lineRule="auto"/>
        <w:ind w:left="420" w:leftChars="200"/>
        <w:rPr>
          <w:rFonts w:ascii="宋体" w:hAnsi="宋体" w:cs="宋体"/>
          <w:color w:val="auto"/>
          <w:sz w:val="24"/>
          <w:highlight w:val="none"/>
        </w:rPr>
      </w:pPr>
      <w:r>
        <w:rPr>
          <w:rFonts w:hint="eastAsia" w:ascii="宋体" w:hAnsi="宋体" w:cs="宋体"/>
          <w:color w:val="auto"/>
          <w:sz w:val="24"/>
          <w:highlight w:val="none"/>
        </w:rPr>
        <w:t>20.投标文件的加密、解密</w:t>
      </w:r>
    </w:p>
    <w:p w14:paraId="15259A7A">
      <w:pPr>
        <w:pStyle w:val="8"/>
        <w:keepNext w:val="0"/>
        <w:keepLines w:val="0"/>
        <w:spacing w:before="0" w:after="0" w:line="360" w:lineRule="auto"/>
        <w:ind w:firstLine="360" w:firstLineChars="150"/>
        <w:rPr>
          <w:rFonts w:ascii="宋体" w:hAnsi="宋体" w:cs="宋体"/>
          <w:b w:val="0"/>
          <w:color w:val="auto"/>
          <w:sz w:val="24"/>
          <w:highlight w:val="none"/>
        </w:rPr>
      </w:pPr>
      <w:r>
        <w:rPr>
          <w:rFonts w:hint="eastAsia" w:ascii="宋体" w:hAnsi="宋体" w:cs="宋体"/>
          <w:b w:val="0"/>
          <w:color w:val="auto"/>
          <w:sz w:val="24"/>
          <w:highlight w:val="none"/>
        </w:rPr>
        <w:t xml:space="preserve"> 20.1电子投标文件编制完成后，投标人应按广西政府采购云平台的要求进行加密，并在规定时间内解密，否则，由此产生的后果由投标人自行负责。</w:t>
      </w:r>
    </w:p>
    <w:p w14:paraId="3B8A6492">
      <w:pPr>
        <w:pStyle w:val="8"/>
        <w:keepNext w:val="0"/>
        <w:keepLines w:val="0"/>
        <w:spacing w:before="0" w:after="0" w:line="360" w:lineRule="auto"/>
        <w:ind w:left="420" w:leftChars="200"/>
        <w:rPr>
          <w:rFonts w:ascii="宋体" w:hAnsi="宋体" w:cs="宋体"/>
          <w:color w:val="auto"/>
          <w:sz w:val="24"/>
          <w:highlight w:val="none"/>
        </w:rPr>
      </w:pPr>
      <w:r>
        <w:rPr>
          <w:rFonts w:hint="eastAsia" w:ascii="宋体" w:hAnsi="宋体" w:cs="宋体"/>
          <w:color w:val="auto"/>
          <w:sz w:val="24"/>
          <w:highlight w:val="none"/>
        </w:rPr>
        <w:t>21.投标文件的提交</w:t>
      </w:r>
    </w:p>
    <w:p w14:paraId="41F95CF0">
      <w:pPr>
        <w:pStyle w:val="8"/>
        <w:keepNext w:val="0"/>
        <w:keepLines w:val="0"/>
        <w:numPr>
          <w:ilvl w:val="0"/>
          <w:numId w:val="0"/>
        </w:numPr>
        <w:spacing w:before="0" w:after="0" w:line="360" w:lineRule="auto"/>
        <w:ind w:firstLine="480" w:firstLineChars="200"/>
        <w:rPr>
          <w:rFonts w:ascii="宋体" w:hAnsi="宋体" w:cs="宋体"/>
          <w:b w:val="0"/>
          <w:color w:val="auto"/>
          <w:sz w:val="24"/>
          <w:highlight w:val="none"/>
        </w:rPr>
      </w:pPr>
      <w:bookmarkStart w:id="114" w:name="_21.1投标人必须在“投标人须知中的前附表”规定的投标文件接收时间和投"/>
      <w:bookmarkEnd w:id="114"/>
      <w:r>
        <w:rPr>
          <w:rFonts w:hint="eastAsia" w:ascii="宋体" w:hAnsi="宋体" w:cs="宋体"/>
          <w:b w:val="0"/>
          <w:color w:val="auto"/>
          <w:sz w:val="24"/>
          <w:highlight w:val="none"/>
        </w:rPr>
        <w:t>21.1投标人必须在“投标人须知前附表”规定的投标文件接收时间和投标地点提交投标文件。</w:t>
      </w:r>
    </w:p>
    <w:p w14:paraId="4FA93EFE">
      <w:pPr>
        <w:pStyle w:val="8"/>
        <w:keepNext w:val="0"/>
        <w:keepLines w:val="0"/>
        <w:numPr>
          <w:ilvl w:val="0"/>
          <w:numId w:val="0"/>
        </w:numPr>
        <w:spacing w:before="0" w:after="0" w:line="360" w:lineRule="auto"/>
        <w:ind w:firstLine="480" w:firstLineChars="200"/>
        <w:rPr>
          <w:rFonts w:ascii="宋体" w:hAnsi="宋体" w:cs="宋体"/>
          <w:b w:val="0"/>
          <w:color w:val="auto"/>
          <w:sz w:val="24"/>
          <w:highlight w:val="none"/>
        </w:rPr>
      </w:pPr>
      <w:r>
        <w:rPr>
          <w:rFonts w:hint="eastAsia" w:ascii="宋体" w:hAnsi="宋体" w:cs="宋体"/>
          <w:b w:val="0"/>
          <w:color w:val="auto"/>
          <w:sz w:val="24"/>
          <w:highlight w:val="none"/>
        </w:rPr>
        <w:t>21.2本项目为全流程电子化政府采购项目，通过广西政府采购云平台（</w:t>
      </w:r>
      <w:r>
        <w:rPr>
          <w:rFonts w:ascii="宋体" w:hAnsi="宋体" w:cs="宋体"/>
          <w:b w:val="0"/>
          <w:color w:val="auto"/>
          <w:sz w:val="24"/>
          <w:highlight w:val="none"/>
        </w:rPr>
        <w:t>https://www.gcy.zfcg.gxzf.gov.cn/</w:t>
      </w:r>
      <w:r>
        <w:rPr>
          <w:rFonts w:hint="eastAsia" w:ascii="宋体" w:hAnsi="宋体" w:cs="宋体"/>
          <w:b w:val="0"/>
          <w:color w:val="auto"/>
          <w:sz w:val="24"/>
          <w:highlight w:val="none"/>
        </w:rPr>
        <w:t>）实行在线电子投标。投标人必须在“投标人须知前附表”规定的投标文件接收时间内通过网络将电子投标文件上传至广西政府采购云平台，供应商在广西政府采购云平台提交电子版投标文件时，请填写参加远程开标活动经办人联系方式。</w:t>
      </w:r>
    </w:p>
    <w:p w14:paraId="480B9E0C">
      <w:pPr>
        <w:pStyle w:val="8"/>
        <w:keepNext w:val="0"/>
        <w:keepLines w:val="0"/>
        <w:numPr>
          <w:ilvl w:val="0"/>
          <w:numId w:val="0"/>
        </w:numPr>
        <w:spacing w:before="0" w:after="0" w:line="360" w:lineRule="auto"/>
        <w:ind w:firstLine="480" w:firstLineChars="200"/>
        <w:jc w:val="left"/>
        <w:rPr>
          <w:rFonts w:ascii="宋体" w:hAnsi="宋体" w:cs="宋体"/>
          <w:b w:val="0"/>
          <w:color w:val="auto"/>
          <w:sz w:val="24"/>
          <w:highlight w:val="none"/>
        </w:rPr>
      </w:pPr>
      <w:r>
        <w:rPr>
          <w:rFonts w:hint="eastAsia" w:ascii="宋体" w:hAnsi="宋体" w:cs="宋体"/>
          <w:b w:val="0"/>
          <w:color w:val="auto"/>
          <w:sz w:val="24"/>
          <w:highlight w:val="none"/>
        </w:rPr>
        <w:t>21.3未在规定时间内上传或者未按广西政府采购云平台的要求编制、加密的电子投标文件，广西政府采购云平台将拒收。</w:t>
      </w:r>
    </w:p>
    <w:p w14:paraId="0091079A">
      <w:pPr>
        <w:pStyle w:val="6"/>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21.4电子投标文件提交方式见“招标公告”中“四、提交投标文件截止时间、开标时间和地点”</w:t>
      </w:r>
    </w:p>
    <w:p w14:paraId="255E7B62">
      <w:pPr>
        <w:pStyle w:val="8"/>
        <w:keepNext w:val="0"/>
        <w:keepLines w:val="0"/>
        <w:spacing w:before="0" w:after="0" w:line="360" w:lineRule="auto"/>
        <w:ind w:left="420" w:leftChars="200"/>
        <w:rPr>
          <w:rFonts w:ascii="宋体" w:hAnsi="宋体" w:cs="宋体"/>
          <w:color w:val="auto"/>
          <w:sz w:val="24"/>
          <w:highlight w:val="none"/>
        </w:rPr>
      </w:pPr>
      <w:r>
        <w:rPr>
          <w:rFonts w:hint="eastAsia" w:ascii="宋体" w:hAnsi="宋体" w:cs="宋体"/>
          <w:color w:val="auto"/>
          <w:sz w:val="24"/>
          <w:highlight w:val="none"/>
        </w:rPr>
        <w:t>22.投标文件的补充、修改、撤回与退回</w:t>
      </w:r>
    </w:p>
    <w:p w14:paraId="6280F92E">
      <w:pPr>
        <w:snapToGrid w:val="0"/>
        <w:spacing w:line="360" w:lineRule="auto"/>
        <w:ind w:firstLine="420"/>
        <w:jc w:val="left"/>
        <w:rPr>
          <w:rFonts w:ascii="宋体" w:hAnsi="宋体" w:cs="宋体"/>
          <w:color w:val="auto"/>
          <w:sz w:val="24"/>
          <w:highlight w:val="none"/>
        </w:rPr>
      </w:pPr>
      <w:bookmarkStart w:id="115" w:name="_Toc254970543"/>
      <w:bookmarkStart w:id="116" w:name="_Toc254970684"/>
      <w:r>
        <w:rPr>
          <w:rFonts w:hint="eastAsia" w:ascii="宋体" w:hAnsi="宋体" w:cs="宋体"/>
          <w:color w:val="auto"/>
          <w:sz w:val="24"/>
          <w:highlight w:val="none"/>
        </w:rPr>
        <w:t>22.1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bookmarkEnd w:id="115"/>
      <w:bookmarkEnd w:id="116"/>
      <w:r>
        <w:rPr>
          <w:rFonts w:hint="eastAsia" w:ascii="宋体" w:hAnsi="宋体" w:cs="宋体"/>
          <w:color w:val="auto"/>
          <w:sz w:val="24"/>
          <w:highlight w:val="none"/>
        </w:rPr>
        <w:t>（补充、修改或者撤回方式可登陆广西政府采购云平台，依次进入“服务中心”中查看 “电子投标文件制作与投送教程”）。</w:t>
      </w:r>
    </w:p>
    <w:p w14:paraId="23AB0818">
      <w:pPr>
        <w:snapToGrid w:val="0"/>
        <w:spacing w:line="360" w:lineRule="auto"/>
        <w:ind w:firstLine="420"/>
        <w:jc w:val="left"/>
        <w:rPr>
          <w:rFonts w:ascii="宋体" w:hAnsi="宋体" w:cs="宋体"/>
          <w:color w:val="auto"/>
          <w:sz w:val="24"/>
          <w:highlight w:val="none"/>
        </w:rPr>
      </w:pPr>
      <w:r>
        <w:rPr>
          <w:rFonts w:hint="eastAsia" w:ascii="宋体" w:hAnsi="宋体" w:cs="宋体"/>
          <w:color w:val="auto"/>
          <w:sz w:val="24"/>
          <w:highlight w:val="none"/>
        </w:rPr>
        <w:t>22.2在投标截止时间止提交投标文件的投标人不足3家时，不得开标，采购代理机构将根据广西政府采购云平台的操作将电子版投标文件退回，除此之外采购人和采购代理机构对已提交的投标文件概不退回。</w:t>
      </w:r>
    </w:p>
    <w:p w14:paraId="2BD84DB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22.3 投标人在投标截止时间后书面通知采购人、采购代理机构撤回投标文件的，将根据本须知正文18.4的规定不予退还其投标保证金。</w:t>
      </w:r>
    </w:p>
    <w:p w14:paraId="1812FD24">
      <w:pPr>
        <w:pStyle w:val="19"/>
        <w:snapToGrid w:val="0"/>
        <w:spacing w:line="360" w:lineRule="auto"/>
        <w:ind w:firstLine="845"/>
        <w:rPr>
          <w:rFonts w:ascii="宋体" w:hAnsi="宋体" w:eastAsia="宋体" w:cs="宋体"/>
          <w:snapToGrid w:val="0"/>
          <w:color w:val="auto"/>
          <w:sz w:val="24"/>
          <w:szCs w:val="24"/>
          <w:highlight w:val="none"/>
        </w:rPr>
      </w:pPr>
    </w:p>
    <w:p w14:paraId="4C64AD5B">
      <w:pPr>
        <w:pStyle w:val="5"/>
        <w:keepNext w:val="0"/>
        <w:keepLines w:val="0"/>
        <w:jc w:val="center"/>
        <w:rPr>
          <w:rFonts w:ascii="宋体" w:hAnsi="宋体" w:cs="宋体"/>
          <w:color w:val="auto"/>
          <w:highlight w:val="none"/>
        </w:rPr>
      </w:pPr>
      <w:bookmarkStart w:id="117" w:name="_Toc254970544"/>
      <w:bookmarkStart w:id="118" w:name="_Toc254970685"/>
      <w:r>
        <w:rPr>
          <w:rFonts w:hint="eastAsia" w:ascii="宋体" w:hAnsi="宋体" w:cs="宋体"/>
          <w:color w:val="auto"/>
          <w:highlight w:val="none"/>
        </w:rPr>
        <w:t>四、开    标</w:t>
      </w:r>
      <w:bookmarkEnd w:id="117"/>
      <w:bookmarkEnd w:id="118"/>
    </w:p>
    <w:p w14:paraId="370C217D">
      <w:pPr>
        <w:pStyle w:val="8"/>
        <w:keepNext w:val="0"/>
        <w:keepLines w:val="0"/>
        <w:spacing w:before="0" w:after="0" w:line="360" w:lineRule="auto"/>
        <w:ind w:left="420" w:leftChars="200"/>
        <w:rPr>
          <w:rFonts w:ascii="宋体" w:hAnsi="宋体" w:cs="宋体"/>
          <w:color w:val="auto"/>
          <w:sz w:val="24"/>
          <w:highlight w:val="none"/>
        </w:rPr>
      </w:pPr>
      <w:bookmarkStart w:id="119" w:name="_23.开标时间和地点"/>
      <w:bookmarkEnd w:id="119"/>
      <w:r>
        <w:rPr>
          <w:rFonts w:hint="eastAsia" w:ascii="宋体" w:hAnsi="宋体" w:cs="宋体"/>
          <w:color w:val="auto"/>
          <w:sz w:val="24"/>
          <w:highlight w:val="none"/>
        </w:rPr>
        <w:t>23.开标时间和地点</w:t>
      </w:r>
    </w:p>
    <w:p w14:paraId="70C685DD">
      <w:pPr>
        <w:snapToGrid w:val="0"/>
        <w:spacing w:line="360" w:lineRule="auto"/>
        <w:ind w:firstLine="420"/>
        <w:jc w:val="left"/>
        <w:rPr>
          <w:rFonts w:ascii="宋体" w:hAnsi="宋体" w:cs="宋体"/>
          <w:color w:val="auto"/>
          <w:sz w:val="24"/>
          <w:highlight w:val="none"/>
        </w:rPr>
      </w:pPr>
      <w:r>
        <w:rPr>
          <w:rFonts w:hint="eastAsia" w:ascii="宋体" w:hAnsi="宋体" w:cs="宋体"/>
          <w:color w:val="auto"/>
          <w:sz w:val="24"/>
          <w:highlight w:val="none"/>
        </w:rPr>
        <w:t>23.1开标时间及地点详见“投标人须知前附表”</w:t>
      </w:r>
    </w:p>
    <w:p w14:paraId="1F53B9E5">
      <w:pPr>
        <w:snapToGrid w:val="0"/>
        <w:spacing w:line="360" w:lineRule="auto"/>
        <w:ind w:firstLine="420"/>
        <w:jc w:val="left"/>
        <w:rPr>
          <w:rFonts w:ascii="宋体" w:hAnsi="宋体" w:cs="宋体"/>
          <w:color w:val="auto"/>
          <w:sz w:val="24"/>
          <w:highlight w:val="none"/>
        </w:rPr>
      </w:pPr>
      <w:r>
        <w:rPr>
          <w:rFonts w:hint="eastAsia" w:ascii="宋体" w:hAnsi="宋体" w:cs="宋体"/>
          <w:color w:val="auto"/>
          <w:sz w:val="24"/>
          <w:highlight w:val="none"/>
        </w:rPr>
        <w:t>23.2如投标人成功解密投标文件，但未在“广西政府采购云平台”电子开标大厅参加开标的，视同认可开标过程和结果，由此产生的后果由投标人自行负责。成功解密投标文件的投标人不足3家的，不得开标。</w:t>
      </w:r>
    </w:p>
    <w:p w14:paraId="1D177033">
      <w:pPr>
        <w:pStyle w:val="8"/>
        <w:keepNext w:val="0"/>
        <w:keepLines w:val="0"/>
        <w:spacing w:before="0" w:after="0" w:line="360" w:lineRule="auto"/>
        <w:ind w:left="420" w:leftChars="200"/>
        <w:rPr>
          <w:rFonts w:ascii="宋体" w:hAnsi="宋体" w:cs="宋体"/>
          <w:color w:val="auto"/>
          <w:sz w:val="24"/>
          <w:highlight w:val="none"/>
        </w:rPr>
      </w:pPr>
      <w:r>
        <w:rPr>
          <w:rFonts w:hint="eastAsia" w:ascii="宋体" w:hAnsi="宋体" w:cs="宋体"/>
          <w:color w:val="auto"/>
          <w:sz w:val="24"/>
          <w:highlight w:val="none"/>
        </w:rPr>
        <w:t>24.开标程序</w:t>
      </w:r>
    </w:p>
    <w:p w14:paraId="11747DE9">
      <w:pPr>
        <w:autoSpaceDE w:val="0"/>
        <w:autoSpaceDN w:val="0"/>
        <w:adjustRightInd w:val="0"/>
        <w:spacing w:line="360" w:lineRule="auto"/>
        <w:ind w:firstLine="480" w:firstLineChars="200"/>
        <w:rPr>
          <w:rFonts w:ascii="宋体" w:hAnsi="宋体" w:cs="宋体"/>
          <w:color w:val="auto"/>
          <w:kern w:val="0"/>
          <w:sz w:val="24"/>
          <w:highlight w:val="none"/>
        </w:rPr>
      </w:pPr>
      <w:r>
        <w:rPr>
          <w:rFonts w:hint="eastAsia" w:ascii="宋体" w:hAnsi="宋体" w:cs="宋体"/>
          <w:bCs/>
          <w:color w:val="auto"/>
          <w:sz w:val="24"/>
          <w:highlight w:val="none"/>
        </w:rPr>
        <w:t>24.1</w:t>
      </w:r>
      <w:r>
        <w:rPr>
          <w:rFonts w:ascii="宋体" w:hAnsi="宋体" w:cs="宋体"/>
          <w:bCs/>
          <w:color w:val="auto"/>
          <w:sz w:val="24"/>
          <w:highlight w:val="none"/>
        </w:rPr>
        <w:t xml:space="preserve"> </w:t>
      </w:r>
      <w:r>
        <w:rPr>
          <w:rFonts w:hint="eastAsia" w:ascii="宋体" w:hAnsi="宋体" w:cs="宋体"/>
          <w:color w:val="auto"/>
          <w:kern w:val="0"/>
          <w:sz w:val="24"/>
          <w:highlight w:val="none"/>
        </w:rPr>
        <w:t>开标形式：</w:t>
      </w:r>
    </w:p>
    <w:p w14:paraId="6FDEE732">
      <w:pPr>
        <w:autoSpaceDE w:val="0"/>
        <w:autoSpaceDN w:val="0"/>
        <w:adjustRightIn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采购代理机构将按照招标文件规定的时间通过广西政府采购云平台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14:paraId="77DC7567">
      <w:pPr>
        <w:autoSpaceDE w:val="0"/>
        <w:autoSpaceDN w:val="0"/>
        <w:adjustRightIn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24.2</w:t>
      </w:r>
      <w:r>
        <w:rPr>
          <w:rFonts w:ascii="宋体" w:hAnsi="宋体" w:cs="宋体"/>
          <w:bCs/>
          <w:color w:val="auto"/>
          <w:sz w:val="24"/>
          <w:highlight w:val="none"/>
        </w:rPr>
        <w:t xml:space="preserve"> </w:t>
      </w:r>
      <w:r>
        <w:rPr>
          <w:rFonts w:hint="eastAsia" w:ascii="宋体" w:hAnsi="宋体" w:cs="宋体"/>
          <w:bCs/>
          <w:color w:val="auto"/>
          <w:sz w:val="24"/>
          <w:highlight w:val="none"/>
        </w:rPr>
        <w:t>开标程序：</w:t>
      </w:r>
    </w:p>
    <w:p w14:paraId="6C0DA53B">
      <w:pPr>
        <w:autoSpaceDE w:val="0"/>
        <w:autoSpaceDN w:val="0"/>
        <w:adjustRightIn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（1）解密电子投标文件。广西政府采购云平台按开标时间自动提取所有投标文件。采购代理机构依托广西政府采购云平台向各投标人发出电子加密投标文件【开始解密】通知，由投标人进行投标文件解密。</w:t>
      </w:r>
      <w:r>
        <w:rPr>
          <w:rFonts w:hint="eastAsia" w:ascii="宋体" w:hAnsi="宋体" w:cs="宋体"/>
          <w:b/>
          <w:bCs/>
          <w:color w:val="auto"/>
          <w:sz w:val="24"/>
          <w:highlight w:val="none"/>
        </w:rPr>
        <w:t>投标人的法定代表人或其委托代理人须携带加密时所用的CA锁准时登录到广西政府采购云平台电子开标大厅签到</w:t>
      </w:r>
      <w:r>
        <w:rPr>
          <w:rFonts w:hint="eastAsia" w:ascii="宋体" w:hAnsi="宋体" w:cs="宋体"/>
          <w:b/>
          <w:color w:val="auto"/>
          <w:sz w:val="24"/>
          <w:highlight w:val="none"/>
        </w:rPr>
        <w:t>并在发起解密</w:t>
      </w:r>
      <w:r>
        <w:rPr>
          <w:rFonts w:hint="eastAsia" w:ascii="宋体" w:hAnsi="宋体" w:cs="宋体"/>
          <w:b/>
          <w:bCs/>
          <w:color w:val="auto"/>
          <w:sz w:val="24"/>
          <w:highlight w:val="none"/>
        </w:rPr>
        <w:t>通知</w:t>
      </w:r>
      <w:r>
        <w:rPr>
          <w:rFonts w:hint="eastAsia" w:ascii="宋体" w:hAnsi="宋体" w:cs="宋体"/>
          <w:b/>
          <w:color w:val="auto"/>
          <w:sz w:val="24"/>
          <w:highlight w:val="none"/>
        </w:rPr>
        <w:t>之时起30分钟内完成</w:t>
      </w:r>
      <w:r>
        <w:rPr>
          <w:rFonts w:hint="eastAsia" w:ascii="宋体" w:hAnsi="宋体" w:cs="宋体"/>
          <w:b/>
          <w:bCs/>
          <w:color w:val="auto"/>
          <w:sz w:val="24"/>
          <w:highlight w:val="none"/>
        </w:rPr>
        <w:t>对电子投标文件解密。投标文件未按时解密的，视为无效投标。</w:t>
      </w:r>
      <w:r>
        <w:rPr>
          <w:rFonts w:hint="eastAsia" w:ascii="宋体" w:hAnsi="宋体" w:cs="宋体"/>
          <w:bCs/>
          <w:color w:val="auto"/>
          <w:sz w:val="24"/>
          <w:highlight w:val="none"/>
        </w:rPr>
        <w:t>（解密异常情况处理：详见本章29.4 电子交易活动的中止。</w:t>
      </w:r>
    </w:p>
    <w:p w14:paraId="066EFE77">
      <w:pPr>
        <w:autoSpaceDE w:val="0"/>
        <w:autoSpaceDN w:val="0"/>
        <w:adjustRightIn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（2）电子唱标。投标文件解密结束，各投标供应商报价均在“广西政府采购云平台”平台远程不见面开标大厅展示；</w:t>
      </w:r>
    </w:p>
    <w:p w14:paraId="55526195">
      <w:pPr>
        <w:autoSpaceDE w:val="0"/>
        <w:autoSpaceDN w:val="0"/>
        <w:adjustRightIn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（3）签署电子《政府采购活动现场确认声明书》。通过邮件形式在远程不见面开标大厅发送各投标人签署电子《政府采购活动现场确认声明书》。</w:t>
      </w:r>
    </w:p>
    <w:p w14:paraId="2C241156">
      <w:pPr>
        <w:autoSpaceDE w:val="0"/>
        <w:autoSpaceDN w:val="0"/>
        <w:adjustRightIn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（4）开标过程由采购代理机构如实记录，并电子留痕，由参加电子开标的各投标人代表对电子开标记录在开标记录公布后15分钟内进行当场校核及勘误，并线上确认，未确认的视同认可开标结果。</w:t>
      </w:r>
    </w:p>
    <w:p w14:paraId="6E8E0005">
      <w:pPr>
        <w:autoSpaceDE w:val="0"/>
        <w:autoSpaceDN w:val="0"/>
        <w:adjustRightIn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2A4F0355">
      <w:pPr>
        <w:autoSpaceDE w:val="0"/>
        <w:autoSpaceDN w:val="0"/>
        <w:adjustRightIn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（6）开标结束。</w:t>
      </w:r>
    </w:p>
    <w:p w14:paraId="01E7859E">
      <w:pPr>
        <w:autoSpaceDE w:val="0"/>
        <w:autoSpaceDN w:val="0"/>
        <w:adjustRightInd w:val="0"/>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特别说明：如遇广西政府采购云平台电子化开标或评审程序调整的，按调整后执行。</w:t>
      </w:r>
    </w:p>
    <w:p w14:paraId="12BD22DF">
      <w:pPr>
        <w:pStyle w:val="24"/>
        <w:snapToGrid w:val="0"/>
        <w:spacing w:line="360" w:lineRule="auto"/>
        <w:ind w:left="689" w:leftChars="228" w:hanging="210" w:hangingChars="100"/>
        <w:rPr>
          <w:rFonts w:hAnsi="宋体" w:cs="宋体"/>
          <w:color w:val="auto"/>
          <w:sz w:val="21"/>
          <w:highlight w:val="none"/>
        </w:rPr>
      </w:pPr>
    </w:p>
    <w:p w14:paraId="515A1D01">
      <w:pPr>
        <w:pStyle w:val="5"/>
        <w:keepNext w:val="0"/>
        <w:keepLines w:val="0"/>
        <w:jc w:val="center"/>
        <w:rPr>
          <w:rFonts w:ascii="宋体" w:hAnsi="宋体" w:cs="宋体"/>
          <w:color w:val="auto"/>
          <w:highlight w:val="none"/>
        </w:rPr>
      </w:pPr>
      <w:r>
        <w:rPr>
          <w:rFonts w:hint="eastAsia" w:ascii="宋体" w:hAnsi="宋体" w:cs="宋体"/>
          <w:color w:val="auto"/>
          <w:highlight w:val="none"/>
        </w:rPr>
        <w:t>五、资格审查</w:t>
      </w:r>
    </w:p>
    <w:p w14:paraId="0184C1B9">
      <w:pPr>
        <w:pStyle w:val="8"/>
        <w:keepNext w:val="0"/>
        <w:keepLines w:val="0"/>
        <w:spacing w:before="0" w:after="0" w:line="360" w:lineRule="auto"/>
        <w:ind w:left="420" w:leftChars="200"/>
        <w:rPr>
          <w:rFonts w:ascii="宋体" w:hAnsi="宋体" w:cs="宋体"/>
          <w:color w:val="auto"/>
          <w:sz w:val="24"/>
          <w:highlight w:val="none"/>
        </w:rPr>
      </w:pPr>
      <w:r>
        <w:rPr>
          <w:rFonts w:hint="eastAsia" w:ascii="宋体" w:hAnsi="宋体" w:cs="宋体"/>
          <w:color w:val="auto"/>
          <w:sz w:val="24"/>
          <w:highlight w:val="none"/>
        </w:rPr>
        <w:t>25.资格审查</w:t>
      </w:r>
    </w:p>
    <w:p w14:paraId="3B036AE6">
      <w:pPr>
        <w:pStyle w:val="8"/>
        <w:keepNext w:val="0"/>
        <w:keepLines w:val="0"/>
        <w:spacing w:before="0" w:after="0" w:line="360" w:lineRule="auto"/>
        <w:ind w:firstLine="360" w:firstLineChars="150"/>
        <w:rPr>
          <w:rFonts w:ascii="宋体" w:hAnsi="宋体" w:cs="宋体"/>
          <w:b w:val="0"/>
          <w:color w:val="auto"/>
          <w:sz w:val="24"/>
          <w:highlight w:val="none"/>
        </w:rPr>
      </w:pPr>
      <w:r>
        <w:rPr>
          <w:rFonts w:hint="eastAsia" w:ascii="宋体" w:hAnsi="宋体" w:cs="宋体"/>
          <w:b w:val="0"/>
          <w:color w:val="auto"/>
          <w:sz w:val="24"/>
          <w:highlight w:val="none"/>
        </w:rPr>
        <w:t xml:space="preserve"> 25.1开标结束后，采购人或者采购代理机构依法对投标人的资格进行审查。</w:t>
      </w:r>
    </w:p>
    <w:p w14:paraId="6B77D1B1">
      <w:pPr>
        <w:pStyle w:val="8"/>
        <w:keepNext w:val="0"/>
        <w:keepLines w:val="0"/>
        <w:spacing w:before="0" w:after="0" w:line="360" w:lineRule="auto"/>
        <w:ind w:firstLine="360" w:firstLineChars="150"/>
        <w:rPr>
          <w:rFonts w:ascii="宋体" w:hAnsi="宋体" w:cs="宋体"/>
          <w:b w:val="0"/>
          <w:color w:val="auto"/>
          <w:sz w:val="24"/>
          <w:highlight w:val="none"/>
        </w:rPr>
      </w:pPr>
      <w:r>
        <w:rPr>
          <w:rFonts w:hint="eastAsia" w:ascii="宋体" w:hAnsi="宋体" w:cs="宋体"/>
          <w:b w:val="0"/>
          <w:color w:val="auto"/>
          <w:sz w:val="24"/>
          <w:highlight w:val="none"/>
        </w:rPr>
        <w:t xml:space="preserve"> 25.2资格审查标准为本招标文件中载明对投标人资格要求的条件。本项目资格审查采用合格制，凡符合招标文件规定的投标人资格要求的投标人均通过资格审查。</w:t>
      </w:r>
    </w:p>
    <w:p w14:paraId="5B916642">
      <w:pPr>
        <w:pStyle w:val="8"/>
        <w:keepNext w:val="0"/>
        <w:keepLines w:val="0"/>
        <w:numPr>
          <w:ilvl w:val="0"/>
          <w:numId w:val="0"/>
        </w:numPr>
        <w:spacing w:before="0" w:after="0" w:line="360" w:lineRule="auto"/>
        <w:ind w:firstLine="482" w:firstLineChars="200"/>
        <w:rPr>
          <w:rFonts w:ascii="宋体" w:hAnsi="宋体" w:cs="宋体"/>
          <w:color w:val="auto"/>
          <w:sz w:val="24"/>
          <w:highlight w:val="none"/>
        </w:rPr>
      </w:pPr>
      <w:bookmarkStart w:id="120" w:name="_25.3_投标人有下列情形之一的，资格审查不通过而导致其投标无效："/>
      <w:bookmarkEnd w:id="120"/>
      <w:r>
        <w:rPr>
          <w:rFonts w:hint="eastAsia" w:ascii="宋体" w:hAnsi="宋体" w:cs="宋体"/>
          <w:color w:val="auto"/>
          <w:sz w:val="24"/>
          <w:highlight w:val="none"/>
        </w:rPr>
        <w:t>25.3 投标人有下列情形之一的，资格审查不通过，作无效投标处理：</w:t>
      </w:r>
    </w:p>
    <w:p w14:paraId="7831D672">
      <w:pPr>
        <w:pStyle w:val="24"/>
        <w:snapToGrid w:val="0"/>
        <w:spacing w:line="360" w:lineRule="auto"/>
        <w:ind w:firstLine="482" w:firstLineChars="200"/>
        <w:rPr>
          <w:rFonts w:hAnsi="宋体" w:cs="宋体"/>
          <w:b/>
          <w:color w:val="auto"/>
          <w:sz w:val="24"/>
          <w:szCs w:val="24"/>
          <w:highlight w:val="none"/>
        </w:rPr>
      </w:pPr>
      <w:r>
        <w:rPr>
          <w:rFonts w:hint="eastAsia" w:hAnsi="宋体" w:cs="宋体"/>
          <w:b/>
          <w:color w:val="auto"/>
          <w:sz w:val="24"/>
          <w:szCs w:val="24"/>
          <w:highlight w:val="none"/>
        </w:rPr>
        <w:t>（1）未按招标文件规定的方式获取本招标文件的投标人；</w:t>
      </w:r>
    </w:p>
    <w:p w14:paraId="065D65B3">
      <w:pPr>
        <w:pStyle w:val="24"/>
        <w:snapToGrid w:val="0"/>
        <w:spacing w:line="360" w:lineRule="auto"/>
        <w:ind w:firstLine="482" w:firstLineChars="200"/>
        <w:rPr>
          <w:rFonts w:hAnsi="宋体" w:cs="宋体"/>
          <w:b/>
          <w:color w:val="auto"/>
          <w:sz w:val="24"/>
          <w:szCs w:val="24"/>
          <w:highlight w:val="none"/>
        </w:rPr>
      </w:pPr>
      <w:r>
        <w:rPr>
          <w:rFonts w:hint="eastAsia" w:hAnsi="宋体" w:cs="宋体"/>
          <w:b/>
          <w:color w:val="auto"/>
          <w:sz w:val="24"/>
          <w:szCs w:val="24"/>
          <w:highlight w:val="none"/>
        </w:rPr>
        <w:t>（2）不具备招标文件中规定的资格要求的；</w:t>
      </w:r>
    </w:p>
    <w:p w14:paraId="2E032DD1">
      <w:pPr>
        <w:pStyle w:val="24"/>
        <w:snapToGrid w:val="0"/>
        <w:spacing w:line="360" w:lineRule="auto"/>
        <w:ind w:firstLine="482" w:firstLineChars="200"/>
        <w:rPr>
          <w:rFonts w:hAnsi="宋体" w:cs="宋体"/>
          <w:b/>
          <w:color w:val="auto"/>
          <w:sz w:val="24"/>
          <w:szCs w:val="24"/>
          <w:highlight w:val="none"/>
        </w:rPr>
      </w:pPr>
      <w:r>
        <w:rPr>
          <w:rFonts w:hint="eastAsia" w:hAnsi="宋体" w:cs="宋体"/>
          <w:b/>
          <w:color w:val="auto"/>
          <w:sz w:val="24"/>
          <w:szCs w:val="24"/>
          <w:highlight w:val="none"/>
        </w:rPr>
        <w:t>（3）在“信用中国”网站（www.creditchina.gov.cn） 、中国政府采购网（www.ccgp.gov.cn）被列入失信被执行人、重大税收违法失信主体、政府采购严重违法失信行为记录名单及其他不符合《中华人民共和国政府采购法》第二十二条规定条件的（注：其中信用查询规则见“投标人须知前附表”）；</w:t>
      </w:r>
      <w:r>
        <w:rPr>
          <w:rFonts w:hAnsi="宋体" w:cs="宋体"/>
          <w:b/>
          <w:color w:val="auto"/>
          <w:sz w:val="24"/>
          <w:szCs w:val="24"/>
          <w:highlight w:val="none"/>
        </w:rPr>
        <w:t xml:space="preserve"> </w:t>
      </w:r>
    </w:p>
    <w:p w14:paraId="7E7ABC19">
      <w:pPr>
        <w:pStyle w:val="24"/>
        <w:snapToGrid w:val="0"/>
        <w:spacing w:line="360" w:lineRule="auto"/>
        <w:ind w:firstLine="482" w:firstLineChars="200"/>
        <w:rPr>
          <w:rFonts w:hAnsi="宋体" w:cs="宋体"/>
          <w:b/>
          <w:color w:val="auto"/>
          <w:sz w:val="24"/>
          <w:szCs w:val="24"/>
          <w:highlight w:val="none"/>
        </w:rPr>
      </w:pPr>
      <w:r>
        <w:rPr>
          <w:rFonts w:hint="eastAsia" w:hAnsi="宋体" w:cs="宋体"/>
          <w:b/>
          <w:color w:val="auto"/>
          <w:sz w:val="24"/>
          <w:szCs w:val="24"/>
          <w:highlight w:val="none"/>
        </w:rPr>
        <w:t>（4）同一合同项下的不同投标人，单位负责人为同一人或者存在直接控股、管理关系的；为本项目提供过整体设计、规范编制或者项目管理、监理、检测等服务的供应商，再参加该采购项目的其他采购活动的；</w:t>
      </w:r>
    </w:p>
    <w:p w14:paraId="215F9A0A">
      <w:pPr>
        <w:pStyle w:val="24"/>
        <w:snapToGrid w:val="0"/>
        <w:spacing w:line="360" w:lineRule="auto"/>
        <w:ind w:firstLine="482" w:firstLineChars="200"/>
        <w:rPr>
          <w:rFonts w:hAnsi="宋体" w:cs="宋体"/>
          <w:b/>
          <w:color w:val="auto"/>
          <w:sz w:val="24"/>
          <w:szCs w:val="24"/>
          <w:highlight w:val="none"/>
        </w:rPr>
      </w:pPr>
      <w:r>
        <w:rPr>
          <w:rFonts w:hint="eastAsia" w:hAnsi="宋体" w:cs="宋体"/>
          <w:b/>
          <w:color w:val="auto"/>
          <w:sz w:val="24"/>
          <w:szCs w:val="24"/>
          <w:highlight w:val="none"/>
        </w:rPr>
        <w:t>（5）投标文件中的资格证明文件缺少任一项“投标人须知前附表”资格证明文件规定“必须提供”的文件资料的；</w:t>
      </w:r>
    </w:p>
    <w:p w14:paraId="708B3B5D">
      <w:pPr>
        <w:pStyle w:val="24"/>
        <w:snapToGrid w:val="0"/>
        <w:spacing w:line="360" w:lineRule="auto"/>
        <w:ind w:firstLine="482" w:firstLineChars="200"/>
        <w:rPr>
          <w:rFonts w:hAnsi="宋体" w:cs="宋体"/>
          <w:b/>
          <w:color w:val="auto"/>
          <w:sz w:val="24"/>
          <w:szCs w:val="24"/>
          <w:highlight w:val="none"/>
        </w:rPr>
      </w:pPr>
      <w:r>
        <w:rPr>
          <w:rFonts w:hint="eastAsia" w:hAnsi="宋体" w:cs="宋体"/>
          <w:b/>
          <w:color w:val="auto"/>
          <w:sz w:val="24"/>
          <w:szCs w:val="24"/>
          <w:highlight w:val="none"/>
        </w:rPr>
        <w:t>（6）投标文件中的资格证明文件出现任一项不符合“投标人须知前附表”资格证明文件规定“必须提供”的文件资料要求或者无效的。</w:t>
      </w:r>
    </w:p>
    <w:p w14:paraId="47EDF7D2">
      <w:pPr>
        <w:pStyle w:val="8"/>
        <w:keepNext w:val="0"/>
        <w:keepLines w:val="0"/>
        <w:spacing w:before="0" w:after="0" w:line="360" w:lineRule="auto"/>
        <w:ind w:left="420" w:leftChars="200"/>
        <w:rPr>
          <w:rFonts w:ascii="宋体" w:hAnsi="宋体" w:cs="宋体"/>
          <w:b w:val="0"/>
          <w:color w:val="auto"/>
          <w:sz w:val="24"/>
          <w:highlight w:val="none"/>
        </w:rPr>
      </w:pPr>
      <w:r>
        <w:rPr>
          <w:rFonts w:hint="eastAsia" w:ascii="宋体" w:hAnsi="宋体" w:cs="宋体"/>
          <w:color w:val="auto"/>
          <w:sz w:val="24"/>
          <w:highlight w:val="none"/>
        </w:rPr>
        <w:t>25.4合格投标人不足3家的，不得评标。</w:t>
      </w:r>
    </w:p>
    <w:p w14:paraId="2DE9F9C1">
      <w:pPr>
        <w:pStyle w:val="24"/>
        <w:snapToGrid w:val="0"/>
        <w:spacing w:line="360" w:lineRule="auto"/>
        <w:ind w:left="719" w:leftChars="228" w:hanging="240" w:hangingChars="100"/>
        <w:rPr>
          <w:rFonts w:hAnsi="宋体" w:cs="宋体"/>
          <w:color w:val="auto"/>
          <w:sz w:val="24"/>
          <w:szCs w:val="24"/>
          <w:highlight w:val="none"/>
        </w:rPr>
      </w:pPr>
    </w:p>
    <w:p w14:paraId="0082020E">
      <w:pPr>
        <w:pStyle w:val="5"/>
        <w:keepNext w:val="0"/>
        <w:keepLines w:val="0"/>
        <w:jc w:val="center"/>
        <w:rPr>
          <w:rFonts w:ascii="宋体" w:hAnsi="宋体" w:cs="宋体"/>
          <w:color w:val="auto"/>
          <w:highlight w:val="none"/>
        </w:rPr>
      </w:pPr>
      <w:r>
        <w:rPr>
          <w:rFonts w:hint="eastAsia" w:ascii="宋体" w:hAnsi="宋体" w:cs="宋体"/>
          <w:color w:val="auto"/>
          <w:highlight w:val="none"/>
        </w:rPr>
        <w:t>六、评   标</w:t>
      </w:r>
    </w:p>
    <w:p w14:paraId="20137A92">
      <w:pPr>
        <w:pStyle w:val="8"/>
        <w:keepNext w:val="0"/>
        <w:keepLines w:val="0"/>
        <w:spacing w:before="0" w:after="0" w:line="360" w:lineRule="auto"/>
        <w:ind w:left="420" w:leftChars="200"/>
        <w:rPr>
          <w:rFonts w:ascii="宋体" w:hAnsi="宋体" w:cs="宋体"/>
          <w:color w:val="auto"/>
          <w:sz w:val="24"/>
          <w:highlight w:val="none"/>
        </w:rPr>
      </w:pPr>
      <w:bookmarkStart w:id="121" w:name="_26.组建评标委员会"/>
      <w:bookmarkEnd w:id="121"/>
      <w:r>
        <w:rPr>
          <w:rFonts w:hint="eastAsia" w:ascii="宋体" w:hAnsi="宋体" w:cs="宋体"/>
          <w:color w:val="auto"/>
          <w:sz w:val="24"/>
          <w:highlight w:val="none"/>
        </w:rPr>
        <w:t>26.组建评标委员会</w:t>
      </w:r>
    </w:p>
    <w:p w14:paraId="2AF2C932">
      <w:pPr>
        <w:pStyle w:val="24"/>
        <w:snapToGrid w:val="0"/>
        <w:spacing w:line="360" w:lineRule="auto"/>
        <w:ind w:firstLine="480" w:firstLineChars="200"/>
        <w:rPr>
          <w:rFonts w:hAnsi="宋体" w:cs="宋体"/>
          <w:color w:val="auto"/>
          <w:sz w:val="24"/>
          <w:szCs w:val="24"/>
          <w:highlight w:val="none"/>
        </w:rPr>
      </w:pPr>
      <w:r>
        <w:rPr>
          <w:rFonts w:hint="eastAsia" w:hAnsi="宋体"/>
          <w:color w:val="auto"/>
          <w:sz w:val="24"/>
          <w:szCs w:val="24"/>
          <w:highlight w:val="none"/>
        </w:rPr>
        <w:t>26.1</w:t>
      </w:r>
      <w:r>
        <w:rPr>
          <w:rFonts w:hint="eastAsia" w:hAnsi="宋体" w:cs="宋体"/>
          <w:color w:val="auto"/>
          <w:sz w:val="24"/>
          <w:szCs w:val="24"/>
          <w:highlight w:val="none"/>
        </w:rPr>
        <w:t>评标委员会由采购人代表和评审专家组成，具体人数详见“投标人须知前附表”，其中评审专家不得少于成员总数的三分之二。</w:t>
      </w:r>
    </w:p>
    <w:p w14:paraId="276C6162">
      <w:pPr>
        <w:pStyle w:val="24"/>
        <w:snapToGrid w:val="0"/>
        <w:spacing w:line="360" w:lineRule="auto"/>
        <w:ind w:left="2" w:leftChars="1" w:firstLine="480" w:firstLineChars="200"/>
        <w:rPr>
          <w:color w:val="auto"/>
          <w:highlight w:val="none"/>
        </w:rPr>
      </w:pPr>
      <w:r>
        <w:rPr>
          <w:rFonts w:hint="eastAsia" w:hAnsi="宋体"/>
          <w:color w:val="auto"/>
          <w:sz w:val="24"/>
          <w:szCs w:val="24"/>
          <w:highlight w:val="none"/>
        </w:rPr>
        <w:t>26.</w:t>
      </w:r>
      <w:r>
        <w:rPr>
          <w:rFonts w:hAnsi="宋体"/>
          <w:color w:val="auto"/>
          <w:sz w:val="24"/>
          <w:szCs w:val="24"/>
          <w:highlight w:val="none"/>
        </w:rPr>
        <w:t>2</w:t>
      </w:r>
      <w:r>
        <w:rPr>
          <w:rFonts w:hint="eastAsia" w:hAnsi="宋体" w:cs="宋体"/>
          <w:color w:val="auto"/>
          <w:sz w:val="24"/>
          <w:szCs w:val="24"/>
          <w:highlight w:val="none"/>
        </w:rPr>
        <w:t>参加过采购项目前期咨询论证的专家，不得参加该采购项目的评审活动。</w:t>
      </w:r>
    </w:p>
    <w:p w14:paraId="51B85700">
      <w:pPr>
        <w:pStyle w:val="8"/>
        <w:keepNext w:val="0"/>
        <w:keepLines w:val="0"/>
        <w:spacing w:before="0" w:after="0" w:line="360" w:lineRule="auto"/>
        <w:ind w:left="420" w:leftChars="200"/>
        <w:rPr>
          <w:rFonts w:ascii="宋体" w:hAnsi="宋体" w:cs="宋体"/>
          <w:color w:val="auto"/>
          <w:sz w:val="24"/>
          <w:highlight w:val="none"/>
        </w:rPr>
      </w:pPr>
      <w:r>
        <w:rPr>
          <w:rFonts w:hint="eastAsia" w:ascii="宋体" w:hAnsi="宋体" w:cs="宋体"/>
          <w:color w:val="auto"/>
          <w:sz w:val="24"/>
          <w:highlight w:val="none"/>
        </w:rPr>
        <w:t>27.评标的依据</w:t>
      </w:r>
    </w:p>
    <w:p w14:paraId="19A9A1F8">
      <w:pPr>
        <w:pStyle w:val="24"/>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评标委员会以“第四章 评标方法和评标标准”为依据对投标文件进行评审，没有规定的方法、评审因素和标准，不作为评标依据。</w:t>
      </w:r>
    </w:p>
    <w:p w14:paraId="2A9C8B45">
      <w:pPr>
        <w:pStyle w:val="8"/>
        <w:keepNext w:val="0"/>
        <w:keepLines w:val="0"/>
        <w:spacing w:before="0" w:after="0" w:line="360" w:lineRule="auto"/>
        <w:ind w:left="420" w:leftChars="200"/>
        <w:rPr>
          <w:rFonts w:ascii="宋体" w:hAnsi="宋体" w:cs="宋体"/>
          <w:color w:val="auto"/>
          <w:sz w:val="24"/>
          <w:highlight w:val="none"/>
        </w:rPr>
      </w:pPr>
      <w:r>
        <w:rPr>
          <w:rFonts w:hint="eastAsia" w:ascii="宋体" w:hAnsi="宋体" w:cs="宋体"/>
          <w:color w:val="auto"/>
          <w:sz w:val="24"/>
          <w:highlight w:val="none"/>
        </w:rPr>
        <w:t>28.评标原则</w:t>
      </w:r>
    </w:p>
    <w:p w14:paraId="60BBD5C3">
      <w:pPr>
        <w:pStyle w:val="24"/>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15E9A166">
      <w:pPr>
        <w:pStyle w:val="24"/>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28.2</w:t>
      </w:r>
      <w:bookmarkStart w:id="122" w:name="_28.3评标方法。本项目将按须知前附表规定的评标办法进行评标，具体评标"/>
      <w:bookmarkEnd w:id="122"/>
      <w:r>
        <w:rPr>
          <w:rFonts w:hint="eastAsia" w:hAnsi="宋体" w:cs="宋体"/>
          <w:color w:val="auto"/>
          <w:sz w:val="24"/>
          <w:szCs w:val="24"/>
          <w:highlight w:val="none"/>
        </w:rPr>
        <w:t>评委表决。评标委员会成员对需要共同认定的事项存在争议的，应当按照少数服从多数的原则作出结论。</w:t>
      </w:r>
    </w:p>
    <w:p w14:paraId="3007F661">
      <w:pPr>
        <w:pStyle w:val="24"/>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28.3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2802D3F5">
      <w:pPr>
        <w:pStyle w:val="24"/>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28.4评标过程的监控。本项目评标过程实行网上留痕、全程录音、录像监控，</w:t>
      </w:r>
      <w:r>
        <w:rPr>
          <w:rFonts w:hint="eastAsia" w:hAnsi="宋体" w:cs="宋体"/>
          <w:b/>
          <w:bCs/>
          <w:color w:val="auto"/>
          <w:sz w:val="24"/>
          <w:szCs w:val="24"/>
          <w:highlight w:val="none"/>
        </w:rPr>
        <w:t>投标人在评标过程中所进行的试图影响评标结果的不公正活动，可能导致其投标无效</w:t>
      </w:r>
      <w:r>
        <w:rPr>
          <w:rFonts w:hint="eastAsia" w:hAnsi="宋体" w:cs="宋体"/>
          <w:color w:val="auto"/>
          <w:sz w:val="24"/>
          <w:szCs w:val="24"/>
          <w:highlight w:val="none"/>
        </w:rPr>
        <w:t>。</w:t>
      </w:r>
    </w:p>
    <w:p w14:paraId="1AA062B1">
      <w:pPr>
        <w:pStyle w:val="8"/>
        <w:keepNext w:val="0"/>
        <w:keepLines w:val="0"/>
        <w:spacing w:before="0" w:after="0" w:line="360" w:lineRule="auto"/>
        <w:ind w:left="420" w:leftChars="200"/>
        <w:rPr>
          <w:rFonts w:ascii="宋体" w:hAnsi="宋体" w:cs="宋体"/>
          <w:color w:val="auto"/>
          <w:sz w:val="24"/>
          <w:highlight w:val="none"/>
        </w:rPr>
      </w:pPr>
      <w:r>
        <w:rPr>
          <w:rFonts w:hint="eastAsia" w:ascii="宋体" w:hAnsi="宋体" w:cs="宋体"/>
          <w:color w:val="auto"/>
          <w:sz w:val="24"/>
          <w:highlight w:val="none"/>
        </w:rPr>
        <w:t>29.评标方法及中标候选人推荐</w:t>
      </w:r>
    </w:p>
    <w:p w14:paraId="68F41A16">
      <w:pPr>
        <w:pStyle w:val="24"/>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29.1本项目的评标方法详见“投标人须知前附表”。</w:t>
      </w:r>
    </w:p>
    <w:p w14:paraId="52F53BC4">
      <w:pPr>
        <w:pStyle w:val="24"/>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29.2 中标候选人推荐数量详见“投标人须知前附表”。</w:t>
      </w:r>
    </w:p>
    <w:p w14:paraId="57632F75">
      <w:pPr>
        <w:pStyle w:val="24"/>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29.3评标委员会将按照“第四章 评标方法和评标标准”规定的方法、评审因素、标准和程序对投标文件进行评审。</w:t>
      </w:r>
    </w:p>
    <w:p w14:paraId="23509D44">
      <w:pPr>
        <w:pStyle w:val="24"/>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29.4电子交易活动的中止。采购过程中出现以下情形，导致电子交易平台无法正常运行，或者无法保证电子交易的公平、公正和安全时，采购代理机构可中止电子交易活动：</w:t>
      </w:r>
    </w:p>
    <w:p w14:paraId="4A96B9D1">
      <w:pPr>
        <w:pStyle w:val="24"/>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 xml:space="preserve">（1）电子交易平台发生故障而无法登录访问的； </w:t>
      </w:r>
    </w:p>
    <w:p w14:paraId="77AB2B00">
      <w:pPr>
        <w:pStyle w:val="24"/>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（2）电子交易平台应用或数据库出现错误，不能进行正常操作的；</w:t>
      </w:r>
    </w:p>
    <w:p w14:paraId="31081842">
      <w:pPr>
        <w:pStyle w:val="24"/>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（3）电子交易平台发现严重安全漏洞，有潜在泄密危险的；</w:t>
      </w:r>
    </w:p>
    <w:p w14:paraId="29B852E9">
      <w:pPr>
        <w:pStyle w:val="24"/>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 xml:space="preserve">（4）病毒发作导致不能进行正常操作的； </w:t>
      </w:r>
    </w:p>
    <w:p w14:paraId="20C0E0FC">
      <w:pPr>
        <w:pStyle w:val="24"/>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w:t>
      </w:r>
      <w:r>
        <w:rPr>
          <w:rFonts w:hAnsi="宋体" w:cs="宋体"/>
          <w:color w:val="auto"/>
          <w:sz w:val="24"/>
          <w:szCs w:val="24"/>
          <w:highlight w:val="none"/>
        </w:rPr>
        <w:t>5</w:t>
      </w:r>
      <w:r>
        <w:rPr>
          <w:rFonts w:hint="eastAsia" w:hAnsi="宋体" w:cs="宋体"/>
          <w:color w:val="auto"/>
          <w:sz w:val="24"/>
          <w:szCs w:val="24"/>
          <w:highlight w:val="none"/>
        </w:rPr>
        <w:t>）其他无法保证电子交易的公平、公正和安全的情况。</w:t>
      </w:r>
    </w:p>
    <w:p w14:paraId="554DC7CD">
      <w:pPr>
        <w:pStyle w:val="24"/>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29.5出现以上情形，不影响采购公平、公正性的，采购代理机构可以待上述情形消除后继续组织电子交易活动；影响或可能影响采购公平、公正性的，经采购代理机构确认、报采购人同意后，终止电子采购活动，重新采购。采购代理机构必须对原有的资料及信息作出妥善保密处理，并报财政部门备案。</w:t>
      </w:r>
    </w:p>
    <w:p w14:paraId="732964C7">
      <w:pPr>
        <w:pStyle w:val="24"/>
        <w:snapToGrid w:val="0"/>
        <w:spacing w:line="360" w:lineRule="auto"/>
        <w:rPr>
          <w:rFonts w:hAnsi="宋体" w:cs="宋体"/>
          <w:color w:val="auto"/>
          <w:sz w:val="24"/>
          <w:szCs w:val="24"/>
          <w:highlight w:val="none"/>
        </w:rPr>
      </w:pPr>
    </w:p>
    <w:p w14:paraId="09597E48">
      <w:pPr>
        <w:pStyle w:val="5"/>
        <w:keepNext w:val="0"/>
        <w:keepLines w:val="0"/>
        <w:jc w:val="center"/>
        <w:rPr>
          <w:rFonts w:ascii="宋体" w:hAnsi="宋体" w:cs="宋体"/>
          <w:color w:val="auto"/>
          <w:highlight w:val="none"/>
        </w:rPr>
      </w:pPr>
      <w:bookmarkStart w:id="123" w:name="_Toc254970687"/>
      <w:bookmarkStart w:id="124" w:name="_Toc254970546"/>
      <w:r>
        <w:rPr>
          <w:rFonts w:hint="eastAsia" w:ascii="宋体" w:hAnsi="宋体" w:cs="宋体"/>
          <w:color w:val="auto"/>
          <w:highlight w:val="none"/>
        </w:rPr>
        <w:t>七、</w:t>
      </w:r>
      <w:bookmarkEnd w:id="123"/>
      <w:bookmarkEnd w:id="124"/>
      <w:r>
        <w:rPr>
          <w:rFonts w:hint="eastAsia" w:ascii="宋体" w:hAnsi="宋体" w:cs="宋体"/>
          <w:color w:val="auto"/>
          <w:highlight w:val="none"/>
        </w:rPr>
        <w:t>中标和合同</w:t>
      </w:r>
    </w:p>
    <w:p w14:paraId="35B1DC1F">
      <w:pPr>
        <w:pStyle w:val="8"/>
        <w:keepNext w:val="0"/>
        <w:keepLines w:val="0"/>
        <w:spacing w:before="0" w:after="0" w:line="360" w:lineRule="auto"/>
        <w:ind w:left="420" w:leftChars="200"/>
        <w:rPr>
          <w:rFonts w:ascii="宋体" w:hAnsi="宋体" w:cs="宋体"/>
          <w:color w:val="auto"/>
          <w:sz w:val="24"/>
          <w:highlight w:val="none"/>
        </w:rPr>
      </w:pPr>
      <w:r>
        <w:rPr>
          <w:rFonts w:hint="eastAsia" w:ascii="宋体" w:hAnsi="宋体" w:cs="宋体"/>
          <w:color w:val="auto"/>
          <w:sz w:val="24"/>
          <w:highlight w:val="none"/>
        </w:rPr>
        <w:t>30.确定中标人</w:t>
      </w:r>
    </w:p>
    <w:p w14:paraId="269F547A">
      <w:pPr>
        <w:pStyle w:val="8"/>
        <w:keepNext w:val="0"/>
        <w:keepLines w:val="0"/>
        <w:spacing w:before="0" w:after="0" w:line="360" w:lineRule="auto"/>
        <w:ind w:firstLine="480" w:firstLineChars="200"/>
        <w:rPr>
          <w:rFonts w:ascii="宋体" w:hAnsi="宋体" w:cs="宋体"/>
          <w:b w:val="0"/>
          <w:color w:val="auto"/>
          <w:sz w:val="24"/>
          <w:highlight w:val="none"/>
        </w:rPr>
      </w:pPr>
      <w:r>
        <w:rPr>
          <w:rFonts w:hint="eastAsia" w:ascii="宋体" w:hAnsi="宋体" w:cs="宋体"/>
          <w:b w:val="0"/>
          <w:color w:val="auto"/>
          <w:sz w:val="24"/>
          <w:highlight w:val="none"/>
        </w:rPr>
        <w:t>30.1采购人在收到评标报告之日起5个工作日内，在评标报告确定的中标候选人名单中按顺序确定中标人。中标候选人并列的，按照“投标人须知前附表”规定的方式确定中标人。采购人也可以事先授权评标委员会直接确定中标人。</w:t>
      </w:r>
    </w:p>
    <w:p w14:paraId="76CFFBEC">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30.2采购人在收到评标报告5个工作日内未按评标报告推荐的中标候选人顺序确定中标人，又不能说明合法理由的，视同按评标报告推荐的顺序确定排名第一的中标候选人为中标人。</w:t>
      </w:r>
    </w:p>
    <w:p w14:paraId="7477424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30.3出现下列情形之一的，应予废标：</w:t>
      </w:r>
    </w:p>
    <w:p w14:paraId="055C9110">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（1）符合专业条件的供应商或者对招标文件作实质响应的供应商不足三家的；</w:t>
      </w:r>
    </w:p>
    <w:p w14:paraId="693180B0">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（2）出现影响采购公正的违法、违规行为的；</w:t>
      </w:r>
    </w:p>
    <w:p w14:paraId="24558B2E">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（3）投标人的报价均超过了采购预算，采购人不能支付的；</w:t>
      </w:r>
    </w:p>
    <w:p w14:paraId="60A37D97">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（4）因重大变故，采购任务取消的。</w:t>
      </w:r>
    </w:p>
    <w:p w14:paraId="0EE498A0">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废标后，采购人应当将废标理由通知所有投标人。</w:t>
      </w:r>
    </w:p>
    <w:p w14:paraId="1E1B9CC5">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30.4 中标人拒绝签订政府采购合同（包括但不限于放弃中标、因不可抗力不能履行合同而放弃签订合同），采购人可以按照评审报告推荐的中标候选人名单排序，确定下一候选人为中标人，也可以重新开展政府采购活动。拒绝签订政府采购合同的中标人不得参加对该项目重新开展的采购活动。</w:t>
      </w:r>
    </w:p>
    <w:p w14:paraId="354C3DED">
      <w:pPr>
        <w:pStyle w:val="17"/>
        <w:spacing w:after="120" w:line="360" w:lineRule="auto"/>
        <w:ind w:firstLine="482" w:firstLineChars="200"/>
        <w:rPr>
          <w:b/>
          <w:color w:val="auto"/>
          <w:highlight w:val="none"/>
        </w:rPr>
      </w:pPr>
      <w:r>
        <w:rPr>
          <w:rFonts w:hint="eastAsia" w:ascii="宋体" w:hAnsi="宋体" w:cs="宋体"/>
          <w:b/>
          <w:color w:val="auto"/>
          <w:sz w:val="24"/>
          <w:highlight w:val="none"/>
        </w:rPr>
        <w:t>中标人放弃中标项目，拒绝与采购人签订合同的，其投标保证金不予退还，并上缴国库。给采购人造成损失，或（并）因此延误采购人教学科研计划的，须依据《中华人民共和国民法典》第五百条、《招标投标法》第四十五条等规定承担赔偿损失等法律责任，采购人有权将中标人的失信行为报财政部门记入诚信档案，以示惩戒。</w:t>
      </w:r>
    </w:p>
    <w:p w14:paraId="72F350B9">
      <w:pPr>
        <w:pStyle w:val="8"/>
        <w:keepNext w:val="0"/>
        <w:keepLines w:val="0"/>
        <w:spacing w:before="0" w:after="0" w:line="360" w:lineRule="auto"/>
        <w:ind w:left="420" w:leftChars="200"/>
        <w:rPr>
          <w:rFonts w:ascii="宋体" w:hAnsi="宋体" w:cs="宋体"/>
          <w:color w:val="auto"/>
          <w:sz w:val="24"/>
          <w:highlight w:val="none"/>
        </w:rPr>
      </w:pPr>
      <w:r>
        <w:rPr>
          <w:rFonts w:hint="eastAsia" w:ascii="宋体" w:hAnsi="宋体" w:cs="宋体"/>
          <w:color w:val="auto"/>
          <w:sz w:val="24"/>
          <w:highlight w:val="none"/>
        </w:rPr>
        <w:t>31.结果公告</w:t>
      </w:r>
    </w:p>
    <w:p w14:paraId="6C18B145">
      <w:pPr>
        <w:pStyle w:val="8"/>
        <w:keepNext w:val="0"/>
        <w:keepLines w:val="0"/>
        <w:spacing w:before="0" w:after="0" w:line="360" w:lineRule="auto"/>
        <w:ind w:firstLine="482" w:firstLineChars="200"/>
        <w:rPr>
          <w:rFonts w:ascii="宋体" w:hAnsi="宋体" w:cs="宋体"/>
          <w:color w:val="auto"/>
          <w:sz w:val="24"/>
          <w:highlight w:val="none"/>
        </w:rPr>
      </w:pPr>
      <w:r>
        <w:rPr>
          <w:rFonts w:hint="eastAsia" w:ascii="宋体" w:hAnsi="宋体" w:cs="宋体"/>
          <w:color w:val="auto"/>
          <w:sz w:val="24"/>
          <w:highlight w:val="none"/>
        </w:rPr>
        <w:t>31.1采购人或者采购代理机构应当自中标人确定之日起2个工作日内，在省级以上财政部门指定的媒体上公告中标结果，招标文件应当随中标结果同时公告。采购人或者采购代理发出中标通知书前，应当对中标人信用进行查询，对列入失信被执行人、重大税收违法失信主体、政府采购严重违法失信行为记录名单及其他不符合《中华人民共和国政府采购法》第二十二条规定条件的投标人，取消其中标资格，并确定排名第二的中标候选人为中标人。排名第二的中标候选人因前款规定的同样原因被取消中标资格的，采购人可以确定排名第三的中标候选人为中标人，以此类推。以上信息查询记录及相关证据与采购文件一并保存。</w:t>
      </w:r>
    </w:p>
    <w:p w14:paraId="5C06CBC8">
      <w:pPr>
        <w:pStyle w:val="8"/>
        <w:keepNext w:val="0"/>
        <w:keepLines w:val="0"/>
        <w:spacing w:before="0" w:after="0" w:line="360" w:lineRule="auto"/>
        <w:ind w:firstLine="480" w:firstLineChars="200"/>
        <w:rPr>
          <w:rFonts w:ascii="宋体" w:hAnsi="宋体" w:cs="宋体"/>
          <w:b w:val="0"/>
          <w:color w:val="auto"/>
          <w:sz w:val="24"/>
          <w:highlight w:val="none"/>
        </w:rPr>
      </w:pPr>
      <w:r>
        <w:rPr>
          <w:rFonts w:hint="eastAsia" w:ascii="宋体" w:hAnsi="宋体" w:cs="宋体"/>
          <w:b w:val="0"/>
          <w:color w:val="auto"/>
          <w:sz w:val="24"/>
          <w:highlight w:val="none"/>
        </w:rPr>
        <w:t>31.2中标人享受《政府采购促进中小企业发展管理办法》（财库〔2020〕46号）规定的中小企业扶持政策的，采购人、采购代理机构应当随中标结果公开中标人的《中小企业声明函》。</w:t>
      </w:r>
    </w:p>
    <w:p w14:paraId="4FD7F98F">
      <w:pPr>
        <w:pStyle w:val="8"/>
        <w:keepNext w:val="0"/>
        <w:keepLines w:val="0"/>
        <w:spacing w:before="0" w:after="0" w:line="360" w:lineRule="auto"/>
        <w:ind w:left="420" w:leftChars="200"/>
        <w:rPr>
          <w:rFonts w:ascii="宋体" w:hAnsi="宋体" w:cs="宋体"/>
          <w:color w:val="auto"/>
          <w:sz w:val="24"/>
          <w:highlight w:val="none"/>
        </w:rPr>
      </w:pPr>
      <w:r>
        <w:rPr>
          <w:rFonts w:hint="eastAsia" w:ascii="宋体" w:hAnsi="宋体" w:cs="宋体"/>
          <w:color w:val="auto"/>
          <w:sz w:val="24"/>
          <w:highlight w:val="none"/>
        </w:rPr>
        <w:t>32.发出中标通知书</w:t>
      </w:r>
    </w:p>
    <w:p w14:paraId="070E8CE9">
      <w:pPr>
        <w:pStyle w:val="8"/>
        <w:keepNext w:val="0"/>
        <w:keepLines w:val="0"/>
        <w:spacing w:before="0" w:after="0" w:line="360" w:lineRule="auto"/>
        <w:ind w:firstLine="480" w:firstLineChars="200"/>
        <w:rPr>
          <w:rFonts w:ascii="宋体" w:hAnsi="宋体" w:cs="宋体"/>
          <w:b w:val="0"/>
          <w:color w:val="auto"/>
          <w:sz w:val="24"/>
          <w:highlight w:val="none"/>
        </w:rPr>
      </w:pPr>
      <w:r>
        <w:rPr>
          <w:rFonts w:hint="eastAsia" w:ascii="宋体" w:hAnsi="宋体" w:cs="宋体"/>
          <w:b w:val="0"/>
          <w:color w:val="auto"/>
          <w:sz w:val="24"/>
          <w:highlight w:val="none"/>
        </w:rPr>
        <w:t>在公告中标结果的同时，采购代理机构向中标人发出中标通知书。对未通过资格审查的投标人，应当告知其未通过的原因；采用综合评分办法评审的，还应当告知未中标人本人的评审得分与排序。</w:t>
      </w:r>
    </w:p>
    <w:p w14:paraId="4618CB6E">
      <w:pPr>
        <w:pStyle w:val="8"/>
        <w:keepNext w:val="0"/>
        <w:keepLines w:val="0"/>
        <w:spacing w:before="0" w:after="0" w:line="360" w:lineRule="auto"/>
        <w:ind w:left="420" w:leftChars="200"/>
        <w:rPr>
          <w:rFonts w:ascii="宋体" w:hAnsi="宋体" w:cs="宋体"/>
          <w:color w:val="auto"/>
          <w:sz w:val="24"/>
          <w:highlight w:val="none"/>
        </w:rPr>
      </w:pPr>
      <w:r>
        <w:rPr>
          <w:rFonts w:hint="eastAsia" w:ascii="宋体" w:hAnsi="宋体" w:cs="宋体"/>
          <w:color w:val="auto"/>
          <w:sz w:val="24"/>
          <w:highlight w:val="none"/>
        </w:rPr>
        <w:t>33.无义务解释未中标原因</w:t>
      </w:r>
    </w:p>
    <w:p w14:paraId="5BB6DA41">
      <w:pPr>
        <w:pStyle w:val="8"/>
        <w:keepNext w:val="0"/>
        <w:keepLines w:val="0"/>
        <w:spacing w:before="0" w:after="0" w:line="360" w:lineRule="auto"/>
        <w:ind w:left="420" w:leftChars="200"/>
        <w:rPr>
          <w:rFonts w:ascii="宋体" w:hAnsi="宋体" w:cs="宋体"/>
          <w:b w:val="0"/>
          <w:color w:val="auto"/>
          <w:sz w:val="24"/>
          <w:highlight w:val="none"/>
        </w:rPr>
      </w:pPr>
      <w:r>
        <w:rPr>
          <w:rFonts w:hint="eastAsia" w:ascii="宋体" w:hAnsi="宋体" w:cs="宋体"/>
          <w:b w:val="0"/>
          <w:color w:val="auto"/>
          <w:sz w:val="24"/>
          <w:highlight w:val="none"/>
        </w:rPr>
        <w:t>采购代理机构无义务向未中标的投标人解释未中标原因和退还投标文件。</w:t>
      </w:r>
    </w:p>
    <w:p w14:paraId="1AC01F77">
      <w:pPr>
        <w:pStyle w:val="8"/>
        <w:keepNext w:val="0"/>
        <w:keepLines w:val="0"/>
        <w:spacing w:before="0" w:after="0" w:line="360" w:lineRule="auto"/>
        <w:ind w:left="420" w:leftChars="200"/>
        <w:rPr>
          <w:rFonts w:ascii="宋体" w:hAnsi="宋体" w:cs="宋体"/>
          <w:color w:val="auto"/>
          <w:sz w:val="24"/>
          <w:highlight w:val="none"/>
        </w:rPr>
      </w:pPr>
      <w:r>
        <w:rPr>
          <w:rFonts w:hint="eastAsia" w:ascii="宋体" w:hAnsi="宋体" w:cs="宋体"/>
          <w:color w:val="auto"/>
          <w:sz w:val="24"/>
          <w:highlight w:val="none"/>
        </w:rPr>
        <w:t>34.合同授予标准</w:t>
      </w:r>
    </w:p>
    <w:p w14:paraId="553308CB">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合同将授予被确定实质上响应招标文件要求，具备履行合同能力的中标人。</w:t>
      </w:r>
    </w:p>
    <w:p w14:paraId="48173D56">
      <w:pPr>
        <w:pStyle w:val="8"/>
        <w:keepNext w:val="0"/>
        <w:keepLines w:val="0"/>
        <w:spacing w:before="0" w:after="0" w:line="360" w:lineRule="auto"/>
        <w:ind w:left="420" w:leftChars="200"/>
        <w:rPr>
          <w:rFonts w:ascii="宋体" w:hAnsi="宋体" w:cs="宋体"/>
          <w:color w:val="auto"/>
          <w:sz w:val="24"/>
          <w:highlight w:val="none"/>
        </w:rPr>
      </w:pPr>
      <w:r>
        <w:rPr>
          <w:rFonts w:hint="eastAsia" w:ascii="宋体" w:hAnsi="宋体" w:cs="宋体"/>
          <w:color w:val="auto"/>
          <w:sz w:val="24"/>
          <w:highlight w:val="none"/>
        </w:rPr>
        <w:t>35.履约保证金</w:t>
      </w:r>
    </w:p>
    <w:p w14:paraId="5AC6CD4E">
      <w:pPr>
        <w:pStyle w:val="8"/>
        <w:keepNext w:val="0"/>
        <w:keepLines w:val="0"/>
        <w:spacing w:before="0" w:after="0" w:line="360" w:lineRule="auto"/>
        <w:ind w:firstLine="360" w:firstLineChars="150"/>
        <w:rPr>
          <w:rFonts w:ascii="宋体" w:hAnsi="宋体" w:cs="宋体"/>
          <w:b w:val="0"/>
          <w:color w:val="auto"/>
          <w:sz w:val="24"/>
          <w:highlight w:val="none"/>
        </w:rPr>
      </w:pPr>
      <w:bookmarkStart w:id="125" w:name="_39.1中标人须于签订合同前按本须知前附表规定的金额转账或电汇到指定账"/>
      <w:bookmarkEnd w:id="125"/>
      <w:r>
        <w:rPr>
          <w:rFonts w:hint="eastAsia" w:ascii="宋体" w:hAnsi="宋体" w:cs="宋体"/>
          <w:b w:val="0"/>
          <w:color w:val="auto"/>
          <w:sz w:val="24"/>
          <w:highlight w:val="none"/>
        </w:rPr>
        <w:t xml:space="preserve"> 35.1 履约保证金的金额、提交方式、退付的时间和条件详见 “投标人须知前附表”。中标人未按规定提交履约保证金的，视为拒绝与采购人签订合同。采购人可以按照评标报告推荐的中标候选人名单排序，依法确定下一候选人为中标人，也可以重新开展政府采购活动。</w:t>
      </w:r>
    </w:p>
    <w:p w14:paraId="776467B3">
      <w:pPr>
        <w:pStyle w:val="8"/>
        <w:keepNext w:val="0"/>
        <w:keepLines w:val="0"/>
        <w:spacing w:before="0" w:after="0" w:line="360" w:lineRule="auto"/>
        <w:ind w:firstLine="361" w:firstLineChars="150"/>
        <w:rPr>
          <w:rFonts w:ascii="宋体" w:hAnsi="宋体" w:cs="宋体"/>
          <w:b w:val="0"/>
          <w:bCs/>
          <w:color w:val="auto"/>
          <w:sz w:val="24"/>
          <w:highlight w:val="none"/>
        </w:rPr>
      </w:pPr>
      <w:r>
        <w:rPr>
          <w:rFonts w:hint="eastAsia" w:ascii="宋体" w:hAnsi="宋体" w:cs="宋体"/>
          <w:color w:val="auto"/>
          <w:sz w:val="24"/>
          <w:highlight w:val="none"/>
        </w:rPr>
        <w:t xml:space="preserve"> </w:t>
      </w:r>
      <w:r>
        <w:rPr>
          <w:rFonts w:hint="eastAsia" w:ascii="宋体" w:hAnsi="宋体" w:cs="宋体"/>
          <w:b w:val="0"/>
          <w:bCs/>
          <w:color w:val="auto"/>
          <w:sz w:val="24"/>
          <w:highlight w:val="none"/>
        </w:rPr>
        <w:t>35.2在履约保证金退还日期前，若中标人的开户名称、开户银行、帐号有变动的，请以书面形式通知履约保证金收取单位，否则由此产生的后果由中标人自行承担。</w:t>
      </w:r>
    </w:p>
    <w:p w14:paraId="7C795CA3">
      <w:pPr>
        <w:pStyle w:val="8"/>
        <w:keepNext w:val="0"/>
        <w:keepLines w:val="0"/>
        <w:spacing w:before="0" w:after="0" w:line="360" w:lineRule="auto"/>
        <w:ind w:left="420" w:leftChars="200"/>
        <w:rPr>
          <w:rFonts w:ascii="宋体" w:hAnsi="宋体" w:cs="宋体"/>
          <w:color w:val="auto"/>
          <w:sz w:val="24"/>
          <w:highlight w:val="none"/>
        </w:rPr>
      </w:pPr>
      <w:r>
        <w:rPr>
          <w:rFonts w:hint="eastAsia" w:ascii="宋体" w:hAnsi="宋体" w:cs="宋体"/>
          <w:color w:val="auto"/>
          <w:sz w:val="24"/>
          <w:highlight w:val="none"/>
        </w:rPr>
        <w:t>36.签订合同</w:t>
      </w:r>
    </w:p>
    <w:p w14:paraId="7D9CCA90">
      <w:pPr>
        <w:pStyle w:val="8"/>
        <w:keepNext w:val="0"/>
        <w:keepLines w:val="0"/>
        <w:spacing w:before="0" w:after="0" w:line="360" w:lineRule="auto"/>
        <w:ind w:firstLine="360" w:firstLineChars="150"/>
        <w:rPr>
          <w:rFonts w:ascii="宋体" w:hAnsi="宋体" w:cs="宋体"/>
          <w:b w:val="0"/>
          <w:bCs/>
          <w:color w:val="auto"/>
          <w:sz w:val="24"/>
          <w:highlight w:val="none"/>
        </w:rPr>
      </w:pPr>
      <w:bookmarkStart w:id="126" w:name="_40.1投标人接到中标通知书后，按须知前附表规定向采购人出示相关资格证"/>
      <w:bookmarkEnd w:id="126"/>
      <w:r>
        <w:rPr>
          <w:rFonts w:hint="eastAsia" w:ascii="宋体" w:hAnsi="宋体" w:cs="宋体"/>
          <w:b w:val="0"/>
          <w:color w:val="auto"/>
          <w:sz w:val="24"/>
          <w:highlight w:val="none"/>
        </w:rPr>
        <w:t xml:space="preserve"> 36.1中标人在</w:t>
      </w:r>
      <w:r>
        <w:rPr>
          <w:rFonts w:ascii="宋体" w:hAnsi="宋体" w:cs="宋体"/>
          <w:b w:val="0"/>
          <w:color w:val="auto"/>
          <w:sz w:val="24"/>
          <w:highlight w:val="none"/>
        </w:rPr>
        <w:t>中标通知书发出之日起</w:t>
      </w:r>
      <w:r>
        <w:rPr>
          <w:rFonts w:hint="eastAsia" w:ascii="宋体" w:hAnsi="宋体" w:cs="宋体"/>
          <w:b w:val="0"/>
          <w:color w:val="auto"/>
          <w:sz w:val="24"/>
          <w:highlight w:val="none"/>
        </w:rPr>
        <w:t>，按“投标人须知前附表”规定向采购人出示相关证明材料，经采购人核验合格后方可签订采购合同（书面或电子）。</w:t>
      </w:r>
      <w:r>
        <w:rPr>
          <w:rFonts w:hint="eastAsia" w:ascii="宋体" w:hAnsi="宋体" w:cs="宋体"/>
          <w:b w:val="0"/>
          <w:bCs/>
          <w:color w:val="auto"/>
          <w:sz w:val="24"/>
          <w:highlight w:val="none"/>
        </w:rPr>
        <w:t>如中标人为联合体的，联合体各方应当共同与采购人签订采购合同，就采购合同约定的事项对采购人承担连带责任。</w:t>
      </w:r>
    </w:p>
    <w:p w14:paraId="208D2FBE">
      <w:pPr>
        <w:pStyle w:val="8"/>
        <w:keepNext w:val="0"/>
        <w:keepLines w:val="0"/>
        <w:numPr>
          <w:ilvl w:val="0"/>
          <w:numId w:val="0"/>
        </w:numPr>
        <w:spacing w:before="0" w:after="0" w:line="360" w:lineRule="auto"/>
        <w:ind w:firstLine="480" w:firstLineChars="200"/>
        <w:rPr>
          <w:rFonts w:ascii="宋体" w:hAnsi="宋体" w:cs="宋体"/>
          <w:b w:val="0"/>
          <w:color w:val="auto"/>
          <w:sz w:val="24"/>
          <w:highlight w:val="none"/>
        </w:rPr>
      </w:pPr>
      <w:r>
        <w:rPr>
          <w:rFonts w:hint="eastAsia" w:ascii="宋体" w:hAnsi="宋体" w:cs="宋体"/>
          <w:b w:val="0"/>
          <w:color w:val="auto"/>
          <w:sz w:val="24"/>
          <w:highlight w:val="none"/>
        </w:rPr>
        <w:t>36.2签订合同时间：按中标通知书规定的时间与采购人签订合同（最长不能超过25日）。</w:t>
      </w:r>
    </w:p>
    <w:p w14:paraId="55B8764F">
      <w:pPr>
        <w:pStyle w:val="8"/>
        <w:keepNext w:val="0"/>
        <w:keepLines w:val="0"/>
        <w:spacing w:before="0" w:after="0" w:line="360" w:lineRule="auto"/>
        <w:ind w:firstLine="360" w:firstLineChars="150"/>
        <w:rPr>
          <w:rFonts w:ascii="宋体" w:hAnsi="宋体" w:cs="宋体"/>
          <w:b w:val="0"/>
          <w:color w:val="auto"/>
          <w:sz w:val="24"/>
          <w:highlight w:val="none"/>
        </w:rPr>
      </w:pPr>
      <w:r>
        <w:rPr>
          <w:rFonts w:hint="eastAsia" w:ascii="宋体" w:hAnsi="宋体" w:cs="宋体"/>
          <w:b w:val="0"/>
          <w:color w:val="auto"/>
          <w:sz w:val="24"/>
          <w:highlight w:val="none"/>
        </w:rPr>
        <w:t xml:space="preserve"> 36.3中标人拒绝与采购人签订合同的，按照本文件之《投标人须知正文》第30.4条的规定执行。</w:t>
      </w:r>
    </w:p>
    <w:p w14:paraId="080F375F">
      <w:pPr>
        <w:pStyle w:val="8"/>
        <w:keepNext w:val="0"/>
        <w:keepLines w:val="0"/>
        <w:numPr>
          <w:ilvl w:val="0"/>
          <w:numId w:val="0"/>
        </w:numPr>
        <w:spacing w:before="0" w:after="0" w:line="360" w:lineRule="auto"/>
        <w:ind w:firstLine="480" w:firstLineChars="200"/>
        <w:rPr>
          <w:rFonts w:ascii="宋体" w:hAnsi="宋体" w:cs="宋体"/>
          <w:b w:val="0"/>
          <w:color w:val="auto"/>
          <w:sz w:val="24"/>
          <w:highlight w:val="none"/>
        </w:rPr>
      </w:pPr>
      <w:r>
        <w:rPr>
          <w:rFonts w:hint="eastAsia" w:ascii="宋体" w:hAnsi="宋体" w:cs="宋体"/>
          <w:b w:val="0"/>
          <w:color w:val="auto"/>
          <w:sz w:val="24"/>
          <w:highlight w:val="none"/>
        </w:rPr>
        <w:t>3</w:t>
      </w:r>
      <w:r>
        <w:rPr>
          <w:rFonts w:ascii="宋体" w:hAnsi="宋体" w:cs="宋体"/>
          <w:b w:val="0"/>
          <w:color w:val="auto"/>
          <w:sz w:val="24"/>
          <w:highlight w:val="none"/>
        </w:rPr>
        <w:t>6.4</w:t>
      </w:r>
      <w:r>
        <w:rPr>
          <w:rFonts w:hint="eastAsia" w:ascii="宋体" w:hAnsi="宋体" w:cs="宋体"/>
          <w:b w:val="0"/>
          <w:color w:val="auto"/>
          <w:sz w:val="24"/>
          <w:highlight w:val="none"/>
        </w:rPr>
        <w:t>政府采购合同是政府采购项目验收的依据，中标人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08BF428B">
      <w:pPr>
        <w:pStyle w:val="8"/>
        <w:keepNext w:val="0"/>
        <w:keepLines w:val="0"/>
        <w:numPr>
          <w:ilvl w:val="0"/>
          <w:numId w:val="0"/>
        </w:numPr>
        <w:spacing w:before="0" w:after="0" w:line="360" w:lineRule="auto"/>
        <w:ind w:firstLine="480" w:firstLineChars="200"/>
        <w:rPr>
          <w:rFonts w:ascii="宋体" w:hAnsi="宋体" w:cs="宋体"/>
          <w:b w:val="0"/>
          <w:color w:val="auto"/>
          <w:sz w:val="24"/>
          <w:highlight w:val="none"/>
        </w:rPr>
      </w:pPr>
      <w:r>
        <w:rPr>
          <w:rFonts w:hint="eastAsia" w:ascii="宋体" w:hAnsi="宋体" w:cs="宋体"/>
          <w:b w:val="0"/>
          <w:color w:val="auto"/>
          <w:sz w:val="24"/>
          <w:highlight w:val="none"/>
        </w:rPr>
        <w:t>3</w:t>
      </w:r>
      <w:r>
        <w:rPr>
          <w:rFonts w:ascii="宋体" w:hAnsi="宋体" w:cs="宋体"/>
          <w:b w:val="0"/>
          <w:color w:val="auto"/>
          <w:sz w:val="24"/>
          <w:highlight w:val="none"/>
        </w:rPr>
        <w:t xml:space="preserve">6.5 </w:t>
      </w:r>
      <w:r>
        <w:rPr>
          <w:rFonts w:hint="eastAsia" w:ascii="宋体" w:hAnsi="宋体" w:cs="宋体"/>
          <w:b w:val="0"/>
          <w:color w:val="auto"/>
          <w:sz w:val="24"/>
          <w:highlight w:val="none"/>
        </w:rPr>
        <w:t>采购人或中标人不得单方面向合同另一方提出任何招标文件没有约定的条件或不合理的要求，作为签订合同的条件；也不得协商另行订立背离招标文件和合同实质性内容的协议。</w:t>
      </w:r>
    </w:p>
    <w:p w14:paraId="765A35AA">
      <w:pPr>
        <w:pStyle w:val="8"/>
        <w:keepNext w:val="0"/>
        <w:keepLines w:val="0"/>
        <w:numPr>
          <w:ilvl w:val="0"/>
          <w:numId w:val="0"/>
        </w:numPr>
        <w:spacing w:before="0" w:after="0" w:line="360" w:lineRule="auto"/>
        <w:ind w:firstLine="480" w:firstLineChars="200"/>
        <w:rPr>
          <w:rFonts w:ascii="宋体" w:hAnsi="宋体" w:cs="宋体"/>
          <w:b w:val="0"/>
          <w:color w:val="auto"/>
          <w:sz w:val="24"/>
          <w:highlight w:val="none"/>
        </w:rPr>
      </w:pPr>
      <w:r>
        <w:rPr>
          <w:rFonts w:hint="eastAsia" w:ascii="宋体" w:hAnsi="宋体" w:cs="宋体"/>
          <w:b w:val="0"/>
          <w:color w:val="auto"/>
          <w:sz w:val="24"/>
          <w:highlight w:val="none"/>
        </w:rPr>
        <w:t>3</w:t>
      </w:r>
      <w:r>
        <w:rPr>
          <w:rFonts w:ascii="宋体" w:hAnsi="宋体" w:cs="宋体"/>
          <w:b w:val="0"/>
          <w:color w:val="auto"/>
          <w:sz w:val="24"/>
          <w:highlight w:val="none"/>
        </w:rPr>
        <w:t xml:space="preserve">6.6 </w:t>
      </w:r>
      <w:r>
        <w:rPr>
          <w:rFonts w:hint="eastAsia" w:ascii="宋体" w:hAnsi="宋体" w:cs="宋体"/>
          <w:b w:val="0"/>
          <w:color w:val="auto"/>
          <w:sz w:val="24"/>
          <w:highlight w:val="none"/>
        </w:rPr>
        <w:t>如签订合同并生效后，供应商无故拒绝或延期，除按照合同条款处理外，将承担相应的法律责任。</w:t>
      </w:r>
    </w:p>
    <w:p w14:paraId="2EBD0EF5">
      <w:pPr>
        <w:pStyle w:val="8"/>
        <w:keepNext w:val="0"/>
        <w:keepLines w:val="0"/>
        <w:numPr>
          <w:ilvl w:val="0"/>
          <w:numId w:val="0"/>
        </w:numPr>
        <w:spacing w:before="0" w:after="0" w:line="360" w:lineRule="auto"/>
        <w:ind w:firstLine="480" w:firstLineChars="200"/>
        <w:rPr>
          <w:rFonts w:ascii="宋体" w:hAnsi="宋体" w:cs="宋体"/>
          <w:b w:val="0"/>
          <w:color w:val="auto"/>
          <w:sz w:val="24"/>
          <w:highlight w:val="none"/>
        </w:rPr>
      </w:pPr>
      <w:r>
        <w:rPr>
          <w:rFonts w:hint="eastAsia" w:ascii="宋体" w:hAnsi="宋体" w:cs="宋体"/>
          <w:b w:val="0"/>
          <w:color w:val="auto"/>
          <w:sz w:val="24"/>
          <w:highlight w:val="none"/>
        </w:rPr>
        <w:t>3</w:t>
      </w:r>
      <w:r>
        <w:rPr>
          <w:rFonts w:ascii="宋体" w:hAnsi="宋体" w:cs="宋体"/>
          <w:b w:val="0"/>
          <w:color w:val="auto"/>
          <w:sz w:val="24"/>
          <w:highlight w:val="none"/>
        </w:rPr>
        <w:t xml:space="preserve">6.7 </w:t>
      </w:r>
      <w:r>
        <w:rPr>
          <w:rFonts w:hint="eastAsia" w:ascii="宋体" w:hAnsi="宋体" w:cs="宋体"/>
          <w:b w:val="0"/>
          <w:color w:val="auto"/>
          <w:sz w:val="24"/>
          <w:highlight w:val="none"/>
        </w:rPr>
        <w:t>政府采购合同履行中，采购人需追加与合同标的相同的货物、工程或者服务的，在不改变合同其他条款的前提下，可以与供应商签订补充合同，但所有补充合同的采购金额不得超过原合同采购金额的1</w:t>
      </w:r>
      <w:r>
        <w:rPr>
          <w:rFonts w:ascii="宋体" w:hAnsi="宋体" w:cs="宋体"/>
          <w:b w:val="0"/>
          <w:color w:val="auto"/>
          <w:sz w:val="24"/>
          <w:highlight w:val="none"/>
        </w:rPr>
        <w:t>0</w:t>
      </w:r>
      <w:r>
        <w:rPr>
          <w:rFonts w:hint="eastAsia" w:ascii="宋体" w:hAnsi="宋体" w:cs="宋体"/>
          <w:b w:val="0"/>
          <w:color w:val="auto"/>
          <w:sz w:val="24"/>
          <w:highlight w:val="none"/>
        </w:rPr>
        <w:t>%。</w:t>
      </w:r>
    </w:p>
    <w:p w14:paraId="08E3090B">
      <w:pPr>
        <w:pStyle w:val="8"/>
        <w:keepNext w:val="0"/>
        <w:keepLines w:val="0"/>
        <w:spacing w:before="0" w:after="0" w:line="360" w:lineRule="auto"/>
        <w:ind w:left="420" w:leftChars="200"/>
        <w:rPr>
          <w:rFonts w:ascii="宋体" w:hAnsi="宋体" w:cs="宋体"/>
          <w:color w:val="auto"/>
          <w:sz w:val="24"/>
          <w:highlight w:val="none"/>
        </w:rPr>
      </w:pPr>
      <w:bookmarkStart w:id="127" w:name="_41.政府采购合同公告"/>
      <w:bookmarkEnd w:id="127"/>
      <w:r>
        <w:rPr>
          <w:rFonts w:hint="eastAsia" w:ascii="宋体" w:hAnsi="宋体" w:cs="宋体"/>
          <w:color w:val="auto"/>
          <w:sz w:val="24"/>
          <w:highlight w:val="none"/>
        </w:rPr>
        <w:t>37.政府采购合同公告</w:t>
      </w:r>
    </w:p>
    <w:p w14:paraId="36EF4D83">
      <w:pPr>
        <w:pStyle w:val="24"/>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采购人或者受托采购代理机构应当自政府采购合同签订之日起2个工作日内，将政府采购合同在省级以上人民政府财政部门指定的媒体上公告，但政府采购合同中涉及国家秘密、商业秘密的内容除外。</w:t>
      </w:r>
    </w:p>
    <w:p w14:paraId="37263CEF">
      <w:pPr>
        <w:pStyle w:val="8"/>
        <w:keepNext w:val="0"/>
        <w:keepLines w:val="0"/>
        <w:spacing w:before="0" w:after="0" w:line="360" w:lineRule="auto"/>
        <w:ind w:left="420" w:leftChars="200"/>
        <w:rPr>
          <w:rFonts w:ascii="宋体" w:hAnsi="宋体" w:cs="宋体"/>
          <w:color w:val="auto"/>
          <w:sz w:val="24"/>
          <w:highlight w:val="none"/>
        </w:rPr>
      </w:pPr>
      <w:r>
        <w:rPr>
          <w:rFonts w:hint="eastAsia" w:ascii="宋体" w:hAnsi="宋体" w:cs="宋体"/>
          <w:color w:val="auto"/>
          <w:sz w:val="24"/>
          <w:highlight w:val="none"/>
        </w:rPr>
        <w:t>38.询问、质疑和投诉</w:t>
      </w:r>
    </w:p>
    <w:p w14:paraId="5CA136CB">
      <w:pPr>
        <w:pStyle w:val="6"/>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38.1供应商对政府采购活动事项有疑问的，可以向采购人提出询问，采购人或者采购代理机构应当在3个工作日内对供应商依法提出的询问作出答复，但答复的内容不得涉及商业秘密。</w:t>
      </w:r>
    </w:p>
    <w:p w14:paraId="404FA2C2">
      <w:pPr>
        <w:pStyle w:val="8"/>
        <w:keepNext w:val="0"/>
        <w:keepLines w:val="0"/>
        <w:spacing w:before="0" w:after="0" w:line="360" w:lineRule="auto"/>
        <w:ind w:firstLine="360" w:firstLineChars="150"/>
        <w:rPr>
          <w:rFonts w:ascii="宋体" w:hAnsi="宋体" w:cs="宋体"/>
          <w:b w:val="0"/>
          <w:color w:val="auto"/>
          <w:sz w:val="24"/>
          <w:highlight w:val="none"/>
        </w:rPr>
      </w:pPr>
      <w:r>
        <w:rPr>
          <w:rFonts w:hint="eastAsia" w:ascii="宋体" w:hAnsi="宋体" w:cs="宋体"/>
          <w:b w:val="0"/>
          <w:color w:val="auto"/>
          <w:sz w:val="24"/>
          <w:highlight w:val="none"/>
        </w:rPr>
        <w:t xml:space="preserve"> 38.2供应商认为招标文件、采购过程或者中标结果使自己的合法权益受到损害的，必须在知道或者应知其权益受到损害之日起7个工作日内，以纸质书面形式向采购人、采购代理机构提出质疑。采购人、采购代理机构接收质疑函的方式、联系部门、联系电话和通讯地址等信息详见“投标人须知前附表”。具体质疑起算时间如下： </w:t>
      </w:r>
    </w:p>
    <w:p w14:paraId="15E8DBCA">
      <w:pPr>
        <w:pStyle w:val="24"/>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（1）对可以质疑的招标文件提出质疑的，为收到招标文件之日或者招标文件公告期限届满之日；</w:t>
      </w:r>
    </w:p>
    <w:p w14:paraId="4CED74CC">
      <w:pPr>
        <w:pStyle w:val="24"/>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（2）对采购过程提出质疑的，为各采购程序环节结束之日；</w:t>
      </w:r>
    </w:p>
    <w:p w14:paraId="7844C7E0">
      <w:pPr>
        <w:pStyle w:val="24"/>
        <w:snapToGrid w:val="0"/>
        <w:spacing w:line="360" w:lineRule="auto"/>
        <w:ind w:firstLine="480" w:firstLineChars="200"/>
        <w:rPr>
          <w:rFonts w:hAnsi="宋体" w:cs="宋体"/>
          <w:bCs/>
          <w:color w:val="auto"/>
          <w:sz w:val="24"/>
          <w:szCs w:val="24"/>
          <w:highlight w:val="none"/>
        </w:rPr>
      </w:pPr>
      <w:r>
        <w:rPr>
          <w:rFonts w:hint="eastAsia" w:hAnsi="宋体" w:cs="宋体"/>
          <w:color w:val="auto"/>
          <w:sz w:val="24"/>
          <w:szCs w:val="24"/>
          <w:highlight w:val="none"/>
        </w:rPr>
        <w:t>（3）对中标结果提出质疑的，为中标结果公告期限届满之日。</w:t>
      </w:r>
    </w:p>
    <w:p w14:paraId="19EB71EB">
      <w:pPr>
        <w:pStyle w:val="8"/>
        <w:keepNext w:val="0"/>
        <w:keepLines w:val="0"/>
        <w:spacing w:before="0" w:after="0" w:line="360" w:lineRule="auto"/>
        <w:ind w:firstLine="360" w:firstLineChars="150"/>
        <w:rPr>
          <w:rFonts w:ascii="宋体" w:hAnsi="宋体" w:cs="宋体"/>
          <w:bCs/>
          <w:color w:val="auto"/>
          <w:sz w:val="24"/>
          <w:highlight w:val="none"/>
        </w:rPr>
      </w:pPr>
      <w:r>
        <w:rPr>
          <w:rFonts w:hint="eastAsia" w:ascii="宋体" w:hAnsi="宋体" w:cs="宋体"/>
          <w:b w:val="0"/>
          <w:color w:val="auto"/>
          <w:sz w:val="24"/>
          <w:highlight w:val="none"/>
        </w:rPr>
        <w:t xml:space="preserve">38.3 </w:t>
      </w:r>
      <w:r>
        <w:rPr>
          <w:rFonts w:hint="eastAsia" w:ascii="宋体" w:hAnsi="宋体" w:cs="宋体"/>
          <w:bCs/>
          <w:color w:val="auto"/>
          <w:sz w:val="24"/>
          <w:highlight w:val="none"/>
        </w:rPr>
        <w:t>供应商提出质疑应当提交质疑函和必要的证明材料，针对同一采购程序环节的质疑必须在法定质疑期内一次性提出。</w:t>
      </w:r>
    </w:p>
    <w:p w14:paraId="3940F0D2">
      <w:pPr>
        <w:pStyle w:val="24"/>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38.3.1 质疑供应商提起质疑应当符合下列条件：</w:t>
      </w:r>
    </w:p>
    <w:p w14:paraId="5E483D9E">
      <w:pPr>
        <w:pStyle w:val="24"/>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（1）质疑供应商是参与所质疑项目采购活动的供应商（潜在供应商已依法获取可质疑的采购文件的，可以对该采购文件质疑）；</w:t>
      </w:r>
    </w:p>
    <w:p w14:paraId="2AAD00E0">
      <w:pPr>
        <w:pStyle w:val="24"/>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（2）质疑函内容符合本章第38.3.2项的规定；</w:t>
      </w:r>
    </w:p>
    <w:p w14:paraId="09885B26">
      <w:pPr>
        <w:pStyle w:val="24"/>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（3）在质疑有效期限内提起质疑；</w:t>
      </w:r>
    </w:p>
    <w:p w14:paraId="36F68ADA">
      <w:pPr>
        <w:pStyle w:val="24"/>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 xml:space="preserve">（4）属于所质疑的采购人或采购人委托的采购代理机构组织的采购活动； </w:t>
      </w:r>
    </w:p>
    <w:p w14:paraId="0EE08A24">
      <w:pPr>
        <w:pStyle w:val="24"/>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（5）供应商对同一采购程序环节的质疑应当在质疑有效期内一次性提出；</w:t>
      </w:r>
    </w:p>
    <w:p w14:paraId="4D7B234A">
      <w:pPr>
        <w:pStyle w:val="24"/>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（6）供应商提交质疑应当提交必要的证明材料，证明材料应以合法手段取得；</w:t>
      </w:r>
    </w:p>
    <w:p w14:paraId="6AA682F2">
      <w:pPr>
        <w:pStyle w:val="24"/>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（7）财政部门规定的其他条件。</w:t>
      </w:r>
    </w:p>
    <w:p w14:paraId="640E1E68">
      <w:pPr>
        <w:pStyle w:val="8"/>
        <w:keepNext w:val="0"/>
        <w:keepLines w:val="0"/>
        <w:spacing w:before="0" w:after="0" w:line="360" w:lineRule="auto"/>
        <w:ind w:firstLine="360" w:firstLineChars="150"/>
        <w:rPr>
          <w:rFonts w:ascii="宋体" w:hAnsi="宋体" w:cs="宋体"/>
          <w:b w:val="0"/>
          <w:color w:val="auto"/>
          <w:sz w:val="24"/>
          <w:highlight w:val="none"/>
        </w:rPr>
      </w:pPr>
      <w:r>
        <w:rPr>
          <w:rFonts w:hint="eastAsia" w:ascii="宋体" w:hAnsi="宋体" w:cs="宋体"/>
          <w:b w:val="0"/>
          <w:color w:val="auto"/>
          <w:kern w:val="0"/>
          <w:sz w:val="24"/>
          <w:highlight w:val="none"/>
        </w:rPr>
        <w:t>38.3.2</w:t>
      </w:r>
      <w:r>
        <w:rPr>
          <w:rFonts w:hint="eastAsia" w:ascii="宋体" w:hAnsi="宋体" w:cs="宋体"/>
          <w:color w:val="auto"/>
          <w:kern w:val="0"/>
          <w:sz w:val="24"/>
          <w:highlight w:val="none"/>
        </w:rPr>
        <w:t>质</w:t>
      </w:r>
      <w:r>
        <w:rPr>
          <w:rFonts w:hint="eastAsia" w:ascii="宋体" w:hAnsi="宋体" w:cs="宋体"/>
          <w:bCs/>
          <w:color w:val="auto"/>
          <w:sz w:val="24"/>
          <w:highlight w:val="none"/>
        </w:rPr>
        <w:t>疑函应当包括下列内容（质疑函格式后附）：</w:t>
      </w:r>
    </w:p>
    <w:p w14:paraId="49DEDAE8">
      <w:pPr>
        <w:pStyle w:val="24"/>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（1）供应商的姓名或者名称、地址、邮编、联系人及联系电话；</w:t>
      </w:r>
    </w:p>
    <w:p w14:paraId="58C0F2C0">
      <w:pPr>
        <w:pStyle w:val="24"/>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（2）质疑项目的名称、编号；</w:t>
      </w:r>
    </w:p>
    <w:p w14:paraId="7684695B">
      <w:pPr>
        <w:pStyle w:val="24"/>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（3）具体、明确的质疑事项和与质疑事项相关的请求；</w:t>
      </w:r>
    </w:p>
    <w:p w14:paraId="121C65E8">
      <w:pPr>
        <w:pStyle w:val="24"/>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（4）事实依据；</w:t>
      </w:r>
    </w:p>
    <w:p w14:paraId="228C6BD6">
      <w:pPr>
        <w:pStyle w:val="24"/>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（5）必要的法律依据；</w:t>
      </w:r>
    </w:p>
    <w:p w14:paraId="5E8954BF">
      <w:pPr>
        <w:pStyle w:val="24"/>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（6）提出质疑的日期。</w:t>
      </w:r>
    </w:p>
    <w:p w14:paraId="70A2F635">
      <w:pPr>
        <w:pStyle w:val="24"/>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供应商为自然人的，应当由本人签字；供应商为法人或者其他组织的，应当由法定代表人、主要负责人，或者其委托代理人签字或者盖章，并加盖公章。</w:t>
      </w:r>
    </w:p>
    <w:p w14:paraId="738AAF0D">
      <w:pPr>
        <w:pStyle w:val="8"/>
        <w:keepNext w:val="0"/>
        <w:keepLines w:val="0"/>
        <w:snapToGrid w:val="0"/>
        <w:spacing w:before="0" w:after="0" w:line="360" w:lineRule="auto"/>
        <w:ind w:firstLine="480" w:firstLineChars="200"/>
        <w:rPr>
          <w:rFonts w:ascii="宋体" w:hAnsi="宋体" w:cs="宋体"/>
          <w:b w:val="0"/>
          <w:bCs/>
          <w:color w:val="auto"/>
          <w:sz w:val="24"/>
          <w:highlight w:val="none"/>
        </w:rPr>
      </w:pPr>
      <w:r>
        <w:rPr>
          <w:rFonts w:hint="eastAsia" w:ascii="宋体" w:hAnsi="宋体" w:cs="宋体"/>
          <w:b w:val="0"/>
          <w:color w:val="auto"/>
          <w:sz w:val="24"/>
          <w:highlight w:val="none"/>
        </w:rPr>
        <w:t>3</w:t>
      </w:r>
      <w:r>
        <w:rPr>
          <w:rFonts w:hint="eastAsia" w:ascii="宋体" w:hAnsi="宋体" w:cs="宋体"/>
          <w:b w:val="0"/>
          <w:bCs/>
          <w:color w:val="auto"/>
          <w:sz w:val="24"/>
          <w:highlight w:val="none"/>
        </w:rPr>
        <w:t>8.4采购人、采购代理机构认为供应商质疑不成立，或者成立但未对中标结果构成影响的，继续开展采购活动；认为供应商质疑成立且影响或者可能影响中标结果的，按照下列情况处理：</w:t>
      </w:r>
    </w:p>
    <w:p w14:paraId="6E42159D">
      <w:pPr>
        <w:pStyle w:val="24"/>
        <w:snapToGrid w:val="0"/>
        <w:spacing w:line="360" w:lineRule="auto"/>
        <w:rPr>
          <w:rFonts w:hAnsi="宋体" w:cs="宋体"/>
          <w:bCs/>
          <w:color w:val="auto"/>
          <w:sz w:val="24"/>
          <w:szCs w:val="24"/>
          <w:highlight w:val="none"/>
        </w:rPr>
      </w:pPr>
      <w:r>
        <w:rPr>
          <w:rFonts w:hint="eastAsia" w:hAnsi="宋体" w:cs="宋体"/>
          <w:bCs/>
          <w:color w:val="auto"/>
          <w:sz w:val="24"/>
          <w:szCs w:val="24"/>
          <w:highlight w:val="none"/>
        </w:rPr>
        <w:t>　　（1）对招标文件提出的质疑，依法通过澄清或者修改可以继续开展采购活动的，澄清或者修改招标文件后继续开展采购活动；否则应当修改招标文件后重新开展采购活动。</w:t>
      </w:r>
    </w:p>
    <w:p w14:paraId="3E0FC00D">
      <w:pPr>
        <w:pStyle w:val="24"/>
        <w:snapToGrid w:val="0"/>
        <w:spacing w:line="360" w:lineRule="auto"/>
        <w:rPr>
          <w:rFonts w:hAnsi="宋体" w:cs="宋体"/>
          <w:bCs/>
          <w:color w:val="auto"/>
          <w:sz w:val="24"/>
          <w:szCs w:val="24"/>
          <w:highlight w:val="none"/>
        </w:rPr>
      </w:pPr>
      <w:r>
        <w:rPr>
          <w:rFonts w:hint="eastAsia" w:hAnsi="宋体" w:cs="宋体"/>
          <w:bCs/>
          <w:color w:val="auto"/>
          <w:sz w:val="24"/>
          <w:szCs w:val="24"/>
          <w:highlight w:val="none"/>
        </w:rPr>
        <w:t>　　（2）对采购过程、中标结果提出的质疑，合格供应商符合法定数量时，可以从合格的中标候选人中另行确定中标人的，应当依法另行确定中标人；否则应当重新开展采购活动。</w:t>
      </w:r>
    </w:p>
    <w:p w14:paraId="302325EF">
      <w:pPr>
        <w:pStyle w:val="24"/>
        <w:snapToGrid w:val="0"/>
        <w:spacing w:line="360" w:lineRule="auto"/>
        <w:ind w:firstLine="420"/>
        <w:rPr>
          <w:rFonts w:hAnsi="宋体" w:cs="宋体"/>
          <w:bCs/>
          <w:color w:val="auto"/>
          <w:sz w:val="24"/>
          <w:szCs w:val="24"/>
          <w:highlight w:val="none"/>
        </w:rPr>
      </w:pPr>
      <w:r>
        <w:rPr>
          <w:rFonts w:hint="eastAsia" w:hAnsi="宋体" w:cs="宋体"/>
          <w:bCs/>
          <w:color w:val="auto"/>
          <w:sz w:val="24"/>
          <w:szCs w:val="24"/>
          <w:highlight w:val="none"/>
        </w:rPr>
        <w:t>质疑答复导致中标结果改变的，采购人或者采购代理机构应当将有关情况书面报告本级财政部门。</w:t>
      </w:r>
    </w:p>
    <w:p w14:paraId="26EFF779">
      <w:pPr>
        <w:pStyle w:val="24"/>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38.5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bookmarkStart w:id="128" w:name="_八、其他事项"/>
      <w:bookmarkEnd w:id="128"/>
    </w:p>
    <w:p w14:paraId="6BD6CEA9">
      <w:pPr>
        <w:pStyle w:val="24"/>
        <w:snapToGrid w:val="0"/>
        <w:spacing w:line="360" w:lineRule="auto"/>
        <w:ind w:firstLine="480" w:firstLineChars="200"/>
        <w:rPr>
          <w:rFonts w:hAnsi="宋体" w:cs="宋体"/>
          <w:color w:val="auto"/>
          <w:sz w:val="24"/>
          <w:szCs w:val="24"/>
          <w:highlight w:val="none"/>
        </w:rPr>
      </w:pPr>
    </w:p>
    <w:p w14:paraId="615B8428">
      <w:pPr>
        <w:pStyle w:val="5"/>
        <w:keepNext w:val="0"/>
        <w:keepLines w:val="0"/>
        <w:jc w:val="center"/>
        <w:rPr>
          <w:rFonts w:ascii="宋体" w:hAnsi="宋体" w:cs="宋体"/>
          <w:color w:val="auto"/>
          <w:highlight w:val="none"/>
        </w:rPr>
      </w:pPr>
      <w:r>
        <w:rPr>
          <w:rFonts w:hint="eastAsia" w:ascii="宋体" w:hAnsi="宋体" w:cs="宋体"/>
          <w:color w:val="auto"/>
          <w:highlight w:val="none"/>
        </w:rPr>
        <w:t>八、其他事项</w:t>
      </w:r>
    </w:p>
    <w:p w14:paraId="19881920">
      <w:pPr>
        <w:pStyle w:val="8"/>
        <w:keepNext w:val="0"/>
        <w:keepLines w:val="0"/>
        <w:spacing w:before="0" w:after="0" w:line="360" w:lineRule="auto"/>
        <w:ind w:left="420" w:leftChars="200"/>
        <w:rPr>
          <w:rFonts w:ascii="宋体" w:hAnsi="宋体" w:cs="宋体"/>
          <w:color w:val="auto"/>
          <w:sz w:val="24"/>
          <w:highlight w:val="none"/>
        </w:rPr>
      </w:pPr>
      <w:bookmarkStart w:id="129" w:name="_42.代理服务费"/>
      <w:bookmarkEnd w:id="129"/>
      <w:r>
        <w:rPr>
          <w:rFonts w:hint="eastAsia" w:ascii="宋体" w:hAnsi="宋体" w:cs="宋体"/>
          <w:color w:val="auto"/>
          <w:sz w:val="24"/>
          <w:highlight w:val="none"/>
        </w:rPr>
        <w:t>39.代理服务费</w:t>
      </w:r>
    </w:p>
    <w:p w14:paraId="500ABBCA">
      <w:pPr>
        <w:pStyle w:val="24"/>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39.1代理服务收取标准及缴费账户详见“投标人须知前附表”，投标人为联合体的，可以由联合体中的一方或者多方共同交纳代理服务费。</w:t>
      </w:r>
    </w:p>
    <w:p w14:paraId="230E99D9">
      <w:pPr>
        <w:pStyle w:val="24"/>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39.2代理服务收费标准：</w:t>
      </w:r>
    </w:p>
    <w:tbl>
      <w:tblPr>
        <w:tblStyle w:val="47"/>
        <w:tblW w:w="8477"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687"/>
        <w:gridCol w:w="1659"/>
      </w:tblGrid>
      <w:tr w14:paraId="33E58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l2br w:val="single" w:color="auto" w:sz="4" w:space="0"/>
            </w:tcBorders>
          </w:tcPr>
          <w:p w14:paraId="258BE3DB">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费率</w:t>
            </w:r>
          </w:p>
          <w:p w14:paraId="095C2409">
            <w:pPr>
              <w:spacing w:line="360" w:lineRule="auto"/>
              <w:rPr>
                <w:rFonts w:ascii="宋体" w:hAnsi="宋体" w:cs="宋体"/>
                <w:color w:val="auto"/>
                <w:sz w:val="24"/>
                <w:highlight w:val="none"/>
              </w:rPr>
            </w:pPr>
            <w:r>
              <w:rPr>
                <w:rFonts w:hint="eastAsia" w:ascii="宋体" w:hAnsi="宋体" w:cs="宋体"/>
                <w:color w:val="auto"/>
                <w:sz w:val="24"/>
                <w:highlight w:val="none"/>
              </w:rPr>
              <w:t>中标金额（人民币）</w:t>
            </w:r>
          </w:p>
        </w:tc>
        <w:tc>
          <w:tcPr>
            <w:tcW w:w="1659" w:type="dxa"/>
            <w:vAlign w:val="center"/>
          </w:tcPr>
          <w:p w14:paraId="6211B5EB">
            <w:pPr>
              <w:spacing w:line="360" w:lineRule="auto"/>
              <w:ind w:firstLine="120" w:firstLineChars="50"/>
              <w:jc w:val="center"/>
              <w:rPr>
                <w:rFonts w:ascii="宋体" w:hAnsi="宋体" w:cs="宋体"/>
                <w:color w:val="auto"/>
                <w:sz w:val="24"/>
                <w:highlight w:val="none"/>
              </w:rPr>
            </w:pPr>
            <w:r>
              <w:rPr>
                <w:rFonts w:hint="eastAsia" w:ascii="宋体" w:hAnsi="宋体" w:cs="宋体"/>
                <w:color w:val="auto"/>
                <w:sz w:val="24"/>
                <w:highlight w:val="none"/>
              </w:rPr>
              <w:t>货物招标</w:t>
            </w:r>
          </w:p>
        </w:tc>
        <w:tc>
          <w:tcPr>
            <w:tcW w:w="1687" w:type="dxa"/>
            <w:vAlign w:val="center"/>
          </w:tcPr>
          <w:p w14:paraId="79BED666">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服务招标</w:t>
            </w:r>
          </w:p>
        </w:tc>
        <w:tc>
          <w:tcPr>
            <w:tcW w:w="1659" w:type="dxa"/>
            <w:vAlign w:val="center"/>
          </w:tcPr>
          <w:p w14:paraId="7DB09BFF">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工程招标</w:t>
            </w:r>
          </w:p>
        </w:tc>
      </w:tr>
      <w:tr w14:paraId="32D4D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vAlign w:val="center"/>
          </w:tcPr>
          <w:p w14:paraId="0DEC54E5">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100万元以下</w:t>
            </w:r>
          </w:p>
        </w:tc>
        <w:tc>
          <w:tcPr>
            <w:tcW w:w="1659" w:type="dxa"/>
            <w:vAlign w:val="center"/>
          </w:tcPr>
          <w:p w14:paraId="61080F90">
            <w:pPr>
              <w:spacing w:line="360" w:lineRule="auto"/>
              <w:jc w:val="center"/>
              <w:rPr>
                <w:rFonts w:ascii="宋体" w:hAnsi="宋体" w:cs="宋体"/>
                <w:color w:val="auto"/>
                <w:sz w:val="24"/>
                <w:highlight w:val="none"/>
              </w:rPr>
            </w:pPr>
            <w:r>
              <w:rPr>
                <w:rFonts w:hint="eastAsia" w:ascii="宋体" w:hAnsi="宋体" w:cs="宋体"/>
                <w:color w:val="auto"/>
                <w:kern w:val="0"/>
                <w:sz w:val="24"/>
                <w:highlight w:val="none"/>
              </w:rPr>
              <w:t>1.5%</w:t>
            </w:r>
          </w:p>
        </w:tc>
        <w:tc>
          <w:tcPr>
            <w:tcW w:w="1687" w:type="dxa"/>
            <w:vAlign w:val="center"/>
          </w:tcPr>
          <w:p w14:paraId="6B280DFF">
            <w:pPr>
              <w:spacing w:line="360" w:lineRule="auto"/>
              <w:ind w:firstLine="240" w:firstLineChars="100"/>
              <w:jc w:val="center"/>
              <w:rPr>
                <w:rFonts w:ascii="宋体" w:hAnsi="宋体" w:cs="宋体"/>
                <w:color w:val="auto"/>
                <w:sz w:val="24"/>
                <w:highlight w:val="none"/>
              </w:rPr>
            </w:pPr>
            <w:r>
              <w:rPr>
                <w:rFonts w:hint="eastAsia" w:ascii="宋体" w:hAnsi="宋体" w:cs="宋体"/>
                <w:color w:val="auto"/>
                <w:kern w:val="0"/>
                <w:sz w:val="24"/>
                <w:highlight w:val="none"/>
              </w:rPr>
              <w:t>1.5%</w:t>
            </w:r>
          </w:p>
        </w:tc>
        <w:tc>
          <w:tcPr>
            <w:tcW w:w="1659" w:type="dxa"/>
            <w:vAlign w:val="center"/>
          </w:tcPr>
          <w:p w14:paraId="603C7485">
            <w:pPr>
              <w:spacing w:line="360" w:lineRule="auto"/>
              <w:ind w:firstLine="240" w:firstLineChars="100"/>
              <w:jc w:val="center"/>
              <w:rPr>
                <w:rFonts w:ascii="宋体" w:hAnsi="宋体" w:cs="宋体"/>
                <w:color w:val="auto"/>
                <w:sz w:val="24"/>
                <w:highlight w:val="none"/>
              </w:rPr>
            </w:pPr>
            <w:r>
              <w:rPr>
                <w:rFonts w:hint="eastAsia" w:ascii="宋体" w:hAnsi="宋体" w:cs="宋体"/>
                <w:color w:val="auto"/>
                <w:kern w:val="0"/>
                <w:sz w:val="24"/>
                <w:highlight w:val="none"/>
              </w:rPr>
              <w:t>1.0%</w:t>
            </w:r>
          </w:p>
        </w:tc>
      </w:tr>
      <w:tr w14:paraId="2E4AC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vAlign w:val="center"/>
          </w:tcPr>
          <w:p w14:paraId="7C1432EB">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100～500万元</w:t>
            </w:r>
          </w:p>
        </w:tc>
        <w:tc>
          <w:tcPr>
            <w:tcW w:w="1659" w:type="dxa"/>
            <w:vAlign w:val="center"/>
          </w:tcPr>
          <w:p w14:paraId="3FE6766F">
            <w:pPr>
              <w:spacing w:line="360" w:lineRule="auto"/>
              <w:ind w:firstLine="240" w:firstLineChars="100"/>
              <w:jc w:val="center"/>
              <w:rPr>
                <w:rFonts w:ascii="宋体" w:hAnsi="宋体" w:cs="宋体"/>
                <w:color w:val="auto"/>
                <w:sz w:val="24"/>
                <w:highlight w:val="none"/>
              </w:rPr>
            </w:pPr>
            <w:r>
              <w:rPr>
                <w:rFonts w:hint="eastAsia" w:ascii="宋体" w:hAnsi="宋体" w:cs="宋体"/>
                <w:color w:val="auto"/>
                <w:kern w:val="0"/>
                <w:sz w:val="24"/>
                <w:highlight w:val="none"/>
              </w:rPr>
              <w:t>1.1%</w:t>
            </w:r>
          </w:p>
        </w:tc>
        <w:tc>
          <w:tcPr>
            <w:tcW w:w="1687" w:type="dxa"/>
            <w:vAlign w:val="center"/>
          </w:tcPr>
          <w:p w14:paraId="1200A368">
            <w:pPr>
              <w:spacing w:line="360" w:lineRule="auto"/>
              <w:ind w:firstLine="240" w:firstLineChars="100"/>
              <w:jc w:val="center"/>
              <w:rPr>
                <w:rFonts w:ascii="宋体" w:hAnsi="宋体" w:cs="宋体"/>
                <w:color w:val="auto"/>
                <w:sz w:val="24"/>
                <w:highlight w:val="none"/>
              </w:rPr>
            </w:pPr>
            <w:r>
              <w:rPr>
                <w:rFonts w:hint="eastAsia" w:ascii="宋体" w:hAnsi="宋体" w:cs="宋体"/>
                <w:color w:val="auto"/>
                <w:kern w:val="0"/>
                <w:sz w:val="24"/>
                <w:highlight w:val="none"/>
              </w:rPr>
              <w:t>0.8%</w:t>
            </w:r>
          </w:p>
        </w:tc>
        <w:tc>
          <w:tcPr>
            <w:tcW w:w="1659" w:type="dxa"/>
            <w:vAlign w:val="center"/>
          </w:tcPr>
          <w:p w14:paraId="4B177327">
            <w:pPr>
              <w:spacing w:line="360" w:lineRule="auto"/>
              <w:ind w:firstLine="240" w:firstLineChars="100"/>
              <w:jc w:val="center"/>
              <w:rPr>
                <w:rFonts w:ascii="宋体" w:hAnsi="宋体" w:cs="宋体"/>
                <w:color w:val="auto"/>
                <w:sz w:val="24"/>
                <w:highlight w:val="none"/>
              </w:rPr>
            </w:pPr>
            <w:r>
              <w:rPr>
                <w:rFonts w:hint="eastAsia" w:ascii="宋体" w:hAnsi="宋体" w:cs="宋体"/>
                <w:color w:val="auto"/>
                <w:kern w:val="0"/>
                <w:sz w:val="24"/>
                <w:highlight w:val="none"/>
              </w:rPr>
              <w:t>0.7%</w:t>
            </w:r>
          </w:p>
        </w:tc>
      </w:tr>
      <w:tr w14:paraId="79D7B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vAlign w:val="center"/>
          </w:tcPr>
          <w:p w14:paraId="249F4F88">
            <w:pPr>
              <w:spacing w:line="360" w:lineRule="auto"/>
              <w:jc w:val="center"/>
              <w:rPr>
                <w:rFonts w:ascii="宋体" w:hAnsi="宋体" w:cs="宋体"/>
                <w:color w:val="auto"/>
                <w:sz w:val="24"/>
                <w:highlight w:val="none"/>
              </w:rPr>
            </w:pPr>
            <w:r>
              <w:rPr>
                <w:rFonts w:hint="eastAsia" w:ascii="宋体" w:hAnsi="宋体" w:cs="宋体"/>
                <w:color w:val="auto"/>
                <w:sz w:val="24"/>
                <w:highlight w:val="none"/>
              </w:rPr>
              <w:t>500～1000万元</w:t>
            </w:r>
          </w:p>
        </w:tc>
        <w:tc>
          <w:tcPr>
            <w:tcW w:w="1659" w:type="dxa"/>
            <w:vAlign w:val="center"/>
          </w:tcPr>
          <w:p w14:paraId="138D9A12">
            <w:pPr>
              <w:spacing w:line="360" w:lineRule="auto"/>
              <w:jc w:val="center"/>
              <w:rPr>
                <w:rFonts w:ascii="宋体" w:hAnsi="宋体" w:cs="宋体"/>
                <w:color w:val="auto"/>
                <w:sz w:val="24"/>
                <w:highlight w:val="none"/>
              </w:rPr>
            </w:pPr>
            <w:r>
              <w:rPr>
                <w:rFonts w:hint="eastAsia" w:ascii="宋体" w:hAnsi="宋体" w:cs="宋体"/>
                <w:color w:val="auto"/>
                <w:kern w:val="0"/>
                <w:sz w:val="24"/>
                <w:highlight w:val="none"/>
              </w:rPr>
              <w:t>0.8%</w:t>
            </w:r>
          </w:p>
        </w:tc>
        <w:tc>
          <w:tcPr>
            <w:tcW w:w="1687" w:type="dxa"/>
            <w:vAlign w:val="center"/>
          </w:tcPr>
          <w:p w14:paraId="536F329E">
            <w:pPr>
              <w:spacing w:line="360" w:lineRule="auto"/>
              <w:ind w:firstLine="240" w:firstLineChars="100"/>
              <w:jc w:val="center"/>
              <w:rPr>
                <w:rFonts w:ascii="宋体" w:hAnsi="宋体" w:cs="宋体"/>
                <w:color w:val="auto"/>
                <w:sz w:val="24"/>
                <w:highlight w:val="none"/>
              </w:rPr>
            </w:pPr>
            <w:r>
              <w:rPr>
                <w:rFonts w:hint="eastAsia" w:ascii="宋体" w:hAnsi="宋体" w:cs="宋体"/>
                <w:color w:val="auto"/>
                <w:kern w:val="0"/>
                <w:sz w:val="24"/>
                <w:highlight w:val="none"/>
              </w:rPr>
              <w:t>0.45%</w:t>
            </w:r>
          </w:p>
        </w:tc>
        <w:tc>
          <w:tcPr>
            <w:tcW w:w="1659" w:type="dxa"/>
            <w:vAlign w:val="center"/>
          </w:tcPr>
          <w:p w14:paraId="7134297D">
            <w:pPr>
              <w:spacing w:line="360" w:lineRule="auto"/>
              <w:ind w:firstLine="240" w:firstLineChars="100"/>
              <w:jc w:val="center"/>
              <w:rPr>
                <w:rFonts w:ascii="宋体" w:hAnsi="宋体" w:cs="宋体"/>
                <w:color w:val="auto"/>
                <w:sz w:val="24"/>
                <w:highlight w:val="none"/>
              </w:rPr>
            </w:pPr>
            <w:r>
              <w:rPr>
                <w:rFonts w:hint="eastAsia" w:ascii="宋体" w:hAnsi="宋体" w:cs="宋体"/>
                <w:color w:val="auto"/>
                <w:kern w:val="0"/>
                <w:sz w:val="24"/>
                <w:highlight w:val="none"/>
              </w:rPr>
              <w:t>0.55%</w:t>
            </w:r>
          </w:p>
        </w:tc>
      </w:tr>
      <w:tr w14:paraId="49F6B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vAlign w:val="center"/>
          </w:tcPr>
          <w:p w14:paraId="58C5D3EE">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1000～5000万元</w:t>
            </w:r>
          </w:p>
        </w:tc>
        <w:tc>
          <w:tcPr>
            <w:tcW w:w="1659" w:type="dxa"/>
            <w:vAlign w:val="center"/>
          </w:tcPr>
          <w:p w14:paraId="42F62353">
            <w:pPr>
              <w:spacing w:line="360" w:lineRule="auto"/>
              <w:ind w:firstLine="240" w:firstLineChars="100"/>
              <w:jc w:val="center"/>
              <w:rPr>
                <w:rFonts w:ascii="宋体" w:hAnsi="宋体" w:cs="宋体"/>
                <w:color w:val="auto"/>
                <w:sz w:val="24"/>
                <w:highlight w:val="none"/>
              </w:rPr>
            </w:pPr>
            <w:r>
              <w:rPr>
                <w:rFonts w:hint="eastAsia" w:ascii="宋体" w:hAnsi="宋体" w:cs="宋体"/>
                <w:color w:val="auto"/>
                <w:kern w:val="0"/>
                <w:sz w:val="24"/>
                <w:highlight w:val="none"/>
              </w:rPr>
              <w:t>0.5%</w:t>
            </w:r>
          </w:p>
        </w:tc>
        <w:tc>
          <w:tcPr>
            <w:tcW w:w="1687" w:type="dxa"/>
            <w:vAlign w:val="center"/>
          </w:tcPr>
          <w:p w14:paraId="7E5661F1">
            <w:pPr>
              <w:spacing w:line="360" w:lineRule="auto"/>
              <w:ind w:firstLine="240" w:firstLineChars="100"/>
              <w:jc w:val="center"/>
              <w:rPr>
                <w:rFonts w:ascii="宋体" w:hAnsi="宋体" w:cs="宋体"/>
                <w:color w:val="auto"/>
                <w:sz w:val="24"/>
                <w:highlight w:val="none"/>
              </w:rPr>
            </w:pPr>
            <w:r>
              <w:rPr>
                <w:rFonts w:hint="eastAsia" w:ascii="宋体" w:hAnsi="宋体" w:cs="宋体"/>
                <w:color w:val="auto"/>
                <w:kern w:val="0"/>
                <w:sz w:val="24"/>
                <w:highlight w:val="none"/>
              </w:rPr>
              <w:t>0.25%</w:t>
            </w:r>
          </w:p>
        </w:tc>
        <w:tc>
          <w:tcPr>
            <w:tcW w:w="1659" w:type="dxa"/>
            <w:vAlign w:val="center"/>
          </w:tcPr>
          <w:p w14:paraId="4639B4D5">
            <w:pPr>
              <w:spacing w:line="360" w:lineRule="auto"/>
              <w:ind w:firstLine="240" w:firstLineChars="100"/>
              <w:jc w:val="center"/>
              <w:rPr>
                <w:rFonts w:ascii="宋体" w:hAnsi="宋体" w:cs="宋体"/>
                <w:color w:val="auto"/>
                <w:sz w:val="24"/>
                <w:highlight w:val="none"/>
              </w:rPr>
            </w:pPr>
            <w:r>
              <w:rPr>
                <w:rFonts w:hint="eastAsia" w:ascii="宋体" w:hAnsi="宋体" w:cs="宋体"/>
                <w:color w:val="auto"/>
                <w:kern w:val="0"/>
                <w:sz w:val="24"/>
                <w:highlight w:val="none"/>
              </w:rPr>
              <w:t>0.35%</w:t>
            </w:r>
          </w:p>
        </w:tc>
      </w:tr>
      <w:tr w14:paraId="6BD6D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vAlign w:val="center"/>
          </w:tcPr>
          <w:p w14:paraId="092607D8">
            <w:pPr>
              <w:spacing w:line="360" w:lineRule="auto"/>
              <w:jc w:val="center"/>
              <w:rPr>
                <w:rFonts w:ascii="宋体" w:hAnsi="宋体" w:cs="宋体"/>
                <w:color w:val="auto"/>
                <w:sz w:val="24"/>
                <w:highlight w:val="none"/>
              </w:rPr>
            </w:pPr>
            <w:r>
              <w:rPr>
                <w:rFonts w:hint="eastAsia" w:ascii="宋体" w:hAnsi="宋体" w:cs="宋体"/>
                <w:color w:val="auto"/>
                <w:sz w:val="24"/>
                <w:highlight w:val="none"/>
              </w:rPr>
              <w:t>5000万元～1亿元</w:t>
            </w:r>
          </w:p>
        </w:tc>
        <w:tc>
          <w:tcPr>
            <w:tcW w:w="1659" w:type="dxa"/>
            <w:vAlign w:val="center"/>
          </w:tcPr>
          <w:p w14:paraId="3DE48CC0">
            <w:pPr>
              <w:spacing w:line="360" w:lineRule="auto"/>
              <w:ind w:firstLine="240" w:firstLineChars="100"/>
              <w:jc w:val="center"/>
              <w:rPr>
                <w:rFonts w:ascii="宋体" w:hAnsi="宋体" w:cs="宋体"/>
                <w:color w:val="auto"/>
                <w:sz w:val="24"/>
                <w:highlight w:val="none"/>
              </w:rPr>
            </w:pPr>
            <w:r>
              <w:rPr>
                <w:rFonts w:hint="eastAsia" w:ascii="宋体" w:hAnsi="宋体" w:cs="宋体"/>
                <w:color w:val="auto"/>
                <w:kern w:val="0"/>
                <w:sz w:val="24"/>
                <w:highlight w:val="none"/>
              </w:rPr>
              <w:t>0.25%</w:t>
            </w:r>
          </w:p>
        </w:tc>
        <w:tc>
          <w:tcPr>
            <w:tcW w:w="1687" w:type="dxa"/>
            <w:vAlign w:val="center"/>
          </w:tcPr>
          <w:p w14:paraId="77C3EEB9">
            <w:pPr>
              <w:spacing w:line="360" w:lineRule="auto"/>
              <w:ind w:firstLine="240" w:firstLineChars="100"/>
              <w:jc w:val="center"/>
              <w:rPr>
                <w:rFonts w:ascii="宋体" w:hAnsi="宋体" w:cs="宋体"/>
                <w:color w:val="auto"/>
                <w:sz w:val="24"/>
                <w:highlight w:val="none"/>
              </w:rPr>
            </w:pPr>
            <w:r>
              <w:rPr>
                <w:rFonts w:hint="eastAsia" w:ascii="宋体" w:hAnsi="宋体" w:cs="宋体"/>
                <w:color w:val="auto"/>
                <w:kern w:val="0"/>
                <w:sz w:val="24"/>
                <w:highlight w:val="none"/>
              </w:rPr>
              <w:t>0.1%</w:t>
            </w:r>
          </w:p>
        </w:tc>
        <w:tc>
          <w:tcPr>
            <w:tcW w:w="1659" w:type="dxa"/>
            <w:vAlign w:val="center"/>
          </w:tcPr>
          <w:p w14:paraId="47465F2F">
            <w:pPr>
              <w:spacing w:line="360" w:lineRule="auto"/>
              <w:ind w:firstLine="240" w:firstLineChars="100"/>
              <w:jc w:val="center"/>
              <w:rPr>
                <w:rFonts w:ascii="宋体" w:hAnsi="宋体" w:cs="宋体"/>
                <w:color w:val="auto"/>
                <w:sz w:val="24"/>
                <w:highlight w:val="none"/>
              </w:rPr>
            </w:pPr>
            <w:r>
              <w:rPr>
                <w:rFonts w:hint="eastAsia" w:ascii="宋体" w:hAnsi="宋体" w:cs="宋体"/>
                <w:color w:val="auto"/>
                <w:kern w:val="0"/>
                <w:sz w:val="24"/>
                <w:highlight w:val="none"/>
              </w:rPr>
              <w:t>0.2%</w:t>
            </w:r>
          </w:p>
        </w:tc>
      </w:tr>
      <w:tr w14:paraId="490A0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vAlign w:val="center"/>
          </w:tcPr>
          <w:p w14:paraId="102A21E8">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1～5亿元</w:t>
            </w:r>
          </w:p>
        </w:tc>
        <w:tc>
          <w:tcPr>
            <w:tcW w:w="1659" w:type="dxa"/>
            <w:vAlign w:val="center"/>
          </w:tcPr>
          <w:p w14:paraId="10E52356">
            <w:pPr>
              <w:spacing w:line="360" w:lineRule="auto"/>
              <w:ind w:firstLine="240" w:firstLineChars="100"/>
              <w:jc w:val="center"/>
              <w:rPr>
                <w:rFonts w:ascii="宋体" w:hAnsi="宋体" w:cs="宋体"/>
                <w:color w:val="auto"/>
                <w:sz w:val="24"/>
                <w:highlight w:val="none"/>
              </w:rPr>
            </w:pPr>
            <w:r>
              <w:rPr>
                <w:rFonts w:hint="eastAsia" w:ascii="宋体" w:hAnsi="宋体" w:cs="宋体"/>
                <w:color w:val="auto"/>
                <w:sz w:val="24"/>
                <w:highlight w:val="none"/>
              </w:rPr>
              <w:t>0.05%</w:t>
            </w:r>
          </w:p>
        </w:tc>
        <w:tc>
          <w:tcPr>
            <w:tcW w:w="1687" w:type="dxa"/>
            <w:vAlign w:val="center"/>
          </w:tcPr>
          <w:p w14:paraId="284FEEEC">
            <w:pPr>
              <w:spacing w:line="360" w:lineRule="auto"/>
              <w:jc w:val="center"/>
              <w:rPr>
                <w:rFonts w:ascii="宋体" w:hAnsi="宋体" w:cs="宋体"/>
                <w:color w:val="auto"/>
                <w:sz w:val="24"/>
                <w:highlight w:val="none"/>
              </w:rPr>
            </w:pPr>
            <w:r>
              <w:rPr>
                <w:rFonts w:hint="eastAsia" w:ascii="宋体" w:hAnsi="宋体" w:cs="宋体"/>
                <w:color w:val="auto"/>
                <w:sz w:val="24"/>
                <w:highlight w:val="none"/>
              </w:rPr>
              <w:t>0.05%</w:t>
            </w:r>
          </w:p>
        </w:tc>
        <w:tc>
          <w:tcPr>
            <w:tcW w:w="1659" w:type="dxa"/>
            <w:vAlign w:val="center"/>
          </w:tcPr>
          <w:p w14:paraId="66D5C92C">
            <w:pPr>
              <w:spacing w:line="360" w:lineRule="auto"/>
              <w:jc w:val="center"/>
              <w:rPr>
                <w:rFonts w:ascii="宋体" w:hAnsi="宋体" w:cs="宋体"/>
                <w:color w:val="auto"/>
                <w:sz w:val="24"/>
                <w:highlight w:val="none"/>
              </w:rPr>
            </w:pPr>
            <w:r>
              <w:rPr>
                <w:rFonts w:hint="eastAsia" w:ascii="宋体" w:hAnsi="宋体" w:cs="宋体"/>
                <w:color w:val="auto"/>
                <w:sz w:val="24"/>
                <w:highlight w:val="none"/>
              </w:rPr>
              <w:t>0.05%</w:t>
            </w:r>
          </w:p>
        </w:tc>
      </w:tr>
      <w:tr w14:paraId="76AD6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vAlign w:val="center"/>
          </w:tcPr>
          <w:p w14:paraId="6C783236">
            <w:pPr>
              <w:spacing w:line="360" w:lineRule="auto"/>
              <w:jc w:val="center"/>
              <w:rPr>
                <w:rFonts w:ascii="宋体" w:hAnsi="宋体" w:cs="宋体"/>
                <w:color w:val="auto"/>
                <w:sz w:val="24"/>
                <w:highlight w:val="none"/>
              </w:rPr>
            </w:pPr>
            <w:r>
              <w:rPr>
                <w:rFonts w:hint="eastAsia" w:ascii="宋体" w:hAnsi="宋体" w:cs="宋体"/>
                <w:color w:val="auto"/>
                <w:sz w:val="24"/>
                <w:highlight w:val="none"/>
              </w:rPr>
              <w:t>5～10亿元</w:t>
            </w:r>
          </w:p>
        </w:tc>
        <w:tc>
          <w:tcPr>
            <w:tcW w:w="1659" w:type="dxa"/>
            <w:vAlign w:val="center"/>
          </w:tcPr>
          <w:p w14:paraId="38F9E173">
            <w:pPr>
              <w:spacing w:line="360" w:lineRule="auto"/>
              <w:ind w:firstLine="120" w:firstLineChars="50"/>
              <w:jc w:val="center"/>
              <w:rPr>
                <w:rFonts w:ascii="宋体" w:hAnsi="宋体" w:cs="宋体"/>
                <w:color w:val="auto"/>
                <w:sz w:val="24"/>
                <w:highlight w:val="none"/>
              </w:rPr>
            </w:pPr>
            <w:r>
              <w:rPr>
                <w:rFonts w:hint="eastAsia" w:ascii="宋体" w:hAnsi="宋体" w:cs="宋体"/>
                <w:color w:val="auto"/>
                <w:sz w:val="24"/>
                <w:highlight w:val="none"/>
              </w:rPr>
              <w:t>0.035%</w:t>
            </w:r>
          </w:p>
        </w:tc>
        <w:tc>
          <w:tcPr>
            <w:tcW w:w="1687" w:type="dxa"/>
            <w:vAlign w:val="center"/>
          </w:tcPr>
          <w:p w14:paraId="7668894D">
            <w:pPr>
              <w:spacing w:line="360" w:lineRule="auto"/>
              <w:jc w:val="center"/>
              <w:rPr>
                <w:rFonts w:ascii="宋体" w:hAnsi="宋体" w:cs="宋体"/>
                <w:color w:val="auto"/>
                <w:sz w:val="24"/>
                <w:highlight w:val="none"/>
              </w:rPr>
            </w:pPr>
            <w:r>
              <w:rPr>
                <w:rFonts w:hint="eastAsia" w:ascii="宋体" w:hAnsi="宋体" w:cs="宋体"/>
                <w:color w:val="auto"/>
                <w:sz w:val="24"/>
                <w:highlight w:val="none"/>
              </w:rPr>
              <w:t>0.035%</w:t>
            </w:r>
          </w:p>
        </w:tc>
        <w:tc>
          <w:tcPr>
            <w:tcW w:w="1659" w:type="dxa"/>
            <w:vAlign w:val="center"/>
          </w:tcPr>
          <w:p w14:paraId="567AEC5B">
            <w:pPr>
              <w:spacing w:line="360" w:lineRule="auto"/>
              <w:ind w:firstLine="120" w:firstLineChars="50"/>
              <w:jc w:val="center"/>
              <w:rPr>
                <w:rFonts w:ascii="宋体" w:hAnsi="宋体" w:cs="宋体"/>
                <w:color w:val="auto"/>
                <w:sz w:val="24"/>
                <w:highlight w:val="none"/>
              </w:rPr>
            </w:pPr>
            <w:r>
              <w:rPr>
                <w:rFonts w:hint="eastAsia" w:ascii="宋体" w:hAnsi="宋体" w:cs="宋体"/>
                <w:color w:val="auto"/>
                <w:sz w:val="24"/>
                <w:highlight w:val="none"/>
              </w:rPr>
              <w:t>0.035%</w:t>
            </w:r>
          </w:p>
        </w:tc>
      </w:tr>
      <w:tr w14:paraId="41C93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vAlign w:val="center"/>
          </w:tcPr>
          <w:p w14:paraId="6DDEAB3B">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10～50亿元</w:t>
            </w:r>
          </w:p>
        </w:tc>
        <w:tc>
          <w:tcPr>
            <w:tcW w:w="1659" w:type="dxa"/>
            <w:vAlign w:val="center"/>
          </w:tcPr>
          <w:p w14:paraId="59C7C3B9">
            <w:pPr>
              <w:spacing w:line="360" w:lineRule="auto"/>
              <w:ind w:firstLine="120" w:firstLineChars="50"/>
              <w:jc w:val="center"/>
              <w:rPr>
                <w:rFonts w:ascii="宋体" w:hAnsi="宋体" w:cs="宋体"/>
                <w:color w:val="auto"/>
                <w:sz w:val="24"/>
                <w:highlight w:val="none"/>
              </w:rPr>
            </w:pPr>
            <w:r>
              <w:rPr>
                <w:rFonts w:hint="eastAsia" w:ascii="宋体" w:hAnsi="宋体" w:cs="宋体"/>
                <w:color w:val="auto"/>
                <w:sz w:val="24"/>
                <w:highlight w:val="none"/>
              </w:rPr>
              <w:t>0.008%</w:t>
            </w:r>
          </w:p>
        </w:tc>
        <w:tc>
          <w:tcPr>
            <w:tcW w:w="1687" w:type="dxa"/>
            <w:vAlign w:val="center"/>
          </w:tcPr>
          <w:p w14:paraId="3C374A1A">
            <w:pPr>
              <w:spacing w:line="360" w:lineRule="auto"/>
              <w:ind w:firstLine="240" w:firstLineChars="100"/>
              <w:jc w:val="center"/>
              <w:rPr>
                <w:rFonts w:ascii="宋体" w:hAnsi="宋体" w:cs="宋体"/>
                <w:color w:val="auto"/>
                <w:sz w:val="24"/>
                <w:highlight w:val="none"/>
              </w:rPr>
            </w:pPr>
            <w:r>
              <w:rPr>
                <w:rFonts w:hint="eastAsia" w:ascii="宋体" w:hAnsi="宋体" w:cs="宋体"/>
                <w:color w:val="auto"/>
                <w:sz w:val="24"/>
                <w:highlight w:val="none"/>
              </w:rPr>
              <w:t>0.008%</w:t>
            </w:r>
          </w:p>
        </w:tc>
        <w:tc>
          <w:tcPr>
            <w:tcW w:w="1659" w:type="dxa"/>
            <w:vAlign w:val="center"/>
          </w:tcPr>
          <w:p w14:paraId="6A149212">
            <w:pPr>
              <w:spacing w:line="360" w:lineRule="auto"/>
              <w:ind w:firstLine="120" w:firstLineChars="50"/>
              <w:jc w:val="center"/>
              <w:rPr>
                <w:rFonts w:ascii="宋体" w:hAnsi="宋体" w:cs="宋体"/>
                <w:color w:val="auto"/>
                <w:sz w:val="24"/>
                <w:highlight w:val="none"/>
              </w:rPr>
            </w:pPr>
            <w:r>
              <w:rPr>
                <w:rFonts w:hint="eastAsia" w:ascii="宋体" w:hAnsi="宋体" w:cs="宋体"/>
                <w:color w:val="auto"/>
                <w:sz w:val="24"/>
                <w:highlight w:val="none"/>
              </w:rPr>
              <w:t>0.008%</w:t>
            </w:r>
          </w:p>
        </w:tc>
      </w:tr>
      <w:tr w14:paraId="4729F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vAlign w:val="center"/>
          </w:tcPr>
          <w:p w14:paraId="66B2AE4F">
            <w:pPr>
              <w:spacing w:line="360" w:lineRule="auto"/>
              <w:jc w:val="center"/>
              <w:rPr>
                <w:rFonts w:ascii="宋体" w:hAnsi="宋体" w:cs="宋体"/>
                <w:color w:val="auto"/>
                <w:sz w:val="24"/>
                <w:highlight w:val="none"/>
              </w:rPr>
            </w:pPr>
            <w:r>
              <w:rPr>
                <w:rFonts w:hint="eastAsia" w:ascii="宋体" w:hAnsi="宋体" w:cs="宋体"/>
                <w:color w:val="auto"/>
                <w:sz w:val="24"/>
                <w:highlight w:val="none"/>
              </w:rPr>
              <w:t>50～100亿元</w:t>
            </w:r>
          </w:p>
        </w:tc>
        <w:tc>
          <w:tcPr>
            <w:tcW w:w="1659" w:type="dxa"/>
            <w:vAlign w:val="center"/>
          </w:tcPr>
          <w:p w14:paraId="6ECFD4DA">
            <w:pPr>
              <w:spacing w:line="360" w:lineRule="auto"/>
              <w:jc w:val="center"/>
              <w:rPr>
                <w:rFonts w:ascii="宋体" w:hAnsi="宋体" w:cs="宋体"/>
                <w:color w:val="auto"/>
                <w:sz w:val="24"/>
                <w:highlight w:val="none"/>
              </w:rPr>
            </w:pPr>
            <w:r>
              <w:rPr>
                <w:rFonts w:hint="eastAsia" w:ascii="宋体" w:hAnsi="宋体" w:cs="宋体"/>
                <w:color w:val="auto"/>
                <w:sz w:val="24"/>
                <w:highlight w:val="none"/>
              </w:rPr>
              <w:t>0.006%</w:t>
            </w:r>
          </w:p>
        </w:tc>
        <w:tc>
          <w:tcPr>
            <w:tcW w:w="1687" w:type="dxa"/>
            <w:vAlign w:val="center"/>
          </w:tcPr>
          <w:p w14:paraId="0FDD64D5">
            <w:pPr>
              <w:spacing w:line="360" w:lineRule="auto"/>
              <w:ind w:firstLine="240" w:firstLineChars="100"/>
              <w:jc w:val="center"/>
              <w:rPr>
                <w:rFonts w:ascii="宋体" w:hAnsi="宋体" w:cs="宋体"/>
                <w:color w:val="auto"/>
                <w:sz w:val="24"/>
                <w:highlight w:val="none"/>
              </w:rPr>
            </w:pPr>
            <w:r>
              <w:rPr>
                <w:rFonts w:hint="eastAsia" w:ascii="宋体" w:hAnsi="宋体" w:cs="宋体"/>
                <w:color w:val="auto"/>
                <w:sz w:val="24"/>
                <w:highlight w:val="none"/>
              </w:rPr>
              <w:t>0.006%</w:t>
            </w:r>
          </w:p>
        </w:tc>
        <w:tc>
          <w:tcPr>
            <w:tcW w:w="1659" w:type="dxa"/>
            <w:vAlign w:val="center"/>
          </w:tcPr>
          <w:p w14:paraId="31FC7F94">
            <w:pPr>
              <w:spacing w:line="360" w:lineRule="auto"/>
              <w:ind w:firstLine="120" w:firstLineChars="50"/>
              <w:jc w:val="center"/>
              <w:rPr>
                <w:rFonts w:ascii="宋体" w:hAnsi="宋体" w:cs="宋体"/>
                <w:color w:val="auto"/>
                <w:sz w:val="24"/>
                <w:highlight w:val="none"/>
              </w:rPr>
            </w:pPr>
            <w:r>
              <w:rPr>
                <w:rFonts w:hint="eastAsia" w:ascii="宋体" w:hAnsi="宋体" w:cs="宋体"/>
                <w:color w:val="auto"/>
                <w:sz w:val="24"/>
                <w:highlight w:val="none"/>
              </w:rPr>
              <w:t>0.006%</w:t>
            </w:r>
          </w:p>
        </w:tc>
      </w:tr>
      <w:tr w14:paraId="308F9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vAlign w:val="center"/>
          </w:tcPr>
          <w:p w14:paraId="1ABE7083">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100亿元以上</w:t>
            </w:r>
          </w:p>
        </w:tc>
        <w:tc>
          <w:tcPr>
            <w:tcW w:w="1659" w:type="dxa"/>
            <w:vAlign w:val="center"/>
          </w:tcPr>
          <w:p w14:paraId="2EB5EDED">
            <w:pPr>
              <w:spacing w:line="360" w:lineRule="auto"/>
              <w:jc w:val="center"/>
              <w:rPr>
                <w:rFonts w:ascii="宋体" w:hAnsi="宋体" w:cs="宋体"/>
                <w:color w:val="auto"/>
                <w:sz w:val="24"/>
                <w:highlight w:val="none"/>
              </w:rPr>
            </w:pPr>
            <w:r>
              <w:rPr>
                <w:rFonts w:hint="eastAsia" w:ascii="宋体" w:hAnsi="宋体" w:cs="宋体"/>
                <w:color w:val="auto"/>
                <w:sz w:val="24"/>
                <w:highlight w:val="none"/>
              </w:rPr>
              <w:t>0.004%</w:t>
            </w:r>
          </w:p>
        </w:tc>
        <w:tc>
          <w:tcPr>
            <w:tcW w:w="1687" w:type="dxa"/>
            <w:vAlign w:val="center"/>
          </w:tcPr>
          <w:p w14:paraId="3381EAFC">
            <w:pPr>
              <w:spacing w:line="360" w:lineRule="auto"/>
              <w:ind w:firstLine="240" w:firstLineChars="100"/>
              <w:jc w:val="center"/>
              <w:rPr>
                <w:rFonts w:ascii="宋体" w:hAnsi="宋体" w:cs="宋体"/>
                <w:color w:val="auto"/>
                <w:sz w:val="24"/>
                <w:highlight w:val="none"/>
              </w:rPr>
            </w:pPr>
            <w:r>
              <w:rPr>
                <w:rFonts w:hint="eastAsia" w:ascii="宋体" w:hAnsi="宋体" w:cs="宋体"/>
                <w:color w:val="auto"/>
                <w:sz w:val="24"/>
                <w:highlight w:val="none"/>
              </w:rPr>
              <w:t>0.004%</w:t>
            </w:r>
          </w:p>
        </w:tc>
        <w:tc>
          <w:tcPr>
            <w:tcW w:w="1659" w:type="dxa"/>
            <w:vAlign w:val="center"/>
          </w:tcPr>
          <w:p w14:paraId="38330CBB">
            <w:pPr>
              <w:spacing w:line="360" w:lineRule="auto"/>
              <w:ind w:firstLine="120" w:firstLineChars="50"/>
              <w:jc w:val="center"/>
              <w:rPr>
                <w:rFonts w:ascii="宋体" w:hAnsi="宋体" w:cs="宋体"/>
                <w:color w:val="auto"/>
                <w:sz w:val="24"/>
                <w:highlight w:val="none"/>
              </w:rPr>
            </w:pPr>
            <w:r>
              <w:rPr>
                <w:rFonts w:hint="eastAsia" w:ascii="宋体" w:hAnsi="宋体" w:cs="宋体"/>
                <w:color w:val="auto"/>
                <w:sz w:val="24"/>
                <w:highlight w:val="none"/>
              </w:rPr>
              <w:t>0.004%</w:t>
            </w:r>
          </w:p>
        </w:tc>
      </w:tr>
    </w:tbl>
    <w:p w14:paraId="14B2B7F3">
      <w:pPr>
        <w:spacing w:line="360" w:lineRule="auto"/>
        <w:ind w:firstLine="482" w:firstLineChars="200"/>
        <w:rPr>
          <w:rFonts w:ascii="楷体" w:hAnsi="楷体" w:eastAsia="楷体" w:cs="宋体"/>
          <w:b/>
          <w:color w:val="auto"/>
          <w:sz w:val="24"/>
          <w:highlight w:val="none"/>
        </w:rPr>
      </w:pPr>
      <w:r>
        <w:rPr>
          <w:rFonts w:hint="eastAsia" w:ascii="楷体" w:hAnsi="楷体" w:eastAsia="楷体" w:cs="宋体"/>
          <w:b/>
          <w:color w:val="auto"/>
          <w:sz w:val="24"/>
          <w:highlight w:val="none"/>
        </w:rPr>
        <w:t>注：</w:t>
      </w:r>
      <w:r>
        <w:rPr>
          <w:rFonts w:ascii="楷体" w:hAnsi="楷体" w:eastAsia="楷体" w:cs="宋体"/>
          <w:b/>
          <w:color w:val="auto"/>
          <w:sz w:val="24"/>
          <w:highlight w:val="none"/>
        </w:rPr>
        <w:t xml:space="preserve"> </w:t>
      </w:r>
    </w:p>
    <w:p w14:paraId="75A3C259">
      <w:pPr>
        <w:spacing w:line="360" w:lineRule="auto"/>
        <w:ind w:firstLine="480" w:firstLineChars="200"/>
        <w:rPr>
          <w:rFonts w:ascii="楷体" w:hAnsi="楷体" w:eastAsia="楷体" w:cs="宋体"/>
          <w:color w:val="auto"/>
          <w:sz w:val="24"/>
          <w:highlight w:val="none"/>
        </w:rPr>
      </w:pPr>
      <w:r>
        <w:rPr>
          <w:rFonts w:hint="eastAsia" w:ascii="楷体" w:hAnsi="楷体" w:eastAsia="楷体" w:cs="宋体"/>
          <w:color w:val="auto"/>
          <w:sz w:val="24"/>
          <w:highlight w:val="none"/>
        </w:rPr>
        <w:t>（</w:t>
      </w:r>
      <w:r>
        <w:rPr>
          <w:rFonts w:ascii="楷体" w:hAnsi="楷体" w:eastAsia="楷体" w:cs="宋体"/>
          <w:color w:val="auto"/>
          <w:sz w:val="24"/>
          <w:highlight w:val="none"/>
        </w:rPr>
        <w:t>1）按本表费率计算的收费为采购代理的收费基准价格；</w:t>
      </w:r>
    </w:p>
    <w:p w14:paraId="0C13F3FC">
      <w:pPr>
        <w:spacing w:line="360" w:lineRule="auto"/>
        <w:ind w:firstLine="480" w:firstLineChars="200"/>
        <w:rPr>
          <w:rFonts w:ascii="楷体" w:hAnsi="楷体" w:eastAsia="楷体" w:cs="宋体"/>
          <w:color w:val="auto"/>
          <w:sz w:val="24"/>
          <w:highlight w:val="none"/>
        </w:rPr>
      </w:pPr>
      <w:r>
        <w:rPr>
          <w:rFonts w:hint="eastAsia" w:ascii="楷体" w:hAnsi="楷体" w:eastAsia="楷体" w:cs="宋体"/>
          <w:color w:val="auto"/>
          <w:sz w:val="24"/>
          <w:highlight w:val="none"/>
        </w:rPr>
        <w:t>（</w:t>
      </w:r>
      <w:r>
        <w:rPr>
          <w:rFonts w:ascii="楷体" w:hAnsi="楷体" w:eastAsia="楷体" w:cs="宋体"/>
          <w:color w:val="auto"/>
          <w:sz w:val="24"/>
          <w:highlight w:val="none"/>
        </w:rPr>
        <w:t>2）采购代理收费按差额定率累进法计算。</w:t>
      </w:r>
    </w:p>
    <w:p w14:paraId="22BC032C">
      <w:pPr>
        <w:spacing w:line="360" w:lineRule="auto"/>
        <w:ind w:firstLine="480" w:firstLineChars="200"/>
        <w:rPr>
          <w:rFonts w:ascii="楷体" w:hAnsi="楷体" w:eastAsia="楷体" w:cs="宋体"/>
          <w:color w:val="auto"/>
          <w:sz w:val="24"/>
          <w:highlight w:val="none"/>
        </w:rPr>
      </w:pPr>
      <w:r>
        <w:rPr>
          <w:rFonts w:hint="eastAsia" w:ascii="楷体" w:hAnsi="楷体" w:eastAsia="楷体" w:cs="宋体"/>
          <w:color w:val="auto"/>
          <w:sz w:val="24"/>
          <w:highlight w:val="none"/>
        </w:rPr>
        <w:t>例如：某货物采购代理业务中标金额或者暂定价为</w:t>
      </w:r>
      <w:r>
        <w:rPr>
          <w:rFonts w:ascii="楷体" w:hAnsi="楷体" w:eastAsia="楷体" w:cs="宋体"/>
          <w:color w:val="auto"/>
          <w:sz w:val="24"/>
          <w:highlight w:val="none"/>
        </w:rPr>
        <w:t>200万元，计算采购代理收费额如下：</w:t>
      </w:r>
    </w:p>
    <w:p w14:paraId="3BE624CE">
      <w:pPr>
        <w:spacing w:line="360" w:lineRule="auto"/>
        <w:ind w:firstLine="480" w:firstLineChars="200"/>
        <w:rPr>
          <w:rFonts w:ascii="楷体" w:hAnsi="楷体" w:eastAsia="楷体" w:cs="宋体"/>
          <w:color w:val="auto"/>
          <w:sz w:val="24"/>
          <w:highlight w:val="none"/>
        </w:rPr>
      </w:pPr>
      <w:r>
        <w:rPr>
          <w:rFonts w:ascii="楷体" w:hAnsi="楷体" w:eastAsia="楷体" w:cs="宋体"/>
          <w:color w:val="auto"/>
          <w:sz w:val="24"/>
          <w:highlight w:val="none"/>
        </w:rPr>
        <w:t xml:space="preserve">100 </w:t>
      </w:r>
      <w:r>
        <w:rPr>
          <w:rFonts w:hint="eastAsia" w:ascii="楷体" w:hAnsi="楷体" w:eastAsia="楷体" w:cs="宋体"/>
          <w:color w:val="auto"/>
          <w:sz w:val="24"/>
          <w:highlight w:val="none"/>
        </w:rPr>
        <w:t>万元×</w:t>
      </w:r>
      <w:r>
        <w:rPr>
          <w:rFonts w:ascii="楷体" w:hAnsi="楷体" w:eastAsia="楷体" w:cs="宋体"/>
          <w:color w:val="auto"/>
          <w:sz w:val="24"/>
          <w:highlight w:val="none"/>
        </w:rPr>
        <w:t xml:space="preserve">l.5 </w:t>
      </w:r>
      <w:r>
        <w:rPr>
          <w:rFonts w:hint="eastAsia" w:ascii="楷体" w:hAnsi="楷体" w:eastAsia="楷体" w:cs="宋体"/>
          <w:color w:val="auto"/>
          <w:sz w:val="24"/>
          <w:highlight w:val="none"/>
        </w:rPr>
        <w:t>％＝</w:t>
      </w:r>
      <w:r>
        <w:rPr>
          <w:rFonts w:ascii="楷体" w:hAnsi="楷体" w:eastAsia="楷体" w:cs="宋体"/>
          <w:color w:val="auto"/>
          <w:sz w:val="24"/>
          <w:highlight w:val="none"/>
        </w:rPr>
        <w:t xml:space="preserve"> 1.5 </w:t>
      </w:r>
      <w:r>
        <w:rPr>
          <w:rFonts w:hint="eastAsia" w:ascii="楷体" w:hAnsi="楷体" w:eastAsia="楷体" w:cs="宋体"/>
          <w:color w:val="auto"/>
          <w:sz w:val="24"/>
          <w:highlight w:val="none"/>
        </w:rPr>
        <w:t>万元</w:t>
      </w:r>
    </w:p>
    <w:p w14:paraId="2A6D4FF8">
      <w:pPr>
        <w:spacing w:line="360" w:lineRule="auto"/>
        <w:ind w:firstLine="480" w:firstLineChars="200"/>
        <w:rPr>
          <w:rFonts w:ascii="楷体" w:hAnsi="楷体" w:eastAsia="楷体" w:cs="宋体"/>
          <w:color w:val="auto"/>
          <w:sz w:val="24"/>
          <w:highlight w:val="none"/>
        </w:rPr>
      </w:pPr>
      <w:r>
        <w:rPr>
          <w:rFonts w:hint="eastAsia" w:ascii="楷体" w:hAnsi="楷体" w:eastAsia="楷体" w:cs="宋体"/>
          <w:color w:val="auto"/>
          <w:sz w:val="24"/>
          <w:highlight w:val="none"/>
        </w:rPr>
        <w:t>（</w:t>
      </w:r>
      <w:r>
        <w:rPr>
          <w:rFonts w:ascii="楷体" w:hAnsi="楷体" w:eastAsia="楷体" w:cs="宋体"/>
          <w:color w:val="auto"/>
          <w:sz w:val="24"/>
          <w:highlight w:val="none"/>
        </w:rPr>
        <w:t xml:space="preserve"> 200 </w:t>
      </w:r>
      <w:r>
        <w:rPr>
          <w:rFonts w:hint="eastAsia" w:ascii="楷体" w:hAnsi="楷体" w:eastAsia="楷体" w:cs="宋体"/>
          <w:color w:val="auto"/>
          <w:sz w:val="24"/>
          <w:highlight w:val="none"/>
        </w:rPr>
        <w:t>－</w:t>
      </w:r>
      <w:r>
        <w:rPr>
          <w:rFonts w:ascii="楷体" w:hAnsi="楷体" w:eastAsia="楷体" w:cs="宋体"/>
          <w:color w:val="auto"/>
          <w:sz w:val="24"/>
          <w:highlight w:val="none"/>
        </w:rPr>
        <w:t xml:space="preserve"> 100 </w:t>
      </w:r>
      <w:r>
        <w:rPr>
          <w:rFonts w:hint="eastAsia" w:ascii="楷体" w:hAnsi="楷体" w:eastAsia="楷体" w:cs="宋体"/>
          <w:color w:val="auto"/>
          <w:sz w:val="24"/>
          <w:highlight w:val="none"/>
        </w:rPr>
        <w:t>）万元</w:t>
      </w:r>
      <w:r>
        <w:rPr>
          <w:rFonts w:ascii="楷体" w:hAnsi="楷体" w:eastAsia="楷体" w:cs="宋体"/>
          <w:color w:val="auto"/>
          <w:sz w:val="24"/>
          <w:highlight w:val="none"/>
        </w:rPr>
        <w:t xml:space="preserve"> </w:t>
      </w:r>
      <w:r>
        <w:rPr>
          <w:rFonts w:hint="eastAsia" w:ascii="楷体" w:hAnsi="楷体" w:eastAsia="楷体" w:cs="宋体"/>
          <w:color w:val="auto"/>
          <w:sz w:val="24"/>
          <w:highlight w:val="none"/>
        </w:rPr>
        <w:t>×</w:t>
      </w:r>
      <w:r>
        <w:rPr>
          <w:rFonts w:ascii="楷体" w:hAnsi="楷体" w:eastAsia="楷体" w:cs="宋体"/>
          <w:color w:val="auto"/>
          <w:sz w:val="24"/>
          <w:highlight w:val="none"/>
        </w:rPr>
        <w:t>1.1％＝1.1万元</w:t>
      </w:r>
    </w:p>
    <w:p w14:paraId="7D4F135A">
      <w:pPr>
        <w:spacing w:line="360" w:lineRule="auto"/>
        <w:ind w:firstLine="480" w:firstLineChars="200"/>
        <w:rPr>
          <w:rFonts w:ascii="楷体" w:hAnsi="楷体" w:eastAsia="楷体" w:cs="宋体"/>
          <w:color w:val="auto"/>
          <w:sz w:val="24"/>
          <w:highlight w:val="none"/>
        </w:rPr>
      </w:pPr>
      <w:r>
        <w:rPr>
          <w:rFonts w:hint="eastAsia" w:ascii="楷体" w:hAnsi="楷体" w:eastAsia="楷体" w:cs="宋体"/>
          <w:color w:val="auto"/>
          <w:sz w:val="24"/>
          <w:highlight w:val="none"/>
        </w:rPr>
        <w:t>合计收费＝</w:t>
      </w:r>
      <w:r>
        <w:rPr>
          <w:rFonts w:ascii="楷体" w:hAnsi="楷体" w:eastAsia="楷体" w:cs="宋体"/>
          <w:color w:val="auto"/>
          <w:sz w:val="24"/>
          <w:highlight w:val="none"/>
        </w:rPr>
        <w:t xml:space="preserve"> 1.5+1.1＝ 2.6 </w:t>
      </w:r>
      <w:r>
        <w:rPr>
          <w:rFonts w:hint="eastAsia" w:ascii="楷体" w:hAnsi="楷体" w:eastAsia="楷体" w:cs="宋体"/>
          <w:color w:val="auto"/>
          <w:sz w:val="24"/>
          <w:highlight w:val="none"/>
        </w:rPr>
        <w:t>（万元）</w:t>
      </w:r>
    </w:p>
    <w:p w14:paraId="1B0A8B09">
      <w:pPr>
        <w:pStyle w:val="8"/>
        <w:keepNext w:val="0"/>
        <w:keepLines w:val="0"/>
        <w:spacing w:before="0" w:after="0" w:line="360" w:lineRule="auto"/>
        <w:ind w:left="420" w:leftChars="200"/>
        <w:rPr>
          <w:rFonts w:ascii="宋体" w:hAnsi="宋体" w:cs="宋体"/>
          <w:color w:val="auto"/>
          <w:sz w:val="24"/>
          <w:highlight w:val="none"/>
        </w:rPr>
      </w:pPr>
      <w:r>
        <w:rPr>
          <w:rFonts w:hint="eastAsia" w:ascii="宋体" w:hAnsi="宋体" w:cs="宋体"/>
          <w:color w:val="auto"/>
          <w:sz w:val="24"/>
          <w:highlight w:val="none"/>
        </w:rPr>
        <w:t>40.需要补充的其他内容</w:t>
      </w:r>
    </w:p>
    <w:p w14:paraId="49797344">
      <w:pPr>
        <w:pStyle w:val="24"/>
        <w:spacing w:before="120" w:after="120" w:line="360" w:lineRule="auto"/>
        <w:ind w:firstLine="480" w:firstLineChars="200"/>
        <w:contextualSpacing/>
        <w:rPr>
          <w:rFonts w:hAnsi="宋体" w:cs="宋体"/>
          <w:color w:val="auto"/>
          <w:sz w:val="24"/>
          <w:szCs w:val="24"/>
          <w:highlight w:val="none"/>
        </w:rPr>
      </w:pPr>
      <w:r>
        <w:rPr>
          <w:rFonts w:hint="eastAsia" w:hAnsi="宋体" w:cs="宋体"/>
          <w:color w:val="auto"/>
          <w:sz w:val="24"/>
          <w:szCs w:val="24"/>
          <w:highlight w:val="none"/>
        </w:rPr>
        <w:t>40.1本招标文件解释规则详见“投标人须知前附表”。</w:t>
      </w:r>
    </w:p>
    <w:p w14:paraId="5C71B0F7">
      <w:pPr>
        <w:pStyle w:val="24"/>
        <w:spacing w:before="120" w:after="120" w:line="360" w:lineRule="auto"/>
        <w:ind w:firstLine="480" w:firstLineChars="200"/>
        <w:contextualSpacing/>
        <w:rPr>
          <w:rFonts w:hAnsi="宋体" w:cs="宋体"/>
          <w:color w:val="auto"/>
          <w:sz w:val="24"/>
          <w:szCs w:val="24"/>
          <w:highlight w:val="none"/>
        </w:rPr>
      </w:pPr>
      <w:r>
        <w:rPr>
          <w:rFonts w:hint="eastAsia" w:hAnsi="宋体" w:cs="宋体"/>
          <w:color w:val="auto"/>
          <w:sz w:val="24"/>
          <w:szCs w:val="24"/>
          <w:highlight w:val="none"/>
        </w:rPr>
        <w:t>40.2 其他事项详见“投标人须知前附表”。</w:t>
      </w:r>
    </w:p>
    <w:p w14:paraId="21F85944">
      <w:pPr>
        <w:pStyle w:val="24"/>
        <w:spacing w:before="120" w:after="120" w:line="360" w:lineRule="auto"/>
        <w:ind w:firstLine="480" w:firstLineChars="200"/>
        <w:contextualSpacing/>
        <w:rPr>
          <w:rFonts w:hAnsi="宋体" w:cs="宋体"/>
          <w:color w:val="auto"/>
          <w:sz w:val="24"/>
          <w:szCs w:val="24"/>
          <w:highlight w:val="none"/>
        </w:rPr>
      </w:pPr>
      <w:r>
        <w:rPr>
          <w:rFonts w:hint="eastAsia" w:hAnsi="宋体" w:cs="宋体"/>
          <w:color w:val="auto"/>
          <w:sz w:val="24"/>
          <w:szCs w:val="24"/>
          <w:highlight w:val="none"/>
        </w:rPr>
        <w:t>40.3</w:t>
      </w:r>
      <w:bookmarkStart w:id="130" w:name="_Hlk65857140"/>
      <w:r>
        <w:rPr>
          <w:rFonts w:hint="eastAsia" w:hAnsi="宋体" w:cs="宋体"/>
          <w:color w:val="auto"/>
          <w:sz w:val="24"/>
          <w:szCs w:val="24"/>
          <w:highlight w:val="none"/>
        </w:rPr>
        <w:t>本招标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14:paraId="71C25DAE">
      <w:pPr>
        <w:pStyle w:val="24"/>
        <w:spacing w:before="120" w:after="120" w:line="360" w:lineRule="auto"/>
        <w:ind w:firstLine="480" w:firstLineChars="200"/>
        <w:contextualSpacing/>
        <w:rPr>
          <w:rFonts w:hAnsi="宋体" w:cs="宋体"/>
          <w:color w:val="auto"/>
          <w:sz w:val="24"/>
          <w:szCs w:val="24"/>
          <w:highlight w:val="none"/>
        </w:rPr>
      </w:pPr>
      <w:r>
        <w:rPr>
          <w:rFonts w:hint="eastAsia" w:hAnsi="宋体" w:cs="宋体"/>
          <w:color w:val="auto"/>
          <w:sz w:val="24"/>
          <w:szCs w:val="24"/>
          <w:highlight w:val="none"/>
        </w:rPr>
        <w:t>（1）在货物采购项目中，货物由中小企业制造，即货物由中小企业生产且使用该中小企业商号或者注册商标，不对其中涉及的工程承建商和服务的承接商作出要求；</w:t>
      </w:r>
    </w:p>
    <w:p w14:paraId="798AED55">
      <w:pPr>
        <w:pStyle w:val="24"/>
        <w:spacing w:before="120" w:after="120" w:line="360" w:lineRule="auto"/>
        <w:ind w:firstLine="480" w:firstLineChars="200"/>
        <w:contextualSpacing/>
        <w:rPr>
          <w:rFonts w:hAnsi="宋体" w:cs="宋体"/>
          <w:color w:val="auto"/>
          <w:sz w:val="24"/>
          <w:szCs w:val="24"/>
          <w:highlight w:val="none"/>
        </w:rPr>
      </w:pPr>
      <w:r>
        <w:rPr>
          <w:rFonts w:hint="eastAsia" w:hAnsi="宋体" w:cs="宋体"/>
          <w:color w:val="auto"/>
          <w:sz w:val="24"/>
          <w:szCs w:val="24"/>
          <w:highlight w:val="none"/>
        </w:rPr>
        <w:t>（2）在工程采购项目中，工程由中小企业承建，即工程施工单位为中小企业，不对其中涉及的货物的制造商和服务的承接商作出要求；</w:t>
      </w:r>
    </w:p>
    <w:p w14:paraId="65408FDC">
      <w:pPr>
        <w:pStyle w:val="24"/>
        <w:spacing w:before="120" w:after="120" w:line="360" w:lineRule="auto"/>
        <w:ind w:firstLine="480" w:firstLineChars="200"/>
        <w:contextualSpacing/>
        <w:rPr>
          <w:rFonts w:hAnsi="宋体" w:cs="宋体"/>
          <w:color w:val="auto"/>
          <w:sz w:val="24"/>
          <w:szCs w:val="24"/>
          <w:highlight w:val="none"/>
        </w:rPr>
      </w:pPr>
      <w:r>
        <w:rPr>
          <w:rFonts w:hint="eastAsia" w:hAnsi="宋体" w:cs="宋体"/>
          <w:color w:val="auto"/>
          <w:sz w:val="24"/>
          <w:szCs w:val="24"/>
          <w:highlight w:val="none"/>
        </w:rPr>
        <w:t>（3）在服务采购项目中，服务由中小企业承接，即提供服务的人员为中小企业依照《中华人民共和国劳动合同法》订立劳动合同的从业人员，不对其中涉及的货物的制造商和工程承建商作出要求。</w:t>
      </w:r>
    </w:p>
    <w:p w14:paraId="603A75EA">
      <w:pPr>
        <w:pStyle w:val="24"/>
        <w:spacing w:before="120" w:after="120" w:line="360" w:lineRule="auto"/>
        <w:ind w:firstLine="480" w:firstLineChars="200"/>
        <w:contextualSpacing/>
        <w:rPr>
          <w:rFonts w:hAnsi="宋体" w:cs="宋体"/>
          <w:color w:val="auto"/>
          <w:sz w:val="24"/>
          <w:szCs w:val="24"/>
          <w:highlight w:val="none"/>
        </w:rPr>
      </w:pPr>
      <w:r>
        <w:rPr>
          <w:rFonts w:hint="eastAsia" w:hAnsi="宋体" w:cs="宋体"/>
          <w:color w:val="auto"/>
          <w:sz w:val="24"/>
          <w:szCs w:val="24"/>
          <w:highlight w:val="none"/>
        </w:rPr>
        <w:t>在货物采购项目中，供应商提供的货物既有中小企业制造货物，也有大型企业制造货物的，不享受本招标文件规定的中小企业扶持政策。以联合体形式参加政府采购活动，联合体各方均为中小企业的，联合体视同中小企业。其中，联合体各方均为小微企业的，联合体视同小微企业。</w:t>
      </w:r>
    </w:p>
    <w:p w14:paraId="64E69028">
      <w:pPr>
        <w:pStyle w:val="24"/>
        <w:spacing w:before="120" w:after="120" w:line="360" w:lineRule="auto"/>
        <w:ind w:firstLine="480" w:firstLineChars="200"/>
        <w:contextualSpacing/>
        <w:rPr>
          <w:rFonts w:hAnsi="宋体" w:cs="宋体"/>
          <w:color w:val="auto"/>
          <w:sz w:val="24"/>
          <w:szCs w:val="24"/>
          <w:highlight w:val="none"/>
        </w:rPr>
      </w:pPr>
      <w:r>
        <w:rPr>
          <w:rFonts w:hint="eastAsia" w:hAnsi="宋体" w:cs="宋体"/>
          <w:color w:val="auto"/>
          <w:sz w:val="24"/>
          <w:szCs w:val="24"/>
          <w:highlight w:val="none"/>
        </w:rPr>
        <w:t>依据本招标文件规定享受扶持政策获得政府采购合同的，小微企业不得将合同分包给大中型企业，中型企业不得将合同分包给大型企业。</w:t>
      </w:r>
      <w:bookmarkEnd w:id="130"/>
    </w:p>
    <w:p w14:paraId="4FA56D9D">
      <w:pPr>
        <w:pStyle w:val="2"/>
        <w:spacing w:line="360" w:lineRule="auto"/>
        <w:ind w:left="479" w:leftChars="114" w:hanging="240" w:hangingChars="100"/>
        <w:rPr>
          <w:rFonts w:ascii="宋体" w:hAnsi="宋体" w:cs="宋体"/>
          <w:color w:val="auto"/>
          <w:highlight w:val="none"/>
        </w:rPr>
      </w:pPr>
      <w:r>
        <w:rPr>
          <w:rFonts w:hint="eastAsia" w:ascii="宋体" w:hAnsi="宋体" w:cs="宋体"/>
          <w:color w:val="auto"/>
          <w:highlight w:val="none"/>
        </w:rPr>
        <w:br w:type="page"/>
      </w:r>
    </w:p>
    <w:p w14:paraId="48825C86">
      <w:pPr>
        <w:pStyle w:val="3"/>
        <w:jc w:val="center"/>
        <w:rPr>
          <w:rFonts w:ascii="宋体" w:hAnsi="宋体" w:cs="宋体"/>
          <w:color w:val="auto"/>
          <w:highlight w:val="none"/>
        </w:rPr>
      </w:pPr>
      <w:bookmarkStart w:id="131" w:name="_Toc254970548"/>
      <w:bookmarkStart w:id="132" w:name="_Toc74320803"/>
      <w:bookmarkStart w:id="133" w:name="_Toc330456896"/>
      <w:bookmarkStart w:id="134" w:name="_Toc254970689"/>
      <w:r>
        <w:rPr>
          <w:rFonts w:hint="eastAsia" w:ascii="宋体" w:hAnsi="宋体" w:cs="宋体"/>
          <w:color w:val="auto"/>
          <w:highlight w:val="none"/>
        </w:rPr>
        <w:t>第四章  评标方法及评标标准</w:t>
      </w:r>
      <w:bookmarkEnd w:id="131"/>
      <w:bookmarkEnd w:id="132"/>
      <w:bookmarkEnd w:id="133"/>
      <w:bookmarkEnd w:id="134"/>
    </w:p>
    <w:p w14:paraId="05567016">
      <w:pPr>
        <w:pStyle w:val="5"/>
        <w:keepNext w:val="0"/>
        <w:keepLines w:val="0"/>
        <w:jc w:val="center"/>
        <w:rPr>
          <w:rFonts w:ascii="宋体" w:hAnsi="宋体" w:cs="宋体"/>
          <w:color w:val="auto"/>
          <w:sz w:val="30"/>
          <w:szCs w:val="30"/>
          <w:highlight w:val="none"/>
        </w:rPr>
      </w:pPr>
      <w:bookmarkStart w:id="135" w:name="_Toc254970690"/>
      <w:bookmarkEnd w:id="135"/>
      <w:bookmarkStart w:id="136" w:name="_Toc254970549"/>
      <w:bookmarkEnd w:id="136"/>
      <w:r>
        <w:rPr>
          <w:rFonts w:hint="eastAsia" w:ascii="宋体" w:hAnsi="宋体" w:cs="宋体"/>
          <w:color w:val="auto"/>
          <w:sz w:val="30"/>
          <w:szCs w:val="30"/>
          <w:highlight w:val="none"/>
        </w:rPr>
        <w:t>一、评标方法</w:t>
      </w:r>
    </w:p>
    <w:p w14:paraId="36F77234">
      <w:pPr>
        <w:pStyle w:val="24"/>
        <w:spacing w:line="360" w:lineRule="auto"/>
        <w:ind w:firstLine="420"/>
        <w:rPr>
          <w:rFonts w:hAnsi="宋体" w:cs="宋体"/>
          <w:color w:val="auto"/>
          <w:sz w:val="24"/>
          <w:szCs w:val="24"/>
          <w:highlight w:val="none"/>
        </w:rPr>
      </w:pPr>
      <w:r>
        <w:rPr>
          <w:rFonts w:hint="eastAsia" w:hAnsi="宋体" w:cs="宋体"/>
          <w:color w:val="auto"/>
          <w:sz w:val="24"/>
          <w:szCs w:val="24"/>
          <w:highlight w:val="none"/>
        </w:rPr>
        <w:t>综合评分法，是指投标文件满足招标文件全部实质性要求，且按照评审因素的量化指标评审得分最高的投标人为中标候选人的评标方法。</w:t>
      </w:r>
    </w:p>
    <w:p w14:paraId="55159863">
      <w:pPr>
        <w:pStyle w:val="5"/>
        <w:keepNext w:val="0"/>
        <w:keepLines w:val="0"/>
        <w:jc w:val="center"/>
        <w:rPr>
          <w:rFonts w:ascii="宋体" w:hAnsi="宋体" w:cs="宋体"/>
          <w:color w:val="auto"/>
          <w:sz w:val="30"/>
          <w:szCs w:val="30"/>
          <w:highlight w:val="none"/>
        </w:rPr>
      </w:pPr>
      <w:r>
        <w:rPr>
          <w:rFonts w:hint="eastAsia" w:ascii="宋体" w:hAnsi="宋体" w:cs="宋体"/>
          <w:color w:val="auto"/>
          <w:sz w:val="30"/>
          <w:szCs w:val="30"/>
          <w:highlight w:val="none"/>
        </w:rPr>
        <w:t>二、评标程序</w:t>
      </w:r>
    </w:p>
    <w:p w14:paraId="794B56E6">
      <w:pPr>
        <w:pStyle w:val="8"/>
        <w:keepNext w:val="0"/>
        <w:keepLines w:val="0"/>
        <w:spacing w:before="0" w:after="0" w:line="360" w:lineRule="auto"/>
        <w:ind w:left="420" w:leftChars="200"/>
        <w:rPr>
          <w:rFonts w:ascii="宋体" w:hAnsi="宋体" w:cs="宋体"/>
          <w:color w:val="auto"/>
          <w:sz w:val="24"/>
          <w:highlight w:val="none"/>
        </w:rPr>
      </w:pPr>
      <w:r>
        <w:rPr>
          <w:rFonts w:hint="eastAsia" w:ascii="宋体" w:hAnsi="宋体" w:cs="宋体"/>
          <w:color w:val="auto"/>
          <w:sz w:val="24"/>
          <w:highlight w:val="none"/>
        </w:rPr>
        <w:t>1.符合性审查</w:t>
      </w:r>
    </w:p>
    <w:p w14:paraId="6445798A">
      <w:pPr>
        <w:pStyle w:val="24"/>
        <w:snapToGrid w:val="0"/>
        <w:spacing w:line="360" w:lineRule="auto"/>
        <w:ind w:left="1" w:firstLine="420"/>
        <w:rPr>
          <w:rFonts w:hAnsi="宋体" w:cs="宋体"/>
          <w:b/>
          <w:color w:val="auto"/>
          <w:kern w:val="2"/>
          <w:sz w:val="24"/>
          <w:szCs w:val="24"/>
          <w:highlight w:val="none"/>
        </w:rPr>
      </w:pPr>
      <w:r>
        <w:rPr>
          <w:rFonts w:hint="eastAsia" w:hAnsi="宋体" w:cs="宋体"/>
          <w:b/>
          <w:color w:val="auto"/>
          <w:kern w:val="2"/>
          <w:sz w:val="24"/>
          <w:szCs w:val="24"/>
          <w:highlight w:val="none"/>
        </w:rPr>
        <w:t>评标委员会应当对符合资格的投标人的投标文件进行投标报价、商务、技术等实质性内容符合性审查，以确定其是否满足招标文件的实质性要求。</w:t>
      </w:r>
    </w:p>
    <w:p w14:paraId="691B8431">
      <w:pPr>
        <w:pStyle w:val="8"/>
        <w:keepNext w:val="0"/>
        <w:keepLines w:val="0"/>
        <w:spacing w:before="0" w:after="0" w:line="360" w:lineRule="auto"/>
        <w:ind w:left="420" w:leftChars="200"/>
        <w:rPr>
          <w:rFonts w:ascii="宋体" w:hAnsi="宋体" w:cs="宋体"/>
          <w:color w:val="auto"/>
          <w:sz w:val="24"/>
          <w:highlight w:val="none"/>
        </w:rPr>
      </w:pPr>
      <w:r>
        <w:rPr>
          <w:rFonts w:hint="eastAsia" w:ascii="宋体" w:hAnsi="宋体" w:cs="宋体"/>
          <w:color w:val="auto"/>
          <w:sz w:val="24"/>
          <w:highlight w:val="none"/>
        </w:rPr>
        <w:t>2.符合性审查不通过而导致投标无效的情形</w:t>
      </w:r>
    </w:p>
    <w:p w14:paraId="18CB0E75">
      <w:pPr>
        <w:snapToGrid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投标人的投标文件中存在对招标文件的任何实质性要求和条件的负偏离，将被视为投标无效。</w:t>
      </w:r>
    </w:p>
    <w:p w14:paraId="6F9553E3">
      <w:pPr>
        <w:pStyle w:val="8"/>
        <w:keepNext w:val="0"/>
        <w:keepLines w:val="0"/>
        <w:spacing w:before="0" w:after="0" w:line="360" w:lineRule="auto"/>
        <w:ind w:left="420" w:leftChars="200"/>
        <w:rPr>
          <w:rFonts w:ascii="宋体" w:hAnsi="宋体" w:cs="宋体"/>
          <w:color w:val="auto"/>
          <w:sz w:val="24"/>
          <w:highlight w:val="none"/>
        </w:rPr>
      </w:pPr>
      <w:r>
        <w:rPr>
          <w:rFonts w:hint="eastAsia" w:ascii="宋体" w:hAnsi="宋体" w:cs="宋体"/>
          <w:color w:val="auto"/>
          <w:sz w:val="24"/>
          <w:highlight w:val="none"/>
        </w:rPr>
        <w:t>2.1在报价评审时，如发现下列情形之一的，将被视为投标无效：</w:t>
      </w:r>
    </w:p>
    <w:p w14:paraId="3446D55B">
      <w:pPr>
        <w:pStyle w:val="6"/>
        <w:numPr>
          <w:ilvl w:val="0"/>
          <w:numId w:val="5"/>
        </w:numPr>
        <w:spacing w:line="360" w:lineRule="auto"/>
        <w:ind w:firstLine="422"/>
        <w:rPr>
          <w:rFonts w:ascii="宋体" w:hAnsi="宋体" w:cs="宋体"/>
          <w:b/>
          <w:color w:val="auto"/>
          <w:sz w:val="24"/>
          <w:szCs w:val="24"/>
          <w:highlight w:val="none"/>
        </w:rPr>
      </w:pPr>
      <w:r>
        <w:rPr>
          <w:rFonts w:hint="eastAsia" w:ascii="宋体" w:hAnsi="宋体" w:cs="宋体"/>
          <w:b/>
          <w:color w:val="auto"/>
          <w:spacing w:val="-6"/>
          <w:sz w:val="24"/>
          <w:szCs w:val="24"/>
          <w:highlight w:val="none"/>
        </w:rPr>
        <w:t>报价文件</w:t>
      </w:r>
      <w:r>
        <w:rPr>
          <w:rFonts w:hint="eastAsia" w:ascii="宋体" w:hAnsi="宋体" w:cs="宋体"/>
          <w:b/>
          <w:color w:val="auto"/>
          <w:sz w:val="24"/>
          <w:szCs w:val="24"/>
          <w:highlight w:val="none"/>
        </w:rPr>
        <w:t>未提供“投标人须知前附表”第13.1条规定中“必须提供”的文件资料的；</w:t>
      </w:r>
    </w:p>
    <w:p w14:paraId="1B600016">
      <w:pPr>
        <w:pStyle w:val="6"/>
        <w:numPr>
          <w:ilvl w:val="0"/>
          <w:numId w:val="5"/>
        </w:numPr>
        <w:spacing w:line="360" w:lineRule="auto"/>
        <w:ind w:firstLine="422"/>
        <w:rPr>
          <w:rFonts w:ascii="宋体" w:hAnsi="宋体" w:cs="宋体"/>
          <w:b/>
          <w:color w:val="auto"/>
          <w:sz w:val="24"/>
          <w:szCs w:val="24"/>
          <w:highlight w:val="none"/>
        </w:rPr>
      </w:pPr>
      <w:r>
        <w:rPr>
          <w:rFonts w:hint="eastAsia" w:ascii="宋体" w:hAnsi="宋体" w:cs="宋体"/>
          <w:b/>
          <w:color w:val="auto"/>
          <w:sz w:val="24"/>
          <w:szCs w:val="24"/>
          <w:highlight w:val="none"/>
        </w:rPr>
        <w:t>未采用人民币报价的或者未按照招标文件标明的币种报价的；</w:t>
      </w:r>
    </w:p>
    <w:p w14:paraId="397BF194">
      <w:pPr>
        <w:pStyle w:val="6"/>
        <w:numPr>
          <w:ilvl w:val="0"/>
          <w:numId w:val="5"/>
        </w:numPr>
        <w:spacing w:line="360" w:lineRule="auto"/>
        <w:ind w:firstLine="422"/>
        <w:rPr>
          <w:rFonts w:ascii="宋体" w:hAnsi="宋体" w:cs="宋体"/>
          <w:b/>
          <w:color w:val="auto"/>
          <w:sz w:val="24"/>
          <w:szCs w:val="24"/>
          <w:highlight w:val="none"/>
        </w:rPr>
      </w:pPr>
      <w:r>
        <w:rPr>
          <w:rFonts w:hint="eastAsia" w:ascii="宋体" w:hAnsi="宋体" w:cs="宋体"/>
          <w:b/>
          <w:color w:val="auto"/>
          <w:sz w:val="24"/>
          <w:szCs w:val="24"/>
          <w:highlight w:val="none"/>
        </w:rPr>
        <w:t>各分标报价超出招标文件相应分标规定最高限价，或者超出相应分标采购预算金额的；</w:t>
      </w:r>
    </w:p>
    <w:p w14:paraId="38061205">
      <w:pPr>
        <w:pStyle w:val="6"/>
        <w:numPr>
          <w:ilvl w:val="0"/>
          <w:numId w:val="5"/>
        </w:numPr>
        <w:spacing w:line="360" w:lineRule="auto"/>
        <w:ind w:firstLine="422"/>
        <w:rPr>
          <w:rFonts w:ascii="宋体" w:hAnsi="宋体" w:cs="宋体"/>
          <w:b/>
          <w:color w:val="auto"/>
          <w:sz w:val="24"/>
          <w:szCs w:val="24"/>
          <w:highlight w:val="none"/>
        </w:rPr>
      </w:pPr>
      <w:r>
        <w:rPr>
          <w:rFonts w:hint="eastAsia" w:ascii="宋体" w:hAnsi="宋体" w:cs="宋体"/>
          <w:b/>
          <w:color w:val="auto"/>
          <w:sz w:val="24"/>
          <w:szCs w:val="24"/>
          <w:highlight w:val="none"/>
        </w:rPr>
        <w:t>投标人未就所投分标进行报价或者存在漏项报价；投标人未就所投分标的单项内容作唯一报价；投标人未就所投分标的全部内容作完整唯一总价报价；存在有选择、有条件报价的（招标文件允许有备选方案或者其他约定的除外）；</w:t>
      </w:r>
    </w:p>
    <w:p w14:paraId="3B846D10">
      <w:pPr>
        <w:pStyle w:val="6"/>
        <w:numPr>
          <w:ilvl w:val="0"/>
          <w:numId w:val="5"/>
        </w:numPr>
        <w:spacing w:line="360" w:lineRule="auto"/>
        <w:ind w:firstLine="422"/>
        <w:rPr>
          <w:rFonts w:ascii="宋体" w:hAnsi="宋体" w:cs="宋体"/>
          <w:b/>
          <w:color w:val="auto"/>
          <w:sz w:val="24"/>
          <w:szCs w:val="24"/>
          <w:highlight w:val="none"/>
        </w:rPr>
      </w:pPr>
      <w:r>
        <w:rPr>
          <w:rFonts w:hint="eastAsia" w:ascii="宋体" w:hAnsi="宋体" w:cs="宋体"/>
          <w:b/>
          <w:color w:val="auto"/>
          <w:sz w:val="24"/>
          <w:szCs w:val="24"/>
          <w:highlight w:val="none"/>
        </w:rPr>
        <w:t>修正后的报价，投标人不确认的；</w:t>
      </w:r>
    </w:p>
    <w:p w14:paraId="4F146A84">
      <w:pPr>
        <w:pStyle w:val="6"/>
        <w:numPr>
          <w:ilvl w:val="0"/>
          <w:numId w:val="5"/>
        </w:numPr>
        <w:spacing w:line="360" w:lineRule="auto"/>
        <w:ind w:firstLine="422"/>
        <w:rPr>
          <w:rFonts w:ascii="宋体" w:hAnsi="宋体" w:cs="宋体"/>
          <w:b/>
          <w:color w:val="auto"/>
          <w:sz w:val="24"/>
          <w:szCs w:val="24"/>
          <w:highlight w:val="none"/>
        </w:rPr>
      </w:pPr>
      <w:r>
        <w:rPr>
          <w:rFonts w:hint="eastAsia" w:ascii="宋体" w:hAnsi="宋体" w:cs="宋体"/>
          <w:b/>
          <w:color w:val="auto"/>
          <w:sz w:val="24"/>
          <w:szCs w:val="24"/>
          <w:highlight w:val="none"/>
        </w:rPr>
        <w:t>投标人属于本章第5.1条（2）或者第5.2条（2）项情形的；</w:t>
      </w:r>
    </w:p>
    <w:p w14:paraId="551E0852">
      <w:pPr>
        <w:pStyle w:val="6"/>
        <w:numPr>
          <w:ilvl w:val="0"/>
          <w:numId w:val="5"/>
        </w:numPr>
        <w:spacing w:line="360" w:lineRule="auto"/>
        <w:ind w:firstLine="422"/>
        <w:rPr>
          <w:rFonts w:ascii="宋体" w:hAnsi="宋体" w:cs="宋体"/>
          <w:b/>
          <w:color w:val="auto"/>
          <w:sz w:val="24"/>
          <w:szCs w:val="24"/>
          <w:highlight w:val="none"/>
        </w:rPr>
      </w:pPr>
      <w:r>
        <w:rPr>
          <w:rFonts w:hint="eastAsia" w:ascii="宋体" w:hAnsi="宋体" w:cs="宋体"/>
          <w:b/>
          <w:color w:val="auto"/>
          <w:spacing w:val="-6"/>
          <w:sz w:val="24"/>
          <w:szCs w:val="24"/>
          <w:highlight w:val="none"/>
        </w:rPr>
        <w:t>报价文件</w:t>
      </w:r>
      <w:r>
        <w:rPr>
          <w:rFonts w:hint="eastAsia" w:ascii="宋体" w:hAnsi="宋体" w:cs="宋体"/>
          <w:b/>
          <w:color w:val="auto"/>
          <w:sz w:val="24"/>
          <w:szCs w:val="24"/>
          <w:highlight w:val="none"/>
        </w:rPr>
        <w:t>响应的标的数量及单位与招标文件要求实质性不一致的。</w:t>
      </w:r>
    </w:p>
    <w:p w14:paraId="660AC8C7">
      <w:pPr>
        <w:pStyle w:val="8"/>
        <w:keepNext w:val="0"/>
        <w:keepLines w:val="0"/>
        <w:spacing w:before="0" w:after="0" w:line="360" w:lineRule="auto"/>
        <w:ind w:left="420" w:leftChars="200"/>
        <w:rPr>
          <w:rFonts w:ascii="宋体" w:hAnsi="宋体" w:cs="宋体"/>
          <w:color w:val="auto"/>
          <w:sz w:val="24"/>
          <w:highlight w:val="none"/>
        </w:rPr>
      </w:pPr>
      <w:r>
        <w:rPr>
          <w:rFonts w:hint="eastAsia" w:ascii="宋体" w:hAnsi="宋体" w:cs="宋体"/>
          <w:color w:val="auto"/>
          <w:sz w:val="24"/>
          <w:highlight w:val="none"/>
        </w:rPr>
        <w:t>2.2在商务评审时，如发现下列情形之一的，将被视为投标无效：</w:t>
      </w:r>
    </w:p>
    <w:p w14:paraId="5AF8121A">
      <w:pPr>
        <w:numPr>
          <w:ilvl w:val="0"/>
          <w:numId w:val="6"/>
        </w:numPr>
        <w:snapToGrid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投标文件未按招标文件要求签署、盖章的；</w:t>
      </w:r>
    </w:p>
    <w:p w14:paraId="26067E84">
      <w:pPr>
        <w:numPr>
          <w:ilvl w:val="0"/>
          <w:numId w:val="6"/>
        </w:numPr>
        <w:snapToGrid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委托代理人未能出具有效身份证或者出具的身份证与授权委托书中的信息不符的；</w:t>
      </w:r>
    </w:p>
    <w:p w14:paraId="7A4C3CEB">
      <w:pPr>
        <w:numPr>
          <w:ilvl w:val="0"/>
          <w:numId w:val="6"/>
        </w:numPr>
        <w:snapToGrid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为无效投标保证金的或者未按照招标文件的规定提交投标保证金的；</w:t>
      </w:r>
    </w:p>
    <w:p w14:paraId="0C4AE935">
      <w:pPr>
        <w:numPr>
          <w:ilvl w:val="0"/>
          <w:numId w:val="6"/>
        </w:numPr>
        <w:snapToGrid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投标文件未提供“投标人须知前附表”第13.1条规定中“必须提供”或者“委托时必须提供”的文件资料的；</w:t>
      </w:r>
    </w:p>
    <w:p w14:paraId="77CF05F0">
      <w:pPr>
        <w:numPr>
          <w:ilvl w:val="0"/>
          <w:numId w:val="6"/>
        </w:numPr>
        <w:snapToGrid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商务要求评审允许负偏离的条款数超过“投标人须知前附表”规定项数的；</w:t>
      </w:r>
    </w:p>
    <w:p w14:paraId="5E98FD46">
      <w:pPr>
        <w:numPr>
          <w:ilvl w:val="0"/>
          <w:numId w:val="6"/>
        </w:numPr>
        <w:snapToGrid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投标文件的实质性内容未使用中文表述、使用计量单位不符合招标文件要求的；</w:t>
      </w:r>
    </w:p>
    <w:p w14:paraId="72F526E5">
      <w:pPr>
        <w:numPr>
          <w:ilvl w:val="0"/>
          <w:numId w:val="6"/>
        </w:numPr>
        <w:snapToGrid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投标文件中的文件资料因填写不齐全或者内容虚假或者出现其他情形而导致被评标委员会认定无效的；</w:t>
      </w:r>
    </w:p>
    <w:p w14:paraId="0A63A08D">
      <w:pPr>
        <w:numPr>
          <w:ilvl w:val="0"/>
          <w:numId w:val="6"/>
        </w:numPr>
        <w:snapToGrid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投标文件含有采购人不能接受的附加条件的；</w:t>
      </w:r>
    </w:p>
    <w:p w14:paraId="7A4F7F38">
      <w:pPr>
        <w:numPr>
          <w:ilvl w:val="0"/>
          <w:numId w:val="6"/>
        </w:numPr>
        <w:snapToGrid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属于投标人须知正文第9.2条情形的；</w:t>
      </w:r>
    </w:p>
    <w:p w14:paraId="17D4FF55">
      <w:pPr>
        <w:numPr>
          <w:ilvl w:val="0"/>
          <w:numId w:val="6"/>
        </w:numPr>
        <w:snapToGrid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投标文件标注的项目名称或者项目编号与招标文件标注的项目名称或者项目编号不一致的；</w:t>
      </w:r>
    </w:p>
    <w:p w14:paraId="23B6499B">
      <w:pPr>
        <w:numPr>
          <w:ilvl w:val="0"/>
          <w:numId w:val="6"/>
        </w:numPr>
        <w:snapToGrid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招标文件明确不允许分包，投标文件拟分包的；</w:t>
      </w:r>
    </w:p>
    <w:p w14:paraId="6FE55CDB">
      <w:pPr>
        <w:numPr>
          <w:ilvl w:val="0"/>
          <w:numId w:val="6"/>
        </w:numPr>
        <w:snapToGrid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未响应招标文件实质性要求的；</w:t>
      </w:r>
    </w:p>
    <w:p w14:paraId="70E7E6B6">
      <w:pPr>
        <w:numPr>
          <w:ilvl w:val="0"/>
          <w:numId w:val="6"/>
        </w:numPr>
        <w:snapToGrid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法律、法规和招标文件规定的其他无效情形。</w:t>
      </w:r>
    </w:p>
    <w:p w14:paraId="380F3E18">
      <w:pPr>
        <w:pStyle w:val="8"/>
        <w:keepNext w:val="0"/>
        <w:keepLines w:val="0"/>
        <w:spacing w:before="0" w:after="0" w:line="360" w:lineRule="auto"/>
        <w:ind w:left="420" w:leftChars="200"/>
        <w:rPr>
          <w:rFonts w:ascii="宋体" w:hAnsi="宋体" w:cs="宋体"/>
          <w:color w:val="auto"/>
          <w:sz w:val="24"/>
          <w:highlight w:val="none"/>
        </w:rPr>
      </w:pPr>
      <w:r>
        <w:rPr>
          <w:rFonts w:hint="eastAsia" w:ascii="宋体" w:hAnsi="宋体" w:cs="宋体"/>
          <w:color w:val="auto"/>
          <w:sz w:val="24"/>
          <w:highlight w:val="none"/>
        </w:rPr>
        <w:t>2.3在技术评审时，如发现下列情形之一的，将被视为投标无效：</w:t>
      </w:r>
    </w:p>
    <w:p w14:paraId="44D3E647">
      <w:pPr>
        <w:pStyle w:val="19"/>
        <w:snapToGrid w:val="0"/>
        <w:spacing w:line="360" w:lineRule="auto"/>
        <w:ind w:firstLine="472" w:firstLineChars="196"/>
        <w:rPr>
          <w:rFonts w:ascii="宋体" w:hAnsi="宋体" w:eastAsia="宋体" w:cs="宋体"/>
          <w:b/>
          <w:color w:val="auto"/>
          <w:kern w:val="2"/>
          <w:sz w:val="24"/>
          <w:szCs w:val="24"/>
          <w:highlight w:val="none"/>
        </w:rPr>
      </w:pPr>
      <w:r>
        <w:rPr>
          <w:rFonts w:hint="eastAsia" w:ascii="宋体" w:hAnsi="宋体" w:eastAsia="宋体" w:cs="宋体"/>
          <w:b/>
          <w:color w:val="auto"/>
          <w:kern w:val="2"/>
          <w:sz w:val="24"/>
          <w:szCs w:val="24"/>
          <w:highlight w:val="none"/>
        </w:rPr>
        <w:t>（1）技术要求评审允许负偏离的条款数超过“投标人须知前附表”规定项数的；</w:t>
      </w:r>
    </w:p>
    <w:p w14:paraId="196F5046">
      <w:pPr>
        <w:pStyle w:val="19"/>
        <w:snapToGrid w:val="0"/>
        <w:spacing w:line="360" w:lineRule="auto"/>
        <w:ind w:firstLine="472" w:firstLineChars="196"/>
        <w:rPr>
          <w:rFonts w:ascii="宋体" w:hAnsi="宋体" w:eastAsia="宋体" w:cs="宋体"/>
          <w:b/>
          <w:color w:val="auto"/>
          <w:kern w:val="2"/>
          <w:sz w:val="24"/>
          <w:szCs w:val="24"/>
          <w:highlight w:val="none"/>
        </w:rPr>
      </w:pPr>
      <w:r>
        <w:rPr>
          <w:rFonts w:hint="eastAsia" w:ascii="宋体" w:hAnsi="宋体" w:eastAsia="宋体" w:cs="宋体"/>
          <w:b/>
          <w:color w:val="auto"/>
          <w:kern w:val="2"/>
          <w:sz w:val="24"/>
          <w:szCs w:val="24"/>
          <w:highlight w:val="none"/>
        </w:rPr>
        <w:t>（2）投标文件未提供“投标人须知前附表”第13.1条规定中“必须提供”的文件资料的；</w:t>
      </w:r>
    </w:p>
    <w:p w14:paraId="4C0C903D">
      <w:pPr>
        <w:pStyle w:val="19"/>
        <w:snapToGrid w:val="0"/>
        <w:spacing w:line="360" w:lineRule="auto"/>
        <w:ind w:firstLine="472" w:firstLineChars="196"/>
        <w:rPr>
          <w:rFonts w:ascii="宋体" w:hAnsi="宋体" w:eastAsia="宋体" w:cs="宋体"/>
          <w:b/>
          <w:color w:val="auto"/>
          <w:kern w:val="2"/>
          <w:sz w:val="24"/>
          <w:szCs w:val="24"/>
          <w:highlight w:val="none"/>
        </w:rPr>
      </w:pPr>
      <w:r>
        <w:rPr>
          <w:rFonts w:hint="eastAsia" w:ascii="宋体" w:hAnsi="宋体" w:eastAsia="宋体" w:cs="宋体"/>
          <w:b/>
          <w:color w:val="auto"/>
          <w:kern w:val="2"/>
          <w:sz w:val="24"/>
          <w:szCs w:val="24"/>
          <w:highlight w:val="none"/>
        </w:rPr>
        <w:t>（3）虚假投标，或者出现其他情形而导致被评标委员会认定无效的；</w:t>
      </w:r>
    </w:p>
    <w:p w14:paraId="74FDCF10">
      <w:pPr>
        <w:pStyle w:val="19"/>
        <w:snapToGrid w:val="0"/>
        <w:spacing w:line="360" w:lineRule="auto"/>
        <w:ind w:firstLine="472" w:firstLineChars="196"/>
        <w:rPr>
          <w:rFonts w:ascii="宋体" w:hAnsi="宋体" w:eastAsia="宋体" w:cs="宋体"/>
          <w:b/>
          <w:color w:val="auto"/>
          <w:kern w:val="2"/>
          <w:sz w:val="24"/>
          <w:szCs w:val="24"/>
          <w:highlight w:val="none"/>
        </w:rPr>
      </w:pPr>
      <w:r>
        <w:rPr>
          <w:rFonts w:hint="eastAsia" w:ascii="宋体" w:hAnsi="宋体" w:eastAsia="宋体" w:cs="宋体"/>
          <w:b/>
          <w:color w:val="auto"/>
          <w:kern w:val="2"/>
          <w:sz w:val="24"/>
          <w:szCs w:val="24"/>
          <w:highlight w:val="none"/>
        </w:rPr>
        <w:t>（4）</w:t>
      </w:r>
      <w:bookmarkStart w:id="137" w:name="_Hlk71706244"/>
      <w:r>
        <w:rPr>
          <w:rFonts w:hint="eastAsia" w:ascii="宋体" w:hAnsi="宋体" w:eastAsia="宋体" w:cs="宋体"/>
          <w:b/>
          <w:color w:val="auto"/>
          <w:kern w:val="2"/>
          <w:sz w:val="24"/>
          <w:szCs w:val="24"/>
          <w:highlight w:val="none"/>
        </w:rPr>
        <w:t>招标文件未载明允许提供备选（替代）投标方案或明确不允许提供备选（替代）投标方案时，投标人提供了备选（替代）投标方案的；</w:t>
      </w:r>
      <w:bookmarkEnd w:id="137"/>
    </w:p>
    <w:p w14:paraId="63C539B3">
      <w:pPr>
        <w:pStyle w:val="19"/>
        <w:snapToGrid w:val="0"/>
        <w:spacing w:line="360" w:lineRule="auto"/>
        <w:ind w:firstLine="472" w:firstLineChars="196"/>
        <w:rPr>
          <w:rFonts w:ascii="宋体" w:hAnsi="宋体" w:eastAsia="宋体" w:cs="宋体"/>
          <w:b/>
          <w:color w:val="auto"/>
          <w:kern w:val="2"/>
          <w:sz w:val="24"/>
          <w:szCs w:val="24"/>
          <w:highlight w:val="none"/>
        </w:rPr>
      </w:pPr>
      <w:r>
        <w:rPr>
          <w:rFonts w:hint="eastAsia" w:ascii="宋体" w:hAnsi="宋体" w:eastAsia="宋体" w:cs="宋体"/>
          <w:b/>
          <w:color w:val="auto"/>
          <w:kern w:val="2"/>
          <w:sz w:val="24"/>
          <w:szCs w:val="24"/>
          <w:highlight w:val="none"/>
        </w:rPr>
        <w:t>（5）未响应招标文件实质性要求的。</w:t>
      </w:r>
    </w:p>
    <w:p w14:paraId="41FEA90C">
      <w:pPr>
        <w:pStyle w:val="19"/>
        <w:snapToGrid w:val="0"/>
        <w:spacing w:line="360" w:lineRule="auto"/>
        <w:ind w:firstLine="472" w:firstLineChars="196"/>
        <w:rPr>
          <w:rFonts w:ascii="宋体" w:hAnsi="宋体" w:eastAsia="宋体" w:cs="宋体"/>
          <w:b/>
          <w:color w:val="auto"/>
          <w:kern w:val="2"/>
          <w:sz w:val="24"/>
          <w:szCs w:val="24"/>
          <w:highlight w:val="none"/>
        </w:rPr>
      </w:pPr>
      <w:r>
        <w:rPr>
          <w:rFonts w:hint="eastAsia" w:ascii="宋体" w:hAnsi="宋体" w:eastAsia="宋体" w:cs="宋体"/>
          <w:b/>
          <w:color w:val="auto"/>
          <w:kern w:val="2"/>
          <w:sz w:val="24"/>
          <w:szCs w:val="24"/>
          <w:highlight w:val="none"/>
        </w:rPr>
        <w:t>2.4通过符合性审查的投标人不足3家，评标委员会不得继续评标，并出具评标报告。</w:t>
      </w:r>
    </w:p>
    <w:p w14:paraId="522B1039">
      <w:pPr>
        <w:pStyle w:val="8"/>
        <w:keepNext w:val="0"/>
        <w:keepLines w:val="0"/>
        <w:spacing w:before="0" w:after="0" w:line="360" w:lineRule="auto"/>
        <w:ind w:left="420" w:leftChars="200"/>
        <w:rPr>
          <w:rFonts w:ascii="宋体" w:hAnsi="宋体" w:cs="宋体"/>
          <w:color w:val="auto"/>
          <w:sz w:val="24"/>
          <w:highlight w:val="none"/>
        </w:rPr>
      </w:pPr>
      <w:r>
        <w:rPr>
          <w:rFonts w:hint="eastAsia" w:ascii="宋体" w:hAnsi="宋体" w:cs="宋体"/>
          <w:color w:val="auto"/>
          <w:sz w:val="24"/>
          <w:highlight w:val="none"/>
        </w:rPr>
        <w:t>3.澄清补正</w:t>
      </w:r>
    </w:p>
    <w:p w14:paraId="56019E98">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对投标文件中含义不明确、同类问题表述不一致或者有明显文字和计算错误的内容，评标委员会以电子澄清函形式要求投标人在规定时间内作出必要的澄清、说明或者纠正。投标人的澄清、说明或者补正必须采用电子回函形式，并加盖投标人公章，或者由法定代表人或者其授权的代表签字。投标人的澄清、说明或者补正不得超出投标文件的范围或者改变投标文件的实质性内容。</w:t>
      </w:r>
    </w:p>
    <w:p w14:paraId="383A7E5D">
      <w:pPr>
        <w:pStyle w:val="8"/>
        <w:keepNext w:val="0"/>
        <w:keepLines w:val="0"/>
        <w:spacing w:before="0" w:after="0" w:line="360" w:lineRule="auto"/>
        <w:ind w:left="420" w:leftChars="200"/>
        <w:rPr>
          <w:rFonts w:ascii="宋体" w:hAnsi="宋体" w:cs="宋体"/>
          <w:color w:val="auto"/>
          <w:sz w:val="24"/>
          <w:highlight w:val="none"/>
        </w:rPr>
      </w:pPr>
      <w:r>
        <w:rPr>
          <w:rFonts w:hint="eastAsia" w:ascii="宋体" w:hAnsi="宋体" w:cs="宋体"/>
          <w:color w:val="auto"/>
          <w:sz w:val="24"/>
          <w:highlight w:val="none"/>
        </w:rPr>
        <w:t>4.投标文件修正</w:t>
      </w:r>
    </w:p>
    <w:p w14:paraId="57B8E0B3">
      <w:pPr>
        <w:pStyle w:val="8"/>
        <w:keepNext w:val="0"/>
        <w:keepLines w:val="0"/>
        <w:spacing w:before="0" w:after="0" w:line="360" w:lineRule="auto"/>
        <w:ind w:left="420" w:leftChars="200"/>
        <w:rPr>
          <w:rFonts w:ascii="宋体" w:hAnsi="宋体" w:cs="宋体"/>
          <w:b w:val="0"/>
          <w:color w:val="auto"/>
          <w:sz w:val="24"/>
          <w:highlight w:val="none"/>
        </w:rPr>
      </w:pPr>
      <w:r>
        <w:rPr>
          <w:rFonts w:hint="eastAsia" w:ascii="宋体" w:hAnsi="宋体" w:cs="宋体"/>
          <w:b w:val="0"/>
          <w:color w:val="auto"/>
          <w:sz w:val="24"/>
          <w:highlight w:val="none"/>
        </w:rPr>
        <w:t xml:space="preserve">4.1投标文件报价出现前后不一致的，按照下列规定修正： </w:t>
      </w:r>
    </w:p>
    <w:p w14:paraId="0AE83E63">
      <w:pPr>
        <w:pStyle w:val="24"/>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（1）投标文件中开标一览表（报价表）内容与投标文件中相应内容不一致的，以开标一览表（报价表）为准；</w:t>
      </w:r>
    </w:p>
    <w:p w14:paraId="5E00E123">
      <w:pPr>
        <w:pStyle w:val="24"/>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（2）大写金额和小写金额不一致的，以大写金额为准；</w:t>
      </w:r>
    </w:p>
    <w:p w14:paraId="386B6AF3">
      <w:pPr>
        <w:pStyle w:val="24"/>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（3）单价金额小数点或者百分比有明显错位的，以开标一览表的总价为准，并修改单价；</w:t>
      </w:r>
    </w:p>
    <w:p w14:paraId="7C73C94E">
      <w:pPr>
        <w:pStyle w:val="24"/>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（4）总价金额与按单价汇总金额不一致的，以单价金额计算结果为准。</w:t>
      </w:r>
    </w:p>
    <w:p w14:paraId="023BA0F0">
      <w:pPr>
        <w:pStyle w:val="24"/>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同时出现两种以上不一致的，按照以上（1）-（4）规定的顺序修正。修正后的报价经投标人确认后产生约束力，投标人不确认的，</w:t>
      </w:r>
      <w:r>
        <w:rPr>
          <w:rFonts w:hint="eastAsia" w:hAnsi="宋体" w:cs="宋体"/>
          <w:b/>
          <w:color w:val="auto"/>
          <w:kern w:val="2"/>
          <w:sz w:val="24"/>
          <w:szCs w:val="24"/>
          <w:highlight w:val="none"/>
        </w:rPr>
        <w:t>其投标无效</w:t>
      </w:r>
      <w:r>
        <w:rPr>
          <w:rFonts w:hint="eastAsia" w:hAnsi="宋体" w:cs="宋体"/>
          <w:color w:val="auto"/>
          <w:sz w:val="24"/>
          <w:szCs w:val="24"/>
          <w:highlight w:val="none"/>
        </w:rPr>
        <w:t>。</w:t>
      </w:r>
    </w:p>
    <w:p w14:paraId="6AFE58AB">
      <w:pPr>
        <w:pStyle w:val="8"/>
        <w:keepNext w:val="0"/>
        <w:keepLines w:val="0"/>
        <w:spacing w:before="0" w:after="0" w:line="360" w:lineRule="auto"/>
        <w:rPr>
          <w:rFonts w:ascii="宋体" w:hAnsi="宋体" w:cs="宋体"/>
          <w:b w:val="0"/>
          <w:color w:val="auto"/>
          <w:sz w:val="24"/>
          <w:highlight w:val="none"/>
        </w:rPr>
      </w:pPr>
      <w:r>
        <w:rPr>
          <w:rFonts w:hint="eastAsia" w:ascii="宋体" w:hAnsi="宋体" w:cs="宋体"/>
          <w:b w:val="0"/>
          <w:color w:val="auto"/>
          <w:sz w:val="24"/>
          <w:highlight w:val="none"/>
        </w:rPr>
        <w:t xml:space="preserve">    4.2经投标人确认修正后的报价若超过采购预算金额或者最高限价，</w:t>
      </w:r>
      <w:r>
        <w:rPr>
          <w:rFonts w:hint="eastAsia" w:ascii="宋体" w:hAnsi="宋体" w:cs="宋体"/>
          <w:color w:val="auto"/>
          <w:sz w:val="24"/>
          <w:highlight w:val="none"/>
        </w:rPr>
        <w:t>投标人的投标文件作无效投标处理</w:t>
      </w:r>
      <w:r>
        <w:rPr>
          <w:rFonts w:hint="eastAsia" w:ascii="宋体" w:hAnsi="宋体" w:cs="宋体"/>
          <w:b w:val="0"/>
          <w:color w:val="auto"/>
          <w:sz w:val="24"/>
          <w:highlight w:val="none"/>
        </w:rPr>
        <w:t>。</w:t>
      </w:r>
    </w:p>
    <w:p w14:paraId="22B2D15B">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4.3经投标人确认修正后的报价作为签订合同的依据，并以此报价计算价格分。</w:t>
      </w:r>
    </w:p>
    <w:p w14:paraId="0A3E724E">
      <w:pPr>
        <w:pStyle w:val="8"/>
        <w:keepNext w:val="0"/>
        <w:keepLines w:val="0"/>
        <w:spacing w:before="0" w:after="0" w:line="360" w:lineRule="auto"/>
        <w:ind w:left="420" w:leftChars="200"/>
        <w:rPr>
          <w:rFonts w:ascii="宋体" w:hAnsi="宋体" w:cs="宋体"/>
          <w:color w:val="auto"/>
          <w:sz w:val="24"/>
          <w:highlight w:val="none"/>
        </w:rPr>
      </w:pPr>
      <w:r>
        <w:rPr>
          <w:rFonts w:hint="eastAsia" w:ascii="宋体" w:hAnsi="宋体" w:cs="宋体"/>
          <w:color w:val="auto"/>
          <w:sz w:val="24"/>
          <w:highlight w:val="none"/>
        </w:rPr>
        <w:t>5.比较与评价</w:t>
      </w:r>
    </w:p>
    <w:p w14:paraId="7DDB6888">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5.1采用综合评分法的</w:t>
      </w:r>
    </w:p>
    <w:p w14:paraId="3089BD43">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（1）评标委员会按照招标文件中规定的评标方法及评标标准，对符合性审查合格的投标文件进行商务和技术评估，综合比较与评价。</w:t>
      </w:r>
    </w:p>
    <w:p w14:paraId="53FDC6F6">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（2）评标委员会独立对每个投标人的投标文件进行评价，并汇总每个投标人的得分。</w:t>
      </w:r>
    </w:p>
    <w:p w14:paraId="130237E8">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宋体" w:hAnsi="宋体" w:cs="宋体"/>
          <w:b/>
          <w:color w:val="auto"/>
          <w:sz w:val="24"/>
          <w:highlight w:val="none"/>
        </w:rPr>
        <w:t>投标人不能证明其报价合理性的，评标委员会将其作为无效投标处理</w:t>
      </w:r>
      <w:r>
        <w:rPr>
          <w:rFonts w:hint="eastAsia" w:ascii="宋体" w:hAnsi="宋体" w:cs="宋体"/>
          <w:color w:val="auto"/>
          <w:sz w:val="24"/>
          <w:highlight w:val="none"/>
        </w:rPr>
        <w:t>。</w:t>
      </w:r>
    </w:p>
    <w:p w14:paraId="2C2C3C85">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（3）评标委员会按照招标文件中规定的评标方法和标准计算各投标人的报价得分。在计算过程中，不得去掉最高报价或者最低报价。</w:t>
      </w:r>
    </w:p>
    <w:p w14:paraId="6500B06A">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（4）各投标人的得分为所有评委的有效评分的算术平均数。</w:t>
      </w:r>
    </w:p>
    <w:p w14:paraId="26544296">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（5）评标委员会按照招标文件中的规定推荐中标候选人。</w:t>
      </w:r>
    </w:p>
    <w:p w14:paraId="1BDE5C67">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14:paraId="1A0B488C">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5.2采用</w:t>
      </w:r>
      <w:r>
        <w:rPr>
          <w:rFonts w:hint="eastAsia" w:ascii="宋体" w:hAnsi="宋体" w:cs="宋体"/>
          <w:color w:val="auto"/>
          <w:sz w:val="24"/>
          <w:szCs w:val="32"/>
          <w:highlight w:val="none"/>
        </w:rPr>
        <w:t>最低评标价法</w:t>
      </w:r>
      <w:r>
        <w:rPr>
          <w:rFonts w:hint="eastAsia" w:ascii="宋体" w:hAnsi="宋体" w:cs="宋体"/>
          <w:color w:val="auto"/>
          <w:sz w:val="24"/>
          <w:highlight w:val="none"/>
        </w:rPr>
        <w:t>的</w:t>
      </w:r>
    </w:p>
    <w:p w14:paraId="4A447FFD">
      <w:pPr>
        <w:snapToGrid w:val="0"/>
        <w:spacing w:line="360" w:lineRule="auto"/>
        <w:ind w:firstLine="484" w:firstLineChars="202"/>
        <w:jc w:val="left"/>
        <w:rPr>
          <w:rFonts w:ascii="宋体" w:hAnsi="宋体" w:cs="宋体"/>
          <w:color w:val="auto"/>
          <w:sz w:val="24"/>
          <w:highlight w:val="none"/>
        </w:rPr>
      </w:pPr>
      <w:r>
        <w:rPr>
          <w:rFonts w:hint="eastAsia" w:ascii="宋体" w:hAnsi="宋体" w:cs="宋体"/>
          <w:color w:val="auto"/>
          <w:sz w:val="24"/>
          <w:highlight w:val="none"/>
        </w:rPr>
        <w:t>（1）评标委员会按照招标文件中规定的评标方法及评标标准，对符合性审查合格的投标文件报价进行比较。</w:t>
      </w:r>
    </w:p>
    <w:p w14:paraId="1CBADAB0">
      <w:pPr>
        <w:snapToGrid w:val="0"/>
        <w:spacing w:line="360" w:lineRule="auto"/>
        <w:ind w:firstLine="460" w:firstLineChars="202"/>
        <w:jc w:val="left"/>
        <w:rPr>
          <w:rFonts w:ascii="宋体" w:hAnsi="宋体" w:cs="宋体"/>
          <w:color w:val="auto"/>
          <w:spacing w:val="-6"/>
          <w:sz w:val="24"/>
          <w:highlight w:val="none"/>
        </w:rPr>
      </w:pPr>
      <w:r>
        <w:rPr>
          <w:rFonts w:hint="eastAsia" w:ascii="宋体" w:hAnsi="宋体" w:cs="宋体"/>
          <w:color w:val="auto"/>
          <w:spacing w:val="-6"/>
          <w:sz w:val="24"/>
          <w:highlight w:val="none"/>
        </w:rPr>
        <w:t>（2）评标委员会认为投标人的报价明显低于其他通过符合性审查投标人的报价，有可能影响产品质量或者不能诚信履约的，应当要求其在评标现场合理的时间内提供书面说明，必要时提交相关证明材料；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宋体" w:hAnsi="宋体" w:cs="宋体"/>
          <w:b/>
          <w:color w:val="auto"/>
          <w:spacing w:val="-6"/>
          <w:sz w:val="24"/>
          <w:highlight w:val="none"/>
        </w:rPr>
        <w:t>投标人不能证明其报价合理性的，评标委员会将其作为无效投标处理</w:t>
      </w:r>
      <w:r>
        <w:rPr>
          <w:rFonts w:hint="eastAsia" w:ascii="宋体" w:hAnsi="宋体" w:cs="宋体"/>
          <w:color w:val="auto"/>
          <w:spacing w:val="-6"/>
          <w:sz w:val="24"/>
          <w:highlight w:val="none"/>
        </w:rPr>
        <w:t>。</w:t>
      </w:r>
    </w:p>
    <w:p w14:paraId="1C8ACE40">
      <w:pPr>
        <w:snapToGrid w:val="0"/>
        <w:spacing w:line="360" w:lineRule="auto"/>
        <w:ind w:firstLine="484" w:firstLineChars="202"/>
        <w:jc w:val="left"/>
        <w:rPr>
          <w:rFonts w:ascii="宋体" w:hAnsi="宋体" w:cs="宋体"/>
          <w:color w:val="auto"/>
          <w:sz w:val="24"/>
          <w:highlight w:val="none"/>
        </w:rPr>
      </w:pPr>
      <w:r>
        <w:rPr>
          <w:rFonts w:hint="eastAsia" w:ascii="宋体" w:hAnsi="宋体" w:cs="宋体"/>
          <w:color w:val="auto"/>
          <w:sz w:val="24"/>
          <w:highlight w:val="none"/>
        </w:rPr>
        <w:t>（3）评标委员会按照招标文件中的规定推荐中标候选人。</w:t>
      </w:r>
    </w:p>
    <w:p w14:paraId="0DA61BD7">
      <w:pPr>
        <w:snapToGrid w:val="0"/>
        <w:spacing w:line="360" w:lineRule="auto"/>
        <w:ind w:firstLine="484" w:firstLineChars="202"/>
        <w:jc w:val="left"/>
        <w:rPr>
          <w:rFonts w:ascii="宋体" w:hAnsi="宋体" w:cs="宋体"/>
          <w:color w:val="auto"/>
          <w:sz w:val="24"/>
          <w:highlight w:val="none"/>
        </w:rPr>
      </w:pPr>
      <w:r>
        <w:rPr>
          <w:rFonts w:hint="eastAsia" w:ascii="宋体" w:hAnsi="宋体" w:cs="宋体"/>
          <w:color w:val="auto"/>
          <w:sz w:val="24"/>
          <w:highlight w:val="none"/>
        </w:rPr>
        <w:t>（4）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14:paraId="31AEED01">
      <w:pPr>
        <w:snapToGrid w:val="0"/>
        <w:spacing w:line="360" w:lineRule="auto"/>
        <w:jc w:val="center"/>
        <w:rPr>
          <w:rFonts w:ascii="宋体" w:hAnsi="宋体" w:cs="宋体"/>
          <w:color w:val="auto"/>
          <w:highlight w:val="none"/>
        </w:rPr>
      </w:pPr>
      <w:r>
        <w:rPr>
          <w:rFonts w:hint="eastAsia" w:ascii="宋体" w:hAnsi="宋体" w:cs="宋体"/>
          <w:color w:val="auto"/>
          <w:highlight w:val="none"/>
        </w:rPr>
        <w:br w:type="page"/>
      </w:r>
      <w:r>
        <w:rPr>
          <w:rFonts w:hint="eastAsia" w:ascii="宋体" w:hAnsi="宋体" w:cs="宋体"/>
          <w:b/>
          <w:bCs/>
          <w:color w:val="auto"/>
          <w:sz w:val="32"/>
          <w:szCs w:val="32"/>
          <w:highlight w:val="none"/>
        </w:rPr>
        <w:t>三、评标标准</w:t>
      </w:r>
    </w:p>
    <w:p w14:paraId="1A16694E">
      <w:pPr>
        <w:pStyle w:val="5"/>
        <w:keepNext w:val="0"/>
        <w:keepLines w:val="0"/>
        <w:jc w:val="center"/>
        <w:rPr>
          <w:rFonts w:ascii="宋体" w:hAnsi="宋体" w:cs="宋体"/>
          <w:color w:val="auto"/>
          <w:highlight w:val="none"/>
        </w:rPr>
      </w:pPr>
      <w:r>
        <w:rPr>
          <w:rFonts w:hint="eastAsia" w:ascii="宋体" w:hAnsi="宋体" w:cs="宋体"/>
          <w:color w:val="auto"/>
          <w:highlight w:val="none"/>
        </w:rPr>
        <w:t>综合评分法</w:t>
      </w:r>
    </w:p>
    <w:p w14:paraId="40090735">
      <w:pPr>
        <w:pStyle w:val="24"/>
        <w:spacing w:line="360" w:lineRule="auto"/>
        <w:ind w:firstLine="420"/>
        <w:rPr>
          <w:rFonts w:hAnsi="宋体" w:cs="宋体"/>
          <w:bCs/>
          <w:color w:val="auto"/>
          <w:sz w:val="24"/>
          <w:szCs w:val="24"/>
          <w:highlight w:val="none"/>
        </w:rPr>
      </w:pPr>
      <w:r>
        <w:rPr>
          <w:rFonts w:hint="eastAsia" w:hAnsi="宋体" w:cs="宋体"/>
          <w:bCs/>
          <w:color w:val="auto"/>
          <w:sz w:val="24"/>
          <w:szCs w:val="24"/>
          <w:highlight w:val="none"/>
        </w:rPr>
        <w:t>注：1.计分方法按四舍五入取至百分位；</w:t>
      </w:r>
    </w:p>
    <w:p w14:paraId="6F17E686">
      <w:pPr>
        <w:rPr>
          <w:rFonts w:ascii="宋体" w:hAnsi="宋体" w:cs="宋体"/>
          <w:bCs/>
          <w:color w:val="auto"/>
          <w:kern w:val="0"/>
          <w:sz w:val="24"/>
          <w:highlight w:val="none"/>
        </w:rPr>
      </w:pPr>
      <w:r>
        <w:rPr>
          <w:rFonts w:hint="eastAsia" w:hAnsi="宋体" w:cs="宋体"/>
          <w:bCs/>
          <w:color w:val="auto"/>
          <w:sz w:val="24"/>
          <w:highlight w:val="none"/>
        </w:rPr>
        <w:t xml:space="preserve">    </w:t>
      </w:r>
      <w:r>
        <w:rPr>
          <w:rFonts w:hAnsi="宋体" w:cs="宋体"/>
          <w:bCs/>
          <w:color w:val="auto"/>
          <w:sz w:val="24"/>
          <w:highlight w:val="none"/>
        </w:rPr>
        <w:t xml:space="preserve">    </w:t>
      </w:r>
      <w:r>
        <w:rPr>
          <w:rFonts w:hint="eastAsia" w:ascii="宋体" w:hAnsi="宋体" w:cs="宋体"/>
          <w:bCs/>
          <w:color w:val="auto"/>
          <w:kern w:val="0"/>
          <w:sz w:val="24"/>
          <w:highlight w:val="none"/>
        </w:rPr>
        <w:t>2.因落实政府采购政策进行价格调整的，以调整后的价格计算评标基准价和投标报价。</w:t>
      </w:r>
    </w:p>
    <w:p w14:paraId="5F42C879">
      <w:pPr>
        <w:pStyle w:val="24"/>
        <w:spacing w:line="360" w:lineRule="auto"/>
        <w:ind w:firstLine="420"/>
        <w:rPr>
          <w:rFonts w:hAnsi="宋体" w:cs="宋体"/>
          <w:bCs/>
          <w:color w:val="auto"/>
          <w:sz w:val="24"/>
          <w:szCs w:val="24"/>
          <w:highlight w:val="none"/>
        </w:rPr>
      </w:pPr>
    </w:p>
    <w:tbl>
      <w:tblPr>
        <w:tblStyle w:val="47"/>
        <w:tblW w:w="94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517"/>
        <w:gridCol w:w="1772"/>
        <w:gridCol w:w="5655"/>
      </w:tblGrid>
      <w:tr w14:paraId="79F5D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9" w:type="dxa"/>
            <w:gridSpan w:val="4"/>
            <w:tcBorders>
              <w:top w:val="single" w:color="auto" w:sz="4" w:space="0"/>
              <w:left w:val="single" w:color="auto" w:sz="4" w:space="0"/>
              <w:bottom w:val="single" w:color="auto" w:sz="4" w:space="0"/>
              <w:right w:val="single" w:color="auto" w:sz="4" w:space="0"/>
            </w:tcBorders>
            <w:vAlign w:val="center"/>
          </w:tcPr>
          <w:p w14:paraId="6F915E78">
            <w:pPr>
              <w:adjustRightInd w:val="0"/>
              <w:spacing w:line="360" w:lineRule="auto"/>
              <w:jc w:val="center"/>
              <w:textAlignment w:val="baseline"/>
              <w:rPr>
                <w:rFonts w:ascii="宋体" w:hAnsi="宋体" w:cs="宋体"/>
                <w:b/>
                <w:color w:val="auto"/>
                <w:sz w:val="24"/>
                <w:highlight w:val="none"/>
              </w:rPr>
            </w:pPr>
            <w:r>
              <w:rPr>
                <w:rFonts w:hint="eastAsia" w:ascii="宋体" w:hAnsi="宋体" w:cs="宋体"/>
                <w:b/>
                <w:color w:val="auto"/>
                <w:sz w:val="24"/>
                <w:highlight w:val="none"/>
              </w:rPr>
              <w:t>1分标</w:t>
            </w:r>
          </w:p>
        </w:tc>
      </w:tr>
      <w:tr w14:paraId="4BCFA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2" w:type="dxa"/>
            <w:gridSpan w:val="2"/>
            <w:tcBorders>
              <w:top w:val="single" w:color="auto" w:sz="4" w:space="0"/>
              <w:left w:val="single" w:color="auto" w:sz="4" w:space="0"/>
              <w:bottom w:val="single" w:color="auto" w:sz="4" w:space="0"/>
              <w:right w:val="single" w:color="auto" w:sz="4" w:space="0"/>
            </w:tcBorders>
            <w:vAlign w:val="center"/>
          </w:tcPr>
          <w:p w14:paraId="454A1447">
            <w:pPr>
              <w:adjustRightInd w:val="0"/>
              <w:spacing w:line="360" w:lineRule="auto"/>
              <w:jc w:val="center"/>
              <w:textAlignment w:val="baseline"/>
              <w:rPr>
                <w:rFonts w:ascii="宋体" w:hAnsi="宋体" w:cs="宋体"/>
                <w:color w:val="auto"/>
                <w:sz w:val="24"/>
                <w:highlight w:val="none"/>
              </w:rPr>
            </w:pPr>
            <w:r>
              <w:rPr>
                <w:rFonts w:hint="eastAsia" w:ascii="宋体" w:hAnsi="宋体" w:cs="宋体"/>
                <w:b/>
                <w:color w:val="auto"/>
                <w:sz w:val="24"/>
                <w:highlight w:val="none"/>
              </w:rPr>
              <w:t>序号</w:t>
            </w:r>
          </w:p>
        </w:tc>
        <w:tc>
          <w:tcPr>
            <w:tcW w:w="1772" w:type="dxa"/>
            <w:tcBorders>
              <w:top w:val="single" w:color="auto" w:sz="4" w:space="0"/>
              <w:left w:val="single" w:color="auto" w:sz="4" w:space="0"/>
              <w:bottom w:val="single" w:color="auto" w:sz="4" w:space="0"/>
              <w:right w:val="single" w:color="auto" w:sz="4" w:space="0"/>
            </w:tcBorders>
            <w:vAlign w:val="center"/>
          </w:tcPr>
          <w:p w14:paraId="71D5D10F">
            <w:pPr>
              <w:adjustRightInd w:val="0"/>
              <w:spacing w:line="360" w:lineRule="auto"/>
              <w:jc w:val="center"/>
              <w:textAlignment w:val="baseline"/>
              <w:rPr>
                <w:rFonts w:ascii="宋体" w:hAnsi="宋体" w:cs="宋体"/>
                <w:color w:val="auto"/>
                <w:sz w:val="24"/>
                <w:highlight w:val="none"/>
              </w:rPr>
            </w:pPr>
            <w:r>
              <w:rPr>
                <w:rFonts w:hint="eastAsia" w:ascii="宋体" w:hAnsi="宋体" w:cs="宋体"/>
                <w:b/>
                <w:color w:val="auto"/>
                <w:sz w:val="24"/>
                <w:highlight w:val="none"/>
              </w:rPr>
              <w:t>评审因素</w:t>
            </w:r>
          </w:p>
        </w:tc>
        <w:tc>
          <w:tcPr>
            <w:tcW w:w="5655" w:type="dxa"/>
            <w:tcBorders>
              <w:top w:val="single" w:color="auto" w:sz="4" w:space="0"/>
              <w:left w:val="single" w:color="auto" w:sz="4" w:space="0"/>
              <w:bottom w:val="single" w:color="auto" w:sz="4" w:space="0"/>
              <w:right w:val="single" w:color="auto" w:sz="4" w:space="0"/>
            </w:tcBorders>
            <w:vAlign w:val="center"/>
          </w:tcPr>
          <w:p w14:paraId="267D8729">
            <w:pPr>
              <w:adjustRightInd w:val="0"/>
              <w:spacing w:line="360" w:lineRule="auto"/>
              <w:jc w:val="center"/>
              <w:textAlignment w:val="baseline"/>
              <w:rPr>
                <w:rFonts w:ascii="宋体" w:hAnsi="宋体" w:cs="宋体"/>
                <w:color w:val="auto"/>
                <w:sz w:val="24"/>
                <w:highlight w:val="none"/>
              </w:rPr>
            </w:pPr>
            <w:r>
              <w:rPr>
                <w:rFonts w:hint="eastAsia" w:ascii="宋体" w:hAnsi="宋体" w:cs="宋体"/>
                <w:b/>
                <w:color w:val="auto"/>
                <w:sz w:val="24"/>
                <w:highlight w:val="none"/>
              </w:rPr>
              <w:t>评分标准</w:t>
            </w:r>
          </w:p>
        </w:tc>
      </w:tr>
      <w:tr w14:paraId="6BFD6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tcBorders>
              <w:top w:val="single" w:color="auto" w:sz="4" w:space="0"/>
              <w:left w:val="single" w:color="auto" w:sz="4" w:space="0"/>
              <w:bottom w:val="single" w:color="auto" w:sz="4" w:space="0"/>
              <w:right w:val="single" w:color="auto" w:sz="4" w:space="0"/>
            </w:tcBorders>
            <w:vAlign w:val="center"/>
          </w:tcPr>
          <w:p w14:paraId="694CCCA2">
            <w:pPr>
              <w:adjustRightInd w:val="0"/>
              <w:spacing w:line="360" w:lineRule="auto"/>
              <w:jc w:val="center"/>
              <w:textAlignment w:val="baseline"/>
              <w:rPr>
                <w:rFonts w:ascii="宋体" w:hAnsi="宋体" w:cs="宋体"/>
                <w:b/>
                <w:color w:val="auto"/>
                <w:sz w:val="24"/>
                <w:highlight w:val="none"/>
              </w:rPr>
            </w:pPr>
            <w:r>
              <w:rPr>
                <w:rFonts w:hint="eastAsia" w:ascii="宋体" w:hAnsi="宋体" w:cs="宋体"/>
                <w:b/>
                <w:color w:val="auto"/>
                <w:sz w:val="24"/>
                <w:highlight w:val="none"/>
              </w:rPr>
              <w:t>1</w:t>
            </w:r>
          </w:p>
        </w:tc>
        <w:tc>
          <w:tcPr>
            <w:tcW w:w="1517" w:type="dxa"/>
            <w:tcBorders>
              <w:top w:val="single" w:color="auto" w:sz="4" w:space="0"/>
              <w:left w:val="single" w:color="auto" w:sz="4" w:space="0"/>
              <w:bottom w:val="single" w:color="auto" w:sz="4" w:space="0"/>
              <w:right w:val="single" w:color="auto" w:sz="4" w:space="0"/>
            </w:tcBorders>
            <w:vAlign w:val="center"/>
          </w:tcPr>
          <w:p w14:paraId="4B336E18">
            <w:pPr>
              <w:adjustRightInd w:val="0"/>
              <w:spacing w:line="360" w:lineRule="auto"/>
              <w:jc w:val="center"/>
              <w:textAlignment w:val="baseline"/>
              <w:rPr>
                <w:rFonts w:ascii="宋体" w:hAnsi="宋体" w:cs="宋体"/>
                <w:b/>
                <w:color w:val="auto"/>
                <w:sz w:val="24"/>
                <w:highlight w:val="none"/>
              </w:rPr>
            </w:pPr>
            <w:r>
              <w:rPr>
                <w:rFonts w:hint="eastAsia" w:ascii="宋体" w:hAnsi="宋体" w:cs="宋体"/>
                <w:b/>
                <w:color w:val="auto"/>
                <w:sz w:val="24"/>
                <w:highlight w:val="none"/>
              </w:rPr>
              <w:t>价格分</w:t>
            </w:r>
          </w:p>
          <w:p w14:paraId="58D0115A">
            <w:pPr>
              <w:adjustRightInd w:val="0"/>
              <w:spacing w:line="360" w:lineRule="auto"/>
              <w:textAlignment w:val="baseline"/>
              <w:rPr>
                <w:rFonts w:ascii="宋体" w:hAnsi="宋体" w:cs="宋体"/>
                <w:color w:val="auto"/>
                <w:sz w:val="24"/>
                <w:highlight w:val="none"/>
              </w:rPr>
            </w:pPr>
            <w:r>
              <w:rPr>
                <w:rFonts w:hint="eastAsia" w:ascii="宋体" w:hAnsi="宋体" w:cs="宋体"/>
                <w:b/>
                <w:color w:val="auto"/>
                <w:sz w:val="24"/>
                <w:highlight w:val="none"/>
              </w:rPr>
              <w:t>（满30分）</w:t>
            </w:r>
          </w:p>
        </w:tc>
        <w:tc>
          <w:tcPr>
            <w:tcW w:w="1772" w:type="dxa"/>
            <w:tcBorders>
              <w:top w:val="single" w:color="auto" w:sz="4" w:space="0"/>
              <w:left w:val="single" w:color="auto" w:sz="4" w:space="0"/>
              <w:bottom w:val="single" w:color="auto" w:sz="4" w:space="0"/>
              <w:right w:val="single" w:color="auto" w:sz="4" w:space="0"/>
            </w:tcBorders>
            <w:vAlign w:val="center"/>
          </w:tcPr>
          <w:p w14:paraId="24349569">
            <w:pPr>
              <w:adjustRightInd w:val="0"/>
              <w:spacing w:line="360" w:lineRule="auto"/>
              <w:jc w:val="center"/>
              <w:textAlignment w:val="baseline"/>
              <w:rPr>
                <w:rFonts w:ascii="宋体" w:hAnsi="宋体" w:cs="宋体"/>
                <w:color w:val="auto"/>
                <w:sz w:val="24"/>
                <w:highlight w:val="none"/>
              </w:rPr>
            </w:pPr>
            <w:r>
              <w:rPr>
                <w:rFonts w:hint="eastAsia" w:ascii="宋体" w:hAnsi="宋体" w:cs="宋体"/>
                <w:color w:val="auto"/>
                <w:sz w:val="24"/>
                <w:highlight w:val="none"/>
              </w:rPr>
              <w:t>投标报价</w:t>
            </w:r>
          </w:p>
          <w:p w14:paraId="1DDEBEF5">
            <w:pPr>
              <w:adjustRightInd w:val="0"/>
              <w:spacing w:line="360" w:lineRule="auto"/>
              <w:textAlignment w:val="baseline"/>
              <w:rPr>
                <w:rFonts w:ascii="宋体" w:hAnsi="宋体" w:cs="宋体"/>
                <w:color w:val="auto"/>
                <w:sz w:val="24"/>
                <w:highlight w:val="none"/>
              </w:rPr>
            </w:pPr>
            <w:r>
              <w:rPr>
                <w:rFonts w:hint="eastAsia" w:ascii="宋体" w:hAnsi="宋体" w:cs="宋体"/>
                <w:color w:val="auto"/>
                <w:sz w:val="24"/>
                <w:highlight w:val="none"/>
              </w:rPr>
              <w:t>（满分30分）</w:t>
            </w:r>
          </w:p>
        </w:tc>
        <w:tc>
          <w:tcPr>
            <w:tcW w:w="5655" w:type="dxa"/>
            <w:tcBorders>
              <w:top w:val="single" w:color="auto" w:sz="4" w:space="0"/>
              <w:left w:val="single" w:color="auto" w:sz="4" w:space="0"/>
              <w:bottom w:val="single" w:color="auto" w:sz="4" w:space="0"/>
              <w:right w:val="single" w:color="auto" w:sz="4" w:space="0"/>
            </w:tcBorders>
            <w:vAlign w:val="center"/>
          </w:tcPr>
          <w:p w14:paraId="0CC1D2BF">
            <w:pPr>
              <w:numPr>
                <w:ilvl w:val="0"/>
                <w:numId w:val="7"/>
              </w:numPr>
              <w:spacing w:line="360" w:lineRule="auto"/>
              <w:rPr>
                <w:rFonts w:ascii="宋体" w:hAnsi="宋体" w:cs="宋体"/>
                <w:color w:val="auto"/>
                <w:sz w:val="24"/>
                <w:highlight w:val="none"/>
              </w:rPr>
            </w:pPr>
            <w:r>
              <w:rPr>
                <w:rFonts w:hint="eastAsia" w:ascii="宋体" w:hAnsi="宋体" w:cs="宋体"/>
                <w:color w:val="auto"/>
                <w:sz w:val="24"/>
                <w:highlight w:val="none"/>
              </w:rPr>
              <w:t>本项目为专门面向中小企业采购项目，投标人不再享受政策价格扣除。</w:t>
            </w:r>
          </w:p>
          <w:p w14:paraId="237E8C41">
            <w:pPr>
              <w:numPr>
                <w:ilvl w:val="0"/>
                <w:numId w:val="7"/>
              </w:numPr>
              <w:spacing w:line="360" w:lineRule="auto"/>
              <w:rPr>
                <w:rFonts w:ascii="宋体" w:hAnsi="宋体" w:cs="宋体"/>
                <w:color w:val="auto"/>
                <w:sz w:val="24"/>
                <w:highlight w:val="none"/>
              </w:rPr>
            </w:pPr>
            <w:r>
              <w:rPr>
                <w:rFonts w:hint="eastAsia" w:ascii="宋体" w:hAnsi="宋体" w:cs="宋体"/>
                <w:color w:val="auto"/>
                <w:sz w:val="24"/>
                <w:highlight w:val="none"/>
              </w:rPr>
              <w:t>以进入比较与评价环节的最低投标报价为基准价，基准价得分为30分。</w:t>
            </w:r>
          </w:p>
          <w:p w14:paraId="2E850CCC">
            <w:pPr>
              <w:spacing w:line="360" w:lineRule="auto"/>
              <w:rPr>
                <w:rFonts w:ascii="宋体" w:hAnsi="宋体" w:cs="宋体"/>
                <w:color w:val="auto"/>
                <w:sz w:val="24"/>
                <w:highlight w:val="none"/>
              </w:rPr>
            </w:pPr>
            <w:r>
              <w:rPr>
                <w:rFonts w:hint="eastAsia" w:ascii="宋体" w:hAnsi="宋体" w:cs="宋体"/>
                <w:color w:val="auto"/>
                <w:sz w:val="24"/>
                <w:highlight w:val="none"/>
              </w:rPr>
              <w:t>（2）价格分计算公式：</w:t>
            </w:r>
          </w:p>
          <w:p w14:paraId="2828581A">
            <w:pPr>
              <w:spacing w:line="360" w:lineRule="auto"/>
              <w:rPr>
                <w:rFonts w:ascii="宋体" w:hAnsi="宋体" w:cs="宋体"/>
                <w:color w:val="auto"/>
                <w:sz w:val="24"/>
                <w:highlight w:val="none"/>
              </w:rPr>
            </w:pPr>
            <w:r>
              <w:rPr>
                <w:rFonts w:hint="eastAsia" w:ascii="宋体" w:hAnsi="宋体" w:cs="宋体"/>
                <w:color w:val="auto"/>
                <w:sz w:val="24"/>
                <w:highlight w:val="none"/>
              </w:rPr>
              <w:t>某投标人报价得分=（基准价/该投标人的有效报价）×30分</w:t>
            </w:r>
          </w:p>
        </w:tc>
      </w:tr>
      <w:tr w14:paraId="22662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vMerge w:val="restart"/>
            <w:tcBorders>
              <w:top w:val="single" w:color="auto" w:sz="4" w:space="0"/>
              <w:left w:val="single" w:color="auto" w:sz="4" w:space="0"/>
              <w:right w:val="single" w:color="auto" w:sz="4" w:space="0"/>
            </w:tcBorders>
            <w:vAlign w:val="center"/>
          </w:tcPr>
          <w:p w14:paraId="02205515">
            <w:pPr>
              <w:adjustRightInd w:val="0"/>
              <w:spacing w:line="360" w:lineRule="auto"/>
              <w:jc w:val="center"/>
              <w:textAlignment w:val="baseline"/>
              <w:rPr>
                <w:rFonts w:ascii="宋体" w:hAnsi="宋体" w:cs="宋体"/>
                <w:b/>
                <w:color w:val="auto"/>
                <w:sz w:val="24"/>
                <w:highlight w:val="none"/>
              </w:rPr>
            </w:pPr>
            <w:r>
              <w:rPr>
                <w:rFonts w:hint="eastAsia" w:ascii="宋体" w:hAnsi="宋体" w:cs="宋体"/>
                <w:b/>
                <w:color w:val="auto"/>
                <w:sz w:val="24"/>
                <w:highlight w:val="none"/>
              </w:rPr>
              <w:t>2</w:t>
            </w:r>
          </w:p>
        </w:tc>
        <w:tc>
          <w:tcPr>
            <w:tcW w:w="1517" w:type="dxa"/>
            <w:vMerge w:val="restart"/>
            <w:tcBorders>
              <w:top w:val="single" w:color="auto" w:sz="4" w:space="0"/>
              <w:left w:val="single" w:color="auto" w:sz="4" w:space="0"/>
              <w:right w:val="single" w:color="auto" w:sz="4" w:space="0"/>
            </w:tcBorders>
            <w:vAlign w:val="center"/>
          </w:tcPr>
          <w:p w14:paraId="436BC4BD">
            <w:pPr>
              <w:adjustRightInd w:val="0"/>
              <w:spacing w:line="360" w:lineRule="auto"/>
              <w:ind w:left="-105" w:leftChars="-50" w:right="-105" w:rightChars="-50"/>
              <w:jc w:val="center"/>
              <w:textAlignment w:val="baseline"/>
              <w:rPr>
                <w:rFonts w:ascii="宋体" w:hAnsi="宋体" w:cs="宋体"/>
                <w:b/>
                <w:bCs/>
                <w:color w:val="auto"/>
                <w:sz w:val="24"/>
                <w:highlight w:val="none"/>
              </w:rPr>
            </w:pPr>
            <w:r>
              <w:rPr>
                <w:rFonts w:hint="eastAsia" w:ascii="宋体" w:hAnsi="宋体" w:cs="宋体"/>
                <w:b/>
                <w:bCs/>
                <w:color w:val="auto"/>
                <w:sz w:val="24"/>
                <w:highlight w:val="none"/>
              </w:rPr>
              <w:t>技术分</w:t>
            </w:r>
          </w:p>
          <w:p w14:paraId="576B6422">
            <w:pPr>
              <w:adjustRightInd w:val="0"/>
              <w:spacing w:line="360" w:lineRule="auto"/>
              <w:ind w:left="-105" w:leftChars="-50" w:right="-105" w:rightChars="-50"/>
              <w:jc w:val="center"/>
              <w:textAlignment w:val="baseline"/>
              <w:rPr>
                <w:rFonts w:ascii="宋体" w:hAnsi="宋体" w:cs="宋体"/>
                <w:color w:val="auto"/>
                <w:spacing w:val="-18"/>
                <w:sz w:val="24"/>
                <w:highlight w:val="none"/>
              </w:rPr>
            </w:pPr>
            <w:r>
              <w:rPr>
                <w:rFonts w:hint="eastAsia" w:ascii="宋体" w:hAnsi="宋体" w:cs="宋体"/>
                <w:b/>
                <w:bCs/>
                <w:color w:val="auto"/>
                <w:sz w:val="24"/>
                <w:highlight w:val="none"/>
              </w:rPr>
              <w:t>（</w:t>
            </w:r>
            <w:r>
              <w:rPr>
                <w:rFonts w:hint="eastAsia" w:ascii="宋体" w:hAnsi="宋体" w:cs="宋体"/>
                <w:b/>
                <w:color w:val="auto"/>
                <w:sz w:val="24"/>
                <w:highlight w:val="none"/>
              </w:rPr>
              <w:t>满分4</w:t>
            </w:r>
            <w:r>
              <w:rPr>
                <w:rFonts w:hint="eastAsia" w:ascii="宋体" w:hAnsi="宋体" w:cs="宋体"/>
                <w:b/>
                <w:color w:val="auto"/>
                <w:sz w:val="24"/>
                <w:highlight w:val="none"/>
                <w:lang w:val="en-US" w:eastAsia="zh-CN"/>
              </w:rPr>
              <w:t>4</w:t>
            </w:r>
            <w:r>
              <w:rPr>
                <w:rFonts w:hint="eastAsia" w:ascii="宋体" w:hAnsi="宋体" w:cs="宋体"/>
                <w:b/>
                <w:bCs/>
                <w:color w:val="auto"/>
                <w:sz w:val="24"/>
                <w:highlight w:val="none"/>
              </w:rPr>
              <w:t>分）</w:t>
            </w:r>
          </w:p>
        </w:tc>
        <w:tc>
          <w:tcPr>
            <w:tcW w:w="1772" w:type="dxa"/>
            <w:tcBorders>
              <w:top w:val="single" w:color="auto" w:sz="4" w:space="0"/>
              <w:left w:val="single" w:color="auto" w:sz="4" w:space="0"/>
              <w:bottom w:val="single" w:color="auto" w:sz="4" w:space="0"/>
              <w:right w:val="single" w:color="auto" w:sz="4" w:space="0"/>
            </w:tcBorders>
            <w:vAlign w:val="center"/>
          </w:tcPr>
          <w:p w14:paraId="64DEDE06">
            <w:pPr>
              <w:adjustRightInd w:val="0"/>
              <w:spacing w:line="360" w:lineRule="auto"/>
              <w:jc w:val="center"/>
              <w:textAlignment w:val="baseline"/>
              <w:rPr>
                <w:rFonts w:ascii="宋体" w:hAnsi="宋体" w:cs="宋体"/>
                <w:color w:val="auto"/>
                <w:kern w:val="0"/>
                <w:sz w:val="24"/>
                <w:highlight w:val="none"/>
              </w:rPr>
            </w:pPr>
            <w:r>
              <w:rPr>
                <w:rFonts w:hint="eastAsia" w:ascii="宋体" w:hAnsi="宋体" w:cs="宋体"/>
                <w:color w:val="auto"/>
                <w:sz w:val="24"/>
                <w:highlight w:val="none"/>
              </w:rPr>
              <w:t>技术参数</w:t>
            </w:r>
            <w:r>
              <w:rPr>
                <w:rFonts w:hint="eastAsia" w:ascii="宋体" w:hAnsi="宋体" w:cs="宋体"/>
                <w:color w:val="auto"/>
                <w:kern w:val="0"/>
                <w:sz w:val="24"/>
                <w:highlight w:val="none"/>
              </w:rPr>
              <w:t>满足程度</w:t>
            </w:r>
          </w:p>
          <w:p w14:paraId="34E72F20">
            <w:pPr>
              <w:adjustRightInd w:val="0"/>
              <w:spacing w:line="360" w:lineRule="auto"/>
              <w:textAlignment w:val="baseline"/>
              <w:rPr>
                <w:rFonts w:ascii="宋体" w:hAnsi="宋体" w:cs="宋体"/>
                <w:color w:val="auto"/>
                <w:kern w:val="0"/>
                <w:sz w:val="24"/>
                <w:highlight w:val="none"/>
              </w:rPr>
            </w:pPr>
            <w:r>
              <w:rPr>
                <w:rFonts w:hint="eastAsia" w:ascii="宋体" w:hAnsi="宋体" w:cs="宋体"/>
                <w:color w:val="auto"/>
                <w:sz w:val="24"/>
                <w:highlight w:val="none"/>
              </w:rPr>
              <w:t>（满分10分）</w:t>
            </w:r>
          </w:p>
        </w:tc>
        <w:tc>
          <w:tcPr>
            <w:tcW w:w="5655" w:type="dxa"/>
            <w:tcBorders>
              <w:top w:val="single" w:color="auto" w:sz="4" w:space="0"/>
              <w:left w:val="single" w:color="auto" w:sz="4" w:space="0"/>
              <w:bottom w:val="single" w:color="auto" w:sz="4" w:space="0"/>
              <w:right w:val="single" w:color="auto" w:sz="4" w:space="0"/>
            </w:tcBorders>
            <w:vAlign w:val="center"/>
          </w:tcPr>
          <w:p w14:paraId="4B767B8B">
            <w:pPr>
              <w:numPr>
                <w:ilvl w:val="0"/>
                <w:numId w:val="8"/>
              </w:num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投标产品完全满足采购需求所有条款，没有任何漏项或负偏离的，得5分，不满足不得分。</w:t>
            </w:r>
          </w:p>
          <w:p w14:paraId="1CCDAAFE">
            <w:pPr>
              <w:numPr>
                <w:ilvl w:val="0"/>
                <w:numId w:val="8"/>
              </w:num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采购需求中任意一项正偏离的，加2.5分，满分5分。（技术参数正偏离须提供加盖产品生产厂商公章的技术证明材料或检测报告或其他有效材料，商务条款正偏离的须提供经投标人法定代表人签字盖章的承诺函。）</w:t>
            </w:r>
          </w:p>
        </w:tc>
      </w:tr>
      <w:tr w14:paraId="320CB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vMerge w:val="continue"/>
            <w:tcBorders>
              <w:left w:val="single" w:color="auto" w:sz="4" w:space="0"/>
              <w:right w:val="single" w:color="auto" w:sz="4" w:space="0"/>
            </w:tcBorders>
            <w:vAlign w:val="center"/>
          </w:tcPr>
          <w:p w14:paraId="6ABDC662">
            <w:pPr>
              <w:adjustRightInd w:val="0"/>
              <w:spacing w:line="360" w:lineRule="auto"/>
              <w:jc w:val="center"/>
              <w:textAlignment w:val="baseline"/>
              <w:rPr>
                <w:rFonts w:ascii="宋体" w:hAnsi="宋体" w:cs="宋体"/>
                <w:b/>
                <w:color w:val="auto"/>
                <w:sz w:val="24"/>
                <w:highlight w:val="none"/>
              </w:rPr>
            </w:pPr>
          </w:p>
        </w:tc>
        <w:tc>
          <w:tcPr>
            <w:tcW w:w="1517" w:type="dxa"/>
            <w:vMerge w:val="continue"/>
            <w:tcBorders>
              <w:left w:val="single" w:color="auto" w:sz="4" w:space="0"/>
              <w:right w:val="single" w:color="auto" w:sz="4" w:space="0"/>
            </w:tcBorders>
            <w:vAlign w:val="center"/>
          </w:tcPr>
          <w:p w14:paraId="27CB8C5A">
            <w:pPr>
              <w:adjustRightInd w:val="0"/>
              <w:spacing w:line="360" w:lineRule="auto"/>
              <w:ind w:left="-105" w:leftChars="-50" w:right="-105" w:rightChars="-50"/>
              <w:jc w:val="center"/>
              <w:textAlignment w:val="baseline"/>
              <w:rPr>
                <w:rFonts w:ascii="宋体" w:hAnsi="宋体" w:cs="宋体"/>
                <w:b/>
                <w:bCs/>
                <w:color w:val="auto"/>
                <w:sz w:val="24"/>
                <w:highlight w:val="none"/>
              </w:rPr>
            </w:pPr>
          </w:p>
        </w:tc>
        <w:tc>
          <w:tcPr>
            <w:tcW w:w="1772" w:type="dxa"/>
            <w:tcBorders>
              <w:top w:val="single" w:color="auto" w:sz="4" w:space="0"/>
              <w:left w:val="single" w:color="auto" w:sz="4" w:space="0"/>
              <w:bottom w:val="single" w:color="auto" w:sz="4" w:space="0"/>
              <w:right w:val="single" w:color="auto" w:sz="4" w:space="0"/>
            </w:tcBorders>
            <w:vAlign w:val="center"/>
          </w:tcPr>
          <w:p w14:paraId="179D6928">
            <w:pPr>
              <w:adjustRightInd w:val="0"/>
              <w:spacing w:line="360" w:lineRule="auto"/>
              <w:jc w:val="center"/>
              <w:textAlignment w:val="baseline"/>
              <w:rPr>
                <w:rFonts w:ascii="宋体" w:hAnsi="宋体" w:cs="宋体"/>
                <w:color w:val="auto"/>
                <w:sz w:val="24"/>
                <w:highlight w:val="none"/>
              </w:rPr>
            </w:pPr>
            <w:r>
              <w:rPr>
                <w:rFonts w:hint="eastAsia" w:ascii="宋体" w:hAnsi="宋体" w:cs="宋体"/>
                <w:color w:val="auto"/>
                <w:sz w:val="24"/>
                <w:highlight w:val="none"/>
              </w:rPr>
              <w:t>技术方案</w:t>
            </w:r>
          </w:p>
          <w:p w14:paraId="58BD26EB">
            <w:pPr>
              <w:adjustRightInd w:val="0"/>
              <w:spacing w:line="360" w:lineRule="auto"/>
              <w:textAlignment w:val="baseline"/>
              <w:rPr>
                <w:rFonts w:ascii="宋体" w:hAnsi="宋体" w:cs="宋体"/>
                <w:color w:val="auto"/>
                <w:sz w:val="24"/>
                <w:highlight w:val="none"/>
              </w:rPr>
            </w:pPr>
            <w:r>
              <w:rPr>
                <w:rFonts w:hint="eastAsia" w:ascii="宋体" w:hAnsi="宋体" w:cs="宋体"/>
                <w:color w:val="auto"/>
                <w:sz w:val="24"/>
                <w:highlight w:val="none"/>
              </w:rPr>
              <w:t>（满分15分）</w:t>
            </w:r>
          </w:p>
        </w:tc>
        <w:tc>
          <w:tcPr>
            <w:tcW w:w="5655" w:type="dxa"/>
            <w:tcBorders>
              <w:top w:val="single" w:color="auto" w:sz="4" w:space="0"/>
              <w:left w:val="single" w:color="auto" w:sz="4" w:space="0"/>
              <w:bottom w:val="single" w:color="auto" w:sz="4" w:space="0"/>
              <w:right w:val="single" w:color="auto" w:sz="4" w:space="0"/>
            </w:tcBorders>
            <w:vAlign w:val="center"/>
          </w:tcPr>
          <w:p w14:paraId="4CAB79EC">
            <w:pPr>
              <w:spacing w:line="360" w:lineRule="auto"/>
              <w:rPr>
                <w:rFonts w:ascii="宋体" w:hAnsi="宋体" w:cs="宋体"/>
                <w:b/>
                <w:bCs/>
                <w:color w:val="auto"/>
                <w:sz w:val="24"/>
                <w:highlight w:val="none"/>
              </w:rPr>
            </w:pPr>
            <w:r>
              <w:rPr>
                <w:rFonts w:hint="eastAsia" w:ascii="宋体" w:hAnsi="宋体" w:cs="宋体"/>
                <w:b/>
                <w:bCs/>
                <w:color w:val="auto"/>
                <w:sz w:val="24"/>
                <w:highlight w:val="none"/>
              </w:rPr>
              <w:t>未提供方案或方案不满足以下评分项的不得分。</w:t>
            </w:r>
          </w:p>
          <w:p w14:paraId="4B78799F">
            <w:pPr>
              <w:spacing w:line="360" w:lineRule="auto"/>
              <w:rPr>
                <w:rFonts w:ascii="宋体" w:hAnsi="宋体" w:cs="宋体"/>
                <w:color w:val="auto"/>
                <w:sz w:val="24"/>
                <w:highlight w:val="none"/>
              </w:rPr>
            </w:pPr>
            <w:r>
              <w:rPr>
                <w:rFonts w:hint="eastAsia" w:ascii="宋体" w:hAnsi="宋体" w:cs="宋体"/>
                <w:b/>
                <w:bCs/>
                <w:color w:val="auto"/>
                <w:sz w:val="24"/>
                <w:highlight w:val="none"/>
              </w:rPr>
              <w:t>一档（5分）：</w:t>
            </w:r>
            <w:r>
              <w:rPr>
                <w:rFonts w:hint="eastAsia" w:ascii="宋体" w:hAnsi="宋体" w:cs="宋体"/>
                <w:color w:val="auto"/>
                <w:sz w:val="24"/>
                <w:highlight w:val="none"/>
              </w:rPr>
              <w:t>编制有项目总体技术方案，正确理解项目建设目标，对内容规划、组织架构有正确分析，产品选型科学合理，系统建设和整体配置具有兼容性和可拓展性。</w:t>
            </w:r>
          </w:p>
          <w:p w14:paraId="39BA3802">
            <w:pPr>
              <w:spacing w:line="360" w:lineRule="auto"/>
              <w:rPr>
                <w:rFonts w:ascii="宋体" w:hAnsi="宋体" w:cs="宋体"/>
                <w:color w:val="auto"/>
                <w:sz w:val="24"/>
                <w:highlight w:val="none"/>
              </w:rPr>
            </w:pPr>
            <w:r>
              <w:rPr>
                <w:rFonts w:hint="eastAsia" w:ascii="宋体" w:hAnsi="宋体" w:cs="宋体"/>
                <w:color w:val="auto"/>
                <w:sz w:val="24"/>
                <w:highlight w:val="none"/>
              </w:rPr>
              <w:t>二档（10分）：方案满足上一档，对技术路线、系统部署有详细解析；能提供投标产品的合法货源证明材料（如产品授权或销售代理许可或其他有效证明材料）</w:t>
            </w:r>
          </w:p>
          <w:p w14:paraId="463B5322">
            <w:pPr>
              <w:spacing w:line="360" w:lineRule="auto"/>
              <w:rPr>
                <w:rFonts w:ascii="宋体" w:hAnsi="宋体" w:cs="宋体"/>
                <w:color w:val="auto"/>
                <w:sz w:val="24"/>
                <w:highlight w:val="none"/>
              </w:rPr>
            </w:pPr>
            <w:r>
              <w:rPr>
                <w:rFonts w:hint="eastAsia" w:ascii="宋体" w:hAnsi="宋体" w:cs="宋体"/>
                <w:color w:val="auto"/>
                <w:sz w:val="24"/>
                <w:highlight w:val="none"/>
              </w:rPr>
              <w:t>三档（15分）：方案满足上一档，且提供有详细的投注站安全接入终端接入及管理方案、数据迁移方案等专项工作方案，并分析系统建设中的可能出现的紧急情况编制预防措施。</w:t>
            </w:r>
          </w:p>
        </w:tc>
      </w:tr>
      <w:tr w14:paraId="1D4A9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vMerge w:val="continue"/>
            <w:tcBorders>
              <w:left w:val="single" w:color="auto" w:sz="4" w:space="0"/>
              <w:right w:val="single" w:color="auto" w:sz="4" w:space="0"/>
            </w:tcBorders>
            <w:vAlign w:val="center"/>
          </w:tcPr>
          <w:p w14:paraId="515D7A60">
            <w:pPr>
              <w:adjustRightInd w:val="0"/>
              <w:spacing w:line="360" w:lineRule="auto"/>
              <w:jc w:val="center"/>
              <w:textAlignment w:val="baseline"/>
              <w:rPr>
                <w:rFonts w:ascii="宋体" w:hAnsi="宋体" w:cs="宋体"/>
                <w:b/>
                <w:color w:val="auto"/>
                <w:sz w:val="24"/>
                <w:highlight w:val="none"/>
              </w:rPr>
            </w:pPr>
          </w:p>
        </w:tc>
        <w:tc>
          <w:tcPr>
            <w:tcW w:w="1517" w:type="dxa"/>
            <w:vMerge w:val="continue"/>
            <w:tcBorders>
              <w:left w:val="single" w:color="auto" w:sz="4" w:space="0"/>
              <w:right w:val="single" w:color="auto" w:sz="4" w:space="0"/>
            </w:tcBorders>
            <w:vAlign w:val="center"/>
          </w:tcPr>
          <w:p w14:paraId="2E2EC8B0">
            <w:pPr>
              <w:adjustRightInd w:val="0"/>
              <w:spacing w:line="360" w:lineRule="auto"/>
              <w:ind w:left="-105" w:leftChars="-50" w:right="-105" w:rightChars="-50"/>
              <w:jc w:val="center"/>
              <w:textAlignment w:val="baseline"/>
              <w:rPr>
                <w:rFonts w:ascii="宋体" w:hAnsi="宋体" w:cs="宋体"/>
                <w:b/>
                <w:bCs/>
                <w:color w:val="auto"/>
                <w:sz w:val="24"/>
                <w:highlight w:val="none"/>
              </w:rPr>
            </w:pPr>
          </w:p>
        </w:tc>
        <w:tc>
          <w:tcPr>
            <w:tcW w:w="1772" w:type="dxa"/>
            <w:tcBorders>
              <w:top w:val="single" w:color="auto" w:sz="4" w:space="0"/>
              <w:left w:val="single" w:color="auto" w:sz="4" w:space="0"/>
              <w:bottom w:val="single" w:color="auto" w:sz="4" w:space="0"/>
              <w:right w:val="single" w:color="auto" w:sz="4" w:space="0"/>
            </w:tcBorders>
            <w:vAlign w:val="center"/>
          </w:tcPr>
          <w:p w14:paraId="0764B048">
            <w:pPr>
              <w:adjustRightInd w:val="0"/>
              <w:spacing w:line="360" w:lineRule="auto"/>
              <w:jc w:val="center"/>
              <w:textAlignment w:val="baseline"/>
              <w:rPr>
                <w:rFonts w:ascii="宋体" w:hAnsi="宋体" w:cs="宋体"/>
                <w:color w:val="auto"/>
                <w:sz w:val="24"/>
                <w:highlight w:val="none"/>
              </w:rPr>
            </w:pPr>
            <w:r>
              <w:rPr>
                <w:rFonts w:hint="eastAsia" w:ascii="宋体" w:hAnsi="宋体" w:cs="宋体"/>
                <w:color w:val="auto"/>
                <w:sz w:val="24"/>
                <w:highlight w:val="none"/>
              </w:rPr>
              <w:t>人员配备</w:t>
            </w:r>
          </w:p>
          <w:p w14:paraId="5788660A">
            <w:pPr>
              <w:adjustRightInd w:val="0"/>
              <w:spacing w:line="360" w:lineRule="auto"/>
              <w:jc w:val="center"/>
              <w:textAlignment w:val="baseline"/>
              <w:rPr>
                <w:rFonts w:ascii="宋体" w:hAnsi="宋体" w:cs="宋体"/>
                <w:color w:val="auto"/>
                <w:sz w:val="24"/>
                <w:highlight w:val="none"/>
              </w:rPr>
            </w:pPr>
            <w:r>
              <w:rPr>
                <w:rFonts w:hint="eastAsia" w:ascii="宋体" w:hAnsi="宋体" w:cs="宋体"/>
                <w:color w:val="auto"/>
                <w:sz w:val="24"/>
                <w:highlight w:val="none"/>
              </w:rPr>
              <w:t>（满分6分）</w:t>
            </w:r>
          </w:p>
        </w:tc>
        <w:tc>
          <w:tcPr>
            <w:tcW w:w="5655" w:type="dxa"/>
            <w:tcBorders>
              <w:top w:val="single" w:color="auto" w:sz="4" w:space="0"/>
              <w:left w:val="single" w:color="auto" w:sz="4" w:space="0"/>
              <w:bottom w:val="single" w:color="auto" w:sz="4" w:space="0"/>
              <w:right w:val="single" w:color="auto" w:sz="4" w:space="0"/>
            </w:tcBorders>
            <w:vAlign w:val="center"/>
          </w:tcPr>
          <w:p w14:paraId="32EC8F98">
            <w:pPr>
              <w:spacing w:line="360" w:lineRule="auto"/>
              <w:rPr>
                <w:rFonts w:ascii="宋体" w:hAnsi="宋体" w:cs="宋体"/>
                <w:color w:val="auto"/>
                <w:sz w:val="24"/>
                <w:highlight w:val="none"/>
              </w:rPr>
            </w:pPr>
            <w:r>
              <w:rPr>
                <w:rFonts w:hint="eastAsia" w:ascii="宋体" w:hAnsi="宋体" w:cs="宋体"/>
                <w:color w:val="auto"/>
                <w:sz w:val="24"/>
                <w:highlight w:val="none"/>
              </w:rPr>
              <w:t>投标人具备专业管理团队（投标文件中承诺投入的人员将明确到采购合同中，必须如实投入到项目实施，未经采购人同于不允许更换；若不能如实投入既定人员的，视为投标人虚假应标）：</w:t>
            </w:r>
          </w:p>
          <w:p w14:paraId="0C62D99D">
            <w:pPr>
              <w:numPr>
                <w:ilvl w:val="0"/>
                <w:numId w:val="9"/>
              </w:numPr>
              <w:spacing w:line="360" w:lineRule="auto"/>
              <w:rPr>
                <w:rFonts w:ascii="宋体" w:hAnsi="宋体" w:cs="宋体"/>
                <w:color w:val="auto"/>
                <w:sz w:val="24"/>
                <w:highlight w:val="none"/>
              </w:rPr>
            </w:pPr>
            <w:r>
              <w:rPr>
                <w:rFonts w:hint="eastAsia" w:ascii="宋体" w:hAnsi="宋体" w:cs="宋体"/>
                <w:color w:val="auto"/>
                <w:sz w:val="24"/>
                <w:highlight w:val="none"/>
              </w:rPr>
              <w:t>拟投入本项目的主管以上人员具有注册信息安全工程师证书的，每人得1分，满分2分；</w:t>
            </w:r>
          </w:p>
          <w:p w14:paraId="546739E9">
            <w:pPr>
              <w:numPr>
                <w:ilvl w:val="255"/>
                <w:numId w:val="0"/>
              </w:num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拟投入本项目的:信息系统项目管理师、网络工程师、</w:t>
            </w:r>
            <w:r>
              <w:rPr>
                <w:rFonts w:hint="eastAsia" w:asciiTheme="majorEastAsia" w:hAnsiTheme="majorEastAsia" w:eastAsiaTheme="majorEastAsia" w:cstheme="majorEastAsia"/>
                <w:color w:val="auto"/>
                <w:sz w:val="24"/>
                <w:highlight w:val="none"/>
              </w:rPr>
              <w:t>信息安全保障人员CISAW认证工程师（安全运维专业）、信息安全保障人员CISAW认证工程师（安全集成专业）或</w:t>
            </w:r>
            <w:r>
              <w:rPr>
                <w:rFonts w:hint="eastAsia" w:ascii="宋体" w:hAnsi="宋体" w:cs="宋体"/>
                <w:color w:val="auto"/>
                <w:sz w:val="24"/>
                <w:highlight w:val="none"/>
              </w:rPr>
              <w:t>计算机同类中级职称及以上的，每人1分，满分4分。</w:t>
            </w:r>
          </w:p>
          <w:p w14:paraId="39B384F1">
            <w:pPr>
              <w:numPr>
                <w:ilvl w:val="255"/>
                <w:numId w:val="0"/>
              </w:numPr>
              <w:spacing w:line="360" w:lineRule="auto"/>
              <w:rPr>
                <w:rFonts w:ascii="宋体" w:hAnsi="宋体" w:cs="宋体"/>
                <w:color w:val="auto"/>
                <w:sz w:val="24"/>
                <w:highlight w:val="none"/>
              </w:rPr>
            </w:pPr>
            <w:r>
              <w:rPr>
                <w:rFonts w:hint="eastAsia" w:ascii="宋体" w:hAnsi="宋体" w:cs="宋体"/>
                <w:color w:val="auto"/>
                <w:sz w:val="24"/>
                <w:highlight w:val="none"/>
              </w:rPr>
              <w:t>（投标文件中提供相关人员证书复印件和投标截止日期前半年内其中一个月供应商为其缴纳社保的证明或合作协议或其他有效证明材料）。</w:t>
            </w:r>
          </w:p>
        </w:tc>
      </w:tr>
    </w:tbl>
    <w:p w14:paraId="3AD7C394">
      <w:pPr>
        <w:rPr>
          <w:color w:val="auto"/>
        </w:rPr>
      </w:pPr>
      <w:r>
        <w:rPr>
          <w:color w:val="auto"/>
        </w:rPr>
        <w:br w:type="page"/>
      </w:r>
    </w:p>
    <w:tbl>
      <w:tblPr>
        <w:tblStyle w:val="47"/>
        <w:tblW w:w="94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517"/>
        <w:gridCol w:w="1772"/>
        <w:gridCol w:w="5655"/>
      </w:tblGrid>
      <w:tr w14:paraId="2ABBA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25" w:type="dxa"/>
            <w:tcBorders>
              <w:left w:val="single" w:color="auto" w:sz="4" w:space="0"/>
              <w:bottom w:val="single" w:color="auto" w:sz="4" w:space="0"/>
              <w:right w:val="single" w:color="auto" w:sz="4" w:space="0"/>
            </w:tcBorders>
            <w:vAlign w:val="center"/>
          </w:tcPr>
          <w:p w14:paraId="6FAF79C1">
            <w:pPr>
              <w:adjustRightInd w:val="0"/>
              <w:spacing w:line="360" w:lineRule="auto"/>
              <w:jc w:val="center"/>
              <w:textAlignment w:val="baseline"/>
              <w:rPr>
                <w:rFonts w:ascii="宋体" w:hAnsi="宋体" w:cs="宋体"/>
                <w:b/>
                <w:color w:val="auto"/>
                <w:sz w:val="24"/>
                <w:highlight w:val="none"/>
              </w:rPr>
            </w:pPr>
          </w:p>
        </w:tc>
        <w:tc>
          <w:tcPr>
            <w:tcW w:w="1517" w:type="dxa"/>
            <w:tcBorders>
              <w:left w:val="single" w:color="auto" w:sz="4" w:space="0"/>
              <w:right w:val="single" w:color="auto" w:sz="4" w:space="0"/>
            </w:tcBorders>
            <w:vAlign w:val="center"/>
          </w:tcPr>
          <w:p w14:paraId="76246B47">
            <w:pPr>
              <w:adjustRightInd w:val="0"/>
              <w:spacing w:line="360" w:lineRule="auto"/>
              <w:ind w:left="-105" w:leftChars="-50" w:right="-105" w:rightChars="-50"/>
              <w:jc w:val="center"/>
              <w:textAlignment w:val="baseline"/>
              <w:rPr>
                <w:rFonts w:ascii="宋体" w:hAnsi="宋体" w:cs="宋体"/>
                <w:b/>
                <w:bCs/>
                <w:color w:val="auto"/>
                <w:sz w:val="24"/>
                <w:highlight w:val="none"/>
              </w:rPr>
            </w:pPr>
          </w:p>
        </w:tc>
        <w:tc>
          <w:tcPr>
            <w:tcW w:w="1772" w:type="dxa"/>
            <w:tcBorders>
              <w:top w:val="single" w:color="auto" w:sz="4" w:space="0"/>
              <w:left w:val="single" w:color="auto" w:sz="4" w:space="0"/>
              <w:bottom w:val="single" w:color="auto" w:sz="4" w:space="0"/>
              <w:right w:val="single" w:color="auto" w:sz="4" w:space="0"/>
            </w:tcBorders>
            <w:vAlign w:val="center"/>
          </w:tcPr>
          <w:p w14:paraId="443C0C6D">
            <w:pPr>
              <w:adjustRightInd w:val="0"/>
              <w:spacing w:line="360" w:lineRule="auto"/>
              <w:jc w:val="center"/>
              <w:textAlignment w:val="baseline"/>
              <w:rPr>
                <w:rFonts w:ascii="宋体" w:hAnsi="宋体" w:cs="宋体"/>
                <w:color w:val="auto"/>
                <w:sz w:val="24"/>
                <w:highlight w:val="none"/>
              </w:rPr>
            </w:pPr>
            <w:r>
              <w:rPr>
                <w:rFonts w:hint="eastAsia" w:ascii="宋体" w:hAnsi="宋体" w:cs="宋体"/>
                <w:color w:val="auto"/>
                <w:sz w:val="24"/>
                <w:highlight w:val="none"/>
              </w:rPr>
              <w:t>售后服务</w:t>
            </w:r>
          </w:p>
          <w:p w14:paraId="42D762BD">
            <w:pPr>
              <w:adjustRightInd w:val="0"/>
              <w:spacing w:line="360" w:lineRule="auto"/>
              <w:jc w:val="center"/>
              <w:textAlignment w:val="baseline"/>
              <w:rPr>
                <w:rFonts w:ascii="宋体" w:hAnsi="宋体" w:cs="宋体"/>
                <w:color w:val="auto"/>
                <w:sz w:val="24"/>
                <w:highlight w:val="none"/>
              </w:rPr>
            </w:pPr>
            <w:r>
              <w:rPr>
                <w:rFonts w:hint="eastAsia" w:ascii="宋体" w:hAnsi="宋体" w:cs="宋体"/>
                <w:color w:val="auto"/>
                <w:sz w:val="24"/>
                <w:highlight w:val="none"/>
              </w:rPr>
              <w:t>（满分</w:t>
            </w:r>
            <w:r>
              <w:rPr>
                <w:rFonts w:hint="eastAsia" w:ascii="宋体" w:hAnsi="宋体" w:cs="宋体"/>
                <w:color w:val="auto"/>
                <w:sz w:val="24"/>
                <w:highlight w:val="none"/>
                <w:lang w:val="en-US" w:eastAsia="zh-CN"/>
              </w:rPr>
              <w:t>13</w:t>
            </w:r>
            <w:r>
              <w:rPr>
                <w:rFonts w:hint="eastAsia" w:ascii="宋体" w:hAnsi="宋体" w:cs="宋体"/>
                <w:color w:val="auto"/>
                <w:sz w:val="24"/>
                <w:highlight w:val="none"/>
              </w:rPr>
              <w:t>分）</w:t>
            </w:r>
          </w:p>
        </w:tc>
        <w:tc>
          <w:tcPr>
            <w:tcW w:w="5655" w:type="dxa"/>
            <w:tcBorders>
              <w:top w:val="single" w:color="auto" w:sz="4" w:space="0"/>
              <w:left w:val="single" w:color="auto" w:sz="4" w:space="0"/>
              <w:bottom w:val="single" w:color="auto" w:sz="4" w:space="0"/>
              <w:right w:val="single" w:color="auto" w:sz="4" w:space="0"/>
            </w:tcBorders>
            <w:vAlign w:val="center"/>
          </w:tcPr>
          <w:p w14:paraId="7FD8B9EB">
            <w:pPr>
              <w:spacing w:line="360" w:lineRule="auto"/>
              <w:rPr>
                <w:rFonts w:ascii="宋体" w:hAnsi="宋体" w:cs="宋体"/>
                <w:b/>
                <w:bCs/>
                <w:color w:val="auto"/>
                <w:sz w:val="24"/>
                <w:highlight w:val="none"/>
              </w:rPr>
            </w:pPr>
            <w:r>
              <w:rPr>
                <w:rFonts w:hint="eastAsia" w:ascii="宋体" w:hAnsi="宋体" w:cs="宋体"/>
                <w:b/>
                <w:bCs/>
                <w:color w:val="auto"/>
                <w:sz w:val="24"/>
                <w:highlight w:val="none"/>
              </w:rPr>
              <w:t>未提供方案或方案不满足以下评分项的不得分。</w:t>
            </w:r>
          </w:p>
          <w:p w14:paraId="256BFA97">
            <w:pPr>
              <w:spacing w:line="360" w:lineRule="auto"/>
              <w:rPr>
                <w:rFonts w:ascii="宋体" w:hAnsi="宋体" w:cs="宋体"/>
                <w:color w:val="auto"/>
                <w:sz w:val="24"/>
                <w:highlight w:val="none"/>
              </w:rPr>
            </w:pPr>
            <w:r>
              <w:rPr>
                <w:rFonts w:hint="eastAsia" w:ascii="宋体" w:hAnsi="宋体" w:cs="宋体"/>
                <w:b w:val="0"/>
                <w:bCs w:val="0"/>
                <w:color w:val="auto"/>
                <w:sz w:val="24"/>
                <w:highlight w:val="none"/>
              </w:rPr>
              <w:t>一档（</w:t>
            </w:r>
            <w:r>
              <w:rPr>
                <w:rFonts w:hint="eastAsia" w:ascii="宋体" w:hAnsi="宋体" w:cs="宋体"/>
                <w:b w:val="0"/>
                <w:bCs w:val="0"/>
                <w:color w:val="auto"/>
                <w:sz w:val="24"/>
                <w:highlight w:val="none"/>
                <w:lang w:val="en-US" w:eastAsia="zh-CN"/>
              </w:rPr>
              <w:t>4</w:t>
            </w:r>
            <w:r>
              <w:rPr>
                <w:rFonts w:hint="eastAsia" w:ascii="宋体" w:hAnsi="宋体" w:cs="宋体"/>
                <w:b w:val="0"/>
                <w:bCs w:val="0"/>
                <w:color w:val="auto"/>
                <w:sz w:val="24"/>
                <w:highlight w:val="none"/>
              </w:rPr>
              <w:t>分）：完</w:t>
            </w:r>
            <w:r>
              <w:rPr>
                <w:rFonts w:hint="eastAsia" w:ascii="宋体" w:hAnsi="宋体" w:cs="宋体"/>
                <w:color w:val="auto"/>
                <w:sz w:val="24"/>
                <w:highlight w:val="none"/>
              </w:rPr>
              <w:t>全满足商务条款售后服务要求的基础上，编制有售后服务具体工作计划，工作内容及售后服务人员和职责落实清晰，编制有系统和设备的日常巡检及维护作计划。</w:t>
            </w:r>
          </w:p>
          <w:p w14:paraId="33CF35F8">
            <w:pPr>
              <w:spacing w:line="360" w:lineRule="auto"/>
              <w:rPr>
                <w:rFonts w:ascii="宋体" w:hAnsi="宋体" w:cs="宋体"/>
                <w:color w:val="auto"/>
                <w:sz w:val="24"/>
                <w:highlight w:val="none"/>
              </w:rPr>
            </w:pPr>
            <w:r>
              <w:rPr>
                <w:rFonts w:hint="eastAsia" w:ascii="宋体" w:hAnsi="宋体" w:cs="宋体"/>
                <w:color w:val="auto"/>
                <w:sz w:val="24"/>
                <w:highlight w:val="none"/>
              </w:rPr>
              <w:t>二档（</w:t>
            </w:r>
            <w:r>
              <w:rPr>
                <w:rFonts w:hint="eastAsia" w:ascii="宋体" w:hAnsi="宋体" w:cs="宋体"/>
                <w:color w:val="auto"/>
                <w:sz w:val="24"/>
                <w:highlight w:val="none"/>
                <w:lang w:val="en-US" w:eastAsia="zh-CN"/>
              </w:rPr>
              <w:t>9</w:t>
            </w:r>
            <w:r>
              <w:rPr>
                <w:rFonts w:hint="eastAsia" w:ascii="宋体" w:hAnsi="宋体" w:cs="宋体"/>
                <w:color w:val="auto"/>
                <w:sz w:val="24"/>
                <w:highlight w:val="none"/>
              </w:rPr>
              <w:t>分）：方案满足上一档，方案能够分析汇总系统常见故障，并列出故障排除工作方案及重大故障的技术专家会诊方案。编制有备品备件专项工作方案，满足售后巡检及备品备件工作要求。</w:t>
            </w:r>
          </w:p>
          <w:p w14:paraId="635841CE">
            <w:pPr>
              <w:spacing w:line="360" w:lineRule="auto"/>
              <w:rPr>
                <w:rFonts w:ascii="宋体" w:hAnsi="宋体" w:cs="宋体"/>
                <w:color w:val="auto"/>
                <w:sz w:val="24"/>
                <w:highlight w:val="none"/>
              </w:rPr>
            </w:pPr>
            <w:r>
              <w:rPr>
                <w:rFonts w:hint="eastAsia" w:ascii="宋体" w:hAnsi="宋体" w:cs="宋体"/>
                <w:color w:val="auto"/>
                <w:sz w:val="24"/>
                <w:highlight w:val="none"/>
              </w:rPr>
              <w:t>三档（</w:t>
            </w:r>
            <w:r>
              <w:rPr>
                <w:rFonts w:hint="eastAsia" w:ascii="宋体" w:hAnsi="宋体" w:cs="宋体"/>
                <w:color w:val="auto"/>
                <w:sz w:val="24"/>
                <w:highlight w:val="none"/>
                <w:lang w:val="en-US" w:eastAsia="zh-CN"/>
              </w:rPr>
              <w:t>13</w:t>
            </w:r>
            <w:r>
              <w:rPr>
                <w:rFonts w:hint="eastAsia" w:ascii="宋体" w:hAnsi="宋体" w:cs="宋体"/>
                <w:color w:val="auto"/>
                <w:sz w:val="24"/>
                <w:highlight w:val="none"/>
              </w:rPr>
              <w:t>分）：方案满足上一档，且方案能针对本项目建设成果编制软件升级与增强方案，对重大升级编制有技术方案和试点工作方案，要求各项升级方案符合采购人及行业实际，正确科学。</w:t>
            </w:r>
          </w:p>
        </w:tc>
      </w:tr>
      <w:tr w14:paraId="1D93C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jc w:val="center"/>
        </w:trPr>
        <w:tc>
          <w:tcPr>
            <w:tcW w:w="525" w:type="dxa"/>
            <w:vMerge w:val="restart"/>
            <w:tcBorders>
              <w:left w:val="single" w:color="auto" w:sz="4" w:space="0"/>
              <w:right w:val="single" w:color="auto" w:sz="4" w:space="0"/>
            </w:tcBorders>
            <w:vAlign w:val="center"/>
          </w:tcPr>
          <w:p w14:paraId="5B3D9844">
            <w:pPr>
              <w:adjustRightInd w:val="0"/>
              <w:spacing w:line="360" w:lineRule="auto"/>
              <w:jc w:val="center"/>
              <w:textAlignment w:val="baseline"/>
              <w:rPr>
                <w:rFonts w:ascii="宋体" w:hAnsi="宋体" w:cs="宋体"/>
                <w:b/>
                <w:color w:val="auto"/>
                <w:sz w:val="24"/>
                <w:highlight w:val="none"/>
              </w:rPr>
            </w:pPr>
            <w:r>
              <w:rPr>
                <w:rFonts w:hint="eastAsia" w:ascii="宋体" w:hAnsi="宋体" w:cs="宋体"/>
                <w:b/>
                <w:color w:val="auto"/>
                <w:sz w:val="24"/>
                <w:highlight w:val="none"/>
              </w:rPr>
              <w:t>3</w:t>
            </w:r>
          </w:p>
        </w:tc>
        <w:tc>
          <w:tcPr>
            <w:tcW w:w="1517" w:type="dxa"/>
            <w:vMerge w:val="restart"/>
            <w:tcBorders>
              <w:left w:val="single" w:color="auto" w:sz="4" w:space="0"/>
              <w:right w:val="single" w:color="auto" w:sz="4" w:space="0"/>
            </w:tcBorders>
            <w:vAlign w:val="center"/>
          </w:tcPr>
          <w:p w14:paraId="4DA32027">
            <w:pPr>
              <w:spacing w:line="360" w:lineRule="auto"/>
              <w:jc w:val="center"/>
              <w:rPr>
                <w:rFonts w:ascii="宋体" w:hAnsi="宋体" w:cs="宋体"/>
                <w:b/>
                <w:bCs/>
                <w:color w:val="auto"/>
                <w:sz w:val="24"/>
                <w:highlight w:val="none"/>
              </w:rPr>
            </w:pPr>
            <w:r>
              <w:rPr>
                <w:rFonts w:hint="eastAsia" w:ascii="宋体" w:hAnsi="宋体" w:cs="宋体"/>
                <w:b/>
                <w:bCs/>
                <w:color w:val="auto"/>
                <w:sz w:val="24"/>
                <w:highlight w:val="none"/>
              </w:rPr>
              <w:t>商务分</w:t>
            </w:r>
          </w:p>
          <w:p w14:paraId="0745927E">
            <w:pPr>
              <w:spacing w:line="360" w:lineRule="auto"/>
              <w:jc w:val="center"/>
              <w:rPr>
                <w:rFonts w:ascii="宋体" w:hAnsi="宋体" w:cs="宋体"/>
                <w:b/>
                <w:bCs/>
                <w:color w:val="auto"/>
                <w:sz w:val="24"/>
                <w:highlight w:val="none"/>
              </w:rPr>
            </w:pPr>
            <w:r>
              <w:rPr>
                <w:rFonts w:hint="eastAsia" w:ascii="宋体" w:hAnsi="宋体" w:cs="宋体"/>
                <w:b/>
                <w:bCs/>
                <w:color w:val="auto"/>
                <w:sz w:val="24"/>
                <w:highlight w:val="none"/>
              </w:rPr>
              <w:t>（满分2</w:t>
            </w:r>
            <w:r>
              <w:rPr>
                <w:rFonts w:hint="eastAsia" w:ascii="宋体" w:hAnsi="宋体" w:cs="宋体"/>
                <w:b/>
                <w:bCs/>
                <w:color w:val="auto"/>
                <w:sz w:val="24"/>
                <w:highlight w:val="none"/>
                <w:lang w:val="en-US" w:eastAsia="zh-CN"/>
              </w:rPr>
              <w:t>6</w:t>
            </w:r>
            <w:r>
              <w:rPr>
                <w:rFonts w:hint="eastAsia" w:ascii="宋体" w:hAnsi="宋体" w:cs="宋体"/>
                <w:b/>
                <w:bCs/>
                <w:color w:val="auto"/>
                <w:sz w:val="24"/>
                <w:highlight w:val="none"/>
              </w:rPr>
              <w:t>分）</w:t>
            </w:r>
          </w:p>
        </w:tc>
        <w:tc>
          <w:tcPr>
            <w:tcW w:w="1772" w:type="dxa"/>
            <w:tcBorders>
              <w:top w:val="single" w:color="auto" w:sz="4" w:space="0"/>
              <w:left w:val="single" w:color="auto" w:sz="4" w:space="0"/>
              <w:right w:val="single" w:color="auto" w:sz="4" w:space="0"/>
            </w:tcBorders>
            <w:vAlign w:val="center"/>
          </w:tcPr>
          <w:p w14:paraId="49D2DF01">
            <w:pPr>
              <w:adjustRightInd w:val="0"/>
              <w:spacing w:line="360" w:lineRule="auto"/>
              <w:jc w:val="center"/>
              <w:textAlignment w:val="baseline"/>
              <w:rPr>
                <w:rFonts w:ascii="宋体" w:hAnsi="宋体" w:cs="宋体"/>
                <w:color w:val="auto"/>
                <w:sz w:val="24"/>
                <w:highlight w:val="none"/>
              </w:rPr>
            </w:pPr>
            <w:r>
              <w:rPr>
                <w:rFonts w:hint="eastAsia" w:ascii="宋体" w:hAnsi="宋体" w:cs="宋体"/>
                <w:color w:val="auto"/>
                <w:sz w:val="24"/>
                <w:highlight w:val="none"/>
              </w:rPr>
              <w:t>业绩分</w:t>
            </w:r>
          </w:p>
          <w:p w14:paraId="6CD0889B">
            <w:pPr>
              <w:adjustRightInd w:val="0"/>
              <w:spacing w:line="360" w:lineRule="auto"/>
              <w:textAlignment w:val="baseline"/>
              <w:rPr>
                <w:rFonts w:ascii="宋体" w:hAnsi="宋体" w:cs="宋体"/>
                <w:color w:val="auto"/>
                <w:sz w:val="24"/>
                <w:highlight w:val="none"/>
              </w:rPr>
            </w:pPr>
            <w:r>
              <w:rPr>
                <w:rFonts w:hint="eastAsia" w:ascii="宋体" w:hAnsi="宋体" w:cs="宋体"/>
                <w:color w:val="auto"/>
                <w:sz w:val="24"/>
                <w:highlight w:val="none"/>
              </w:rPr>
              <w:t>（满分8分）</w:t>
            </w:r>
          </w:p>
        </w:tc>
        <w:tc>
          <w:tcPr>
            <w:tcW w:w="5655" w:type="dxa"/>
            <w:tcBorders>
              <w:top w:val="single" w:color="auto" w:sz="4" w:space="0"/>
              <w:left w:val="single" w:color="auto" w:sz="4" w:space="0"/>
              <w:bottom w:val="single" w:color="auto" w:sz="4" w:space="0"/>
              <w:right w:val="single" w:color="auto" w:sz="4" w:space="0"/>
            </w:tcBorders>
            <w:vAlign w:val="center"/>
          </w:tcPr>
          <w:p w14:paraId="6C40778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供应商2021年1月1日起完成过同类或相似项目业绩的（响应文件中提供项目合同及验收报告），每项业绩得2分，满分8分，不提供业绩或业绩证明材料不符合的不得分。</w:t>
            </w:r>
          </w:p>
          <w:p w14:paraId="1847D07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备注：同类或相似业绩是指由中心-站点，以及相关旁路系统的多级、多点较为复杂的网络安全接入系统，业绩证明材料应能明显反映关键信息。</w:t>
            </w:r>
          </w:p>
        </w:tc>
      </w:tr>
      <w:tr w14:paraId="30DFC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jc w:val="center"/>
        </w:trPr>
        <w:tc>
          <w:tcPr>
            <w:tcW w:w="525" w:type="dxa"/>
            <w:vMerge w:val="continue"/>
            <w:tcBorders>
              <w:left w:val="single" w:color="auto" w:sz="4" w:space="0"/>
              <w:right w:val="single" w:color="auto" w:sz="4" w:space="0"/>
            </w:tcBorders>
            <w:vAlign w:val="center"/>
          </w:tcPr>
          <w:p w14:paraId="2FF2BF9A">
            <w:pPr>
              <w:adjustRightInd w:val="0"/>
              <w:spacing w:line="360" w:lineRule="auto"/>
              <w:jc w:val="center"/>
              <w:textAlignment w:val="baseline"/>
              <w:rPr>
                <w:rFonts w:ascii="宋体" w:hAnsi="宋体" w:cs="宋体"/>
                <w:b/>
                <w:color w:val="auto"/>
                <w:sz w:val="24"/>
                <w:highlight w:val="none"/>
              </w:rPr>
            </w:pPr>
          </w:p>
        </w:tc>
        <w:tc>
          <w:tcPr>
            <w:tcW w:w="1517" w:type="dxa"/>
            <w:vMerge w:val="continue"/>
            <w:tcBorders>
              <w:left w:val="single" w:color="auto" w:sz="4" w:space="0"/>
              <w:right w:val="single" w:color="auto" w:sz="4" w:space="0"/>
            </w:tcBorders>
            <w:vAlign w:val="center"/>
          </w:tcPr>
          <w:p w14:paraId="2D71B0FB">
            <w:pPr>
              <w:spacing w:line="360" w:lineRule="auto"/>
              <w:jc w:val="center"/>
              <w:rPr>
                <w:rFonts w:ascii="宋体" w:hAnsi="宋体" w:cs="宋体"/>
                <w:b/>
                <w:bCs/>
                <w:color w:val="auto"/>
                <w:sz w:val="24"/>
                <w:highlight w:val="none"/>
              </w:rPr>
            </w:pPr>
          </w:p>
        </w:tc>
        <w:tc>
          <w:tcPr>
            <w:tcW w:w="1772" w:type="dxa"/>
            <w:tcBorders>
              <w:top w:val="single" w:color="auto" w:sz="4" w:space="0"/>
              <w:left w:val="single" w:color="auto" w:sz="4" w:space="0"/>
              <w:bottom w:val="single" w:color="auto" w:sz="4" w:space="0"/>
              <w:right w:val="single" w:color="auto" w:sz="4" w:space="0"/>
            </w:tcBorders>
            <w:vAlign w:val="center"/>
          </w:tcPr>
          <w:p w14:paraId="3E142996">
            <w:pPr>
              <w:adjustRightInd w:val="0"/>
              <w:spacing w:line="360" w:lineRule="auto"/>
              <w:textAlignment w:val="baseline"/>
              <w:rPr>
                <w:rFonts w:ascii="宋体" w:hAnsi="宋体" w:cs="宋体"/>
                <w:color w:val="auto"/>
                <w:sz w:val="24"/>
                <w:highlight w:val="none"/>
              </w:rPr>
            </w:pPr>
            <w:r>
              <w:rPr>
                <w:rFonts w:hint="eastAsia" w:ascii="宋体" w:hAnsi="宋体" w:cs="宋体"/>
                <w:color w:val="auto"/>
                <w:sz w:val="24"/>
                <w:highlight w:val="none"/>
              </w:rPr>
              <w:t>投标产品信誉（满分16分）</w:t>
            </w:r>
          </w:p>
        </w:tc>
        <w:tc>
          <w:tcPr>
            <w:tcW w:w="5655" w:type="dxa"/>
            <w:tcBorders>
              <w:top w:val="single" w:color="auto" w:sz="4" w:space="0"/>
              <w:left w:val="single" w:color="auto" w:sz="4" w:space="0"/>
              <w:bottom w:val="single" w:color="auto" w:sz="4" w:space="0"/>
              <w:right w:val="single" w:color="auto" w:sz="4" w:space="0"/>
            </w:tcBorders>
            <w:vAlign w:val="center"/>
          </w:tcPr>
          <w:p w14:paraId="1A675834">
            <w:pPr>
              <w:spacing w:line="360" w:lineRule="auto"/>
              <w:rPr>
                <w:rFonts w:ascii="宋体" w:hAnsi="宋体" w:cs="宋体"/>
                <w:color w:val="auto"/>
                <w:sz w:val="24"/>
                <w:highlight w:val="none"/>
              </w:rPr>
            </w:pPr>
            <w:r>
              <w:rPr>
                <w:rFonts w:hint="eastAsia" w:ascii="宋体" w:hAnsi="宋体" w:cs="宋体"/>
                <w:color w:val="auto"/>
                <w:sz w:val="24"/>
                <w:highlight w:val="none"/>
              </w:rPr>
              <w:t>1.投标人或投标产品生产商具有有效期内的ISO9000质量管理体系认证证书得2分；</w:t>
            </w:r>
          </w:p>
          <w:p w14:paraId="1427F1F3">
            <w:pPr>
              <w:spacing w:line="360" w:lineRule="auto"/>
              <w:rPr>
                <w:rFonts w:ascii="宋体" w:hAnsi="宋体" w:cs="宋体"/>
                <w:color w:val="auto"/>
                <w:sz w:val="24"/>
                <w:highlight w:val="none"/>
              </w:rPr>
            </w:pPr>
            <w:r>
              <w:rPr>
                <w:rFonts w:hint="eastAsia" w:ascii="宋体" w:hAnsi="宋体" w:cs="宋体"/>
                <w:color w:val="auto"/>
                <w:sz w:val="24"/>
                <w:highlight w:val="none"/>
              </w:rPr>
              <w:t>2针对本项目可进行二次定制开发并提供经投标人法定代表人签字确认的承诺书得2分；</w:t>
            </w:r>
          </w:p>
          <w:p w14:paraId="2CCE5006">
            <w:pPr>
              <w:spacing w:line="360" w:lineRule="auto"/>
              <w:rPr>
                <w:rFonts w:ascii="宋体" w:hAnsi="宋体" w:cs="宋体"/>
                <w:color w:val="auto"/>
                <w:sz w:val="24"/>
                <w:highlight w:val="none"/>
              </w:rPr>
            </w:pPr>
            <w:r>
              <w:rPr>
                <w:rFonts w:hint="eastAsia" w:ascii="宋体" w:hAnsi="宋体" w:cs="宋体"/>
                <w:color w:val="auto"/>
                <w:sz w:val="24"/>
                <w:highlight w:val="none"/>
              </w:rPr>
              <w:t>3.投标人具有有效期内的信息系统软件安全开发服务证书得2分；</w:t>
            </w:r>
          </w:p>
          <w:p w14:paraId="0AA1B6D1">
            <w:pPr>
              <w:spacing w:line="360" w:lineRule="auto"/>
              <w:rPr>
                <w:rFonts w:ascii="宋体" w:hAnsi="宋体" w:cs="宋体"/>
                <w:color w:val="auto"/>
                <w:sz w:val="24"/>
                <w:highlight w:val="none"/>
              </w:rPr>
            </w:pPr>
            <w:r>
              <w:rPr>
                <w:rFonts w:hint="eastAsia" w:ascii="宋体" w:hAnsi="宋体" w:cs="宋体"/>
                <w:color w:val="auto"/>
                <w:sz w:val="24"/>
                <w:highlight w:val="none"/>
              </w:rPr>
              <w:t>4.投标人具有有效期内的信息系统安全运维服务证书得2分；</w:t>
            </w:r>
          </w:p>
          <w:p w14:paraId="54A31675">
            <w:pPr>
              <w:spacing w:line="360" w:lineRule="auto"/>
              <w:rPr>
                <w:rFonts w:ascii="宋体" w:hAnsi="宋体" w:cs="宋体"/>
                <w:color w:val="auto"/>
                <w:sz w:val="24"/>
                <w:highlight w:val="none"/>
              </w:rPr>
            </w:pPr>
            <w:r>
              <w:rPr>
                <w:rFonts w:hint="eastAsia" w:ascii="宋体" w:hAnsi="宋体" w:cs="宋体"/>
                <w:color w:val="auto"/>
                <w:sz w:val="24"/>
                <w:highlight w:val="none"/>
              </w:rPr>
              <w:t>5.投标人具有有效期内的信息系统安全集成服务认证得2分；</w:t>
            </w:r>
          </w:p>
          <w:p w14:paraId="581C3543">
            <w:pPr>
              <w:spacing w:line="360" w:lineRule="auto"/>
              <w:rPr>
                <w:rFonts w:ascii="宋体" w:hAnsi="宋体" w:cs="宋体"/>
                <w:color w:val="auto"/>
                <w:sz w:val="24"/>
                <w:highlight w:val="none"/>
              </w:rPr>
            </w:pPr>
            <w:r>
              <w:rPr>
                <w:rFonts w:hint="eastAsia" w:ascii="宋体" w:hAnsi="宋体" w:cs="宋体"/>
                <w:color w:val="auto"/>
                <w:sz w:val="24"/>
                <w:highlight w:val="none"/>
              </w:rPr>
              <w:t>6.投标人具有有效期内的信息系统安全应急服务认证得2分；</w:t>
            </w:r>
          </w:p>
          <w:p w14:paraId="0294B850">
            <w:pPr>
              <w:spacing w:line="360" w:lineRule="auto"/>
              <w:rPr>
                <w:rFonts w:ascii="宋体" w:hAnsi="宋体" w:cs="宋体"/>
                <w:color w:val="auto"/>
                <w:sz w:val="24"/>
                <w:highlight w:val="none"/>
              </w:rPr>
            </w:pPr>
            <w:r>
              <w:rPr>
                <w:rFonts w:hint="eastAsia" w:ascii="宋体" w:hAnsi="宋体" w:cs="宋体"/>
                <w:color w:val="auto"/>
                <w:sz w:val="24"/>
                <w:highlight w:val="none"/>
              </w:rPr>
              <w:t>7.投标文件中提供2021年1月1日以来投标核心产品具有CNAS资格检验部门的检测报告，得2分；</w:t>
            </w:r>
          </w:p>
          <w:p w14:paraId="17F6D7E3">
            <w:pPr>
              <w:numPr>
                <w:ilvl w:val="255"/>
                <w:numId w:val="0"/>
              </w:numPr>
              <w:spacing w:line="360" w:lineRule="auto"/>
              <w:rPr>
                <w:rFonts w:ascii="宋体" w:hAnsi="宋体" w:cs="宋体"/>
                <w:color w:val="auto"/>
                <w:sz w:val="24"/>
                <w:highlight w:val="none"/>
              </w:rPr>
            </w:pPr>
            <w:r>
              <w:rPr>
                <w:rFonts w:hint="eastAsia" w:ascii="宋体" w:hAnsi="宋体" w:cs="宋体"/>
                <w:color w:val="auto"/>
                <w:sz w:val="24"/>
                <w:highlight w:val="none"/>
              </w:rPr>
              <w:t>8.投标文件中提供投标核心产品生产（开发）厂商针对本项目进行兼容性定制开发（支持新游戏）并提供免费开发服务的承诺，得2分。</w:t>
            </w:r>
          </w:p>
        </w:tc>
      </w:tr>
      <w:tr w14:paraId="562C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jc w:val="center"/>
        </w:trPr>
        <w:tc>
          <w:tcPr>
            <w:tcW w:w="525" w:type="dxa"/>
            <w:vMerge w:val="continue"/>
            <w:tcBorders>
              <w:left w:val="single" w:color="auto" w:sz="4" w:space="0"/>
              <w:right w:val="single" w:color="auto" w:sz="4" w:space="0"/>
            </w:tcBorders>
            <w:vAlign w:val="center"/>
          </w:tcPr>
          <w:p w14:paraId="72A3BCFD">
            <w:pPr>
              <w:adjustRightInd w:val="0"/>
              <w:spacing w:line="360" w:lineRule="auto"/>
              <w:jc w:val="center"/>
              <w:textAlignment w:val="baseline"/>
              <w:rPr>
                <w:rFonts w:ascii="宋体" w:hAnsi="宋体" w:cs="宋体"/>
                <w:b/>
                <w:color w:val="auto"/>
                <w:sz w:val="24"/>
                <w:highlight w:val="none"/>
              </w:rPr>
            </w:pPr>
          </w:p>
        </w:tc>
        <w:tc>
          <w:tcPr>
            <w:tcW w:w="1517" w:type="dxa"/>
            <w:vMerge w:val="continue"/>
            <w:tcBorders>
              <w:left w:val="single" w:color="auto" w:sz="4" w:space="0"/>
              <w:right w:val="single" w:color="auto" w:sz="4" w:space="0"/>
            </w:tcBorders>
            <w:vAlign w:val="center"/>
          </w:tcPr>
          <w:p w14:paraId="1DA95C43">
            <w:pPr>
              <w:spacing w:line="360" w:lineRule="auto"/>
              <w:jc w:val="center"/>
              <w:rPr>
                <w:rFonts w:ascii="宋体" w:hAnsi="宋体" w:cs="宋体"/>
                <w:b/>
                <w:bCs/>
                <w:color w:val="auto"/>
                <w:sz w:val="24"/>
                <w:highlight w:val="none"/>
              </w:rPr>
            </w:pPr>
          </w:p>
        </w:tc>
        <w:tc>
          <w:tcPr>
            <w:tcW w:w="1772" w:type="dxa"/>
            <w:tcBorders>
              <w:top w:val="single" w:color="auto" w:sz="4" w:space="0"/>
              <w:left w:val="single" w:color="auto" w:sz="4" w:space="0"/>
              <w:right w:val="single" w:color="auto" w:sz="4" w:space="0"/>
            </w:tcBorders>
            <w:vAlign w:val="center"/>
          </w:tcPr>
          <w:p w14:paraId="11DC5667">
            <w:pPr>
              <w:pStyle w:val="17"/>
              <w:spacing w:line="360" w:lineRule="auto"/>
              <w:rPr>
                <w:rFonts w:hint="eastAsia" w:ascii="宋体" w:hAnsi="宋体" w:cs="宋体"/>
                <w:color w:val="auto"/>
                <w:sz w:val="24"/>
                <w:highlight w:val="none"/>
              </w:rPr>
            </w:pPr>
            <w:r>
              <w:rPr>
                <w:rFonts w:hint="eastAsia" w:ascii="宋体" w:hAnsi="宋体" w:cs="宋体"/>
                <w:color w:val="auto"/>
                <w:sz w:val="24"/>
                <w:highlight w:val="none"/>
              </w:rPr>
              <w:t>政策功能分（满分2分）节能、环保产品</w:t>
            </w:r>
          </w:p>
        </w:tc>
        <w:tc>
          <w:tcPr>
            <w:tcW w:w="5655" w:type="dxa"/>
            <w:tcBorders>
              <w:top w:val="single" w:color="auto" w:sz="4" w:space="0"/>
              <w:left w:val="single" w:color="auto" w:sz="4" w:space="0"/>
              <w:bottom w:val="single" w:color="auto" w:sz="4" w:space="0"/>
              <w:right w:val="single" w:color="auto" w:sz="4" w:space="0"/>
            </w:tcBorders>
            <w:vAlign w:val="top"/>
          </w:tcPr>
          <w:p w14:paraId="00A413D8">
            <w:pPr>
              <w:pStyle w:val="45"/>
              <w:suppressAutoHyphens/>
              <w:spacing w:after="0" w:line="360" w:lineRule="auto"/>
              <w:ind w:left="0" w:leftChars="0" w:firstLine="0" w:firstLineChars="0"/>
              <w:jc w:val="left"/>
              <w:rPr>
                <w:rFonts w:ascii="宋体" w:hAnsi="宋体" w:cs="宋体"/>
                <w:color w:val="auto"/>
                <w:kern w:val="2"/>
                <w:sz w:val="24"/>
                <w:highlight w:val="none"/>
              </w:rPr>
            </w:pPr>
            <w:r>
              <w:rPr>
                <w:rFonts w:hint="eastAsia" w:ascii="宋体" w:hAnsi="宋体" w:cs="宋体"/>
                <w:color w:val="auto"/>
                <w:kern w:val="2"/>
                <w:sz w:val="24"/>
                <w:highlight w:val="none"/>
              </w:rPr>
              <w:t>1.投标产品中含有政府采购节能产品的，每项得0.</w:t>
            </w:r>
            <w:r>
              <w:rPr>
                <w:rFonts w:hint="eastAsia" w:ascii="宋体" w:hAnsi="宋体" w:cs="宋体"/>
                <w:color w:val="auto"/>
                <w:kern w:val="2"/>
                <w:sz w:val="24"/>
                <w:highlight w:val="none"/>
                <w:lang w:val="en-US" w:eastAsia="zh-CN"/>
              </w:rPr>
              <w:t>5</w:t>
            </w:r>
            <w:r>
              <w:rPr>
                <w:rFonts w:hint="eastAsia" w:ascii="宋体" w:hAnsi="宋体" w:cs="宋体"/>
                <w:color w:val="auto"/>
                <w:kern w:val="2"/>
                <w:sz w:val="24"/>
                <w:highlight w:val="none"/>
              </w:rPr>
              <w:t>分，满分1分。（适用于非强制采购节能产品，以有效的政府采购节能产品认证证书复印件为准，投标产品需清晰反映在证书上）。</w:t>
            </w:r>
          </w:p>
          <w:p w14:paraId="642EFBFD">
            <w:pPr>
              <w:pStyle w:val="45"/>
              <w:suppressAutoHyphens/>
              <w:spacing w:after="0" w:line="360" w:lineRule="auto"/>
              <w:ind w:left="0" w:leftChars="0" w:firstLine="0" w:firstLineChars="0"/>
              <w:jc w:val="left"/>
              <w:rPr>
                <w:rFonts w:ascii="宋体" w:hAnsi="宋体" w:cs="宋体"/>
                <w:color w:val="auto"/>
                <w:kern w:val="2"/>
                <w:sz w:val="24"/>
                <w:highlight w:val="none"/>
              </w:rPr>
            </w:pPr>
            <w:r>
              <w:rPr>
                <w:rFonts w:hint="eastAsia" w:ascii="宋体" w:hAnsi="宋体" w:cs="宋体"/>
                <w:color w:val="auto"/>
                <w:kern w:val="2"/>
                <w:sz w:val="24"/>
                <w:highlight w:val="none"/>
              </w:rPr>
              <w:t>2.投标产品中含有政府采购环境标志产品的，每项得0.</w:t>
            </w:r>
            <w:r>
              <w:rPr>
                <w:rFonts w:hint="eastAsia" w:ascii="宋体" w:hAnsi="宋体" w:cs="宋体"/>
                <w:color w:val="auto"/>
                <w:kern w:val="2"/>
                <w:sz w:val="24"/>
                <w:highlight w:val="none"/>
                <w:lang w:val="en-US" w:eastAsia="zh-CN"/>
              </w:rPr>
              <w:t>5</w:t>
            </w:r>
            <w:r>
              <w:rPr>
                <w:rFonts w:hint="eastAsia" w:ascii="宋体" w:hAnsi="宋体" w:cs="宋体"/>
                <w:color w:val="auto"/>
                <w:kern w:val="2"/>
                <w:sz w:val="24"/>
                <w:highlight w:val="none"/>
              </w:rPr>
              <w:t>分，满分1分。（以有效的政府采购环境标志产品认证证书复印件为准，投标产品需清晰反映在证书上）。</w:t>
            </w:r>
          </w:p>
          <w:p w14:paraId="6BC620E8">
            <w:pPr>
              <w:pStyle w:val="45"/>
              <w:suppressAutoHyphens/>
              <w:spacing w:after="0" w:line="360" w:lineRule="auto"/>
              <w:ind w:firstLine="480" w:firstLineChars="200"/>
              <w:jc w:val="left"/>
              <w:rPr>
                <w:rFonts w:hint="eastAsia" w:ascii="宋体" w:hAnsi="宋体" w:cs="宋体"/>
                <w:color w:val="auto"/>
                <w:sz w:val="24"/>
                <w:highlight w:val="none"/>
              </w:rPr>
            </w:pPr>
            <w:r>
              <w:rPr>
                <w:rFonts w:hint="eastAsia" w:ascii="宋体" w:hAnsi="宋体" w:cs="宋体"/>
                <w:color w:val="auto"/>
                <w:kern w:val="2"/>
                <w:sz w:val="24"/>
                <w:highlight w:val="none"/>
              </w:rPr>
              <w:t>注：相关产品须在开标一览表中明确备注，并在投标文件中附有效期内的认证证书。</w:t>
            </w:r>
          </w:p>
        </w:tc>
      </w:tr>
    </w:tbl>
    <w:p w14:paraId="0BB4EF8E">
      <w:pPr>
        <w:spacing w:line="360" w:lineRule="auto"/>
        <w:jc w:val="center"/>
        <w:rPr>
          <w:rFonts w:ascii="宋体" w:hAnsi="宋体" w:cs="宋体"/>
          <w:color w:val="auto"/>
          <w:sz w:val="24"/>
          <w:highlight w:val="none"/>
        </w:rPr>
      </w:pPr>
    </w:p>
    <w:p w14:paraId="4BAA53C3">
      <w:pPr>
        <w:rPr>
          <w:rFonts w:ascii="宋体" w:hAnsi="宋体" w:cs="宋体"/>
          <w:color w:val="auto"/>
          <w:sz w:val="30"/>
          <w:szCs w:val="30"/>
          <w:highlight w:val="none"/>
        </w:rPr>
      </w:pPr>
      <w:r>
        <w:rPr>
          <w:rFonts w:hint="eastAsia" w:ascii="宋体" w:hAnsi="宋体" w:cs="宋体"/>
          <w:color w:val="auto"/>
          <w:sz w:val="30"/>
          <w:szCs w:val="30"/>
          <w:highlight w:val="none"/>
        </w:rPr>
        <w:br w:type="page"/>
      </w:r>
    </w:p>
    <w:tbl>
      <w:tblPr>
        <w:tblStyle w:val="47"/>
        <w:tblW w:w="94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517"/>
        <w:gridCol w:w="1772"/>
        <w:gridCol w:w="5655"/>
      </w:tblGrid>
      <w:tr w14:paraId="7529A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9" w:type="dxa"/>
            <w:gridSpan w:val="4"/>
            <w:tcBorders>
              <w:top w:val="single" w:color="auto" w:sz="4" w:space="0"/>
              <w:left w:val="single" w:color="auto" w:sz="4" w:space="0"/>
              <w:bottom w:val="single" w:color="auto" w:sz="4" w:space="0"/>
              <w:right w:val="single" w:color="auto" w:sz="4" w:space="0"/>
            </w:tcBorders>
            <w:vAlign w:val="center"/>
          </w:tcPr>
          <w:p w14:paraId="6637647A">
            <w:pPr>
              <w:adjustRightInd w:val="0"/>
              <w:spacing w:line="360" w:lineRule="auto"/>
              <w:jc w:val="center"/>
              <w:textAlignment w:val="baseline"/>
              <w:rPr>
                <w:rFonts w:asciiTheme="majorEastAsia" w:hAnsiTheme="majorEastAsia" w:eastAsiaTheme="majorEastAsia" w:cstheme="majorEastAsia"/>
                <w:b/>
                <w:color w:val="auto"/>
                <w:sz w:val="24"/>
                <w:highlight w:val="none"/>
              </w:rPr>
            </w:pPr>
            <w:r>
              <w:rPr>
                <w:rFonts w:hint="eastAsia" w:asciiTheme="majorEastAsia" w:hAnsiTheme="majorEastAsia" w:eastAsiaTheme="majorEastAsia" w:cstheme="majorEastAsia"/>
                <w:b/>
                <w:color w:val="auto"/>
                <w:sz w:val="24"/>
                <w:highlight w:val="none"/>
              </w:rPr>
              <w:t>2分标</w:t>
            </w:r>
          </w:p>
        </w:tc>
      </w:tr>
      <w:tr w14:paraId="2CF78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2" w:type="dxa"/>
            <w:gridSpan w:val="2"/>
            <w:tcBorders>
              <w:top w:val="single" w:color="auto" w:sz="4" w:space="0"/>
              <w:left w:val="single" w:color="auto" w:sz="4" w:space="0"/>
              <w:bottom w:val="single" w:color="auto" w:sz="4" w:space="0"/>
              <w:right w:val="single" w:color="auto" w:sz="4" w:space="0"/>
            </w:tcBorders>
            <w:vAlign w:val="center"/>
          </w:tcPr>
          <w:p w14:paraId="67FD6F80">
            <w:pPr>
              <w:adjustRightInd w:val="0"/>
              <w:spacing w:line="360" w:lineRule="auto"/>
              <w:jc w:val="center"/>
              <w:textAlignment w:val="baseline"/>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b/>
                <w:color w:val="auto"/>
                <w:sz w:val="24"/>
                <w:highlight w:val="none"/>
              </w:rPr>
              <w:t>序号</w:t>
            </w:r>
          </w:p>
        </w:tc>
        <w:tc>
          <w:tcPr>
            <w:tcW w:w="1772" w:type="dxa"/>
            <w:tcBorders>
              <w:top w:val="single" w:color="auto" w:sz="4" w:space="0"/>
              <w:left w:val="single" w:color="auto" w:sz="4" w:space="0"/>
              <w:bottom w:val="single" w:color="auto" w:sz="4" w:space="0"/>
              <w:right w:val="single" w:color="auto" w:sz="4" w:space="0"/>
            </w:tcBorders>
            <w:vAlign w:val="center"/>
          </w:tcPr>
          <w:p w14:paraId="1F20F9AA">
            <w:pPr>
              <w:adjustRightInd w:val="0"/>
              <w:spacing w:line="360" w:lineRule="auto"/>
              <w:jc w:val="center"/>
              <w:textAlignment w:val="baseline"/>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b/>
                <w:color w:val="auto"/>
                <w:sz w:val="24"/>
                <w:highlight w:val="none"/>
              </w:rPr>
              <w:t>评审因素</w:t>
            </w:r>
          </w:p>
        </w:tc>
        <w:tc>
          <w:tcPr>
            <w:tcW w:w="5655" w:type="dxa"/>
            <w:tcBorders>
              <w:top w:val="single" w:color="auto" w:sz="4" w:space="0"/>
              <w:left w:val="single" w:color="auto" w:sz="4" w:space="0"/>
              <w:bottom w:val="single" w:color="auto" w:sz="4" w:space="0"/>
              <w:right w:val="single" w:color="auto" w:sz="4" w:space="0"/>
            </w:tcBorders>
            <w:vAlign w:val="center"/>
          </w:tcPr>
          <w:p w14:paraId="3E40572A">
            <w:pPr>
              <w:adjustRightInd w:val="0"/>
              <w:spacing w:line="360" w:lineRule="auto"/>
              <w:jc w:val="center"/>
              <w:textAlignment w:val="baseline"/>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b/>
                <w:color w:val="auto"/>
                <w:sz w:val="24"/>
                <w:highlight w:val="none"/>
              </w:rPr>
              <w:t>评分标准</w:t>
            </w:r>
          </w:p>
        </w:tc>
      </w:tr>
      <w:tr w14:paraId="368AD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tcBorders>
              <w:top w:val="single" w:color="auto" w:sz="4" w:space="0"/>
              <w:left w:val="single" w:color="auto" w:sz="4" w:space="0"/>
              <w:bottom w:val="single" w:color="auto" w:sz="4" w:space="0"/>
              <w:right w:val="single" w:color="auto" w:sz="4" w:space="0"/>
            </w:tcBorders>
            <w:vAlign w:val="center"/>
          </w:tcPr>
          <w:p w14:paraId="0171A945">
            <w:pPr>
              <w:adjustRightInd w:val="0"/>
              <w:spacing w:line="360" w:lineRule="auto"/>
              <w:jc w:val="center"/>
              <w:textAlignment w:val="baseline"/>
              <w:rPr>
                <w:rFonts w:asciiTheme="majorEastAsia" w:hAnsiTheme="majorEastAsia" w:eastAsiaTheme="majorEastAsia" w:cstheme="majorEastAsia"/>
                <w:b/>
                <w:color w:val="auto"/>
                <w:sz w:val="24"/>
                <w:highlight w:val="none"/>
              </w:rPr>
            </w:pPr>
            <w:r>
              <w:rPr>
                <w:rFonts w:hint="eastAsia" w:asciiTheme="majorEastAsia" w:hAnsiTheme="majorEastAsia" w:eastAsiaTheme="majorEastAsia" w:cstheme="majorEastAsia"/>
                <w:b/>
                <w:color w:val="auto"/>
                <w:sz w:val="24"/>
                <w:highlight w:val="none"/>
              </w:rPr>
              <w:t>1</w:t>
            </w:r>
          </w:p>
        </w:tc>
        <w:tc>
          <w:tcPr>
            <w:tcW w:w="1517" w:type="dxa"/>
            <w:tcBorders>
              <w:top w:val="single" w:color="auto" w:sz="4" w:space="0"/>
              <w:left w:val="single" w:color="auto" w:sz="4" w:space="0"/>
              <w:bottom w:val="single" w:color="auto" w:sz="4" w:space="0"/>
              <w:right w:val="single" w:color="auto" w:sz="4" w:space="0"/>
            </w:tcBorders>
            <w:vAlign w:val="center"/>
          </w:tcPr>
          <w:p w14:paraId="3AFBD2B1">
            <w:pPr>
              <w:adjustRightInd w:val="0"/>
              <w:spacing w:line="360" w:lineRule="auto"/>
              <w:jc w:val="center"/>
              <w:textAlignment w:val="baseline"/>
              <w:rPr>
                <w:rFonts w:asciiTheme="majorEastAsia" w:hAnsiTheme="majorEastAsia" w:eastAsiaTheme="majorEastAsia" w:cstheme="majorEastAsia"/>
                <w:b/>
                <w:color w:val="auto"/>
                <w:sz w:val="24"/>
                <w:highlight w:val="none"/>
              </w:rPr>
            </w:pPr>
            <w:r>
              <w:rPr>
                <w:rFonts w:hint="eastAsia" w:asciiTheme="majorEastAsia" w:hAnsiTheme="majorEastAsia" w:eastAsiaTheme="majorEastAsia" w:cstheme="majorEastAsia"/>
                <w:b/>
                <w:color w:val="auto"/>
                <w:sz w:val="24"/>
                <w:highlight w:val="none"/>
              </w:rPr>
              <w:t>价格分</w:t>
            </w:r>
          </w:p>
          <w:p w14:paraId="192D0ABA">
            <w:pPr>
              <w:adjustRightInd w:val="0"/>
              <w:spacing w:line="360" w:lineRule="auto"/>
              <w:jc w:val="center"/>
              <w:textAlignment w:val="baseline"/>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b/>
                <w:color w:val="auto"/>
                <w:sz w:val="24"/>
                <w:highlight w:val="none"/>
              </w:rPr>
              <w:t>（满分</w:t>
            </w:r>
            <w:r>
              <w:rPr>
                <w:rFonts w:hint="eastAsia" w:asciiTheme="majorEastAsia" w:hAnsiTheme="majorEastAsia" w:eastAsiaTheme="majorEastAsia" w:cstheme="majorEastAsia"/>
                <w:b/>
                <w:color w:val="auto"/>
                <w:sz w:val="24"/>
                <w:highlight w:val="none"/>
                <w:u w:val="single"/>
                <w:lang w:val="en-US" w:eastAsia="zh-CN"/>
              </w:rPr>
              <w:t>30</w:t>
            </w:r>
            <w:r>
              <w:rPr>
                <w:rFonts w:hint="eastAsia" w:asciiTheme="majorEastAsia" w:hAnsiTheme="majorEastAsia" w:eastAsiaTheme="majorEastAsia" w:cstheme="majorEastAsia"/>
                <w:b/>
                <w:color w:val="auto"/>
                <w:sz w:val="24"/>
                <w:highlight w:val="none"/>
              </w:rPr>
              <w:t>分）</w:t>
            </w:r>
          </w:p>
        </w:tc>
        <w:tc>
          <w:tcPr>
            <w:tcW w:w="1772" w:type="dxa"/>
            <w:tcBorders>
              <w:top w:val="single" w:color="auto" w:sz="4" w:space="0"/>
              <w:left w:val="single" w:color="auto" w:sz="4" w:space="0"/>
              <w:bottom w:val="single" w:color="auto" w:sz="4" w:space="0"/>
              <w:right w:val="single" w:color="auto" w:sz="4" w:space="0"/>
            </w:tcBorders>
            <w:vAlign w:val="center"/>
          </w:tcPr>
          <w:p w14:paraId="7CE164D8">
            <w:pPr>
              <w:adjustRightInd w:val="0"/>
              <w:spacing w:line="360" w:lineRule="auto"/>
              <w:jc w:val="center"/>
              <w:textAlignment w:val="baseline"/>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lang w:val="en-US" w:eastAsia="zh-CN"/>
              </w:rPr>
              <w:t>投标</w:t>
            </w:r>
            <w:r>
              <w:rPr>
                <w:rFonts w:hint="eastAsia" w:asciiTheme="majorEastAsia" w:hAnsiTheme="majorEastAsia" w:eastAsiaTheme="majorEastAsia" w:cstheme="majorEastAsia"/>
                <w:color w:val="auto"/>
                <w:sz w:val="24"/>
                <w:highlight w:val="none"/>
              </w:rPr>
              <w:t>报价</w:t>
            </w:r>
          </w:p>
          <w:p w14:paraId="3D3EB5F4">
            <w:pPr>
              <w:adjustRightInd w:val="0"/>
              <w:spacing w:line="360" w:lineRule="auto"/>
              <w:jc w:val="center"/>
              <w:textAlignment w:val="baseline"/>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rPr>
              <w:t>（满分</w:t>
            </w:r>
            <w:r>
              <w:rPr>
                <w:rFonts w:hint="eastAsia" w:asciiTheme="majorEastAsia" w:hAnsiTheme="majorEastAsia" w:eastAsiaTheme="majorEastAsia" w:cstheme="majorEastAsia"/>
                <w:color w:val="auto"/>
                <w:sz w:val="24"/>
                <w:highlight w:val="none"/>
                <w:lang w:val="en-US" w:eastAsia="zh-CN"/>
              </w:rPr>
              <w:t>30</w:t>
            </w:r>
            <w:r>
              <w:rPr>
                <w:rFonts w:hint="eastAsia" w:asciiTheme="majorEastAsia" w:hAnsiTheme="majorEastAsia" w:eastAsiaTheme="majorEastAsia" w:cstheme="majorEastAsia"/>
                <w:color w:val="auto"/>
                <w:sz w:val="24"/>
                <w:highlight w:val="none"/>
              </w:rPr>
              <w:t>分）</w:t>
            </w:r>
          </w:p>
        </w:tc>
        <w:tc>
          <w:tcPr>
            <w:tcW w:w="5655" w:type="dxa"/>
            <w:tcBorders>
              <w:top w:val="single" w:color="auto" w:sz="4" w:space="0"/>
              <w:left w:val="single" w:color="auto" w:sz="4" w:space="0"/>
              <w:bottom w:val="single" w:color="auto" w:sz="4" w:space="0"/>
              <w:right w:val="single" w:color="auto" w:sz="4" w:space="0"/>
            </w:tcBorders>
            <w:vAlign w:val="center"/>
          </w:tcPr>
          <w:p w14:paraId="607643FB">
            <w:pPr>
              <w:spacing w:line="360" w:lineRule="auto"/>
              <w:ind w:firstLine="266" w:firstLineChars="111"/>
              <w:rPr>
                <w:rFonts w:asciiTheme="majorEastAsia" w:hAnsiTheme="majorEastAsia" w:eastAsiaTheme="majorEastAsia" w:cstheme="majorEastAsia"/>
                <w:bCs/>
                <w:color w:val="auto"/>
                <w:sz w:val="24"/>
                <w:highlight w:val="none"/>
              </w:rPr>
            </w:pPr>
            <w:r>
              <w:rPr>
                <w:rFonts w:hint="eastAsia" w:asciiTheme="majorEastAsia" w:hAnsiTheme="majorEastAsia" w:eastAsiaTheme="majorEastAsia" w:cstheme="majorEastAsia"/>
                <w:bCs/>
                <w:color w:val="auto"/>
                <w:sz w:val="24"/>
                <w:highlight w:val="none"/>
              </w:rPr>
              <w:t>（1）本项目为专门面向中小企业采购项目，投标人不再享受政策价格扣除。</w:t>
            </w:r>
          </w:p>
          <w:p w14:paraId="6D3E2665">
            <w:pPr>
              <w:spacing w:line="360" w:lineRule="auto"/>
              <w:ind w:firstLine="266" w:firstLineChars="111"/>
              <w:rPr>
                <w:rFonts w:asciiTheme="majorEastAsia" w:hAnsiTheme="majorEastAsia" w:eastAsiaTheme="majorEastAsia" w:cstheme="majorEastAsia"/>
                <w:bCs/>
                <w:color w:val="auto"/>
                <w:sz w:val="24"/>
                <w:highlight w:val="none"/>
              </w:rPr>
            </w:pPr>
            <w:r>
              <w:rPr>
                <w:rFonts w:hint="eastAsia" w:asciiTheme="majorEastAsia" w:hAnsiTheme="majorEastAsia" w:eastAsiaTheme="majorEastAsia" w:cstheme="majorEastAsia"/>
                <w:bCs/>
                <w:color w:val="auto"/>
                <w:sz w:val="24"/>
                <w:highlight w:val="none"/>
              </w:rPr>
              <w:t>（2）以进入比较与评价环节的最低投标报价为基准价，基准价得分为</w:t>
            </w:r>
            <w:r>
              <w:rPr>
                <w:rFonts w:hint="eastAsia" w:asciiTheme="majorEastAsia" w:hAnsiTheme="majorEastAsia" w:eastAsiaTheme="majorEastAsia" w:cstheme="majorEastAsia"/>
                <w:bCs/>
                <w:color w:val="auto"/>
                <w:sz w:val="24"/>
                <w:highlight w:val="none"/>
                <w:lang w:val="en-US" w:eastAsia="zh-CN"/>
              </w:rPr>
              <w:t>30</w:t>
            </w:r>
            <w:r>
              <w:rPr>
                <w:rFonts w:hint="eastAsia" w:asciiTheme="majorEastAsia" w:hAnsiTheme="majorEastAsia" w:eastAsiaTheme="majorEastAsia" w:cstheme="majorEastAsia"/>
                <w:bCs/>
                <w:color w:val="auto"/>
                <w:sz w:val="24"/>
                <w:highlight w:val="none"/>
              </w:rPr>
              <w:t>分。</w:t>
            </w:r>
          </w:p>
          <w:p w14:paraId="4B43549D">
            <w:pPr>
              <w:spacing w:line="360" w:lineRule="auto"/>
              <w:ind w:firstLine="266" w:firstLineChars="111"/>
              <w:rPr>
                <w:rFonts w:asciiTheme="majorEastAsia" w:hAnsiTheme="majorEastAsia" w:eastAsiaTheme="majorEastAsia" w:cstheme="majorEastAsia"/>
                <w:bCs/>
                <w:color w:val="auto"/>
                <w:sz w:val="24"/>
                <w:highlight w:val="none"/>
              </w:rPr>
            </w:pPr>
            <w:r>
              <w:rPr>
                <w:rFonts w:hint="eastAsia" w:asciiTheme="majorEastAsia" w:hAnsiTheme="majorEastAsia" w:eastAsiaTheme="majorEastAsia" w:cstheme="majorEastAsia"/>
                <w:bCs/>
                <w:color w:val="auto"/>
                <w:sz w:val="24"/>
                <w:highlight w:val="none"/>
              </w:rPr>
              <w:t>（3）价格分计算公式：</w:t>
            </w:r>
          </w:p>
          <w:p w14:paraId="30209E22">
            <w:pPr>
              <w:spacing w:line="360" w:lineRule="auto"/>
              <w:ind w:firstLine="266" w:firstLineChars="111"/>
              <w:rPr>
                <w:rFonts w:asciiTheme="majorEastAsia" w:hAnsiTheme="majorEastAsia" w:eastAsiaTheme="majorEastAsia" w:cstheme="majorEastAsia"/>
                <w:bCs/>
                <w:color w:val="auto"/>
                <w:sz w:val="24"/>
                <w:highlight w:val="none"/>
                <w:u w:val="single"/>
              </w:rPr>
            </w:pPr>
            <w:r>
              <w:rPr>
                <w:rFonts w:hint="eastAsia" w:asciiTheme="majorEastAsia" w:hAnsiTheme="majorEastAsia" w:eastAsiaTheme="majorEastAsia" w:cstheme="majorEastAsia"/>
                <w:bCs/>
                <w:color w:val="auto"/>
                <w:sz w:val="24"/>
                <w:highlight w:val="none"/>
              </w:rPr>
              <w:t>某投标人报价得分=（基准价/该投标人的有效报价）×</w:t>
            </w:r>
            <w:r>
              <w:rPr>
                <w:rFonts w:hint="eastAsia" w:asciiTheme="majorEastAsia" w:hAnsiTheme="majorEastAsia" w:eastAsiaTheme="majorEastAsia" w:cstheme="majorEastAsia"/>
                <w:bCs/>
                <w:color w:val="auto"/>
                <w:sz w:val="24"/>
                <w:highlight w:val="none"/>
                <w:lang w:val="en-US" w:eastAsia="zh-CN"/>
              </w:rPr>
              <w:t>30</w:t>
            </w:r>
            <w:r>
              <w:rPr>
                <w:rFonts w:hint="eastAsia" w:asciiTheme="majorEastAsia" w:hAnsiTheme="majorEastAsia" w:eastAsiaTheme="majorEastAsia" w:cstheme="majorEastAsia"/>
                <w:bCs/>
                <w:color w:val="auto"/>
                <w:sz w:val="24"/>
                <w:highlight w:val="none"/>
              </w:rPr>
              <w:t>分</w:t>
            </w:r>
          </w:p>
        </w:tc>
      </w:tr>
      <w:tr w14:paraId="0CA61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vMerge w:val="restart"/>
            <w:tcBorders>
              <w:top w:val="single" w:color="auto" w:sz="4" w:space="0"/>
              <w:left w:val="single" w:color="auto" w:sz="4" w:space="0"/>
              <w:bottom w:val="single" w:color="auto" w:sz="4" w:space="0"/>
              <w:right w:val="single" w:color="auto" w:sz="4" w:space="0"/>
            </w:tcBorders>
            <w:vAlign w:val="center"/>
          </w:tcPr>
          <w:p w14:paraId="2AAB0351">
            <w:pPr>
              <w:adjustRightInd w:val="0"/>
              <w:spacing w:line="360" w:lineRule="auto"/>
              <w:jc w:val="center"/>
              <w:textAlignment w:val="baseline"/>
              <w:rPr>
                <w:rFonts w:asciiTheme="majorEastAsia" w:hAnsiTheme="majorEastAsia" w:eastAsiaTheme="majorEastAsia" w:cstheme="majorEastAsia"/>
                <w:b/>
                <w:color w:val="auto"/>
                <w:sz w:val="24"/>
                <w:highlight w:val="none"/>
              </w:rPr>
            </w:pPr>
            <w:r>
              <w:rPr>
                <w:rFonts w:hint="eastAsia" w:asciiTheme="majorEastAsia" w:hAnsiTheme="majorEastAsia" w:eastAsiaTheme="majorEastAsia" w:cstheme="majorEastAsia"/>
                <w:b/>
                <w:color w:val="auto"/>
                <w:sz w:val="24"/>
                <w:highlight w:val="none"/>
              </w:rPr>
              <w:t>2</w:t>
            </w:r>
          </w:p>
        </w:tc>
        <w:tc>
          <w:tcPr>
            <w:tcW w:w="1517" w:type="dxa"/>
            <w:vMerge w:val="restart"/>
            <w:tcBorders>
              <w:top w:val="single" w:color="auto" w:sz="4" w:space="0"/>
              <w:left w:val="single" w:color="auto" w:sz="4" w:space="0"/>
              <w:right w:val="single" w:color="auto" w:sz="4" w:space="0"/>
            </w:tcBorders>
            <w:vAlign w:val="center"/>
          </w:tcPr>
          <w:p w14:paraId="1E02A8EE">
            <w:pPr>
              <w:adjustRightInd w:val="0"/>
              <w:spacing w:line="360" w:lineRule="auto"/>
              <w:ind w:left="-105" w:leftChars="-50" w:right="-105" w:rightChars="-50"/>
              <w:jc w:val="center"/>
              <w:textAlignment w:val="baseline"/>
              <w:rPr>
                <w:rFonts w:asciiTheme="majorEastAsia" w:hAnsiTheme="majorEastAsia" w:eastAsiaTheme="majorEastAsia" w:cstheme="majorEastAsia"/>
                <w:b/>
                <w:bCs/>
                <w:color w:val="auto"/>
                <w:sz w:val="24"/>
                <w:highlight w:val="none"/>
              </w:rPr>
            </w:pPr>
            <w:r>
              <w:rPr>
                <w:rFonts w:hint="eastAsia" w:asciiTheme="majorEastAsia" w:hAnsiTheme="majorEastAsia" w:eastAsiaTheme="majorEastAsia" w:cstheme="majorEastAsia"/>
                <w:b/>
                <w:bCs/>
                <w:color w:val="auto"/>
                <w:sz w:val="24"/>
                <w:highlight w:val="none"/>
              </w:rPr>
              <w:t>技术分</w:t>
            </w:r>
          </w:p>
          <w:p w14:paraId="3BC3BC58">
            <w:pPr>
              <w:adjustRightInd w:val="0"/>
              <w:spacing w:line="360" w:lineRule="auto"/>
              <w:ind w:left="-105" w:leftChars="-50" w:right="-105" w:rightChars="-50"/>
              <w:jc w:val="center"/>
              <w:textAlignment w:val="baseline"/>
              <w:rPr>
                <w:rFonts w:asciiTheme="majorEastAsia" w:hAnsiTheme="majorEastAsia" w:eastAsiaTheme="majorEastAsia" w:cstheme="majorEastAsia"/>
                <w:color w:val="auto"/>
                <w:spacing w:val="-18"/>
                <w:sz w:val="24"/>
                <w:highlight w:val="none"/>
              </w:rPr>
            </w:pPr>
            <w:r>
              <w:rPr>
                <w:rFonts w:hint="eastAsia" w:asciiTheme="majorEastAsia" w:hAnsiTheme="majorEastAsia" w:eastAsiaTheme="majorEastAsia" w:cstheme="majorEastAsia"/>
                <w:b/>
                <w:bCs/>
                <w:color w:val="auto"/>
                <w:sz w:val="24"/>
                <w:highlight w:val="none"/>
              </w:rPr>
              <w:t>（</w:t>
            </w:r>
            <w:r>
              <w:rPr>
                <w:rFonts w:hint="eastAsia" w:asciiTheme="majorEastAsia" w:hAnsiTheme="majorEastAsia" w:eastAsiaTheme="majorEastAsia" w:cstheme="majorEastAsia"/>
                <w:b/>
                <w:color w:val="auto"/>
                <w:sz w:val="24"/>
                <w:highlight w:val="none"/>
              </w:rPr>
              <w:t>满分</w:t>
            </w:r>
            <w:r>
              <w:rPr>
                <w:rFonts w:hint="eastAsia" w:asciiTheme="majorEastAsia" w:hAnsiTheme="majorEastAsia" w:eastAsiaTheme="majorEastAsia" w:cstheme="majorEastAsia"/>
                <w:b/>
                <w:color w:val="auto"/>
                <w:sz w:val="24"/>
                <w:highlight w:val="none"/>
                <w:lang w:val="en-US" w:eastAsia="zh-CN"/>
              </w:rPr>
              <w:t>55</w:t>
            </w:r>
            <w:r>
              <w:rPr>
                <w:rFonts w:hint="eastAsia" w:asciiTheme="majorEastAsia" w:hAnsiTheme="majorEastAsia" w:eastAsiaTheme="majorEastAsia" w:cstheme="majorEastAsia"/>
                <w:b/>
                <w:bCs/>
                <w:color w:val="auto"/>
                <w:sz w:val="24"/>
                <w:highlight w:val="none"/>
              </w:rPr>
              <w:t>分）</w:t>
            </w:r>
          </w:p>
        </w:tc>
        <w:tc>
          <w:tcPr>
            <w:tcW w:w="1772" w:type="dxa"/>
            <w:tcBorders>
              <w:top w:val="single" w:color="auto" w:sz="4" w:space="0"/>
              <w:left w:val="single" w:color="auto" w:sz="4" w:space="0"/>
              <w:bottom w:val="single" w:color="auto" w:sz="4" w:space="0"/>
              <w:right w:val="single" w:color="auto" w:sz="4" w:space="0"/>
            </w:tcBorders>
            <w:vAlign w:val="center"/>
          </w:tcPr>
          <w:p w14:paraId="0D7439B3">
            <w:pPr>
              <w:adjustRightInd w:val="0"/>
              <w:spacing w:line="360" w:lineRule="auto"/>
              <w:jc w:val="center"/>
              <w:textAlignment w:val="baseline"/>
              <w:rPr>
                <w:rFonts w:asciiTheme="majorEastAsia" w:hAnsiTheme="majorEastAsia" w:eastAsiaTheme="majorEastAsia" w:cstheme="majorEastAsia"/>
                <w:bCs/>
                <w:color w:val="auto"/>
                <w:sz w:val="24"/>
                <w:highlight w:val="none"/>
              </w:rPr>
            </w:pPr>
            <w:r>
              <w:rPr>
                <w:rFonts w:hint="eastAsia" w:asciiTheme="majorEastAsia" w:hAnsiTheme="majorEastAsia" w:eastAsiaTheme="majorEastAsia" w:cstheme="majorEastAsia"/>
                <w:bCs/>
                <w:color w:val="auto"/>
                <w:sz w:val="24"/>
                <w:highlight w:val="none"/>
              </w:rPr>
              <w:t>技术响应加分</w:t>
            </w:r>
          </w:p>
          <w:p w14:paraId="3D6BC383">
            <w:pPr>
              <w:adjustRightInd w:val="0"/>
              <w:snapToGrid w:val="0"/>
              <w:spacing w:line="360" w:lineRule="auto"/>
              <w:jc w:val="center"/>
              <w:textAlignment w:val="baseline"/>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bCs/>
                <w:color w:val="auto"/>
                <w:sz w:val="24"/>
                <w:highlight w:val="none"/>
              </w:rPr>
              <w:t>（满分</w:t>
            </w:r>
            <w:r>
              <w:rPr>
                <w:rFonts w:hint="default" w:asciiTheme="majorEastAsia" w:hAnsiTheme="majorEastAsia" w:eastAsiaTheme="majorEastAsia" w:cstheme="majorEastAsia"/>
                <w:bCs/>
                <w:color w:val="auto"/>
                <w:sz w:val="24"/>
                <w:highlight w:val="none"/>
                <w:lang w:val="en-US"/>
              </w:rPr>
              <w:t>1</w:t>
            </w:r>
            <w:r>
              <w:rPr>
                <w:rFonts w:hint="eastAsia" w:asciiTheme="majorEastAsia" w:hAnsiTheme="majorEastAsia" w:eastAsiaTheme="majorEastAsia" w:cstheme="majorEastAsia"/>
                <w:bCs/>
                <w:color w:val="auto"/>
                <w:sz w:val="24"/>
                <w:highlight w:val="none"/>
                <w:lang w:val="en-US" w:eastAsia="zh-CN"/>
              </w:rPr>
              <w:t>0</w:t>
            </w:r>
            <w:r>
              <w:rPr>
                <w:rFonts w:hint="eastAsia" w:asciiTheme="majorEastAsia" w:hAnsiTheme="majorEastAsia" w:eastAsiaTheme="majorEastAsia" w:cstheme="majorEastAsia"/>
                <w:bCs/>
                <w:color w:val="auto"/>
                <w:sz w:val="24"/>
                <w:highlight w:val="none"/>
              </w:rPr>
              <w:t>分）</w:t>
            </w:r>
          </w:p>
        </w:tc>
        <w:tc>
          <w:tcPr>
            <w:tcW w:w="5655" w:type="dxa"/>
            <w:tcBorders>
              <w:top w:val="single" w:color="auto" w:sz="4" w:space="0"/>
              <w:left w:val="single" w:color="auto" w:sz="4" w:space="0"/>
              <w:bottom w:val="single" w:color="auto" w:sz="4" w:space="0"/>
              <w:right w:val="single" w:color="auto" w:sz="4" w:space="0"/>
            </w:tcBorders>
            <w:vAlign w:val="center"/>
          </w:tcPr>
          <w:p w14:paraId="311D2106">
            <w:pPr>
              <w:spacing w:line="360" w:lineRule="auto"/>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rPr>
              <w:t>1.投标服务完全满足采购需求所有条款，没有任何漏项或负偏离的，得</w:t>
            </w:r>
            <w:r>
              <w:rPr>
                <w:rFonts w:hint="eastAsia" w:asciiTheme="majorEastAsia" w:hAnsiTheme="majorEastAsia" w:eastAsiaTheme="majorEastAsia" w:cstheme="majorEastAsia"/>
                <w:color w:val="auto"/>
                <w:sz w:val="24"/>
                <w:highlight w:val="none"/>
                <w:lang w:val="en-US" w:eastAsia="zh-CN"/>
              </w:rPr>
              <w:t>5</w:t>
            </w:r>
            <w:r>
              <w:rPr>
                <w:rFonts w:hint="eastAsia" w:asciiTheme="majorEastAsia" w:hAnsiTheme="majorEastAsia" w:eastAsiaTheme="majorEastAsia" w:cstheme="majorEastAsia"/>
                <w:color w:val="auto"/>
                <w:sz w:val="24"/>
                <w:highlight w:val="none"/>
              </w:rPr>
              <w:t>分，不满足不得分。</w:t>
            </w:r>
          </w:p>
          <w:p w14:paraId="546C2912">
            <w:pPr>
              <w:spacing w:line="360" w:lineRule="auto"/>
              <w:rPr>
                <w:rFonts w:asciiTheme="majorEastAsia" w:hAnsiTheme="majorEastAsia" w:eastAsiaTheme="majorEastAsia" w:cstheme="majorEastAsia"/>
                <w:b/>
                <w:color w:val="auto"/>
                <w:sz w:val="24"/>
                <w:highlight w:val="none"/>
              </w:rPr>
            </w:pPr>
            <w:r>
              <w:rPr>
                <w:rFonts w:hint="eastAsia" w:asciiTheme="majorEastAsia" w:hAnsiTheme="majorEastAsia" w:eastAsiaTheme="majorEastAsia" w:cstheme="majorEastAsia"/>
                <w:color w:val="auto"/>
                <w:sz w:val="24"/>
                <w:highlight w:val="none"/>
              </w:rPr>
              <w:t>2.采购需求中任意一项正偏离的（如：系统巡检频率、培训频率、派驻人员数量、配件保有量等），每项加2.5分，满分5分。</w:t>
            </w:r>
          </w:p>
        </w:tc>
      </w:tr>
      <w:tr w14:paraId="7D600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vMerge w:val="continue"/>
            <w:tcBorders>
              <w:top w:val="single" w:color="auto" w:sz="4" w:space="0"/>
              <w:left w:val="single" w:color="auto" w:sz="4" w:space="0"/>
              <w:bottom w:val="single" w:color="auto" w:sz="4" w:space="0"/>
              <w:right w:val="single" w:color="auto" w:sz="4" w:space="0"/>
            </w:tcBorders>
            <w:vAlign w:val="center"/>
          </w:tcPr>
          <w:p w14:paraId="461776A7">
            <w:pPr>
              <w:adjustRightInd w:val="0"/>
              <w:spacing w:line="360" w:lineRule="auto"/>
              <w:jc w:val="center"/>
              <w:textAlignment w:val="baseline"/>
              <w:rPr>
                <w:rFonts w:asciiTheme="majorEastAsia" w:hAnsiTheme="majorEastAsia" w:eastAsiaTheme="majorEastAsia" w:cstheme="majorEastAsia"/>
                <w:b/>
                <w:color w:val="auto"/>
                <w:sz w:val="24"/>
                <w:highlight w:val="none"/>
              </w:rPr>
            </w:pPr>
          </w:p>
        </w:tc>
        <w:tc>
          <w:tcPr>
            <w:tcW w:w="1517" w:type="dxa"/>
            <w:vMerge w:val="continue"/>
            <w:tcBorders>
              <w:top w:val="single" w:color="auto" w:sz="4" w:space="0"/>
              <w:left w:val="single" w:color="auto" w:sz="4" w:space="0"/>
              <w:right w:val="single" w:color="auto" w:sz="4" w:space="0"/>
            </w:tcBorders>
            <w:vAlign w:val="center"/>
          </w:tcPr>
          <w:p w14:paraId="6C2DE479">
            <w:pPr>
              <w:adjustRightInd w:val="0"/>
              <w:spacing w:line="360" w:lineRule="auto"/>
              <w:ind w:left="-105" w:leftChars="-50" w:right="-105" w:rightChars="-50"/>
              <w:jc w:val="center"/>
              <w:textAlignment w:val="baseline"/>
              <w:rPr>
                <w:rFonts w:asciiTheme="majorEastAsia" w:hAnsiTheme="majorEastAsia" w:eastAsiaTheme="majorEastAsia" w:cstheme="majorEastAsia"/>
                <w:b/>
                <w:bCs/>
                <w:color w:val="auto"/>
                <w:sz w:val="24"/>
                <w:highlight w:val="none"/>
              </w:rPr>
            </w:pPr>
          </w:p>
        </w:tc>
        <w:tc>
          <w:tcPr>
            <w:tcW w:w="1772" w:type="dxa"/>
            <w:tcBorders>
              <w:top w:val="single" w:color="auto" w:sz="4" w:space="0"/>
              <w:left w:val="single" w:color="auto" w:sz="4" w:space="0"/>
              <w:bottom w:val="single" w:color="auto" w:sz="4" w:space="0"/>
              <w:right w:val="single" w:color="auto" w:sz="4" w:space="0"/>
            </w:tcBorders>
            <w:vAlign w:val="center"/>
          </w:tcPr>
          <w:p w14:paraId="76F4CC31">
            <w:pPr>
              <w:adjustRightInd w:val="0"/>
              <w:spacing w:line="360" w:lineRule="auto"/>
              <w:jc w:val="center"/>
              <w:textAlignment w:val="baseline"/>
              <w:rPr>
                <w:rFonts w:asciiTheme="majorEastAsia" w:hAnsiTheme="majorEastAsia" w:eastAsiaTheme="majorEastAsia" w:cstheme="majorEastAsia"/>
                <w:bCs/>
                <w:color w:val="auto"/>
                <w:sz w:val="24"/>
                <w:highlight w:val="none"/>
              </w:rPr>
            </w:pPr>
            <w:r>
              <w:rPr>
                <w:rFonts w:hint="eastAsia" w:asciiTheme="majorEastAsia" w:hAnsiTheme="majorEastAsia" w:eastAsiaTheme="majorEastAsia" w:cstheme="majorEastAsia"/>
                <w:bCs/>
                <w:color w:val="auto"/>
                <w:sz w:val="24"/>
                <w:highlight w:val="none"/>
              </w:rPr>
              <w:t>服务方案（满分</w:t>
            </w:r>
            <w:r>
              <w:rPr>
                <w:rFonts w:hint="eastAsia" w:asciiTheme="majorEastAsia" w:hAnsiTheme="majorEastAsia" w:eastAsiaTheme="majorEastAsia" w:cstheme="majorEastAsia"/>
                <w:bCs/>
                <w:color w:val="auto"/>
                <w:sz w:val="24"/>
                <w:highlight w:val="none"/>
                <w:lang w:val="en-US" w:eastAsia="zh-CN"/>
              </w:rPr>
              <w:t>15</w:t>
            </w:r>
            <w:r>
              <w:rPr>
                <w:rFonts w:hint="eastAsia" w:asciiTheme="majorEastAsia" w:hAnsiTheme="majorEastAsia" w:eastAsiaTheme="majorEastAsia" w:cstheme="majorEastAsia"/>
                <w:bCs/>
                <w:color w:val="auto"/>
                <w:sz w:val="24"/>
                <w:highlight w:val="none"/>
              </w:rPr>
              <w:t>分）</w:t>
            </w:r>
          </w:p>
        </w:tc>
        <w:tc>
          <w:tcPr>
            <w:tcW w:w="5655" w:type="dxa"/>
            <w:tcBorders>
              <w:top w:val="single" w:color="auto" w:sz="4" w:space="0"/>
              <w:left w:val="single" w:color="auto" w:sz="4" w:space="0"/>
              <w:bottom w:val="single" w:color="auto" w:sz="4" w:space="0"/>
              <w:right w:val="single" w:color="auto" w:sz="4" w:space="0"/>
            </w:tcBorders>
            <w:vAlign w:val="center"/>
          </w:tcPr>
          <w:p w14:paraId="6F4B3949">
            <w:pPr>
              <w:spacing w:line="360" w:lineRule="auto"/>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rPr>
              <w:t>供应商针对采购文件要求的技术服务需求制定服务方案，方案应包括以下6项内容：①项目理解；②项目整体服务规划；③重点环节；④实施步骤；⑤维护保障流程；⑥软件优化措施。</w:t>
            </w:r>
          </w:p>
          <w:p w14:paraId="5C81178D">
            <w:pPr>
              <w:spacing w:line="360" w:lineRule="auto"/>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rPr>
              <w:t>未提供方案或方案不满足以下评分项的不得分。</w:t>
            </w:r>
          </w:p>
          <w:p w14:paraId="55802103">
            <w:pPr>
              <w:spacing w:line="360" w:lineRule="auto"/>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rPr>
              <w:t>一档（</w:t>
            </w:r>
            <w:r>
              <w:rPr>
                <w:rFonts w:hint="eastAsia" w:asciiTheme="majorEastAsia" w:hAnsiTheme="majorEastAsia" w:eastAsiaTheme="majorEastAsia" w:cstheme="majorEastAsia"/>
                <w:color w:val="auto"/>
                <w:sz w:val="24"/>
                <w:highlight w:val="none"/>
                <w:lang w:val="en-US" w:eastAsia="zh-CN"/>
              </w:rPr>
              <w:t>5</w:t>
            </w:r>
            <w:r>
              <w:rPr>
                <w:rFonts w:hint="eastAsia" w:asciiTheme="majorEastAsia" w:hAnsiTheme="majorEastAsia" w:eastAsiaTheme="majorEastAsia" w:cstheme="majorEastAsia"/>
                <w:color w:val="auto"/>
                <w:sz w:val="24"/>
                <w:highlight w:val="none"/>
              </w:rPr>
              <w:t>分）：编制有项目总体技术方案，正确理解项目工作目标和任务，对项目整体服务规划、工作内容、定期巡检等有充分的理解和安排。</w:t>
            </w:r>
          </w:p>
          <w:p w14:paraId="494C4F32">
            <w:pPr>
              <w:spacing w:line="360" w:lineRule="auto"/>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rPr>
              <w:t>二档（1</w:t>
            </w:r>
            <w:r>
              <w:rPr>
                <w:rFonts w:hint="eastAsia" w:asciiTheme="majorEastAsia" w:hAnsiTheme="majorEastAsia" w:eastAsiaTheme="majorEastAsia" w:cstheme="majorEastAsia"/>
                <w:color w:val="auto"/>
                <w:sz w:val="24"/>
                <w:highlight w:val="none"/>
                <w:lang w:val="en-US" w:eastAsia="zh-CN"/>
              </w:rPr>
              <w:t>0</w:t>
            </w:r>
            <w:r>
              <w:rPr>
                <w:rFonts w:hint="eastAsia" w:asciiTheme="majorEastAsia" w:hAnsiTheme="majorEastAsia" w:eastAsiaTheme="majorEastAsia" w:cstheme="majorEastAsia"/>
                <w:color w:val="auto"/>
                <w:sz w:val="24"/>
                <w:highlight w:val="none"/>
              </w:rPr>
              <w:t>分）：方案满足上一档，对系统及终端分别编制有技术服务的工作流程，编制的技术服务措施详细具有针对性，技术手段合理且清晰，梳理技术服务期内的重点和难点工作，编制专项方案。</w:t>
            </w:r>
          </w:p>
          <w:p w14:paraId="144906C7">
            <w:pPr>
              <w:spacing w:line="360" w:lineRule="auto"/>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rPr>
              <w:t>三档（</w:t>
            </w:r>
            <w:r>
              <w:rPr>
                <w:rFonts w:hint="eastAsia" w:asciiTheme="majorEastAsia" w:hAnsiTheme="majorEastAsia" w:eastAsiaTheme="majorEastAsia" w:cstheme="majorEastAsia"/>
                <w:color w:val="auto"/>
                <w:sz w:val="24"/>
                <w:highlight w:val="none"/>
                <w:lang w:val="en-US" w:eastAsia="zh-CN"/>
              </w:rPr>
              <w:t>15</w:t>
            </w:r>
            <w:r>
              <w:rPr>
                <w:rFonts w:hint="eastAsia" w:asciiTheme="majorEastAsia" w:hAnsiTheme="majorEastAsia" w:eastAsiaTheme="majorEastAsia" w:cstheme="majorEastAsia"/>
                <w:color w:val="auto"/>
                <w:sz w:val="24"/>
                <w:highlight w:val="none"/>
              </w:rPr>
              <w:t>分）：方案满足上一档，且对目前系统及设备现状，提出软件优化升级方案和备品备件的合理化建议方案，确保技术服务期内系统与终端设备平稳运行。</w:t>
            </w:r>
          </w:p>
        </w:tc>
      </w:tr>
      <w:tr w14:paraId="5A5DB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vMerge w:val="continue"/>
            <w:tcBorders>
              <w:top w:val="single" w:color="auto" w:sz="4" w:space="0"/>
              <w:left w:val="single" w:color="auto" w:sz="4" w:space="0"/>
              <w:bottom w:val="single" w:color="auto" w:sz="4" w:space="0"/>
              <w:right w:val="single" w:color="auto" w:sz="4" w:space="0"/>
            </w:tcBorders>
            <w:vAlign w:val="center"/>
          </w:tcPr>
          <w:p w14:paraId="6654BDEF">
            <w:pPr>
              <w:adjustRightInd w:val="0"/>
              <w:spacing w:line="360" w:lineRule="auto"/>
              <w:jc w:val="center"/>
              <w:textAlignment w:val="baseline"/>
              <w:rPr>
                <w:rFonts w:asciiTheme="majorEastAsia" w:hAnsiTheme="majorEastAsia" w:eastAsiaTheme="majorEastAsia" w:cstheme="majorEastAsia"/>
                <w:b/>
                <w:color w:val="auto"/>
                <w:sz w:val="24"/>
                <w:highlight w:val="none"/>
              </w:rPr>
            </w:pPr>
          </w:p>
        </w:tc>
        <w:tc>
          <w:tcPr>
            <w:tcW w:w="1517" w:type="dxa"/>
            <w:vMerge w:val="continue"/>
            <w:tcBorders>
              <w:top w:val="single" w:color="auto" w:sz="4" w:space="0"/>
              <w:left w:val="single" w:color="auto" w:sz="4" w:space="0"/>
              <w:right w:val="single" w:color="auto" w:sz="4" w:space="0"/>
            </w:tcBorders>
            <w:vAlign w:val="center"/>
          </w:tcPr>
          <w:p w14:paraId="0EABA2AC">
            <w:pPr>
              <w:adjustRightInd w:val="0"/>
              <w:spacing w:line="360" w:lineRule="auto"/>
              <w:ind w:left="-105" w:leftChars="-50" w:right="-105" w:rightChars="-50"/>
              <w:jc w:val="center"/>
              <w:textAlignment w:val="baseline"/>
              <w:rPr>
                <w:rFonts w:asciiTheme="majorEastAsia" w:hAnsiTheme="majorEastAsia" w:eastAsiaTheme="majorEastAsia" w:cstheme="majorEastAsia"/>
                <w:b/>
                <w:bCs/>
                <w:color w:val="auto"/>
                <w:sz w:val="24"/>
                <w:highlight w:val="none"/>
              </w:rPr>
            </w:pPr>
          </w:p>
        </w:tc>
        <w:tc>
          <w:tcPr>
            <w:tcW w:w="1772" w:type="dxa"/>
            <w:tcBorders>
              <w:top w:val="single" w:color="auto" w:sz="4" w:space="0"/>
              <w:left w:val="single" w:color="auto" w:sz="4" w:space="0"/>
              <w:bottom w:val="single" w:color="auto" w:sz="4" w:space="0"/>
              <w:right w:val="single" w:color="auto" w:sz="4" w:space="0"/>
            </w:tcBorders>
            <w:vAlign w:val="center"/>
          </w:tcPr>
          <w:p w14:paraId="0F4F9039">
            <w:pPr>
              <w:adjustRightInd w:val="0"/>
              <w:spacing w:line="360" w:lineRule="auto"/>
              <w:jc w:val="center"/>
              <w:textAlignment w:val="baseline"/>
              <w:rPr>
                <w:rFonts w:asciiTheme="majorEastAsia" w:hAnsiTheme="majorEastAsia" w:eastAsiaTheme="majorEastAsia" w:cstheme="majorEastAsia"/>
                <w:bCs/>
                <w:color w:val="auto"/>
                <w:sz w:val="24"/>
                <w:highlight w:val="none"/>
              </w:rPr>
            </w:pPr>
            <w:r>
              <w:rPr>
                <w:rFonts w:hint="eastAsia" w:asciiTheme="majorEastAsia" w:hAnsiTheme="majorEastAsia" w:eastAsiaTheme="majorEastAsia" w:cstheme="majorEastAsia"/>
                <w:bCs/>
                <w:color w:val="auto"/>
                <w:sz w:val="24"/>
                <w:highlight w:val="none"/>
              </w:rPr>
              <w:t>应急方案（满分</w:t>
            </w:r>
            <w:r>
              <w:rPr>
                <w:rFonts w:hint="eastAsia" w:asciiTheme="majorEastAsia" w:hAnsiTheme="majorEastAsia" w:eastAsiaTheme="majorEastAsia" w:cstheme="majorEastAsia"/>
                <w:bCs/>
                <w:color w:val="auto"/>
                <w:sz w:val="24"/>
                <w:highlight w:val="none"/>
                <w:lang w:val="en-US" w:eastAsia="zh-CN"/>
              </w:rPr>
              <w:t>15</w:t>
            </w:r>
            <w:r>
              <w:rPr>
                <w:rFonts w:hint="eastAsia" w:asciiTheme="majorEastAsia" w:hAnsiTheme="majorEastAsia" w:eastAsiaTheme="majorEastAsia" w:cstheme="majorEastAsia"/>
                <w:bCs/>
                <w:color w:val="auto"/>
                <w:sz w:val="24"/>
                <w:highlight w:val="none"/>
              </w:rPr>
              <w:t>分）</w:t>
            </w:r>
          </w:p>
        </w:tc>
        <w:tc>
          <w:tcPr>
            <w:tcW w:w="5655" w:type="dxa"/>
            <w:tcBorders>
              <w:top w:val="single" w:color="auto" w:sz="4" w:space="0"/>
              <w:left w:val="single" w:color="auto" w:sz="4" w:space="0"/>
              <w:bottom w:val="single" w:color="auto" w:sz="4" w:space="0"/>
              <w:right w:val="single" w:color="auto" w:sz="4" w:space="0"/>
            </w:tcBorders>
            <w:vAlign w:val="center"/>
          </w:tcPr>
          <w:p w14:paraId="24ADA85B">
            <w:pPr>
              <w:spacing w:line="360" w:lineRule="auto"/>
              <w:ind w:firstLine="480" w:firstLineChars="200"/>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rPr>
              <w:t>供应商针对本项目服务需求，制定应急响应方案，内容包括：①应急管理机构及联系方式；②紧急情况等级及各级响应时间；③应急响应流程；④紧急情况及应对措施；⑤故障预防措施；⑥保障备件供应方案。</w:t>
            </w:r>
          </w:p>
          <w:p w14:paraId="787B6B78">
            <w:pPr>
              <w:spacing w:line="360" w:lineRule="auto"/>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rPr>
              <w:t>未提供方案或方案不满足以下评分项的不得分。</w:t>
            </w:r>
          </w:p>
          <w:p w14:paraId="7758FC99">
            <w:pPr>
              <w:spacing w:line="360" w:lineRule="auto"/>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rPr>
              <w:t>一档（</w:t>
            </w:r>
            <w:r>
              <w:rPr>
                <w:rFonts w:hint="eastAsia" w:asciiTheme="majorEastAsia" w:hAnsiTheme="majorEastAsia" w:eastAsiaTheme="majorEastAsia" w:cstheme="majorEastAsia"/>
                <w:color w:val="auto"/>
                <w:sz w:val="24"/>
                <w:highlight w:val="none"/>
                <w:lang w:val="en-US" w:eastAsia="zh-CN"/>
              </w:rPr>
              <w:t>5</w:t>
            </w:r>
            <w:r>
              <w:rPr>
                <w:rFonts w:hint="eastAsia" w:asciiTheme="majorEastAsia" w:hAnsiTheme="majorEastAsia" w:eastAsiaTheme="majorEastAsia" w:cstheme="majorEastAsia"/>
                <w:color w:val="auto"/>
                <w:sz w:val="24"/>
                <w:highlight w:val="none"/>
              </w:rPr>
              <w:t>分）：投标人已有或承诺中标后在采购人指定的14个运维网点布设市设置定点服务机构和应急管理机构，已有机构的提供充足有效的证明材料及联系方式，未有机构的提供经投标人法定代表人签字确认的承诺函和应急管理机构建立方案。</w:t>
            </w:r>
          </w:p>
          <w:p w14:paraId="18889827">
            <w:pPr>
              <w:spacing w:line="360" w:lineRule="auto"/>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rPr>
              <w:t>二档（</w:t>
            </w:r>
            <w:r>
              <w:rPr>
                <w:rFonts w:hint="eastAsia" w:asciiTheme="majorEastAsia" w:hAnsiTheme="majorEastAsia" w:eastAsiaTheme="majorEastAsia" w:cstheme="majorEastAsia"/>
                <w:color w:val="auto"/>
                <w:sz w:val="24"/>
                <w:highlight w:val="none"/>
                <w:lang w:val="en-US" w:eastAsia="zh-CN"/>
              </w:rPr>
              <w:t>10</w:t>
            </w:r>
            <w:r>
              <w:rPr>
                <w:rFonts w:hint="eastAsia" w:asciiTheme="majorEastAsia" w:hAnsiTheme="majorEastAsia" w:eastAsiaTheme="majorEastAsia" w:cstheme="majorEastAsia"/>
                <w:color w:val="auto"/>
                <w:sz w:val="24"/>
                <w:highlight w:val="none"/>
              </w:rPr>
              <w:t>分）：方案满足上一档，分析目前系统及设备常见问题和紧急情况清单，分析问题解决的办法和紧急情况的处理措施，分析各项紧急情况的等级并承诺对应的响应时间。中心设备承诺接到故障通知起1小时内响应，2小时内到达故障地点，4小时内故障解除。不能解除的故障能出具分析报告给采购人，并给出合理解决方案。</w:t>
            </w:r>
          </w:p>
          <w:p w14:paraId="090CD507">
            <w:pPr>
              <w:spacing w:line="360" w:lineRule="auto"/>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rPr>
              <w:t>三档（</w:t>
            </w:r>
            <w:r>
              <w:rPr>
                <w:rFonts w:hint="eastAsia" w:asciiTheme="majorEastAsia" w:hAnsiTheme="majorEastAsia" w:eastAsiaTheme="majorEastAsia" w:cstheme="majorEastAsia"/>
                <w:color w:val="auto"/>
                <w:sz w:val="24"/>
                <w:highlight w:val="none"/>
                <w:lang w:val="en-US" w:eastAsia="zh-CN"/>
              </w:rPr>
              <w:t>15</w:t>
            </w:r>
            <w:r>
              <w:rPr>
                <w:rFonts w:hint="eastAsia" w:asciiTheme="majorEastAsia" w:hAnsiTheme="majorEastAsia" w:eastAsiaTheme="majorEastAsia" w:cstheme="majorEastAsia"/>
                <w:color w:val="auto"/>
                <w:sz w:val="24"/>
                <w:highlight w:val="none"/>
              </w:rPr>
              <w:t>分）：方案满足上一档，供应商针对已编制的紧急情况清单，编制日常服务的合理化建议，降低故障率或紧急情况发生的优化工作方案，提供利于提升采购项目成效的合理化建议。</w:t>
            </w:r>
          </w:p>
        </w:tc>
      </w:tr>
      <w:tr w14:paraId="7E8A0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vMerge w:val="continue"/>
            <w:tcBorders>
              <w:top w:val="single" w:color="auto" w:sz="4" w:space="0"/>
              <w:left w:val="single" w:color="auto" w:sz="4" w:space="0"/>
              <w:bottom w:val="single" w:color="auto" w:sz="4" w:space="0"/>
              <w:right w:val="single" w:color="auto" w:sz="4" w:space="0"/>
            </w:tcBorders>
            <w:vAlign w:val="center"/>
          </w:tcPr>
          <w:p w14:paraId="63F5AF5D">
            <w:pPr>
              <w:adjustRightInd w:val="0"/>
              <w:spacing w:line="360" w:lineRule="auto"/>
              <w:jc w:val="center"/>
              <w:textAlignment w:val="baseline"/>
              <w:rPr>
                <w:rFonts w:asciiTheme="majorEastAsia" w:hAnsiTheme="majorEastAsia" w:eastAsiaTheme="majorEastAsia" w:cstheme="majorEastAsia"/>
                <w:b/>
                <w:color w:val="auto"/>
                <w:sz w:val="24"/>
                <w:highlight w:val="none"/>
              </w:rPr>
            </w:pPr>
          </w:p>
        </w:tc>
        <w:tc>
          <w:tcPr>
            <w:tcW w:w="1517" w:type="dxa"/>
            <w:vMerge w:val="continue"/>
            <w:tcBorders>
              <w:top w:val="single" w:color="auto" w:sz="4" w:space="0"/>
              <w:left w:val="single" w:color="auto" w:sz="4" w:space="0"/>
              <w:right w:val="single" w:color="auto" w:sz="4" w:space="0"/>
            </w:tcBorders>
            <w:vAlign w:val="center"/>
          </w:tcPr>
          <w:p w14:paraId="1045E79B">
            <w:pPr>
              <w:adjustRightInd w:val="0"/>
              <w:spacing w:line="360" w:lineRule="auto"/>
              <w:ind w:left="-105" w:leftChars="-50" w:right="-105" w:rightChars="-50"/>
              <w:jc w:val="center"/>
              <w:textAlignment w:val="baseline"/>
              <w:rPr>
                <w:rFonts w:asciiTheme="majorEastAsia" w:hAnsiTheme="majorEastAsia" w:eastAsiaTheme="majorEastAsia" w:cstheme="majorEastAsia"/>
                <w:b/>
                <w:bCs/>
                <w:color w:val="auto"/>
                <w:sz w:val="24"/>
                <w:highlight w:val="none"/>
              </w:rPr>
            </w:pPr>
          </w:p>
        </w:tc>
        <w:tc>
          <w:tcPr>
            <w:tcW w:w="1772" w:type="dxa"/>
            <w:tcBorders>
              <w:top w:val="single" w:color="auto" w:sz="4" w:space="0"/>
              <w:left w:val="single" w:color="auto" w:sz="4" w:space="0"/>
              <w:bottom w:val="single" w:color="auto" w:sz="4" w:space="0"/>
              <w:right w:val="single" w:color="auto" w:sz="4" w:space="0"/>
            </w:tcBorders>
            <w:vAlign w:val="center"/>
          </w:tcPr>
          <w:p w14:paraId="1D8B1051">
            <w:pPr>
              <w:adjustRightInd w:val="0"/>
              <w:spacing w:line="360" w:lineRule="auto"/>
              <w:jc w:val="center"/>
              <w:textAlignment w:val="baseline"/>
              <w:rPr>
                <w:rFonts w:asciiTheme="majorEastAsia" w:hAnsiTheme="majorEastAsia" w:eastAsiaTheme="majorEastAsia" w:cstheme="majorEastAsia"/>
                <w:bCs/>
                <w:color w:val="auto"/>
                <w:sz w:val="24"/>
                <w:highlight w:val="none"/>
              </w:rPr>
            </w:pPr>
            <w:r>
              <w:rPr>
                <w:rFonts w:hint="eastAsia" w:asciiTheme="majorEastAsia" w:hAnsiTheme="majorEastAsia" w:eastAsiaTheme="majorEastAsia" w:cstheme="majorEastAsia"/>
                <w:bCs/>
                <w:color w:val="auto"/>
                <w:sz w:val="24"/>
                <w:highlight w:val="none"/>
              </w:rPr>
              <w:t>人员配备</w:t>
            </w:r>
          </w:p>
          <w:p w14:paraId="6BE0913D">
            <w:pPr>
              <w:adjustRightInd w:val="0"/>
              <w:spacing w:line="360" w:lineRule="auto"/>
              <w:jc w:val="center"/>
              <w:textAlignment w:val="baseline"/>
              <w:rPr>
                <w:rFonts w:asciiTheme="majorEastAsia" w:hAnsiTheme="majorEastAsia" w:eastAsiaTheme="majorEastAsia" w:cstheme="majorEastAsia"/>
                <w:bCs/>
                <w:color w:val="auto"/>
                <w:sz w:val="24"/>
                <w:highlight w:val="none"/>
              </w:rPr>
            </w:pPr>
            <w:r>
              <w:rPr>
                <w:rFonts w:hint="eastAsia" w:asciiTheme="majorEastAsia" w:hAnsiTheme="majorEastAsia" w:eastAsiaTheme="majorEastAsia" w:cstheme="majorEastAsia"/>
                <w:bCs/>
                <w:color w:val="auto"/>
                <w:sz w:val="24"/>
                <w:highlight w:val="none"/>
              </w:rPr>
              <w:t>（满分</w:t>
            </w:r>
            <w:r>
              <w:rPr>
                <w:rFonts w:hint="eastAsia" w:asciiTheme="majorEastAsia" w:hAnsiTheme="majorEastAsia" w:eastAsiaTheme="majorEastAsia" w:cstheme="majorEastAsia"/>
                <w:bCs/>
                <w:color w:val="auto"/>
                <w:sz w:val="24"/>
                <w:highlight w:val="none"/>
                <w:lang w:val="en-US" w:eastAsia="zh-CN"/>
              </w:rPr>
              <w:t>15</w:t>
            </w:r>
            <w:r>
              <w:rPr>
                <w:rFonts w:hint="eastAsia" w:asciiTheme="majorEastAsia" w:hAnsiTheme="majorEastAsia" w:eastAsiaTheme="majorEastAsia" w:cstheme="majorEastAsia"/>
                <w:bCs/>
                <w:color w:val="auto"/>
                <w:sz w:val="24"/>
                <w:highlight w:val="none"/>
              </w:rPr>
              <w:t>分）</w:t>
            </w:r>
          </w:p>
        </w:tc>
        <w:tc>
          <w:tcPr>
            <w:tcW w:w="5655" w:type="dxa"/>
            <w:tcBorders>
              <w:top w:val="single" w:color="auto" w:sz="4" w:space="0"/>
              <w:left w:val="single" w:color="auto" w:sz="4" w:space="0"/>
              <w:bottom w:val="single" w:color="auto" w:sz="4" w:space="0"/>
              <w:right w:val="single" w:color="auto" w:sz="4" w:space="0"/>
            </w:tcBorders>
            <w:vAlign w:val="center"/>
          </w:tcPr>
          <w:p w14:paraId="206F0E4A">
            <w:pPr>
              <w:spacing w:line="360" w:lineRule="auto"/>
              <w:ind w:firstLine="480" w:firstLineChars="200"/>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rPr>
              <w:t>投标文件中承诺投入的人员将明确到采购合同中，必须如实投入到项目实施，未经采购人同于不允许更换：</w:t>
            </w:r>
          </w:p>
          <w:p w14:paraId="65A216F5">
            <w:pPr>
              <w:numPr>
                <w:ilvl w:val="255"/>
                <w:numId w:val="0"/>
              </w:numPr>
              <w:spacing w:line="360" w:lineRule="auto"/>
              <w:ind w:firstLine="480" w:firstLineChars="200"/>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rPr>
              <w:t>供应商人除驻广西各市及中心机房的运维人员外，在此基础上每多一人加</w:t>
            </w:r>
            <w:r>
              <w:rPr>
                <w:rFonts w:hint="eastAsia" w:asciiTheme="majorEastAsia" w:hAnsiTheme="majorEastAsia" w:eastAsiaTheme="majorEastAsia" w:cstheme="majorEastAsia"/>
                <w:color w:val="auto"/>
                <w:sz w:val="24"/>
                <w:highlight w:val="none"/>
                <w:lang w:val="en-US" w:eastAsia="zh-CN"/>
              </w:rPr>
              <w:t>1</w:t>
            </w:r>
            <w:r>
              <w:rPr>
                <w:rFonts w:hint="eastAsia" w:asciiTheme="majorEastAsia" w:hAnsiTheme="majorEastAsia" w:eastAsiaTheme="majorEastAsia" w:cstheme="majorEastAsia"/>
                <w:color w:val="auto"/>
                <w:sz w:val="24"/>
                <w:highlight w:val="none"/>
              </w:rPr>
              <w:t>分，满分</w:t>
            </w:r>
            <w:r>
              <w:rPr>
                <w:rFonts w:hint="eastAsia" w:asciiTheme="majorEastAsia" w:hAnsiTheme="majorEastAsia" w:eastAsiaTheme="majorEastAsia" w:cstheme="majorEastAsia"/>
                <w:color w:val="auto"/>
                <w:sz w:val="24"/>
                <w:highlight w:val="none"/>
                <w:lang w:val="en-US" w:eastAsia="zh-CN"/>
              </w:rPr>
              <w:t>5</w:t>
            </w:r>
            <w:r>
              <w:rPr>
                <w:rFonts w:hint="eastAsia" w:asciiTheme="majorEastAsia" w:hAnsiTheme="majorEastAsia" w:eastAsiaTheme="majorEastAsia" w:cstheme="majorEastAsia"/>
                <w:color w:val="auto"/>
                <w:sz w:val="24"/>
                <w:highlight w:val="none"/>
              </w:rPr>
              <w:t>分。</w:t>
            </w:r>
          </w:p>
          <w:p w14:paraId="758E557E">
            <w:pPr>
              <w:numPr>
                <w:ilvl w:val="255"/>
                <w:numId w:val="0"/>
              </w:numPr>
              <w:spacing w:line="360" w:lineRule="auto"/>
              <w:ind w:firstLine="480" w:firstLineChars="200"/>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rPr>
              <w:t>投入有系统集成项目管理工程师资质的每个加2分，满分4分。</w:t>
            </w:r>
          </w:p>
          <w:p w14:paraId="44ADD700">
            <w:pPr>
              <w:numPr>
                <w:ilvl w:val="255"/>
                <w:numId w:val="0"/>
              </w:numPr>
              <w:spacing w:line="360" w:lineRule="auto"/>
              <w:ind w:firstLine="480" w:firstLineChars="200"/>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rPr>
              <w:t>拟投入有注册信息安全专业人员CISP认证工程师得2分；</w:t>
            </w:r>
          </w:p>
          <w:p w14:paraId="7C76DBAA">
            <w:pPr>
              <w:numPr>
                <w:ilvl w:val="255"/>
                <w:numId w:val="0"/>
              </w:numPr>
              <w:spacing w:line="360" w:lineRule="auto"/>
              <w:ind w:firstLine="480" w:firstLineChars="200"/>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rPr>
              <w:t>拟入有信息安全保障人员CISAW认证工程师（安全运维专业）得2分；</w:t>
            </w:r>
          </w:p>
          <w:p w14:paraId="4E15F676">
            <w:pPr>
              <w:numPr>
                <w:ilvl w:val="255"/>
                <w:numId w:val="0"/>
              </w:numPr>
              <w:spacing w:line="360" w:lineRule="auto"/>
              <w:ind w:firstLine="480" w:firstLineChars="200"/>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rPr>
              <w:t>信息安全保障人员CISAW认证工程师（安全集成专业）得2分；</w:t>
            </w:r>
          </w:p>
          <w:p w14:paraId="3F579FC9">
            <w:pPr>
              <w:spacing w:line="360" w:lineRule="auto"/>
              <w:ind w:firstLine="480" w:firstLineChars="200"/>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rPr>
              <w:t>（投标文件中提供拟投入本项目实施管理人员清单，含人员的姓名、身份证号码、职务、资质证书复印件、联系方式，及供应商投标截止日期前半年内其中1个月为其缴纳社保的证明或有效期内的劳动合同复印件或其他合作协议等。一人多证的可累计加分。）</w:t>
            </w:r>
          </w:p>
        </w:tc>
      </w:tr>
      <w:tr w14:paraId="26452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jc w:val="center"/>
        </w:trPr>
        <w:tc>
          <w:tcPr>
            <w:tcW w:w="525" w:type="dxa"/>
            <w:vMerge w:val="restart"/>
            <w:tcBorders>
              <w:left w:val="single" w:color="auto" w:sz="4" w:space="0"/>
              <w:right w:val="single" w:color="auto" w:sz="4" w:space="0"/>
            </w:tcBorders>
            <w:vAlign w:val="center"/>
          </w:tcPr>
          <w:p w14:paraId="36828419">
            <w:pPr>
              <w:adjustRightInd w:val="0"/>
              <w:spacing w:line="360" w:lineRule="auto"/>
              <w:jc w:val="center"/>
              <w:textAlignment w:val="baseline"/>
              <w:rPr>
                <w:rFonts w:asciiTheme="majorEastAsia" w:hAnsiTheme="majorEastAsia" w:eastAsiaTheme="majorEastAsia" w:cstheme="majorEastAsia"/>
                <w:b/>
                <w:color w:val="auto"/>
                <w:sz w:val="24"/>
                <w:highlight w:val="none"/>
              </w:rPr>
            </w:pPr>
            <w:r>
              <w:rPr>
                <w:rFonts w:hint="eastAsia" w:asciiTheme="majorEastAsia" w:hAnsiTheme="majorEastAsia" w:eastAsiaTheme="majorEastAsia" w:cstheme="majorEastAsia"/>
                <w:b/>
                <w:color w:val="auto"/>
                <w:sz w:val="24"/>
                <w:highlight w:val="none"/>
              </w:rPr>
              <w:t>3</w:t>
            </w:r>
          </w:p>
        </w:tc>
        <w:tc>
          <w:tcPr>
            <w:tcW w:w="1517" w:type="dxa"/>
            <w:vMerge w:val="restart"/>
            <w:tcBorders>
              <w:left w:val="single" w:color="auto" w:sz="4" w:space="0"/>
              <w:right w:val="single" w:color="auto" w:sz="4" w:space="0"/>
            </w:tcBorders>
            <w:vAlign w:val="center"/>
          </w:tcPr>
          <w:p w14:paraId="62F6EDFE">
            <w:pPr>
              <w:spacing w:line="360" w:lineRule="auto"/>
              <w:jc w:val="center"/>
              <w:rPr>
                <w:rFonts w:asciiTheme="majorEastAsia" w:hAnsiTheme="majorEastAsia" w:eastAsiaTheme="majorEastAsia" w:cstheme="majorEastAsia"/>
                <w:b/>
                <w:bCs/>
                <w:color w:val="auto"/>
                <w:sz w:val="24"/>
                <w:highlight w:val="none"/>
              </w:rPr>
            </w:pPr>
            <w:r>
              <w:rPr>
                <w:rFonts w:hint="eastAsia" w:asciiTheme="majorEastAsia" w:hAnsiTheme="majorEastAsia" w:eastAsiaTheme="majorEastAsia" w:cstheme="majorEastAsia"/>
                <w:b/>
                <w:bCs/>
                <w:color w:val="auto"/>
                <w:sz w:val="24"/>
                <w:highlight w:val="none"/>
              </w:rPr>
              <w:t>商务分</w:t>
            </w:r>
          </w:p>
          <w:p w14:paraId="70FB2CF1">
            <w:pPr>
              <w:spacing w:line="360" w:lineRule="auto"/>
              <w:jc w:val="center"/>
              <w:rPr>
                <w:rFonts w:asciiTheme="majorEastAsia" w:hAnsiTheme="majorEastAsia" w:eastAsiaTheme="majorEastAsia" w:cstheme="majorEastAsia"/>
                <w:b/>
                <w:bCs/>
                <w:color w:val="auto"/>
                <w:sz w:val="24"/>
                <w:highlight w:val="none"/>
              </w:rPr>
            </w:pPr>
            <w:r>
              <w:rPr>
                <w:rFonts w:hint="eastAsia" w:asciiTheme="majorEastAsia" w:hAnsiTheme="majorEastAsia" w:eastAsiaTheme="majorEastAsia" w:cstheme="majorEastAsia"/>
                <w:b/>
                <w:bCs/>
                <w:color w:val="auto"/>
                <w:sz w:val="24"/>
                <w:highlight w:val="none"/>
              </w:rPr>
              <w:t>（满分15分）</w:t>
            </w:r>
          </w:p>
        </w:tc>
        <w:tc>
          <w:tcPr>
            <w:tcW w:w="1772" w:type="dxa"/>
            <w:tcBorders>
              <w:top w:val="single" w:color="auto" w:sz="4" w:space="0"/>
              <w:left w:val="single" w:color="auto" w:sz="4" w:space="0"/>
              <w:right w:val="single" w:color="auto" w:sz="4" w:space="0"/>
            </w:tcBorders>
            <w:vAlign w:val="center"/>
          </w:tcPr>
          <w:p w14:paraId="4F12A279">
            <w:pPr>
              <w:adjustRightInd w:val="0"/>
              <w:spacing w:line="360" w:lineRule="auto"/>
              <w:jc w:val="center"/>
              <w:textAlignment w:val="baseline"/>
              <w:rPr>
                <w:rFonts w:asciiTheme="majorEastAsia" w:hAnsiTheme="majorEastAsia" w:eastAsiaTheme="majorEastAsia" w:cstheme="majorEastAsia"/>
                <w:bCs/>
                <w:color w:val="auto"/>
                <w:sz w:val="24"/>
                <w:highlight w:val="none"/>
              </w:rPr>
            </w:pPr>
            <w:r>
              <w:rPr>
                <w:rFonts w:hint="eastAsia" w:asciiTheme="majorEastAsia" w:hAnsiTheme="majorEastAsia" w:eastAsiaTheme="majorEastAsia" w:cstheme="majorEastAsia"/>
                <w:color w:val="auto"/>
                <w:sz w:val="24"/>
                <w:highlight w:val="none"/>
              </w:rPr>
              <w:t>业绩（满分8分）</w:t>
            </w:r>
          </w:p>
        </w:tc>
        <w:tc>
          <w:tcPr>
            <w:tcW w:w="5655" w:type="dxa"/>
            <w:tcBorders>
              <w:top w:val="single" w:color="auto" w:sz="4" w:space="0"/>
              <w:left w:val="single" w:color="auto" w:sz="4" w:space="0"/>
              <w:bottom w:val="single" w:color="auto" w:sz="4" w:space="0"/>
              <w:right w:val="single" w:color="auto" w:sz="4" w:space="0"/>
            </w:tcBorders>
            <w:vAlign w:val="center"/>
          </w:tcPr>
          <w:p w14:paraId="5EC2C093">
            <w:pPr>
              <w:spacing w:line="360" w:lineRule="auto"/>
              <w:ind w:firstLine="480" w:firstLineChars="200"/>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rPr>
              <w:t>供应商自2021年1月1日以来有同类设备维保服务项目的，每项得2分，满分8分。（以合同或中标通知书复印件为准）</w:t>
            </w:r>
          </w:p>
        </w:tc>
      </w:tr>
      <w:tr w14:paraId="3859C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5" w:type="dxa"/>
            <w:vMerge w:val="continue"/>
            <w:tcBorders>
              <w:left w:val="single" w:color="auto" w:sz="4" w:space="0"/>
              <w:right w:val="single" w:color="auto" w:sz="4" w:space="0"/>
            </w:tcBorders>
            <w:vAlign w:val="center"/>
          </w:tcPr>
          <w:p w14:paraId="03BEF65F">
            <w:pPr>
              <w:adjustRightInd w:val="0"/>
              <w:spacing w:line="360" w:lineRule="auto"/>
              <w:jc w:val="center"/>
              <w:textAlignment w:val="baseline"/>
              <w:rPr>
                <w:rFonts w:asciiTheme="majorEastAsia" w:hAnsiTheme="majorEastAsia" w:eastAsiaTheme="majorEastAsia" w:cstheme="majorEastAsia"/>
                <w:b/>
                <w:color w:val="auto"/>
                <w:sz w:val="24"/>
                <w:highlight w:val="none"/>
              </w:rPr>
            </w:pPr>
          </w:p>
        </w:tc>
        <w:tc>
          <w:tcPr>
            <w:tcW w:w="1517" w:type="dxa"/>
            <w:vMerge w:val="continue"/>
            <w:tcBorders>
              <w:left w:val="single" w:color="auto" w:sz="4" w:space="0"/>
              <w:right w:val="single" w:color="auto" w:sz="4" w:space="0"/>
            </w:tcBorders>
            <w:vAlign w:val="center"/>
          </w:tcPr>
          <w:p w14:paraId="58562177">
            <w:pPr>
              <w:spacing w:line="360" w:lineRule="auto"/>
              <w:jc w:val="center"/>
              <w:rPr>
                <w:rFonts w:asciiTheme="majorEastAsia" w:hAnsiTheme="majorEastAsia" w:eastAsiaTheme="majorEastAsia" w:cstheme="majorEastAsia"/>
                <w:b/>
                <w:bCs/>
                <w:color w:val="auto"/>
                <w:sz w:val="24"/>
                <w:highlight w:val="none"/>
              </w:rPr>
            </w:pPr>
          </w:p>
        </w:tc>
        <w:tc>
          <w:tcPr>
            <w:tcW w:w="1772" w:type="dxa"/>
            <w:vMerge w:val="restart"/>
            <w:tcBorders>
              <w:top w:val="single" w:color="auto" w:sz="4" w:space="0"/>
              <w:left w:val="single" w:color="auto" w:sz="4" w:space="0"/>
              <w:right w:val="single" w:color="auto" w:sz="4" w:space="0"/>
            </w:tcBorders>
            <w:vAlign w:val="center"/>
          </w:tcPr>
          <w:p w14:paraId="06D85D78">
            <w:pPr>
              <w:adjustRightInd w:val="0"/>
              <w:spacing w:line="360" w:lineRule="auto"/>
              <w:jc w:val="center"/>
              <w:textAlignment w:val="baseline"/>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rPr>
              <w:t>资信分（7分）</w:t>
            </w:r>
          </w:p>
          <w:p w14:paraId="6358E624">
            <w:pPr>
              <w:adjustRightInd w:val="0"/>
              <w:spacing w:line="360" w:lineRule="auto"/>
              <w:jc w:val="center"/>
              <w:textAlignment w:val="baseline"/>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rPr>
              <w:t>注：响应文件中提供有效的证书复印件。</w:t>
            </w:r>
          </w:p>
        </w:tc>
        <w:tc>
          <w:tcPr>
            <w:tcW w:w="5655" w:type="dxa"/>
            <w:tcBorders>
              <w:top w:val="single" w:color="auto" w:sz="4" w:space="0"/>
              <w:left w:val="single" w:color="auto" w:sz="4" w:space="0"/>
              <w:bottom w:val="single" w:color="auto" w:sz="4" w:space="0"/>
              <w:right w:val="single" w:color="auto" w:sz="4" w:space="0"/>
            </w:tcBorders>
            <w:vAlign w:val="center"/>
          </w:tcPr>
          <w:p w14:paraId="178835EA">
            <w:pPr>
              <w:spacing w:line="360" w:lineRule="auto"/>
              <w:ind w:firstLine="480" w:firstLineChars="200"/>
              <w:jc w:val="left"/>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rPr>
              <w:t>供应商具有有效期内的ISO9001质量管理体系认证证书的得1分。（认证内容应当与本项目采购需求相关[技术集成、维护服务等]，否则不予计分。）</w:t>
            </w:r>
          </w:p>
        </w:tc>
      </w:tr>
      <w:tr w14:paraId="18F30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5" w:type="dxa"/>
            <w:vMerge w:val="continue"/>
            <w:tcBorders>
              <w:left w:val="single" w:color="auto" w:sz="4" w:space="0"/>
              <w:right w:val="single" w:color="auto" w:sz="4" w:space="0"/>
            </w:tcBorders>
            <w:vAlign w:val="center"/>
          </w:tcPr>
          <w:p w14:paraId="11A79B34">
            <w:pPr>
              <w:adjustRightInd w:val="0"/>
              <w:spacing w:line="360" w:lineRule="auto"/>
              <w:jc w:val="center"/>
              <w:textAlignment w:val="baseline"/>
              <w:rPr>
                <w:rFonts w:asciiTheme="majorEastAsia" w:hAnsiTheme="majorEastAsia" w:eastAsiaTheme="majorEastAsia" w:cstheme="majorEastAsia"/>
                <w:b/>
                <w:color w:val="auto"/>
                <w:sz w:val="24"/>
                <w:highlight w:val="none"/>
              </w:rPr>
            </w:pPr>
          </w:p>
        </w:tc>
        <w:tc>
          <w:tcPr>
            <w:tcW w:w="1517" w:type="dxa"/>
            <w:vMerge w:val="continue"/>
            <w:tcBorders>
              <w:left w:val="single" w:color="auto" w:sz="4" w:space="0"/>
              <w:right w:val="single" w:color="auto" w:sz="4" w:space="0"/>
            </w:tcBorders>
            <w:vAlign w:val="center"/>
          </w:tcPr>
          <w:p w14:paraId="0FC08C6D">
            <w:pPr>
              <w:spacing w:line="360" w:lineRule="auto"/>
              <w:jc w:val="center"/>
              <w:rPr>
                <w:rFonts w:asciiTheme="majorEastAsia" w:hAnsiTheme="majorEastAsia" w:eastAsiaTheme="majorEastAsia" w:cstheme="majorEastAsia"/>
                <w:b/>
                <w:bCs/>
                <w:color w:val="auto"/>
                <w:sz w:val="24"/>
                <w:highlight w:val="none"/>
              </w:rPr>
            </w:pPr>
          </w:p>
        </w:tc>
        <w:tc>
          <w:tcPr>
            <w:tcW w:w="1772" w:type="dxa"/>
            <w:vMerge w:val="continue"/>
            <w:tcBorders>
              <w:left w:val="single" w:color="auto" w:sz="4" w:space="0"/>
              <w:right w:val="single" w:color="auto" w:sz="4" w:space="0"/>
            </w:tcBorders>
            <w:vAlign w:val="center"/>
          </w:tcPr>
          <w:p w14:paraId="0078FEDC">
            <w:pPr>
              <w:adjustRightInd w:val="0"/>
              <w:spacing w:line="360" w:lineRule="auto"/>
              <w:jc w:val="center"/>
              <w:textAlignment w:val="baseline"/>
              <w:rPr>
                <w:rFonts w:asciiTheme="majorEastAsia" w:hAnsiTheme="majorEastAsia" w:eastAsiaTheme="majorEastAsia" w:cstheme="majorEastAsia"/>
                <w:color w:val="auto"/>
                <w:sz w:val="24"/>
                <w:highlight w:val="none"/>
              </w:rPr>
            </w:pPr>
          </w:p>
        </w:tc>
        <w:tc>
          <w:tcPr>
            <w:tcW w:w="5655" w:type="dxa"/>
            <w:tcBorders>
              <w:top w:val="single" w:color="auto" w:sz="4" w:space="0"/>
              <w:left w:val="single" w:color="auto" w:sz="4" w:space="0"/>
              <w:bottom w:val="single" w:color="auto" w:sz="4" w:space="0"/>
              <w:right w:val="single" w:color="auto" w:sz="4" w:space="0"/>
            </w:tcBorders>
            <w:vAlign w:val="center"/>
          </w:tcPr>
          <w:p w14:paraId="21E9510F">
            <w:pPr>
              <w:spacing w:line="360" w:lineRule="auto"/>
              <w:ind w:firstLine="480" w:firstLineChars="200"/>
              <w:jc w:val="left"/>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rPr>
              <w:t>供应商具有有效期内</w:t>
            </w:r>
            <w:r>
              <w:rPr>
                <w:rFonts w:hint="eastAsia" w:asciiTheme="majorEastAsia" w:hAnsiTheme="majorEastAsia" w:eastAsiaTheme="majorEastAsia" w:cstheme="majorEastAsia"/>
                <w:color w:val="auto"/>
                <w:kern w:val="0"/>
                <w:sz w:val="24"/>
                <w:highlight w:val="none"/>
              </w:rPr>
              <w:t>中国网络安全审查技术与认证中心颁发的信息系统安全运维服务资质证书的得3分。</w:t>
            </w:r>
          </w:p>
        </w:tc>
      </w:tr>
      <w:tr w14:paraId="1C194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5" w:type="dxa"/>
            <w:vMerge w:val="continue"/>
            <w:tcBorders>
              <w:left w:val="single" w:color="auto" w:sz="4" w:space="0"/>
              <w:right w:val="single" w:color="auto" w:sz="4" w:space="0"/>
            </w:tcBorders>
            <w:vAlign w:val="center"/>
          </w:tcPr>
          <w:p w14:paraId="3287599C">
            <w:pPr>
              <w:adjustRightInd w:val="0"/>
              <w:spacing w:line="360" w:lineRule="auto"/>
              <w:jc w:val="center"/>
              <w:textAlignment w:val="baseline"/>
              <w:rPr>
                <w:rFonts w:asciiTheme="majorEastAsia" w:hAnsiTheme="majorEastAsia" w:eastAsiaTheme="majorEastAsia" w:cstheme="majorEastAsia"/>
                <w:b/>
                <w:color w:val="auto"/>
                <w:sz w:val="24"/>
                <w:highlight w:val="none"/>
              </w:rPr>
            </w:pPr>
          </w:p>
        </w:tc>
        <w:tc>
          <w:tcPr>
            <w:tcW w:w="1517" w:type="dxa"/>
            <w:vMerge w:val="continue"/>
            <w:tcBorders>
              <w:left w:val="single" w:color="auto" w:sz="4" w:space="0"/>
              <w:right w:val="single" w:color="auto" w:sz="4" w:space="0"/>
            </w:tcBorders>
            <w:vAlign w:val="center"/>
          </w:tcPr>
          <w:p w14:paraId="6A16D79C">
            <w:pPr>
              <w:spacing w:line="360" w:lineRule="auto"/>
              <w:jc w:val="center"/>
              <w:rPr>
                <w:rFonts w:asciiTheme="majorEastAsia" w:hAnsiTheme="majorEastAsia" w:eastAsiaTheme="majorEastAsia" w:cstheme="majorEastAsia"/>
                <w:b/>
                <w:bCs/>
                <w:color w:val="auto"/>
                <w:sz w:val="24"/>
                <w:highlight w:val="none"/>
              </w:rPr>
            </w:pPr>
          </w:p>
        </w:tc>
        <w:tc>
          <w:tcPr>
            <w:tcW w:w="1772" w:type="dxa"/>
            <w:vMerge w:val="continue"/>
            <w:tcBorders>
              <w:left w:val="single" w:color="auto" w:sz="4" w:space="0"/>
              <w:bottom w:val="single" w:color="auto" w:sz="4" w:space="0"/>
              <w:right w:val="single" w:color="auto" w:sz="4" w:space="0"/>
            </w:tcBorders>
            <w:vAlign w:val="center"/>
          </w:tcPr>
          <w:p w14:paraId="71EF5E9C">
            <w:pPr>
              <w:adjustRightInd w:val="0"/>
              <w:spacing w:line="360" w:lineRule="auto"/>
              <w:jc w:val="center"/>
              <w:textAlignment w:val="baseline"/>
              <w:rPr>
                <w:rFonts w:asciiTheme="majorEastAsia" w:hAnsiTheme="majorEastAsia" w:eastAsiaTheme="majorEastAsia" w:cstheme="majorEastAsia"/>
                <w:color w:val="auto"/>
                <w:sz w:val="24"/>
                <w:highlight w:val="none"/>
              </w:rPr>
            </w:pPr>
          </w:p>
        </w:tc>
        <w:tc>
          <w:tcPr>
            <w:tcW w:w="5655" w:type="dxa"/>
            <w:tcBorders>
              <w:top w:val="single" w:color="auto" w:sz="4" w:space="0"/>
              <w:left w:val="single" w:color="auto" w:sz="4" w:space="0"/>
              <w:bottom w:val="single" w:color="auto" w:sz="4" w:space="0"/>
              <w:right w:val="single" w:color="auto" w:sz="4" w:space="0"/>
            </w:tcBorders>
            <w:vAlign w:val="center"/>
          </w:tcPr>
          <w:p w14:paraId="2FFAF432">
            <w:pPr>
              <w:spacing w:line="360" w:lineRule="auto"/>
              <w:ind w:firstLine="480" w:firstLineChars="200"/>
              <w:jc w:val="left"/>
              <w:rPr>
                <w:rFonts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rPr>
              <w:t>供应商具有有效期内</w:t>
            </w:r>
            <w:r>
              <w:rPr>
                <w:rFonts w:hint="eastAsia" w:asciiTheme="majorEastAsia" w:hAnsiTheme="majorEastAsia" w:eastAsiaTheme="majorEastAsia" w:cstheme="majorEastAsia"/>
                <w:color w:val="auto"/>
                <w:kern w:val="0"/>
                <w:sz w:val="24"/>
                <w:highlight w:val="none"/>
              </w:rPr>
              <w:t>中国网络安全审查技术与认证中心颁发的信息安全应急处理服务资质证书的得3分。</w:t>
            </w:r>
          </w:p>
        </w:tc>
      </w:tr>
    </w:tbl>
    <w:p w14:paraId="5A330A9E">
      <w:pPr>
        <w:rPr>
          <w:rFonts w:ascii="宋体" w:hAnsi="宋体" w:cs="宋体"/>
          <w:color w:val="auto"/>
          <w:sz w:val="30"/>
          <w:szCs w:val="30"/>
          <w:highlight w:val="none"/>
        </w:rPr>
      </w:pPr>
      <w:r>
        <w:rPr>
          <w:rFonts w:hint="eastAsia" w:ascii="宋体" w:hAnsi="宋体" w:cs="宋体"/>
          <w:color w:val="auto"/>
          <w:sz w:val="30"/>
          <w:szCs w:val="30"/>
          <w:highlight w:val="none"/>
        </w:rPr>
        <w:br w:type="page"/>
      </w:r>
    </w:p>
    <w:p w14:paraId="3864400C">
      <w:pPr>
        <w:jc w:val="center"/>
        <w:rPr>
          <w:rFonts w:ascii="宋体" w:hAnsi="宋体" w:cs="宋体"/>
          <w:color w:val="auto"/>
          <w:sz w:val="30"/>
          <w:szCs w:val="30"/>
          <w:highlight w:val="none"/>
        </w:rPr>
      </w:pPr>
      <w:r>
        <w:rPr>
          <w:rFonts w:hint="eastAsia" w:ascii="宋体" w:hAnsi="宋体" w:cs="宋体"/>
          <w:color w:val="auto"/>
          <w:sz w:val="30"/>
          <w:szCs w:val="30"/>
          <w:highlight w:val="none"/>
        </w:rPr>
        <w:t>四、中标候选人推荐原则</w:t>
      </w:r>
    </w:p>
    <w:p w14:paraId="2058935B">
      <w:pPr>
        <w:pStyle w:val="24"/>
        <w:spacing w:line="360" w:lineRule="auto"/>
        <w:contextualSpacing/>
        <w:rPr>
          <w:rFonts w:hAnsi="宋体" w:cs="宋体"/>
          <w:b/>
          <w:color w:val="auto"/>
          <w:kern w:val="2"/>
          <w:sz w:val="24"/>
          <w:szCs w:val="24"/>
          <w:highlight w:val="none"/>
        </w:rPr>
      </w:pPr>
      <w:r>
        <w:rPr>
          <w:rFonts w:hint="eastAsia" w:hAnsi="宋体" w:cs="宋体"/>
          <w:b/>
          <w:color w:val="auto"/>
          <w:kern w:val="2"/>
          <w:sz w:val="24"/>
          <w:szCs w:val="24"/>
          <w:highlight w:val="none"/>
        </w:rPr>
        <w:t>（一）综合评分法</w:t>
      </w:r>
    </w:p>
    <w:p w14:paraId="2BB5175C">
      <w:pPr>
        <w:pStyle w:val="24"/>
        <w:spacing w:line="360" w:lineRule="auto"/>
        <w:ind w:firstLine="480" w:firstLineChars="200"/>
        <w:contextualSpacing/>
        <w:rPr>
          <w:rFonts w:hAnsi="宋体" w:cs="宋体"/>
          <w:color w:val="auto"/>
          <w:kern w:val="2"/>
          <w:sz w:val="24"/>
          <w:szCs w:val="24"/>
          <w:highlight w:val="none"/>
        </w:rPr>
      </w:pPr>
      <w:r>
        <w:rPr>
          <w:rFonts w:hint="eastAsia" w:hAnsi="宋体" w:cs="宋体"/>
          <w:color w:val="auto"/>
          <w:kern w:val="2"/>
          <w:sz w:val="24"/>
          <w:szCs w:val="24"/>
          <w:highlight w:val="none"/>
        </w:rPr>
        <w:t>1</w:t>
      </w:r>
      <w:r>
        <w:rPr>
          <w:rFonts w:hAnsi="宋体" w:cs="宋体"/>
          <w:color w:val="auto"/>
          <w:kern w:val="2"/>
          <w:sz w:val="24"/>
          <w:szCs w:val="24"/>
          <w:highlight w:val="none"/>
        </w:rPr>
        <w:t>.</w:t>
      </w:r>
      <w:r>
        <w:rPr>
          <w:rFonts w:hint="eastAsia" w:hAnsi="宋体" w:cs="宋体"/>
          <w:color w:val="auto"/>
          <w:kern w:val="2"/>
          <w:sz w:val="24"/>
          <w:szCs w:val="24"/>
          <w:highlight w:val="none"/>
        </w:rPr>
        <w:t>评标委员会将根据总得分由高到低排列次序并推荐中标候选人。得分相同的，按投标报价由低到高顺序排列。得分且投标报价相同的并列，依次按政策分得分高的优先、技术评分高的优先、商务评分高的优先、</w:t>
      </w:r>
      <w:r>
        <w:rPr>
          <w:rFonts w:hint="eastAsia" w:hAnsi="宋体" w:cs="宋体"/>
          <w:color w:val="auto"/>
          <w:sz w:val="24"/>
          <w:highlight w:val="none"/>
        </w:rPr>
        <w:t>质量保证期</w:t>
      </w:r>
      <w:r>
        <w:rPr>
          <w:rFonts w:hint="eastAsia" w:hAnsi="宋体" w:cs="宋体"/>
          <w:color w:val="auto"/>
          <w:kern w:val="2"/>
          <w:sz w:val="24"/>
          <w:szCs w:val="24"/>
          <w:highlight w:val="none"/>
        </w:rPr>
        <w:t>长优先、交货期短优先、故障响应时间短优先的顺序确定中标候选人。</w:t>
      </w:r>
    </w:p>
    <w:p w14:paraId="62A485BC">
      <w:pPr>
        <w:pStyle w:val="7"/>
        <w:ind w:firstLine="480" w:firstLineChars="200"/>
        <w:jc w:val="left"/>
        <w:rPr>
          <w:rFonts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2.根据《政府采购货物和服务招标投标管理办法》（财政部令第87号）第三十一条第二款规定，采用综合评分法的采购项目，提供相同品牌产品且通过资格审查、符合性审查的不同投标人参加同一合同项下投标的，按一家投标人计算，评审后得分最高的同品牌投标人获得中标人推荐资格；评审得分相同的，按照“投标人须知前附表”8</w:t>
      </w:r>
      <w:r>
        <w:rPr>
          <w:rFonts w:ascii="宋体" w:hAnsi="宋体" w:eastAsia="宋体" w:cs="宋体"/>
          <w:color w:val="auto"/>
          <w:kern w:val="2"/>
          <w:sz w:val="24"/>
          <w:szCs w:val="24"/>
          <w:highlight w:val="none"/>
        </w:rPr>
        <w:t>.1</w:t>
      </w:r>
      <w:r>
        <w:rPr>
          <w:rFonts w:hint="eastAsia" w:ascii="宋体" w:hAnsi="宋体" w:eastAsia="宋体" w:cs="宋体"/>
          <w:color w:val="auto"/>
          <w:kern w:val="2"/>
          <w:sz w:val="24"/>
          <w:szCs w:val="24"/>
          <w:highlight w:val="none"/>
        </w:rPr>
        <w:t xml:space="preserve"> 规定推荐，确定后其他同品牌投标人不作为中标候选人。</w:t>
      </w:r>
    </w:p>
    <w:p w14:paraId="193E6344">
      <w:pPr>
        <w:pStyle w:val="24"/>
        <w:spacing w:line="360" w:lineRule="auto"/>
        <w:contextualSpacing/>
        <w:rPr>
          <w:rFonts w:hAnsi="宋体"/>
          <w:b/>
          <w:bCs/>
          <w:color w:val="auto"/>
          <w:sz w:val="24"/>
          <w:szCs w:val="24"/>
          <w:highlight w:val="none"/>
        </w:rPr>
      </w:pPr>
      <w:r>
        <w:rPr>
          <w:rFonts w:hint="eastAsia" w:hAnsi="宋体"/>
          <w:b/>
          <w:bCs/>
          <w:color w:val="auto"/>
          <w:sz w:val="24"/>
          <w:szCs w:val="24"/>
          <w:highlight w:val="none"/>
        </w:rPr>
        <w:t>（二）</w:t>
      </w:r>
      <w:r>
        <w:rPr>
          <w:rFonts w:hAnsi="宋体"/>
          <w:b/>
          <w:bCs/>
          <w:color w:val="auto"/>
          <w:sz w:val="24"/>
          <w:szCs w:val="24"/>
          <w:highlight w:val="none"/>
        </w:rPr>
        <w:t>最低评标价法</w:t>
      </w:r>
    </w:p>
    <w:p w14:paraId="286A3553">
      <w:pPr>
        <w:spacing w:line="360" w:lineRule="auto"/>
        <w:ind w:firstLine="480" w:firstLineChars="200"/>
        <w:rPr>
          <w:rFonts w:ascii="宋体" w:hAnsi="宋体" w:cs="宋体"/>
          <w:color w:val="auto"/>
          <w:sz w:val="24"/>
          <w:highlight w:val="none"/>
        </w:rPr>
      </w:pPr>
      <w:r>
        <w:rPr>
          <w:rFonts w:hint="eastAsia" w:hAnsi="宋体"/>
          <w:color w:val="auto"/>
          <w:sz w:val="24"/>
          <w:highlight w:val="none"/>
        </w:rPr>
        <w:t>评标委员会</w:t>
      </w:r>
      <w:r>
        <w:rPr>
          <w:rFonts w:hint="eastAsia" w:ascii="宋体" w:hAnsi="宋体" w:cs="宋体"/>
          <w:color w:val="auto"/>
          <w:sz w:val="24"/>
          <w:highlight w:val="none"/>
        </w:rPr>
        <w:t>应当从质量和服务均能满足谈判文件实质性响应要求的供应商中，按照评标价由低到高的顺序排列次序并推荐中标候选人。评标价相同时，由谈判小组按“供应商须知前附表”第</w:t>
      </w:r>
      <w:r>
        <w:rPr>
          <w:rFonts w:ascii="宋体" w:hAnsi="宋体" w:cs="宋体"/>
          <w:color w:val="auto"/>
          <w:sz w:val="24"/>
          <w:highlight w:val="none"/>
        </w:rPr>
        <w:t>30.1</w:t>
      </w:r>
      <w:r>
        <w:rPr>
          <w:rFonts w:hint="eastAsia" w:ascii="宋体" w:hAnsi="宋体" w:cs="宋体"/>
          <w:color w:val="auto"/>
          <w:sz w:val="24"/>
          <w:highlight w:val="none"/>
        </w:rPr>
        <w:t>条规定的顺序</w:t>
      </w:r>
      <w:r>
        <w:rPr>
          <w:rFonts w:hint="eastAsia" w:hAnsi="宋体" w:cs="宋体"/>
          <w:color w:val="auto"/>
          <w:sz w:val="24"/>
          <w:highlight w:val="none"/>
        </w:rPr>
        <w:t>确定中标候选人</w:t>
      </w:r>
      <w:r>
        <w:rPr>
          <w:rFonts w:hint="eastAsia" w:ascii="宋体" w:hAnsi="宋体" w:cs="宋体"/>
          <w:color w:val="auto"/>
          <w:sz w:val="24"/>
          <w:highlight w:val="none"/>
        </w:rPr>
        <w:t>。</w:t>
      </w:r>
    </w:p>
    <w:p w14:paraId="6903C6D0">
      <w:pPr>
        <w:pStyle w:val="24"/>
        <w:spacing w:line="360" w:lineRule="auto"/>
        <w:ind w:firstLine="480" w:firstLineChars="200"/>
        <w:contextualSpacing/>
        <w:rPr>
          <w:rFonts w:hAnsi="宋体" w:cs="宋体"/>
          <w:color w:val="auto"/>
          <w:sz w:val="24"/>
          <w:szCs w:val="24"/>
          <w:highlight w:val="none"/>
        </w:rPr>
      </w:pPr>
    </w:p>
    <w:p w14:paraId="39050271">
      <w:pPr>
        <w:rPr>
          <w:color w:val="auto"/>
          <w:highlight w:val="none"/>
        </w:rPr>
      </w:pPr>
      <w:bookmarkStart w:id="138" w:name="_Toc74320804"/>
    </w:p>
    <w:p w14:paraId="0CA40021">
      <w:pPr>
        <w:pStyle w:val="56"/>
        <w:rPr>
          <w:color w:val="auto"/>
          <w:highlight w:val="none"/>
        </w:rPr>
      </w:pPr>
    </w:p>
    <w:p w14:paraId="0C5D674E">
      <w:pPr>
        <w:jc w:val="center"/>
        <w:rPr>
          <w:rFonts w:ascii="宋体" w:hAnsi="宋体" w:cs="宋体"/>
          <w:color w:val="auto"/>
          <w:highlight w:val="none"/>
        </w:rPr>
      </w:pPr>
      <w:r>
        <w:rPr>
          <w:rFonts w:hint="eastAsia" w:ascii="宋体" w:hAnsi="宋体" w:cs="宋体"/>
          <w:color w:val="auto"/>
          <w:highlight w:val="none"/>
        </w:rPr>
        <w:br w:type="page"/>
      </w:r>
    </w:p>
    <w:p w14:paraId="484676E5">
      <w:pPr>
        <w:pStyle w:val="3"/>
        <w:jc w:val="center"/>
        <w:rPr>
          <w:rFonts w:ascii="宋体" w:hAnsi="宋体" w:cs="宋体"/>
          <w:color w:val="auto"/>
          <w:highlight w:val="none"/>
        </w:rPr>
      </w:pPr>
      <w:r>
        <w:rPr>
          <w:rFonts w:hint="eastAsia" w:ascii="宋体" w:hAnsi="宋体" w:cs="宋体"/>
          <w:color w:val="auto"/>
          <w:highlight w:val="none"/>
        </w:rPr>
        <w:t>第五章  拟签订的合同文本</w:t>
      </w:r>
      <w:bookmarkEnd w:id="138"/>
    </w:p>
    <w:p w14:paraId="277024C1">
      <w:pPr>
        <w:snapToGrid w:val="0"/>
        <w:spacing w:line="360" w:lineRule="auto"/>
        <w:rPr>
          <w:rFonts w:ascii="宋体" w:hAnsi="宋体" w:cs="宋体"/>
          <w:color w:val="auto"/>
          <w:sz w:val="24"/>
          <w:highlight w:val="none"/>
        </w:rPr>
      </w:pPr>
      <w:r>
        <w:rPr>
          <w:rFonts w:hint="eastAsia" w:ascii="宋体" w:hAnsi="宋体" w:cs="宋体"/>
          <w:b/>
          <w:color w:val="auto"/>
          <w:sz w:val="24"/>
          <w:highlight w:val="none"/>
        </w:rPr>
        <w:t xml:space="preserve">一般货物类： </w:t>
      </w:r>
    </w:p>
    <w:p w14:paraId="73D510A7">
      <w:pPr>
        <w:snapToGrid w:val="0"/>
        <w:spacing w:line="360" w:lineRule="auto"/>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1分标</w:t>
      </w:r>
    </w:p>
    <w:p w14:paraId="0AC1B8EB">
      <w:pPr>
        <w:snapToGrid w:val="0"/>
        <w:spacing w:line="360" w:lineRule="auto"/>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《广西壮族自治区政府采购合同》</w:t>
      </w:r>
    </w:p>
    <w:p w14:paraId="09BB3804">
      <w:pPr>
        <w:spacing w:line="460" w:lineRule="exact"/>
        <w:rPr>
          <w:rFonts w:ascii="宋体" w:hAnsi="宋体" w:cs="宋体"/>
          <w:color w:val="auto"/>
          <w:sz w:val="24"/>
          <w:highlight w:val="none"/>
        </w:rPr>
      </w:pPr>
      <w:r>
        <w:rPr>
          <w:rFonts w:hint="eastAsia" w:ascii="宋体" w:hAnsi="宋体" w:cs="宋体"/>
          <w:color w:val="auto"/>
          <w:sz w:val="24"/>
          <w:highlight w:val="none"/>
        </w:rPr>
        <w:t>项目名称：综合业务安全接入系统升级及维保服务项目</w:t>
      </w:r>
    </w:p>
    <w:p w14:paraId="3B4BCFB1">
      <w:pPr>
        <w:spacing w:line="440" w:lineRule="exact"/>
        <w:rPr>
          <w:rFonts w:hint="eastAsia" w:ascii="宋体" w:hAnsi="宋体" w:eastAsia="宋体" w:cs="宋体"/>
          <w:color w:val="auto"/>
          <w:sz w:val="24"/>
          <w:highlight w:val="none"/>
          <w:lang w:eastAsia="zh-CN"/>
        </w:rPr>
      </w:pPr>
      <w:r>
        <w:rPr>
          <w:rFonts w:hint="eastAsia" w:ascii="宋体" w:hAnsi="宋体" w:cs="宋体"/>
          <w:color w:val="auto"/>
          <w:sz w:val="24"/>
          <w:highlight w:val="none"/>
        </w:rPr>
        <w:t>合同编号：</w:t>
      </w:r>
      <w:r>
        <w:rPr>
          <w:rFonts w:hint="eastAsia" w:ascii="宋体" w:hAnsi="宋体" w:cs="宋体"/>
          <w:color w:val="auto"/>
          <w:sz w:val="24"/>
          <w:highlight w:val="none"/>
          <w:lang w:eastAsia="zh-CN"/>
        </w:rPr>
        <w:t>GXZC2024-G1-005575-KWZB</w:t>
      </w:r>
    </w:p>
    <w:p w14:paraId="4C6CB3C3">
      <w:pPr>
        <w:spacing w:line="440" w:lineRule="exact"/>
        <w:rPr>
          <w:rFonts w:ascii="宋体" w:hAnsi="宋体" w:cs="宋体"/>
          <w:color w:val="auto"/>
          <w:sz w:val="24"/>
          <w:highlight w:val="none"/>
        </w:rPr>
      </w:pPr>
      <w:r>
        <w:rPr>
          <w:rFonts w:hint="eastAsia" w:ascii="宋体" w:hAnsi="宋体" w:cs="宋体"/>
          <w:color w:val="auto"/>
          <w:sz w:val="24"/>
          <w:highlight w:val="none"/>
        </w:rPr>
        <w:t>采购人（甲方）：</w:t>
      </w:r>
      <w:r>
        <w:rPr>
          <w:rFonts w:hint="eastAsia" w:ascii="宋体" w:hAnsi="宋体" w:cs="宋体"/>
          <w:color w:val="auto"/>
          <w:sz w:val="24"/>
          <w:highlight w:val="none"/>
          <w:u w:val="single"/>
        </w:rPr>
        <w:t>广西福利彩票发行中心</w:t>
      </w:r>
      <w:r>
        <w:rPr>
          <w:rFonts w:hint="eastAsia" w:ascii="宋体" w:hAnsi="宋体" w:cs="宋体"/>
          <w:color w:val="auto"/>
          <w:sz w:val="24"/>
          <w:highlight w:val="none"/>
        </w:rPr>
        <w:t xml:space="preserve">                      </w:t>
      </w:r>
    </w:p>
    <w:p w14:paraId="738B2E45">
      <w:pPr>
        <w:spacing w:line="440" w:lineRule="exact"/>
        <w:rPr>
          <w:rFonts w:ascii="宋体" w:hAnsi="宋体" w:cs="宋体"/>
          <w:color w:val="auto"/>
          <w:sz w:val="24"/>
          <w:highlight w:val="none"/>
        </w:rPr>
      </w:pPr>
      <w:r>
        <w:rPr>
          <w:rFonts w:hint="eastAsia" w:ascii="宋体" w:hAnsi="宋体" w:cs="宋体"/>
          <w:color w:val="auto"/>
          <w:sz w:val="24"/>
          <w:highlight w:val="none"/>
        </w:rPr>
        <w:t>供应商（乙方）：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14:paraId="043C90E7">
      <w:pPr>
        <w:spacing w:line="440" w:lineRule="exact"/>
        <w:rPr>
          <w:rFonts w:hint="eastAsia" w:ascii="宋体" w:hAnsi="宋体" w:eastAsia="宋体" w:cs="宋体"/>
          <w:color w:val="auto"/>
          <w:sz w:val="24"/>
          <w:highlight w:val="none"/>
          <w:lang w:eastAsia="zh-CN"/>
        </w:rPr>
      </w:pP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GXZC2024-G1-005575-KWZB</w:t>
      </w:r>
    </w:p>
    <w:p w14:paraId="571BAA8D">
      <w:pPr>
        <w:spacing w:line="440" w:lineRule="exact"/>
        <w:rPr>
          <w:rFonts w:ascii="宋体" w:hAnsi="宋体" w:cs="宋体"/>
          <w:color w:val="auto"/>
          <w:sz w:val="24"/>
          <w:highlight w:val="none"/>
        </w:rPr>
      </w:pPr>
      <w:r>
        <w:rPr>
          <w:rFonts w:hint="eastAsia" w:ascii="宋体" w:hAnsi="宋体" w:cs="宋体"/>
          <w:color w:val="auto"/>
          <w:sz w:val="24"/>
          <w:highlight w:val="none"/>
        </w:rPr>
        <w:t>签订地点：</w:t>
      </w:r>
      <w:r>
        <w:rPr>
          <w:rFonts w:hint="eastAsia" w:ascii="宋体" w:hAnsi="宋体" w:cs="宋体"/>
          <w:color w:val="auto"/>
          <w:sz w:val="24"/>
          <w:highlight w:val="none"/>
          <w:u w:val="single"/>
        </w:rPr>
        <w:t>广西壮族自治区南宁市西乡塘区</w:t>
      </w:r>
    </w:p>
    <w:p w14:paraId="6773D570">
      <w:pPr>
        <w:snapToGrid w:val="0"/>
        <w:spacing w:line="360" w:lineRule="auto"/>
        <w:ind w:firstLine="480" w:firstLineChars="200"/>
        <w:rPr>
          <w:rFonts w:ascii="宋体" w:hAnsi="宋体" w:cs="宋体"/>
          <w:color w:val="auto"/>
          <w:sz w:val="24"/>
          <w:highlight w:val="none"/>
        </w:rPr>
      </w:pPr>
    </w:p>
    <w:p w14:paraId="6491587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根据《中华人民共和国政府采购法》《中华人民共和国民法典》等法律、法规规定，按照招标文件规定条款和中标（成交）供应商承诺，甲乙双方签订本合同。</w:t>
      </w:r>
    </w:p>
    <w:p w14:paraId="252BE015">
      <w:pPr>
        <w:snapToGrid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第一条　合同标的</w:t>
      </w:r>
    </w:p>
    <w:p w14:paraId="5D1CE070">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1.供货一览表</w:t>
      </w:r>
    </w:p>
    <w:tbl>
      <w:tblPr>
        <w:tblStyle w:val="47"/>
        <w:tblW w:w="99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954"/>
        <w:gridCol w:w="1046"/>
        <w:gridCol w:w="1177"/>
        <w:gridCol w:w="1046"/>
        <w:gridCol w:w="915"/>
        <w:gridCol w:w="654"/>
        <w:gridCol w:w="765"/>
        <w:gridCol w:w="1588"/>
        <w:gridCol w:w="1177"/>
      </w:tblGrid>
      <w:tr w14:paraId="12C50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7" w:hRule="atLeast"/>
          <w:jc w:val="center"/>
        </w:trPr>
        <w:tc>
          <w:tcPr>
            <w:tcW w:w="654" w:type="dxa"/>
            <w:vAlign w:val="center"/>
          </w:tcPr>
          <w:p w14:paraId="3704F4CE">
            <w:pPr>
              <w:snapToGrid w:val="0"/>
              <w:spacing w:line="460" w:lineRule="exact"/>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954" w:type="dxa"/>
            <w:vAlign w:val="center"/>
          </w:tcPr>
          <w:p w14:paraId="7329AAD4">
            <w:pPr>
              <w:snapToGrid w:val="0"/>
              <w:spacing w:line="460" w:lineRule="exact"/>
              <w:jc w:val="center"/>
              <w:rPr>
                <w:rFonts w:ascii="宋体" w:hAnsi="宋体" w:cs="宋体"/>
                <w:b/>
                <w:color w:val="auto"/>
                <w:sz w:val="24"/>
                <w:highlight w:val="none"/>
              </w:rPr>
            </w:pPr>
            <w:r>
              <w:rPr>
                <w:rFonts w:hint="eastAsia" w:ascii="宋体" w:hAnsi="宋体" w:cs="宋体"/>
                <w:b/>
                <w:color w:val="auto"/>
                <w:sz w:val="24"/>
                <w:highlight w:val="none"/>
              </w:rPr>
              <w:t>货物名称</w:t>
            </w:r>
          </w:p>
        </w:tc>
        <w:tc>
          <w:tcPr>
            <w:tcW w:w="1046" w:type="dxa"/>
            <w:vAlign w:val="center"/>
          </w:tcPr>
          <w:p w14:paraId="0A6E107A">
            <w:pPr>
              <w:snapToGrid w:val="0"/>
              <w:spacing w:line="460" w:lineRule="exact"/>
              <w:jc w:val="center"/>
              <w:rPr>
                <w:rFonts w:ascii="宋体" w:hAnsi="宋体" w:cs="宋体"/>
                <w:b/>
                <w:color w:val="auto"/>
                <w:sz w:val="24"/>
                <w:highlight w:val="none"/>
              </w:rPr>
            </w:pPr>
            <w:r>
              <w:rPr>
                <w:rFonts w:hint="eastAsia" w:ascii="宋体" w:hAnsi="宋体" w:cs="宋体"/>
                <w:b/>
                <w:color w:val="auto"/>
                <w:sz w:val="24"/>
                <w:highlight w:val="none"/>
              </w:rPr>
              <w:t>品牌</w:t>
            </w:r>
          </w:p>
        </w:tc>
        <w:tc>
          <w:tcPr>
            <w:tcW w:w="1177" w:type="dxa"/>
            <w:vAlign w:val="center"/>
          </w:tcPr>
          <w:p w14:paraId="3A92EE6C">
            <w:pPr>
              <w:snapToGrid w:val="0"/>
              <w:spacing w:line="460" w:lineRule="exact"/>
              <w:jc w:val="center"/>
              <w:rPr>
                <w:rFonts w:ascii="宋体" w:hAnsi="宋体" w:cs="宋体"/>
                <w:b/>
                <w:color w:val="auto"/>
                <w:sz w:val="24"/>
                <w:highlight w:val="none"/>
              </w:rPr>
            </w:pPr>
            <w:r>
              <w:rPr>
                <w:rFonts w:hint="eastAsia" w:ascii="宋体" w:hAnsi="宋体" w:cs="宋体"/>
                <w:b/>
                <w:color w:val="auto"/>
                <w:sz w:val="24"/>
                <w:highlight w:val="none"/>
              </w:rPr>
              <w:t>型号</w:t>
            </w:r>
          </w:p>
        </w:tc>
        <w:tc>
          <w:tcPr>
            <w:tcW w:w="1046" w:type="dxa"/>
            <w:vAlign w:val="center"/>
          </w:tcPr>
          <w:p w14:paraId="40AF34CD">
            <w:pPr>
              <w:snapToGrid w:val="0"/>
              <w:jc w:val="center"/>
              <w:rPr>
                <w:rFonts w:ascii="宋体" w:hAnsi="宋体" w:cs="宋体"/>
                <w:b/>
                <w:color w:val="auto"/>
                <w:sz w:val="24"/>
                <w:highlight w:val="none"/>
              </w:rPr>
            </w:pPr>
            <w:r>
              <w:rPr>
                <w:rFonts w:hint="eastAsia" w:ascii="宋体" w:hAnsi="宋体" w:cs="宋体"/>
                <w:b/>
                <w:color w:val="auto"/>
                <w:sz w:val="24"/>
                <w:highlight w:val="none"/>
              </w:rPr>
              <w:t>生产厂家</w:t>
            </w:r>
          </w:p>
        </w:tc>
        <w:tc>
          <w:tcPr>
            <w:tcW w:w="915" w:type="dxa"/>
            <w:vAlign w:val="center"/>
          </w:tcPr>
          <w:p w14:paraId="5F3BEB91">
            <w:pPr>
              <w:snapToGrid w:val="0"/>
              <w:jc w:val="center"/>
              <w:rPr>
                <w:rFonts w:ascii="宋体" w:hAnsi="宋体" w:cs="宋体"/>
                <w:b/>
                <w:color w:val="auto"/>
                <w:sz w:val="24"/>
                <w:highlight w:val="none"/>
              </w:rPr>
            </w:pPr>
            <w:r>
              <w:rPr>
                <w:rFonts w:hint="eastAsia" w:ascii="宋体" w:hAnsi="宋体" w:cs="宋体"/>
                <w:b/>
                <w:color w:val="auto"/>
                <w:sz w:val="24"/>
                <w:highlight w:val="none"/>
              </w:rPr>
              <w:t>产地</w:t>
            </w:r>
          </w:p>
        </w:tc>
        <w:tc>
          <w:tcPr>
            <w:tcW w:w="654" w:type="dxa"/>
            <w:vAlign w:val="center"/>
          </w:tcPr>
          <w:p w14:paraId="6A9C46E5">
            <w:pPr>
              <w:snapToGrid w:val="0"/>
              <w:jc w:val="center"/>
              <w:rPr>
                <w:rFonts w:ascii="宋体" w:hAnsi="宋体" w:cs="宋体"/>
                <w:b/>
                <w:color w:val="auto"/>
                <w:sz w:val="24"/>
                <w:highlight w:val="none"/>
              </w:rPr>
            </w:pPr>
            <w:r>
              <w:rPr>
                <w:rFonts w:hint="eastAsia" w:ascii="宋体" w:hAnsi="宋体" w:cs="宋体"/>
                <w:b/>
                <w:color w:val="auto"/>
                <w:sz w:val="24"/>
                <w:highlight w:val="none"/>
              </w:rPr>
              <w:t>数  量</w:t>
            </w:r>
          </w:p>
        </w:tc>
        <w:tc>
          <w:tcPr>
            <w:tcW w:w="765" w:type="dxa"/>
            <w:vAlign w:val="center"/>
          </w:tcPr>
          <w:p w14:paraId="1CE4502C">
            <w:pPr>
              <w:snapToGrid w:val="0"/>
              <w:jc w:val="center"/>
              <w:rPr>
                <w:rFonts w:ascii="宋体" w:hAnsi="宋体" w:cs="宋体"/>
                <w:b/>
                <w:color w:val="auto"/>
                <w:sz w:val="24"/>
                <w:highlight w:val="none"/>
              </w:rPr>
            </w:pPr>
            <w:r>
              <w:rPr>
                <w:rFonts w:hint="eastAsia" w:ascii="宋体" w:hAnsi="宋体" w:cs="宋体"/>
                <w:b/>
                <w:color w:val="auto"/>
                <w:sz w:val="24"/>
                <w:highlight w:val="none"/>
              </w:rPr>
              <w:t>单位</w:t>
            </w:r>
          </w:p>
        </w:tc>
        <w:tc>
          <w:tcPr>
            <w:tcW w:w="1588" w:type="dxa"/>
            <w:vAlign w:val="center"/>
          </w:tcPr>
          <w:p w14:paraId="14025D6A">
            <w:pPr>
              <w:snapToGrid w:val="0"/>
              <w:jc w:val="center"/>
              <w:rPr>
                <w:rFonts w:ascii="宋体" w:hAnsi="宋体" w:cs="宋体"/>
                <w:b/>
                <w:color w:val="auto"/>
                <w:sz w:val="24"/>
                <w:highlight w:val="none"/>
              </w:rPr>
            </w:pPr>
            <w:r>
              <w:rPr>
                <w:rFonts w:hint="eastAsia" w:ascii="宋体" w:hAnsi="宋体" w:cs="宋体"/>
                <w:b/>
                <w:color w:val="auto"/>
                <w:sz w:val="24"/>
                <w:highlight w:val="none"/>
              </w:rPr>
              <w:t>单  价</w:t>
            </w:r>
          </w:p>
          <w:p w14:paraId="21E5BD1B">
            <w:pPr>
              <w:snapToGrid w:val="0"/>
              <w:jc w:val="center"/>
              <w:rPr>
                <w:rFonts w:ascii="宋体" w:hAnsi="宋体" w:cs="宋体"/>
                <w:b/>
                <w:color w:val="auto"/>
                <w:sz w:val="24"/>
                <w:highlight w:val="none"/>
              </w:rPr>
            </w:pPr>
            <w:r>
              <w:rPr>
                <w:rFonts w:hint="eastAsia" w:ascii="宋体" w:hAnsi="宋体" w:cs="宋体"/>
                <w:b/>
                <w:color w:val="auto"/>
                <w:sz w:val="24"/>
                <w:highlight w:val="none"/>
              </w:rPr>
              <w:t>（元/人民币）</w:t>
            </w:r>
          </w:p>
        </w:tc>
        <w:tc>
          <w:tcPr>
            <w:tcW w:w="1177" w:type="dxa"/>
            <w:vAlign w:val="center"/>
          </w:tcPr>
          <w:p w14:paraId="459C0CA0">
            <w:pPr>
              <w:snapToGrid w:val="0"/>
              <w:jc w:val="center"/>
              <w:rPr>
                <w:rFonts w:ascii="宋体" w:hAnsi="宋体" w:cs="宋体"/>
                <w:b/>
                <w:color w:val="auto"/>
                <w:sz w:val="24"/>
                <w:highlight w:val="none"/>
              </w:rPr>
            </w:pPr>
            <w:r>
              <w:rPr>
                <w:rFonts w:hint="eastAsia" w:ascii="宋体" w:hAnsi="宋体" w:cs="宋体"/>
                <w:b/>
                <w:color w:val="auto"/>
                <w:sz w:val="24"/>
                <w:highlight w:val="none"/>
              </w:rPr>
              <w:t>单项合计（元/人民币）</w:t>
            </w:r>
          </w:p>
        </w:tc>
      </w:tr>
      <w:tr w14:paraId="7C6BC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3" w:hRule="atLeast"/>
          <w:jc w:val="center"/>
        </w:trPr>
        <w:tc>
          <w:tcPr>
            <w:tcW w:w="654" w:type="dxa"/>
            <w:vAlign w:val="center"/>
          </w:tcPr>
          <w:p w14:paraId="2B531EB2">
            <w:pPr>
              <w:snapToGrid w:val="0"/>
              <w:spacing w:line="460" w:lineRule="exact"/>
              <w:jc w:val="center"/>
              <w:rPr>
                <w:rFonts w:ascii="宋体" w:hAnsi="宋体" w:cs="宋体"/>
                <w:color w:val="auto"/>
                <w:sz w:val="24"/>
                <w:highlight w:val="none"/>
              </w:rPr>
            </w:pPr>
            <w:r>
              <w:rPr>
                <w:rFonts w:hint="eastAsia" w:ascii="宋体" w:hAnsi="宋体" w:cs="宋体"/>
                <w:color w:val="auto"/>
                <w:sz w:val="24"/>
                <w:highlight w:val="none"/>
              </w:rPr>
              <w:t>1</w:t>
            </w:r>
          </w:p>
        </w:tc>
        <w:tc>
          <w:tcPr>
            <w:tcW w:w="954" w:type="dxa"/>
            <w:vAlign w:val="center"/>
          </w:tcPr>
          <w:p w14:paraId="352D469D">
            <w:pPr>
              <w:snapToGrid w:val="0"/>
              <w:spacing w:line="460" w:lineRule="exact"/>
              <w:jc w:val="center"/>
              <w:rPr>
                <w:rFonts w:ascii="宋体" w:hAnsi="宋体" w:cs="宋体"/>
                <w:color w:val="auto"/>
                <w:sz w:val="24"/>
                <w:highlight w:val="none"/>
              </w:rPr>
            </w:pPr>
          </w:p>
        </w:tc>
        <w:tc>
          <w:tcPr>
            <w:tcW w:w="1046" w:type="dxa"/>
            <w:vAlign w:val="center"/>
          </w:tcPr>
          <w:p w14:paraId="7C85EBB5">
            <w:pPr>
              <w:snapToGrid w:val="0"/>
              <w:spacing w:line="460" w:lineRule="exact"/>
              <w:jc w:val="center"/>
              <w:rPr>
                <w:rFonts w:ascii="宋体" w:hAnsi="宋体" w:cs="宋体"/>
                <w:color w:val="auto"/>
                <w:sz w:val="24"/>
                <w:highlight w:val="none"/>
              </w:rPr>
            </w:pPr>
          </w:p>
        </w:tc>
        <w:tc>
          <w:tcPr>
            <w:tcW w:w="1177" w:type="dxa"/>
            <w:vAlign w:val="center"/>
          </w:tcPr>
          <w:p w14:paraId="1FB0B88C">
            <w:pPr>
              <w:snapToGrid w:val="0"/>
              <w:spacing w:line="460" w:lineRule="exact"/>
              <w:jc w:val="center"/>
              <w:rPr>
                <w:rFonts w:ascii="宋体" w:hAnsi="宋体" w:cs="宋体"/>
                <w:color w:val="auto"/>
                <w:sz w:val="24"/>
                <w:highlight w:val="none"/>
              </w:rPr>
            </w:pPr>
          </w:p>
        </w:tc>
        <w:tc>
          <w:tcPr>
            <w:tcW w:w="1046" w:type="dxa"/>
          </w:tcPr>
          <w:p w14:paraId="09F85508">
            <w:pPr>
              <w:snapToGrid w:val="0"/>
              <w:spacing w:line="460" w:lineRule="exact"/>
              <w:jc w:val="center"/>
              <w:rPr>
                <w:rFonts w:ascii="宋体" w:hAnsi="宋体" w:cs="宋体"/>
                <w:color w:val="auto"/>
                <w:sz w:val="24"/>
                <w:highlight w:val="none"/>
              </w:rPr>
            </w:pPr>
          </w:p>
        </w:tc>
        <w:tc>
          <w:tcPr>
            <w:tcW w:w="915" w:type="dxa"/>
            <w:vAlign w:val="center"/>
          </w:tcPr>
          <w:p w14:paraId="591B9658">
            <w:pPr>
              <w:snapToGrid w:val="0"/>
              <w:spacing w:line="460" w:lineRule="exact"/>
              <w:jc w:val="center"/>
              <w:rPr>
                <w:rFonts w:ascii="宋体" w:hAnsi="宋体" w:cs="宋体"/>
                <w:color w:val="auto"/>
                <w:sz w:val="24"/>
                <w:highlight w:val="none"/>
              </w:rPr>
            </w:pPr>
          </w:p>
        </w:tc>
        <w:tc>
          <w:tcPr>
            <w:tcW w:w="654" w:type="dxa"/>
            <w:vAlign w:val="center"/>
          </w:tcPr>
          <w:p w14:paraId="5A016445">
            <w:pPr>
              <w:snapToGrid w:val="0"/>
              <w:spacing w:line="460" w:lineRule="exact"/>
              <w:jc w:val="center"/>
              <w:rPr>
                <w:rFonts w:ascii="宋体" w:hAnsi="宋体" w:cs="宋体"/>
                <w:color w:val="auto"/>
                <w:sz w:val="24"/>
                <w:highlight w:val="none"/>
              </w:rPr>
            </w:pPr>
          </w:p>
        </w:tc>
        <w:tc>
          <w:tcPr>
            <w:tcW w:w="765" w:type="dxa"/>
          </w:tcPr>
          <w:p w14:paraId="00222AC1">
            <w:pPr>
              <w:snapToGrid w:val="0"/>
              <w:spacing w:line="460" w:lineRule="exact"/>
              <w:jc w:val="center"/>
              <w:rPr>
                <w:rFonts w:ascii="宋体" w:hAnsi="宋体" w:cs="宋体"/>
                <w:color w:val="auto"/>
                <w:sz w:val="24"/>
                <w:highlight w:val="none"/>
              </w:rPr>
            </w:pPr>
          </w:p>
        </w:tc>
        <w:tc>
          <w:tcPr>
            <w:tcW w:w="1588" w:type="dxa"/>
            <w:vAlign w:val="center"/>
          </w:tcPr>
          <w:p w14:paraId="6A7467F2">
            <w:pPr>
              <w:snapToGrid w:val="0"/>
              <w:spacing w:line="460" w:lineRule="exact"/>
              <w:jc w:val="center"/>
              <w:rPr>
                <w:rFonts w:ascii="宋体" w:hAnsi="宋体" w:cs="宋体"/>
                <w:color w:val="auto"/>
                <w:sz w:val="24"/>
                <w:highlight w:val="none"/>
              </w:rPr>
            </w:pPr>
          </w:p>
        </w:tc>
        <w:tc>
          <w:tcPr>
            <w:tcW w:w="1177" w:type="dxa"/>
          </w:tcPr>
          <w:p w14:paraId="2AF47496">
            <w:pPr>
              <w:snapToGrid w:val="0"/>
              <w:spacing w:line="460" w:lineRule="exact"/>
              <w:jc w:val="center"/>
              <w:rPr>
                <w:rFonts w:ascii="宋体" w:hAnsi="宋体" w:cs="宋体"/>
                <w:color w:val="auto"/>
                <w:sz w:val="24"/>
                <w:highlight w:val="none"/>
              </w:rPr>
            </w:pPr>
          </w:p>
        </w:tc>
      </w:tr>
      <w:tr w14:paraId="3EC64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3" w:hRule="atLeast"/>
          <w:jc w:val="center"/>
        </w:trPr>
        <w:tc>
          <w:tcPr>
            <w:tcW w:w="654" w:type="dxa"/>
            <w:vAlign w:val="center"/>
          </w:tcPr>
          <w:p w14:paraId="10B565A0">
            <w:pPr>
              <w:snapToGrid w:val="0"/>
              <w:spacing w:line="460" w:lineRule="exact"/>
              <w:jc w:val="center"/>
              <w:rPr>
                <w:rFonts w:ascii="宋体" w:hAnsi="宋体" w:cs="宋体"/>
                <w:color w:val="auto"/>
                <w:sz w:val="24"/>
                <w:highlight w:val="none"/>
              </w:rPr>
            </w:pPr>
          </w:p>
        </w:tc>
        <w:tc>
          <w:tcPr>
            <w:tcW w:w="954" w:type="dxa"/>
            <w:vAlign w:val="center"/>
          </w:tcPr>
          <w:p w14:paraId="24AE249F">
            <w:pPr>
              <w:snapToGrid w:val="0"/>
              <w:spacing w:line="460" w:lineRule="exact"/>
              <w:jc w:val="center"/>
              <w:rPr>
                <w:rFonts w:ascii="宋体" w:hAnsi="宋体" w:cs="宋体"/>
                <w:color w:val="auto"/>
                <w:sz w:val="24"/>
                <w:highlight w:val="none"/>
              </w:rPr>
            </w:pPr>
          </w:p>
        </w:tc>
        <w:tc>
          <w:tcPr>
            <w:tcW w:w="1046" w:type="dxa"/>
            <w:vAlign w:val="center"/>
          </w:tcPr>
          <w:p w14:paraId="4626BFC5">
            <w:pPr>
              <w:snapToGrid w:val="0"/>
              <w:spacing w:line="460" w:lineRule="exact"/>
              <w:jc w:val="center"/>
              <w:rPr>
                <w:rFonts w:ascii="宋体" w:hAnsi="宋体" w:cs="宋体"/>
                <w:color w:val="auto"/>
                <w:sz w:val="24"/>
                <w:highlight w:val="none"/>
              </w:rPr>
            </w:pPr>
          </w:p>
        </w:tc>
        <w:tc>
          <w:tcPr>
            <w:tcW w:w="1177" w:type="dxa"/>
            <w:vAlign w:val="center"/>
          </w:tcPr>
          <w:p w14:paraId="1088B114">
            <w:pPr>
              <w:snapToGrid w:val="0"/>
              <w:spacing w:line="460" w:lineRule="exact"/>
              <w:jc w:val="center"/>
              <w:rPr>
                <w:rFonts w:ascii="宋体" w:hAnsi="宋体" w:cs="宋体"/>
                <w:color w:val="auto"/>
                <w:sz w:val="24"/>
                <w:highlight w:val="none"/>
              </w:rPr>
            </w:pPr>
          </w:p>
        </w:tc>
        <w:tc>
          <w:tcPr>
            <w:tcW w:w="1046" w:type="dxa"/>
          </w:tcPr>
          <w:p w14:paraId="44B44B35">
            <w:pPr>
              <w:snapToGrid w:val="0"/>
              <w:spacing w:line="460" w:lineRule="exact"/>
              <w:jc w:val="center"/>
              <w:rPr>
                <w:rFonts w:ascii="宋体" w:hAnsi="宋体" w:cs="宋体"/>
                <w:color w:val="auto"/>
                <w:sz w:val="24"/>
                <w:highlight w:val="none"/>
              </w:rPr>
            </w:pPr>
          </w:p>
        </w:tc>
        <w:tc>
          <w:tcPr>
            <w:tcW w:w="915" w:type="dxa"/>
            <w:vAlign w:val="center"/>
          </w:tcPr>
          <w:p w14:paraId="5417EF23">
            <w:pPr>
              <w:snapToGrid w:val="0"/>
              <w:spacing w:line="460" w:lineRule="exact"/>
              <w:jc w:val="center"/>
              <w:rPr>
                <w:rFonts w:ascii="宋体" w:hAnsi="宋体" w:cs="宋体"/>
                <w:color w:val="auto"/>
                <w:sz w:val="24"/>
                <w:highlight w:val="none"/>
              </w:rPr>
            </w:pPr>
          </w:p>
        </w:tc>
        <w:tc>
          <w:tcPr>
            <w:tcW w:w="654" w:type="dxa"/>
            <w:vAlign w:val="center"/>
          </w:tcPr>
          <w:p w14:paraId="788A4A1B">
            <w:pPr>
              <w:snapToGrid w:val="0"/>
              <w:spacing w:line="460" w:lineRule="exact"/>
              <w:jc w:val="center"/>
              <w:rPr>
                <w:rFonts w:ascii="宋体" w:hAnsi="宋体" w:cs="宋体"/>
                <w:color w:val="auto"/>
                <w:sz w:val="24"/>
                <w:highlight w:val="none"/>
              </w:rPr>
            </w:pPr>
          </w:p>
        </w:tc>
        <w:tc>
          <w:tcPr>
            <w:tcW w:w="765" w:type="dxa"/>
          </w:tcPr>
          <w:p w14:paraId="1264F94A">
            <w:pPr>
              <w:snapToGrid w:val="0"/>
              <w:spacing w:line="460" w:lineRule="exact"/>
              <w:jc w:val="center"/>
              <w:rPr>
                <w:rFonts w:ascii="宋体" w:hAnsi="宋体" w:cs="宋体"/>
                <w:color w:val="auto"/>
                <w:sz w:val="24"/>
                <w:highlight w:val="none"/>
              </w:rPr>
            </w:pPr>
          </w:p>
        </w:tc>
        <w:tc>
          <w:tcPr>
            <w:tcW w:w="1588" w:type="dxa"/>
            <w:vAlign w:val="center"/>
          </w:tcPr>
          <w:p w14:paraId="45DA5069">
            <w:pPr>
              <w:snapToGrid w:val="0"/>
              <w:spacing w:line="460" w:lineRule="exact"/>
              <w:jc w:val="center"/>
              <w:rPr>
                <w:rFonts w:ascii="宋体" w:hAnsi="宋体" w:cs="宋体"/>
                <w:color w:val="auto"/>
                <w:sz w:val="24"/>
                <w:highlight w:val="none"/>
              </w:rPr>
            </w:pPr>
          </w:p>
        </w:tc>
        <w:tc>
          <w:tcPr>
            <w:tcW w:w="1177" w:type="dxa"/>
          </w:tcPr>
          <w:p w14:paraId="4AF4BF0D">
            <w:pPr>
              <w:snapToGrid w:val="0"/>
              <w:spacing w:line="460" w:lineRule="exact"/>
              <w:jc w:val="center"/>
              <w:rPr>
                <w:rFonts w:ascii="宋体" w:hAnsi="宋体" w:cs="宋体"/>
                <w:color w:val="auto"/>
                <w:sz w:val="24"/>
                <w:highlight w:val="none"/>
              </w:rPr>
            </w:pPr>
          </w:p>
        </w:tc>
      </w:tr>
      <w:tr w14:paraId="17D3F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8" w:hRule="atLeast"/>
          <w:jc w:val="center"/>
        </w:trPr>
        <w:tc>
          <w:tcPr>
            <w:tcW w:w="9976" w:type="dxa"/>
            <w:gridSpan w:val="10"/>
          </w:tcPr>
          <w:p w14:paraId="7CE6306D">
            <w:pPr>
              <w:snapToGrid w:val="0"/>
              <w:spacing w:line="460" w:lineRule="exact"/>
              <w:jc w:val="left"/>
              <w:rPr>
                <w:rFonts w:ascii="宋体" w:hAnsi="宋体" w:cs="宋体"/>
                <w:color w:val="auto"/>
                <w:sz w:val="24"/>
                <w:highlight w:val="none"/>
              </w:rPr>
            </w:pPr>
            <w:r>
              <w:rPr>
                <w:rFonts w:hint="eastAsia" w:ascii="宋体" w:hAnsi="宋体" w:cs="宋体"/>
                <w:color w:val="auto"/>
                <w:sz w:val="24"/>
                <w:highlight w:val="none"/>
              </w:rPr>
              <w:t>合计金额（人民币大写</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b/>
                <w:bCs/>
                <w:color w:val="auto"/>
                <w:sz w:val="24"/>
                <w:highlight w:val="none"/>
                <w:u w:val="single"/>
              </w:rPr>
              <w:t xml:space="preserve"> </w:t>
            </w:r>
            <w:r>
              <w:rPr>
                <w:rFonts w:ascii="宋体" w:hAnsi="宋体" w:cs="宋体"/>
                <w:b/>
                <w:bCs/>
                <w:color w:val="auto"/>
                <w:sz w:val="24"/>
                <w:highlight w:val="none"/>
                <w:u w:val="single"/>
              </w:rPr>
              <w:t xml:space="preserve">        </w:t>
            </w:r>
            <w:r>
              <w:rPr>
                <w:rFonts w:hint="eastAsia" w:ascii="宋体" w:hAnsi="宋体" w:cs="宋体"/>
                <w:bCs/>
                <w:color w:val="auto"/>
                <w:sz w:val="24"/>
                <w:highlight w:val="none"/>
              </w:rPr>
              <w:t>（小写）</w:t>
            </w:r>
            <w:r>
              <w:rPr>
                <w:rFonts w:hint="eastAsia" w:ascii="宋体" w:hAnsi="宋体" w:cs="宋体"/>
                <w:bCs/>
                <w:color w:val="auto"/>
                <w:sz w:val="24"/>
                <w:highlight w:val="none"/>
                <w:u w:val="single"/>
              </w:rPr>
              <w:t xml:space="preserve">¥ </w:t>
            </w:r>
            <w:r>
              <w:rPr>
                <w:rFonts w:ascii="宋体" w:hAnsi="宋体" w:cs="宋体"/>
                <w:bCs/>
                <w:color w:val="auto"/>
                <w:sz w:val="24"/>
                <w:highlight w:val="none"/>
                <w:u w:val="single"/>
              </w:rPr>
              <w:t xml:space="preserve">        .** </w:t>
            </w:r>
          </w:p>
        </w:tc>
      </w:tr>
    </w:tbl>
    <w:p w14:paraId="2B9F19D1">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合同合计金额包括货物价款、配套软件、标准附件、备品备件、专用工具、包装、运输、装卸、货到就位、安装、调试、检验、技术培训、技术资料、售后服务、保险、投标费用、一切税金等全部费用，甲方不再支付合同合计金额以外的其他费用。</w:t>
      </w:r>
    </w:p>
    <w:p w14:paraId="64BF211A">
      <w:pPr>
        <w:snapToGrid w:val="0"/>
        <w:spacing w:line="460" w:lineRule="exact"/>
        <w:ind w:firstLine="482" w:firstLineChars="200"/>
        <w:rPr>
          <w:rFonts w:ascii="宋体" w:hAnsi="宋体" w:cs="宋体"/>
          <w:color w:val="auto"/>
          <w:sz w:val="24"/>
          <w:highlight w:val="none"/>
        </w:rPr>
      </w:pPr>
      <w:r>
        <w:rPr>
          <w:rFonts w:hint="eastAsia" w:ascii="宋体" w:hAnsi="宋体" w:cs="宋体"/>
          <w:b/>
          <w:color w:val="auto"/>
          <w:sz w:val="24"/>
          <w:highlight w:val="none"/>
        </w:rPr>
        <w:t>第二条　质量要求</w:t>
      </w:r>
    </w:p>
    <w:p w14:paraId="6B4C149D">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乙方所提供的产品名称、商标品牌、生产厂家、规格型号、技术参数等质量必须与招标文件规定及投标文件承诺相一致。招投标文件和承诺中未约定的，应不低于国家标准或行业标准。乙方提供的节能和环保产品必须是列入政府采购品目清单的产品。</w:t>
      </w:r>
    </w:p>
    <w:p w14:paraId="53D20E4E">
      <w:pPr>
        <w:snapToGrid w:val="0"/>
        <w:spacing w:line="46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2.乙方所提供的货物必须是全新、未使用的原装产品，且在正常安装、使用和保养条件下，其使用寿命期内各项指标均达到招标文件规定或者投标文件承诺的质量要求。</w:t>
      </w:r>
    </w:p>
    <w:p w14:paraId="36F8045F">
      <w:pPr>
        <w:snapToGrid w:val="0"/>
        <w:spacing w:line="460" w:lineRule="exact"/>
        <w:ind w:firstLine="482" w:firstLineChars="200"/>
        <w:rPr>
          <w:rFonts w:ascii="宋体" w:hAnsi="宋体" w:cs="宋体"/>
          <w:color w:val="auto"/>
          <w:sz w:val="24"/>
          <w:highlight w:val="none"/>
        </w:rPr>
      </w:pPr>
      <w:r>
        <w:rPr>
          <w:rFonts w:hint="eastAsia" w:ascii="宋体" w:hAnsi="宋体" w:cs="宋体"/>
          <w:b/>
          <w:color w:val="auto"/>
          <w:sz w:val="24"/>
          <w:highlight w:val="none"/>
        </w:rPr>
        <w:t>第三条　权利保证</w:t>
      </w:r>
    </w:p>
    <w:p w14:paraId="64482255">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1.乙方应保证所提供货物在使用时不会侵犯任何第三方的专利权、商标权、工业设计权或者其他权利，不涉及任何法律纠纷。</w:t>
      </w:r>
    </w:p>
    <w:p w14:paraId="77B960E8">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2.乙方应按招标文件规定或者投标文件承诺的时间向甲方提供使用货物的有关技术资料。</w:t>
      </w:r>
    </w:p>
    <w:p w14:paraId="57EFFDD4">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没有甲方事先书面同意，乙方不得将由甲方提供的有关合同或者任何合同条文、规格、计划、图纸、样品或者资料提供给与履行本合同无关的任何其他人。即使向履行本合同有关的人员提供，也应注意保密并限于履行合同的必需范围。</w:t>
      </w:r>
    </w:p>
    <w:p w14:paraId="7680FCAA">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4.乙方保证将要交付的货物的所有权完全属于乙方且无任何抵押、质押、查封等产权瑕疵。</w:t>
      </w:r>
    </w:p>
    <w:p w14:paraId="2F2072A9">
      <w:pPr>
        <w:snapToGrid w:val="0"/>
        <w:spacing w:line="46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第四条　包装、运输和签收</w:t>
      </w:r>
    </w:p>
    <w:p w14:paraId="60AF1CC8">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1.乙方提供的货物均应按招标文件规定或者投标文件承诺的要求的包装材料、包装标准、包装方式进行包装。，每一包装单元内应附详细的装箱单和质量合格证。</w:t>
      </w:r>
    </w:p>
    <w:p w14:paraId="0A34BF80">
      <w:pPr>
        <w:pStyle w:val="24"/>
        <w:snapToGrid w:val="0"/>
        <w:spacing w:line="44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2.货物的运输：</w:t>
      </w:r>
      <w:r>
        <w:rPr>
          <w:rFonts w:hint="eastAsia" w:hAnsi="宋体" w:cs="宋体"/>
          <w:color w:val="auto"/>
          <w:sz w:val="24"/>
          <w:szCs w:val="24"/>
          <w:highlight w:val="none"/>
          <w:u w:val="single"/>
        </w:rPr>
        <w:t xml:space="preserve">  。</w:t>
      </w:r>
    </w:p>
    <w:p w14:paraId="598C9CD8">
      <w:pPr>
        <w:pStyle w:val="24"/>
        <w:snapToGrid w:val="0"/>
        <w:spacing w:line="44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3.乙方负责货物运输，货物运输合理损耗及计算方法：</w:t>
      </w:r>
      <w:r>
        <w:rPr>
          <w:rFonts w:hint="eastAsia" w:hAnsi="宋体" w:cs="宋体"/>
          <w:color w:val="auto"/>
          <w:sz w:val="24"/>
          <w:szCs w:val="24"/>
          <w:highlight w:val="none"/>
          <w:u w:val="single"/>
        </w:rPr>
        <w:t>甲方不接受损耗。</w:t>
      </w:r>
    </w:p>
    <w:p w14:paraId="19CEDB8F">
      <w:pPr>
        <w:pStyle w:val="24"/>
        <w:snapToGrid w:val="0"/>
        <w:spacing w:line="440" w:lineRule="exact"/>
        <w:ind w:firstLine="480" w:firstLineChars="200"/>
        <w:rPr>
          <w:rFonts w:hAnsi="宋体" w:cs="宋体"/>
          <w:color w:val="auto"/>
          <w:sz w:val="24"/>
          <w:szCs w:val="24"/>
          <w:highlight w:val="none"/>
        </w:rPr>
      </w:pPr>
      <w:r>
        <w:rPr>
          <w:rFonts w:hAnsi="宋体" w:cs="宋体"/>
          <w:color w:val="auto"/>
          <w:sz w:val="24"/>
          <w:szCs w:val="24"/>
          <w:highlight w:val="none"/>
        </w:rPr>
        <w:t>4.</w:t>
      </w:r>
      <w:r>
        <w:rPr>
          <w:rFonts w:hint="eastAsia" w:hAnsi="宋体" w:cs="宋体"/>
          <w:color w:val="auto"/>
          <w:sz w:val="24"/>
          <w:szCs w:val="24"/>
          <w:highlight w:val="none"/>
        </w:rPr>
        <w:t>乙方应在货物发运前对其进行满足运输距离、防潮、防震、防锈和防破损装卸等要求包装，以保证货物安全运达甲方指定地点。</w:t>
      </w:r>
    </w:p>
    <w:p w14:paraId="50A4FA6B">
      <w:pPr>
        <w:pStyle w:val="24"/>
        <w:snapToGrid w:val="0"/>
        <w:spacing w:line="440" w:lineRule="exact"/>
        <w:ind w:firstLine="480" w:firstLineChars="200"/>
        <w:rPr>
          <w:rFonts w:hAnsi="宋体" w:cs="宋体"/>
          <w:color w:val="auto"/>
          <w:sz w:val="24"/>
          <w:szCs w:val="24"/>
          <w:highlight w:val="none"/>
        </w:rPr>
      </w:pPr>
      <w:r>
        <w:rPr>
          <w:rFonts w:hAnsi="宋体" w:cs="宋体"/>
          <w:color w:val="auto"/>
          <w:sz w:val="24"/>
          <w:szCs w:val="24"/>
          <w:highlight w:val="none"/>
        </w:rPr>
        <w:t>5.</w:t>
      </w:r>
      <w:r>
        <w:rPr>
          <w:rFonts w:hint="eastAsia" w:hAnsi="宋体" w:cs="宋体"/>
          <w:color w:val="auto"/>
          <w:sz w:val="24"/>
          <w:szCs w:val="24"/>
          <w:highlight w:val="none"/>
        </w:rPr>
        <w:t>使用说明书（货物属于进口产品的，供货时应同时附上中文使用说明书）、质量检验证明书、随配附件和工具以及清单一并附于货物内。</w:t>
      </w:r>
    </w:p>
    <w:p w14:paraId="43B635B6">
      <w:pPr>
        <w:pStyle w:val="24"/>
        <w:snapToGrid w:val="0"/>
        <w:spacing w:line="440" w:lineRule="exact"/>
        <w:ind w:firstLine="480" w:firstLineChars="200"/>
        <w:rPr>
          <w:rFonts w:hAnsi="宋体" w:cs="宋体"/>
          <w:color w:val="auto"/>
          <w:sz w:val="24"/>
          <w:szCs w:val="24"/>
          <w:highlight w:val="none"/>
        </w:rPr>
      </w:pPr>
      <w:r>
        <w:rPr>
          <w:rFonts w:hAnsi="宋体" w:cs="宋体"/>
          <w:color w:val="auto"/>
          <w:sz w:val="24"/>
          <w:szCs w:val="24"/>
          <w:highlight w:val="none"/>
        </w:rPr>
        <w:t>6</w:t>
      </w:r>
      <w:r>
        <w:rPr>
          <w:rFonts w:hint="eastAsia" w:hAnsi="宋体" w:cs="宋体"/>
          <w:color w:val="auto"/>
          <w:sz w:val="24"/>
          <w:szCs w:val="24"/>
          <w:highlight w:val="none"/>
        </w:rPr>
        <w:t>.乙方在货物发运手续办理完毕后2</w:t>
      </w:r>
      <w:r>
        <w:rPr>
          <w:rFonts w:hAnsi="宋体" w:cs="宋体"/>
          <w:color w:val="auto"/>
          <w:sz w:val="24"/>
          <w:szCs w:val="24"/>
          <w:highlight w:val="none"/>
        </w:rPr>
        <w:t>4</w:t>
      </w:r>
      <w:r>
        <w:rPr>
          <w:rFonts w:hint="eastAsia" w:hAnsi="宋体" w:cs="宋体"/>
          <w:color w:val="auto"/>
          <w:sz w:val="24"/>
          <w:szCs w:val="24"/>
          <w:highlight w:val="none"/>
        </w:rPr>
        <w:t>小时内或者货到甲方4</w:t>
      </w:r>
      <w:r>
        <w:rPr>
          <w:rFonts w:hAnsi="宋体" w:cs="宋体"/>
          <w:color w:val="auto"/>
          <w:sz w:val="24"/>
          <w:szCs w:val="24"/>
          <w:highlight w:val="none"/>
        </w:rPr>
        <w:t>8</w:t>
      </w:r>
      <w:r>
        <w:rPr>
          <w:rFonts w:hint="eastAsia" w:hAnsi="宋体" w:cs="宋体"/>
          <w:color w:val="auto"/>
          <w:sz w:val="24"/>
          <w:szCs w:val="24"/>
          <w:highlight w:val="none"/>
        </w:rPr>
        <w:t>小时前通知甲方，以准备接货。</w:t>
      </w:r>
    </w:p>
    <w:p w14:paraId="3A837D4B">
      <w:pPr>
        <w:pStyle w:val="24"/>
        <w:snapToGrid w:val="0"/>
        <w:spacing w:line="440" w:lineRule="exact"/>
        <w:ind w:firstLine="480" w:firstLineChars="200"/>
        <w:rPr>
          <w:rFonts w:hAnsi="宋体" w:cs="宋体"/>
          <w:color w:val="auto"/>
          <w:sz w:val="24"/>
          <w:szCs w:val="24"/>
          <w:highlight w:val="none"/>
        </w:rPr>
      </w:pPr>
      <w:r>
        <w:rPr>
          <w:rFonts w:hAnsi="宋体" w:cs="宋体"/>
          <w:color w:val="auto"/>
          <w:sz w:val="24"/>
          <w:szCs w:val="24"/>
          <w:highlight w:val="none"/>
        </w:rPr>
        <w:t>7</w:t>
      </w:r>
      <w:r>
        <w:rPr>
          <w:rFonts w:hint="eastAsia" w:hAnsi="宋体" w:cs="宋体"/>
          <w:color w:val="auto"/>
          <w:sz w:val="24"/>
          <w:szCs w:val="24"/>
          <w:highlight w:val="none"/>
        </w:rPr>
        <w:t>.货物在规定的交付期限内由乙方送达甲方指定的地点，乙方同时需通知甲方货物已送达，甲方清点货物后签收，货物签收不作为最终验收合格的依据。</w:t>
      </w:r>
    </w:p>
    <w:p w14:paraId="260B3B8E">
      <w:pPr>
        <w:snapToGrid w:val="0"/>
        <w:spacing w:line="460" w:lineRule="exact"/>
        <w:ind w:firstLine="482" w:firstLineChars="200"/>
        <w:rPr>
          <w:rFonts w:hAnsi="宋体" w:cs="宋体"/>
          <w:b/>
          <w:color w:val="auto"/>
          <w:sz w:val="24"/>
          <w:highlight w:val="none"/>
        </w:rPr>
      </w:pPr>
      <w:r>
        <w:rPr>
          <w:rFonts w:hint="eastAsia" w:ascii="宋体" w:hAnsi="宋体" w:cs="宋体"/>
          <w:b/>
          <w:color w:val="auto"/>
          <w:sz w:val="24"/>
          <w:highlight w:val="none"/>
        </w:rPr>
        <w:t>第五条　</w:t>
      </w:r>
      <w:r>
        <w:rPr>
          <w:rFonts w:hint="eastAsia" w:hAnsi="宋体" w:cs="宋体"/>
          <w:b/>
          <w:color w:val="auto"/>
          <w:sz w:val="24"/>
          <w:highlight w:val="none"/>
        </w:rPr>
        <w:t>安装和培训</w:t>
      </w:r>
    </w:p>
    <w:p w14:paraId="1D8F2038">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1.甲方应提供必要安装条件（如场地、电源、水源等）。</w:t>
      </w:r>
    </w:p>
    <w:p w14:paraId="12808AB0">
      <w:pPr>
        <w:snapToGrid w:val="0"/>
        <w:spacing w:line="46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2.乙方投标文件承诺负责甲方有关人员的培训：</w:t>
      </w:r>
      <w:r>
        <w:rPr>
          <w:rFonts w:hint="eastAsia" w:ascii="宋体" w:hAnsi="宋体" w:cs="宋体"/>
          <w:color w:val="auto"/>
          <w:sz w:val="24"/>
          <w:highlight w:val="none"/>
          <w:u w:val="single"/>
        </w:rPr>
        <w:t>根据甲方要求开展。</w:t>
      </w:r>
    </w:p>
    <w:p w14:paraId="3896682A">
      <w:pPr>
        <w:snapToGrid w:val="0"/>
        <w:spacing w:line="460" w:lineRule="exact"/>
        <w:ind w:firstLine="480" w:firstLineChars="200"/>
        <w:rPr>
          <w:color w:val="auto"/>
          <w:highlight w:val="none"/>
        </w:rPr>
      </w:pPr>
      <w:r>
        <w:rPr>
          <w:rFonts w:hint="eastAsia" w:ascii="宋体" w:hAnsi="宋体" w:cs="宋体"/>
          <w:color w:val="auto"/>
          <w:sz w:val="24"/>
          <w:highlight w:val="none"/>
        </w:rPr>
        <w:t>3.培训时间、地点：</w:t>
      </w:r>
      <w:r>
        <w:rPr>
          <w:rFonts w:hint="eastAsia" w:ascii="宋体" w:hAnsi="宋体" w:cs="宋体"/>
          <w:color w:val="auto"/>
          <w:sz w:val="24"/>
          <w:highlight w:val="none"/>
          <w:u w:val="single"/>
        </w:rPr>
        <w:t>甲方指定。</w:t>
      </w:r>
    </w:p>
    <w:p w14:paraId="241A64E9">
      <w:pPr>
        <w:snapToGrid w:val="0"/>
        <w:spacing w:line="460" w:lineRule="exact"/>
        <w:ind w:firstLine="482" w:firstLineChars="200"/>
        <w:rPr>
          <w:rFonts w:ascii="宋体" w:hAnsi="宋体" w:cs="宋体"/>
          <w:color w:val="auto"/>
          <w:sz w:val="24"/>
          <w:highlight w:val="none"/>
        </w:rPr>
      </w:pPr>
      <w:r>
        <w:rPr>
          <w:rFonts w:hint="eastAsia" w:ascii="宋体" w:hAnsi="宋体" w:cs="宋体"/>
          <w:b/>
          <w:color w:val="auto"/>
          <w:sz w:val="24"/>
          <w:highlight w:val="none"/>
        </w:rPr>
        <w:t>第六条　调试、交付和验收</w:t>
      </w:r>
    </w:p>
    <w:p w14:paraId="58DFE3C2">
      <w:pPr>
        <w:snapToGrid w:val="0"/>
        <w:spacing w:line="46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1.交付时间：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。交付地点：</w:t>
      </w:r>
      <w:r>
        <w:rPr>
          <w:rFonts w:hint="eastAsia" w:ascii="宋体" w:hAnsi="宋体" w:cs="宋体"/>
          <w:color w:val="auto"/>
          <w:sz w:val="24"/>
          <w:highlight w:val="none"/>
          <w:u w:val="single"/>
        </w:rPr>
        <w:t>甲方指定地点。</w:t>
      </w:r>
    </w:p>
    <w:p w14:paraId="1EEF34FA">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2.乙方提供不符合招标文件规定或者投标文件承诺的和本合同规定的货物，甲方有权拒绝接受。</w:t>
      </w:r>
    </w:p>
    <w:p w14:paraId="0C9F9A55">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乙方应将所提供货物的装箱清单、用户手册、原厂保修卡、随机资料、工具和备品、备件等交付给甲方，货物属于进口产品的，供货时应同时附上中文使用说明书，如有缺失应在合理的规定时间内补齐，否则视为逾期交货。</w:t>
      </w:r>
    </w:p>
    <w:p w14:paraId="7E0F9707">
      <w:pPr>
        <w:pStyle w:val="57"/>
        <w:spacing w:line="360" w:lineRule="auto"/>
        <w:rPr>
          <w:rFonts w:ascii="宋体" w:hAnsi="宋体" w:cs="宋体"/>
          <w:color w:val="auto"/>
          <w:sz w:val="24"/>
          <w:szCs w:val="24"/>
          <w:highlight w:val="none"/>
        </w:rPr>
      </w:pPr>
      <w:r>
        <w:rPr>
          <w:rFonts w:ascii="宋体" w:hAnsi="宋体"/>
          <w:color w:val="auto"/>
          <w:sz w:val="24"/>
          <w:szCs w:val="24"/>
          <w:highlight w:val="none"/>
        </w:rPr>
        <w:t xml:space="preserve">   4.</w:t>
      </w:r>
      <w:r>
        <w:rPr>
          <w:rFonts w:hint="eastAsia" w:ascii="宋体" w:hAnsi="宋体" w:cs="宋体"/>
          <w:color w:val="auto"/>
          <w:sz w:val="24"/>
          <w:szCs w:val="24"/>
          <w:highlight w:val="none"/>
        </w:rPr>
        <w:t>乙方应对产品作出全面检查和对验收文件进行整理，并列出清单，作为甲方验收和使用的技术条件依据，检验的结果应随货物交甲方。</w:t>
      </w:r>
    </w:p>
    <w:p w14:paraId="007B31D8">
      <w:pPr>
        <w:pStyle w:val="24"/>
        <w:snapToGrid w:val="0"/>
        <w:spacing w:line="360" w:lineRule="auto"/>
        <w:ind w:firstLine="480" w:firstLineChars="200"/>
        <w:rPr>
          <w:rFonts w:hAnsi="宋体" w:cs="宋体"/>
          <w:color w:val="auto"/>
          <w:sz w:val="24"/>
          <w:szCs w:val="24"/>
          <w:highlight w:val="none"/>
        </w:rPr>
      </w:pPr>
      <w:r>
        <w:rPr>
          <w:rFonts w:hAnsi="宋体"/>
          <w:color w:val="auto"/>
          <w:sz w:val="24"/>
          <w:szCs w:val="24"/>
          <w:highlight w:val="none"/>
        </w:rPr>
        <w:t>5.</w:t>
      </w:r>
      <w:r>
        <w:rPr>
          <w:rFonts w:hint="eastAsia" w:hAnsi="宋体" w:cs="宋体"/>
          <w:color w:val="auto"/>
          <w:sz w:val="24"/>
          <w:szCs w:val="24"/>
          <w:highlight w:val="none"/>
        </w:rPr>
        <w:t>甲方对乙方提供的货物在使用前进行调试时，乙方需负责安装并培训甲方的使用操作人员，并协助甲方一起调试，直到符合技术要求，甲方才做最终验收。</w:t>
      </w:r>
    </w:p>
    <w:p w14:paraId="225A85F7">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6.</w:t>
      </w:r>
      <w:r>
        <w:rPr>
          <w:rFonts w:hint="eastAsia" w:ascii="宋体" w:hAnsi="宋体" w:cs="宋体"/>
          <w:color w:val="auto"/>
          <w:sz w:val="24"/>
          <w:highlight w:val="none"/>
        </w:rPr>
        <w:t>乙方应当在到货并安装、调试完毕后，达到验收条件时以书面形式提请甲方进行验收，甲方应在收到验收请求后</w:t>
      </w:r>
      <w:r>
        <w:rPr>
          <w:rFonts w:ascii="宋体" w:hAnsi="宋体" w:cs="宋体"/>
          <w:color w:val="auto"/>
          <w:sz w:val="24"/>
          <w:highlight w:val="none"/>
        </w:rPr>
        <w:t>5</w:t>
      </w:r>
      <w:r>
        <w:rPr>
          <w:rFonts w:hint="eastAsia" w:ascii="宋体" w:hAnsi="宋体" w:cs="宋体"/>
          <w:color w:val="auto"/>
          <w:sz w:val="24"/>
          <w:highlight w:val="none"/>
        </w:rPr>
        <w:t>个工作日内组织开展验收。验收合格后由甲乙双方签署货物验收单并加盖甲方公章，甲乙双方各执壹份。</w:t>
      </w:r>
    </w:p>
    <w:p w14:paraId="6D331B06">
      <w:pPr>
        <w:pStyle w:val="24"/>
        <w:snapToGrid w:val="0"/>
        <w:spacing w:line="360" w:lineRule="auto"/>
        <w:ind w:firstLine="480" w:firstLineChars="200"/>
        <w:rPr>
          <w:rFonts w:hAnsi="宋体" w:cs="宋体"/>
          <w:color w:val="auto"/>
          <w:sz w:val="24"/>
          <w:szCs w:val="24"/>
          <w:highlight w:val="none"/>
        </w:rPr>
      </w:pPr>
      <w:r>
        <w:rPr>
          <w:rFonts w:hAnsi="宋体"/>
          <w:color w:val="auto"/>
          <w:sz w:val="24"/>
          <w:szCs w:val="24"/>
          <w:highlight w:val="none"/>
        </w:rPr>
        <w:t>7.</w:t>
      </w:r>
      <w:r>
        <w:rPr>
          <w:rFonts w:hint="eastAsia" w:hAnsi="宋体" w:cs="宋体"/>
          <w:color w:val="auto"/>
          <w:sz w:val="24"/>
          <w:szCs w:val="24"/>
          <w:highlight w:val="none"/>
        </w:rPr>
        <w:t>对技术复杂的货物，甲方可请国家认可的专业检测机构参与初步验收及最终验收，并由其出具质量检测报告。</w:t>
      </w:r>
    </w:p>
    <w:p w14:paraId="76F72E57">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8.</w:t>
      </w:r>
      <w:r>
        <w:rPr>
          <w:rFonts w:hint="eastAsia" w:ascii="宋体" w:hAnsi="宋体" w:cs="宋体"/>
          <w:color w:val="auto"/>
          <w:sz w:val="24"/>
          <w:highlight w:val="none"/>
        </w:rPr>
        <w:t>甲方委托采购代理机构组织的验收项目，其验收时间以该项目验收方案确定的验收时间为准，验收结果以该项目验收报告结论为准。在验收过程中发现乙方有违约问题，可暂缓资金结算，待违约问题解决后，方可办理资金结算事宜。</w:t>
      </w:r>
    </w:p>
    <w:p w14:paraId="4B281EF4">
      <w:pPr>
        <w:snapToGrid w:val="0"/>
        <w:spacing w:line="360" w:lineRule="auto"/>
        <w:ind w:firstLine="480" w:firstLineChars="200"/>
        <w:rPr>
          <w:rFonts w:ascii="宋体" w:hAnsi="宋体" w:cs="宋体"/>
          <w:color w:val="auto"/>
          <w:sz w:val="24"/>
          <w:highlight w:val="none"/>
          <w:u w:val="single"/>
        </w:rPr>
      </w:pPr>
      <w:r>
        <w:rPr>
          <w:rFonts w:ascii="宋体" w:hAnsi="宋体" w:cs="宋体"/>
          <w:color w:val="auto"/>
          <w:sz w:val="24"/>
          <w:highlight w:val="none"/>
        </w:rPr>
        <w:t>9.</w:t>
      </w:r>
      <w:r>
        <w:rPr>
          <w:rFonts w:hint="eastAsia" w:ascii="宋体" w:hAnsi="宋体" w:cs="宋体"/>
          <w:color w:val="auto"/>
          <w:sz w:val="24"/>
          <w:highlight w:val="none"/>
        </w:rPr>
        <w:t>甲方对验收有异议的，在验收后</w:t>
      </w:r>
      <w:r>
        <w:rPr>
          <w:rFonts w:ascii="宋体" w:hAnsi="宋体" w:cs="宋体"/>
          <w:color w:val="auto"/>
          <w:sz w:val="24"/>
          <w:highlight w:val="none"/>
        </w:rPr>
        <w:t>5</w:t>
      </w:r>
      <w:r>
        <w:rPr>
          <w:rFonts w:hint="eastAsia" w:ascii="宋体" w:hAnsi="宋体" w:cs="宋体"/>
          <w:color w:val="auto"/>
          <w:sz w:val="24"/>
          <w:highlight w:val="none"/>
        </w:rPr>
        <w:t>个工作日内以书面形式向乙方提出，乙方应自收到甲方书面异议后7日内及时予以解决。</w:t>
      </w:r>
    </w:p>
    <w:p w14:paraId="4CD9FBC7">
      <w:pPr>
        <w:snapToGrid w:val="0"/>
        <w:spacing w:line="360" w:lineRule="auto"/>
        <w:ind w:left="-61" w:firstLine="514"/>
        <w:rPr>
          <w:rFonts w:ascii="宋体" w:hAnsi="宋体" w:cs="宋体"/>
          <w:color w:val="auto"/>
          <w:sz w:val="24"/>
          <w:highlight w:val="none"/>
        </w:rPr>
      </w:pPr>
      <w:r>
        <w:rPr>
          <w:rFonts w:ascii="宋体" w:hAnsi="宋体" w:cs="宋体"/>
          <w:color w:val="auto"/>
          <w:sz w:val="24"/>
          <w:highlight w:val="none"/>
        </w:rPr>
        <w:t>10.</w:t>
      </w:r>
      <w:r>
        <w:rPr>
          <w:rFonts w:hint="eastAsia" w:ascii="宋体" w:hAnsi="宋体" w:cs="宋体"/>
          <w:color w:val="auto"/>
          <w:sz w:val="24"/>
          <w:highlight w:val="none"/>
        </w:rPr>
        <w:t>验收时乙方必须在现场，验收完毕后作出验收结果报告；验收过程所产生的一切费用均由乙方承担。</w:t>
      </w:r>
    </w:p>
    <w:p w14:paraId="21FB2CCC">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11.</w:t>
      </w:r>
      <w:r>
        <w:rPr>
          <w:rFonts w:hint="eastAsia" w:ascii="宋体" w:hAnsi="宋体" w:cs="宋体"/>
          <w:color w:val="auto"/>
          <w:sz w:val="24"/>
          <w:highlight w:val="none"/>
        </w:rPr>
        <w:t>货物在交付甲方前发生的风险均由乙方负责。</w:t>
      </w:r>
    </w:p>
    <w:p w14:paraId="0EFD41F1">
      <w:pPr>
        <w:snapToGrid w:val="0"/>
        <w:spacing w:line="360" w:lineRule="auto"/>
        <w:ind w:firstLine="480" w:firstLineChars="200"/>
        <w:rPr>
          <w:color w:val="auto"/>
          <w:highlight w:val="none"/>
        </w:rPr>
      </w:pPr>
      <w:r>
        <w:rPr>
          <w:rFonts w:ascii="宋体" w:hAnsi="宋体" w:cs="宋体"/>
          <w:color w:val="auto"/>
          <w:sz w:val="24"/>
          <w:highlight w:val="none"/>
        </w:rPr>
        <w:t>12.</w:t>
      </w:r>
      <w:r>
        <w:rPr>
          <w:rFonts w:hint="eastAsia" w:ascii="宋体" w:hAnsi="宋体" w:cs="宋体"/>
          <w:color w:val="auto"/>
          <w:sz w:val="24"/>
          <w:highlight w:val="none"/>
        </w:rPr>
        <w:t>本合同的验收条款与采购需求商务条款中的验收要求互为补充。</w:t>
      </w:r>
    </w:p>
    <w:p w14:paraId="243B9083">
      <w:pPr>
        <w:snapToGrid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第七条　付款方式</w:t>
      </w:r>
    </w:p>
    <w:p w14:paraId="3F4BFFB7">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21546E66">
      <w:pPr>
        <w:snapToGrid w:val="0"/>
        <w:spacing w:line="46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第八条　履约保证金</w:t>
      </w:r>
    </w:p>
    <w:p w14:paraId="4EEFC1FD">
      <w:pPr>
        <w:snapToGrid w:val="0"/>
        <w:spacing w:line="46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u w:val="single"/>
        </w:rPr>
        <w:t>1.履约保证金金额：</w:t>
      </w:r>
      <w:r>
        <w:rPr>
          <w:rFonts w:hint="eastAsia" w:ascii="宋体" w:hAnsi="宋体" w:cs="宋体"/>
          <w:color w:val="auto"/>
          <w:sz w:val="24"/>
          <w:highlight w:val="none"/>
          <w:u w:val="single"/>
          <w:lang w:eastAsia="zh-Hans"/>
        </w:rPr>
        <w:t>合同金额的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eastAsia="zh-Hans"/>
        </w:rPr>
        <w:t>%</w:t>
      </w:r>
      <w:r>
        <w:rPr>
          <w:rFonts w:hint="eastAsia" w:ascii="宋体" w:hAnsi="宋体" w:cs="宋体"/>
          <w:color w:val="auto"/>
          <w:sz w:val="24"/>
          <w:highlight w:val="none"/>
          <w:u w:val="single"/>
        </w:rPr>
        <w:t>（</w:t>
      </w:r>
      <w:r>
        <w:rPr>
          <w:rFonts w:hint="eastAsia" w:ascii="宋体" w:hAnsi="宋体" w:cs="宋体"/>
          <w:b/>
          <w:bCs/>
          <w:color w:val="auto"/>
          <w:sz w:val="24"/>
          <w:highlight w:val="none"/>
          <w:u w:val="single"/>
        </w:rPr>
        <w:t>¥</w:t>
      </w:r>
      <w:r>
        <w:rPr>
          <w:rFonts w:ascii="宋体" w:hAnsi="宋体" w:cs="宋体"/>
          <w:b/>
          <w:bCs/>
          <w:color w:val="auto"/>
          <w:sz w:val="24"/>
          <w:highlight w:val="none"/>
          <w:u w:val="single"/>
        </w:rPr>
        <w:t xml:space="preserve">     </w:t>
      </w:r>
      <w:r>
        <w:rPr>
          <w:rFonts w:hint="eastAsia" w:ascii="宋体" w:hAnsi="宋体" w:cs="宋体"/>
          <w:b/>
          <w:bCs/>
          <w:color w:val="auto"/>
          <w:sz w:val="24"/>
          <w:highlight w:val="none"/>
          <w:u w:val="single"/>
        </w:rPr>
        <w:t xml:space="preserve"> </w:t>
      </w:r>
      <w:r>
        <w:rPr>
          <w:rFonts w:ascii="宋体" w:hAnsi="宋体" w:cs="宋体"/>
          <w:b/>
          <w:bCs/>
          <w:color w:val="auto"/>
          <w:sz w:val="24"/>
          <w:highlight w:val="none"/>
          <w:u w:val="single"/>
        </w:rPr>
        <w:t>.**</w:t>
      </w:r>
      <w:r>
        <w:rPr>
          <w:rFonts w:hint="eastAsia" w:ascii="宋体" w:hAnsi="宋体" w:cs="宋体"/>
          <w:color w:val="auto"/>
          <w:sz w:val="24"/>
          <w:highlight w:val="none"/>
          <w:u w:val="single"/>
        </w:rPr>
        <w:t xml:space="preserve">），即人民币（大写）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rPr>
        <w:t>乙方在签订合同前交至指定账户，否则不予签订合同。</w:t>
      </w:r>
    </w:p>
    <w:p w14:paraId="63376B02">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2.履约保证金递交方式：银行转账、电汇或者银行出具的保函等非现金方式。由中标人在签订合同前按规定的金额直接缴入以下采购人账户。凭履约保证金缴纳凭证签订合同。</w:t>
      </w:r>
    </w:p>
    <w:p w14:paraId="3ABE8805">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履约保证金退付方式、时间及条件：乙方若不能完全履行合同，履约保证金不予退还；乙方若完全履行合同，货物验收合格后，乙方凭履约保证金缴款凭证、退付意见书到采购人财务部门办理无息退还手续。由乙方向甲方提供《广西壮族自治区政府采购项目合同验收书》或广西福利彩票发行中心的验收报告（甲方提供格式）、《政府采购项目履约保证金退付意见书》，甲方在收到合格材料后办理退还手续（不计利息）。</w:t>
      </w:r>
    </w:p>
    <w:p w14:paraId="3CEF267A">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4.备注：</w:t>
      </w:r>
    </w:p>
    <w:p w14:paraId="71DA59FB">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（1）履约保证金不足额缴纳的，或银行出具的保函额度不足的或者银行保函有效期低于合同履行期限（即签订采购合同之日起至履行完合同约定的权利及义务之日止）的，不予签订合同。</w:t>
      </w:r>
    </w:p>
    <w:p w14:paraId="7C82415C">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（2）采用银行出具的保函的，必须为无条件的银行保函，否则不予签订合同。</w:t>
      </w:r>
    </w:p>
    <w:p w14:paraId="7E403962">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w:t>
      </w:r>
      <w:r>
        <w:rPr>
          <w:rFonts w:ascii="宋体" w:hAnsi="宋体" w:cs="宋体"/>
          <w:b/>
          <w:color w:val="auto"/>
          <w:sz w:val="24"/>
          <w:highlight w:val="none"/>
        </w:rPr>
        <w:t>履约保证金缴纳时须明确备注</w:t>
      </w:r>
      <w:r>
        <w:rPr>
          <w:rFonts w:hint="eastAsia" w:ascii="宋体" w:hAnsi="宋体" w:cs="宋体"/>
          <w:b/>
          <w:color w:val="auto"/>
          <w:sz w:val="24"/>
          <w:highlight w:val="none"/>
        </w:rPr>
        <w:t>：</w:t>
      </w:r>
      <w:r>
        <w:rPr>
          <w:rFonts w:hint="eastAsia" w:ascii="宋体" w:hAnsi="宋体" w:cs="宋体"/>
          <w:b/>
          <w:color w:val="auto"/>
          <w:sz w:val="24"/>
          <w:highlight w:val="none"/>
          <w:u w:val="single"/>
          <w:lang w:eastAsia="zh-CN"/>
        </w:rPr>
        <w:t>GXZC2024-G1-005575-KWZB</w:t>
      </w:r>
      <w:r>
        <w:rPr>
          <w:rFonts w:hint="eastAsia" w:ascii="宋体" w:hAnsi="宋体" w:cs="宋体"/>
          <w:b/>
          <w:color w:val="auto"/>
          <w:sz w:val="24"/>
          <w:highlight w:val="none"/>
          <w:u w:val="single"/>
        </w:rPr>
        <w:t>综合业务安全接入系统升级及维保服务项目</w:t>
      </w:r>
      <w:r>
        <w:rPr>
          <w:rFonts w:hint="eastAsia" w:ascii="宋体" w:hAnsi="宋体" w:cs="宋体"/>
          <w:b/>
          <w:color w:val="auto"/>
          <w:sz w:val="24"/>
          <w:highlight w:val="none"/>
        </w:rPr>
        <w:t>履约保证金。</w:t>
      </w:r>
    </w:p>
    <w:p w14:paraId="23B70CDB">
      <w:pPr>
        <w:snapToGrid w:val="0"/>
        <w:spacing w:line="420" w:lineRule="exact"/>
        <w:ind w:firstLine="480"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签订合同后，如乙方不按双方签订的合同规定履约，则其全部履约保证金甲方不予退还；履约保证金不足以赔偿甲方损失的，按实际损失赔偿。</w:t>
      </w:r>
    </w:p>
    <w:p w14:paraId="423B34C7">
      <w:pPr>
        <w:snapToGrid w:val="0"/>
        <w:spacing w:line="460" w:lineRule="exact"/>
        <w:ind w:firstLine="514"/>
        <w:rPr>
          <w:rFonts w:ascii="宋体" w:hAnsi="宋体" w:cs="宋体"/>
          <w:b/>
          <w:color w:val="auto"/>
          <w:sz w:val="24"/>
          <w:highlight w:val="none"/>
        </w:rPr>
      </w:pPr>
      <w:r>
        <w:rPr>
          <w:rFonts w:hint="eastAsia" w:ascii="宋体" w:hAnsi="宋体" w:cs="宋体"/>
          <w:b/>
          <w:color w:val="auto"/>
          <w:sz w:val="24"/>
          <w:highlight w:val="none"/>
        </w:rPr>
        <w:t>第九条  税费</w:t>
      </w:r>
    </w:p>
    <w:p w14:paraId="3C7F984F">
      <w:pPr>
        <w:snapToGrid w:val="0"/>
        <w:spacing w:line="460" w:lineRule="exact"/>
        <w:ind w:firstLine="514"/>
        <w:rPr>
          <w:rFonts w:ascii="宋体" w:hAnsi="宋体" w:cs="宋体"/>
          <w:color w:val="auto"/>
          <w:sz w:val="24"/>
          <w:highlight w:val="none"/>
        </w:rPr>
      </w:pPr>
      <w:r>
        <w:rPr>
          <w:rFonts w:hint="eastAsia" w:ascii="宋体" w:hAnsi="宋体" w:cs="宋体"/>
          <w:color w:val="auto"/>
          <w:sz w:val="24"/>
          <w:highlight w:val="none"/>
        </w:rPr>
        <w:t>本合同执行中相关的一切税费均由乙方负担，合同另有约定的除外。</w:t>
      </w:r>
    </w:p>
    <w:p w14:paraId="0F9934CC">
      <w:pPr>
        <w:snapToGrid w:val="0"/>
        <w:spacing w:line="460" w:lineRule="exact"/>
        <w:ind w:firstLine="514"/>
        <w:rPr>
          <w:rFonts w:ascii="宋体" w:hAnsi="宋体" w:cs="宋体"/>
          <w:color w:val="auto"/>
          <w:sz w:val="24"/>
          <w:highlight w:val="none"/>
        </w:rPr>
      </w:pPr>
      <w:r>
        <w:rPr>
          <w:rFonts w:hint="eastAsia" w:ascii="宋体" w:hAnsi="宋体" w:cs="宋体"/>
          <w:b/>
          <w:color w:val="auto"/>
          <w:sz w:val="24"/>
          <w:highlight w:val="none"/>
        </w:rPr>
        <w:t>第十条  质量保证、售后服务</w:t>
      </w:r>
    </w:p>
    <w:p w14:paraId="29993ADC">
      <w:pPr>
        <w:snapToGrid w:val="0"/>
        <w:spacing w:line="460" w:lineRule="exact"/>
        <w:ind w:firstLine="480" w:firstLineChars="200"/>
        <w:rPr>
          <w:rFonts w:ascii="宋体" w:hAnsi="宋体" w:cs="宋体"/>
          <w:bCs/>
          <w:color w:val="auto"/>
          <w:kern w:val="0"/>
          <w:sz w:val="24"/>
          <w:highlight w:val="none"/>
        </w:rPr>
      </w:pPr>
      <w:r>
        <w:rPr>
          <w:rFonts w:hint="eastAsia" w:hAnsi="宋体" w:cs="宋体"/>
          <w:color w:val="auto"/>
          <w:sz w:val="24"/>
          <w:highlight w:val="none"/>
        </w:rPr>
        <w:t>1</w:t>
      </w:r>
      <w:r>
        <w:rPr>
          <w:rFonts w:hint="eastAsia" w:ascii="宋体" w:hAnsi="宋体" w:cs="宋体"/>
          <w:bCs/>
          <w:color w:val="auto"/>
          <w:kern w:val="0"/>
          <w:sz w:val="24"/>
          <w:highlight w:val="none"/>
        </w:rPr>
        <w:t>.乙方应按照国家有关法律法规和“三包”规定以及招投标文件（采购文件）和本合同所附的《售后服务承诺》，为甲方提供售后服务。</w:t>
      </w:r>
    </w:p>
    <w:p w14:paraId="5BA21C8B">
      <w:pPr>
        <w:snapToGrid w:val="0"/>
        <w:spacing w:line="460" w:lineRule="exact"/>
        <w:ind w:firstLine="480" w:firstLineChars="200"/>
        <w:rPr>
          <w:rFonts w:ascii="宋体" w:hAnsi="宋体" w:cs="宋体"/>
          <w:bCs/>
          <w:color w:val="auto"/>
          <w:kern w:val="0"/>
          <w:sz w:val="24"/>
          <w:highlight w:val="none"/>
        </w:rPr>
      </w:pPr>
      <w:r>
        <w:rPr>
          <w:rFonts w:hint="eastAsia" w:ascii="宋体" w:hAnsi="宋体" w:cs="宋体"/>
          <w:bCs/>
          <w:color w:val="auto"/>
          <w:kern w:val="0"/>
          <w:sz w:val="24"/>
          <w:highlight w:val="none"/>
        </w:rPr>
        <w:t>2.乙方应按招标文件规定的设备和软件性能、技术要求、质量标准以及乙方的承诺向甲方提供未经使用的全新产品。不符合要求的，根据实际情况，经双方协商，可按以下办法处理：</w:t>
      </w:r>
    </w:p>
    <w:p w14:paraId="3B74B09C">
      <w:pPr>
        <w:snapToGrid w:val="0"/>
        <w:spacing w:line="460" w:lineRule="exact"/>
        <w:ind w:firstLine="480" w:firstLineChars="200"/>
        <w:rPr>
          <w:rFonts w:ascii="宋体" w:hAnsi="宋体" w:cs="宋体"/>
          <w:bCs/>
          <w:color w:val="auto"/>
          <w:kern w:val="0"/>
          <w:sz w:val="24"/>
          <w:highlight w:val="none"/>
        </w:rPr>
      </w:pPr>
      <w:r>
        <w:rPr>
          <w:rFonts w:hint="eastAsia" w:ascii="宋体" w:hAnsi="宋体" w:cs="宋体"/>
          <w:bCs/>
          <w:color w:val="auto"/>
          <w:kern w:val="0"/>
          <w:sz w:val="24"/>
          <w:highlight w:val="none"/>
        </w:rPr>
        <w:t>（1）更换：由乙方承担所发生的全部费用。</w:t>
      </w:r>
    </w:p>
    <w:p w14:paraId="70B7AC38">
      <w:pPr>
        <w:snapToGrid w:val="0"/>
        <w:spacing w:line="460" w:lineRule="exact"/>
        <w:ind w:firstLine="480" w:firstLineChars="200"/>
        <w:rPr>
          <w:rFonts w:ascii="宋体" w:hAnsi="宋体" w:cs="宋体"/>
          <w:bCs/>
          <w:color w:val="auto"/>
          <w:kern w:val="0"/>
          <w:sz w:val="24"/>
          <w:highlight w:val="none"/>
        </w:rPr>
      </w:pPr>
      <w:r>
        <w:rPr>
          <w:rFonts w:hint="eastAsia" w:ascii="宋体" w:hAnsi="宋体" w:cs="宋体"/>
          <w:bCs/>
          <w:color w:val="auto"/>
          <w:kern w:val="0"/>
          <w:sz w:val="24"/>
          <w:highlight w:val="none"/>
        </w:rPr>
        <w:t>（2）贬值处理：由甲乙双方合议定价。</w:t>
      </w:r>
    </w:p>
    <w:p w14:paraId="2EB88356">
      <w:pPr>
        <w:snapToGrid w:val="0"/>
        <w:spacing w:line="460" w:lineRule="exact"/>
        <w:ind w:firstLine="480" w:firstLineChars="200"/>
        <w:rPr>
          <w:rFonts w:ascii="宋体" w:hAnsi="宋体" w:cs="宋体"/>
          <w:bCs/>
          <w:color w:val="auto"/>
          <w:kern w:val="0"/>
          <w:sz w:val="24"/>
          <w:highlight w:val="none"/>
        </w:rPr>
      </w:pPr>
      <w:r>
        <w:rPr>
          <w:rFonts w:hint="eastAsia" w:ascii="宋体" w:hAnsi="宋体" w:cs="宋体"/>
          <w:bCs/>
          <w:color w:val="auto"/>
          <w:kern w:val="0"/>
          <w:sz w:val="24"/>
          <w:highlight w:val="none"/>
        </w:rPr>
        <w:t>（3）退货处理：乙方应退还甲方支付的合同款，同时应承担该货物的直接费用（运输、保险、检验、货款利息及银行手续费等）。</w:t>
      </w:r>
    </w:p>
    <w:p w14:paraId="76163323">
      <w:pPr>
        <w:snapToGrid w:val="0"/>
        <w:spacing w:line="460" w:lineRule="exact"/>
        <w:ind w:firstLine="480" w:firstLineChars="200"/>
        <w:rPr>
          <w:rFonts w:ascii="宋体" w:hAnsi="宋体" w:cs="宋体"/>
          <w:bCs/>
          <w:color w:val="auto"/>
          <w:kern w:val="0"/>
          <w:sz w:val="24"/>
          <w:highlight w:val="none"/>
        </w:rPr>
      </w:pPr>
      <w:r>
        <w:rPr>
          <w:rFonts w:hint="eastAsia" w:ascii="宋体" w:hAnsi="宋体" w:cs="宋体"/>
          <w:bCs/>
          <w:color w:val="auto"/>
          <w:kern w:val="0"/>
          <w:sz w:val="24"/>
          <w:highlight w:val="none"/>
        </w:rPr>
        <w:t>如果双方不能就上述第（1）、（2）项达成协议，则甲方有权单方选择第（3）项方式。</w:t>
      </w:r>
    </w:p>
    <w:p w14:paraId="70198DFF">
      <w:pPr>
        <w:snapToGrid w:val="0"/>
        <w:spacing w:line="460" w:lineRule="exact"/>
        <w:ind w:firstLine="480" w:firstLineChars="200"/>
        <w:rPr>
          <w:rFonts w:ascii="宋体" w:hAnsi="宋体" w:cs="宋体"/>
          <w:bCs/>
          <w:color w:val="auto"/>
          <w:kern w:val="0"/>
          <w:sz w:val="24"/>
          <w:highlight w:val="none"/>
        </w:rPr>
      </w:pPr>
      <w:r>
        <w:rPr>
          <w:rFonts w:ascii="宋体" w:hAnsi="宋体" w:cs="宋体"/>
          <w:bCs/>
          <w:color w:val="auto"/>
          <w:kern w:val="0"/>
          <w:sz w:val="24"/>
          <w:highlight w:val="none"/>
        </w:rPr>
        <w:t>3</w:t>
      </w:r>
      <w:r>
        <w:rPr>
          <w:rFonts w:hint="eastAsia" w:ascii="宋体" w:hAnsi="宋体" w:cs="宋体"/>
          <w:bCs/>
          <w:color w:val="auto"/>
          <w:kern w:val="0"/>
          <w:sz w:val="24"/>
          <w:highlight w:val="none"/>
        </w:rPr>
        <w:t>.乙方提供的服务承诺和售后服务及质量保证期责任等其他具体约定事项（见合同附件）。</w:t>
      </w:r>
    </w:p>
    <w:p w14:paraId="2A646A3D">
      <w:pPr>
        <w:snapToGrid w:val="0"/>
        <w:spacing w:line="460" w:lineRule="exact"/>
        <w:ind w:firstLine="480" w:firstLineChars="200"/>
        <w:rPr>
          <w:rFonts w:ascii="宋体" w:hAnsi="宋体" w:cs="宋体"/>
          <w:bCs/>
          <w:color w:val="auto"/>
          <w:kern w:val="0"/>
          <w:sz w:val="24"/>
          <w:highlight w:val="none"/>
        </w:rPr>
      </w:pPr>
      <w:r>
        <w:rPr>
          <w:rFonts w:hAnsi="宋体" w:cs="宋体"/>
          <w:color w:val="auto"/>
          <w:sz w:val="24"/>
          <w:highlight w:val="none"/>
        </w:rPr>
        <w:t>4</w:t>
      </w:r>
      <w:r>
        <w:rPr>
          <w:rFonts w:hint="eastAsia" w:ascii="宋体" w:hAnsi="宋体" w:cs="宋体"/>
          <w:bCs/>
          <w:color w:val="auto"/>
          <w:kern w:val="0"/>
          <w:sz w:val="24"/>
          <w:highlight w:val="none"/>
        </w:rPr>
        <w:t>.乙方除承担运输、安装、调试、验收与培训等义务外，还将为甲方提供技术支持，包括</w:t>
      </w:r>
      <w:r>
        <w:rPr>
          <w:rFonts w:hint="eastAsia" w:ascii="宋体" w:hAnsi="宋体" w:cs="宋体"/>
          <w:color w:val="auto"/>
          <w:sz w:val="24"/>
          <w:highlight w:val="none"/>
        </w:rPr>
        <w:t>质量保证期</w:t>
      </w:r>
      <w:r>
        <w:rPr>
          <w:rFonts w:hint="eastAsia" w:ascii="宋体" w:hAnsi="宋体" w:cs="宋体"/>
          <w:bCs/>
          <w:color w:val="auto"/>
          <w:kern w:val="0"/>
          <w:sz w:val="24"/>
          <w:highlight w:val="none"/>
        </w:rPr>
        <w:t>外的技术指导。</w:t>
      </w:r>
    </w:p>
    <w:p w14:paraId="76C81AED">
      <w:pPr>
        <w:snapToGrid w:val="0"/>
        <w:spacing w:line="460" w:lineRule="exact"/>
        <w:ind w:firstLine="480" w:firstLineChars="200"/>
        <w:rPr>
          <w:rFonts w:ascii="宋体" w:hAnsi="宋体" w:cs="宋体"/>
          <w:bCs/>
          <w:color w:val="auto"/>
          <w:kern w:val="0"/>
          <w:sz w:val="24"/>
          <w:highlight w:val="none"/>
        </w:rPr>
      </w:pPr>
      <w:r>
        <w:rPr>
          <w:rFonts w:hAnsi="宋体" w:cs="宋体"/>
          <w:color w:val="auto"/>
          <w:sz w:val="24"/>
          <w:highlight w:val="none"/>
        </w:rPr>
        <w:t>5</w:t>
      </w:r>
      <w:r>
        <w:rPr>
          <w:rFonts w:hint="eastAsia" w:ascii="宋体" w:hAnsi="宋体" w:cs="宋体"/>
          <w:bCs/>
          <w:color w:val="auto"/>
          <w:kern w:val="0"/>
          <w:sz w:val="24"/>
          <w:highlight w:val="none"/>
        </w:rPr>
        <w:t>.在</w:t>
      </w:r>
      <w:r>
        <w:rPr>
          <w:rFonts w:hint="eastAsia" w:ascii="宋体" w:hAnsi="宋体" w:cs="宋体"/>
          <w:color w:val="auto"/>
          <w:sz w:val="24"/>
          <w:highlight w:val="none"/>
        </w:rPr>
        <w:t>质量保证期</w:t>
      </w:r>
      <w:r>
        <w:rPr>
          <w:rFonts w:hint="eastAsia" w:ascii="宋体" w:hAnsi="宋体" w:cs="宋体"/>
          <w:bCs/>
          <w:color w:val="auto"/>
          <w:kern w:val="0"/>
          <w:sz w:val="24"/>
          <w:highlight w:val="none"/>
        </w:rPr>
        <w:t>内，乙方应对货物出现的质量及安全问题负责处理解决并承担一切费用。</w:t>
      </w:r>
    </w:p>
    <w:p w14:paraId="1A98AE96">
      <w:pPr>
        <w:snapToGrid w:val="0"/>
        <w:spacing w:line="460" w:lineRule="exact"/>
        <w:ind w:firstLine="480" w:firstLineChars="200"/>
        <w:rPr>
          <w:rFonts w:ascii="宋体" w:hAnsi="宋体" w:cs="宋体"/>
          <w:bCs/>
          <w:color w:val="auto"/>
          <w:kern w:val="0"/>
          <w:sz w:val="24"/>
          <w:highlight w:val="none"/>
        </w:rPr>
      </w:pPr>
      <w:r>
        <w:rPr>
          <w:rFonts w:hAnsi="宋体" w:cs="宋体"/>
          <w:color w:val="auto"/>
          <w:sz w:val="24"/>
          <w:highlight w:val="none"/>
        </w:rPr>
        <w:t>6</w:t>
      </w:r>
      <w:r>
        <w:rPr>
          <w:rFonts w:hint="eastAsia" w:ascii="宋体" w:hAnsi="宋体" w:cs="宋体"/>
          <w:bCs/>
          <w:color w:val="auto"/>
          <w:kern w:val="0"/>
          <w:sz w:val="24"/>
          <w:highlight w:val="none"/>
        </w:rPr>
        <w:t>.超过</w:t>
      </w:r>
      <w:r>
        <w:rPr>
          <w:rFonts w:hint="eastAsia" w:ascii="宋体" w:hAnsi="宋体" w:cs="宋体"/>
          <w:color w:val="auto"/>
          <w:sz w:val="24"/>
          <w:highlight w:val="none"/>
        </w:rPr>
        <w:t>质量保证期</w:t>
      </w:r>
      <w:r>
        <w:rPr>
          <w:rFonts w:hint="eastAsia" w:ascii="宋体" w:hAnsi="宋体" w:cs="宋体"/>
          <w:bCs/>
          <w:color w:val="auto"/>
          <w:kern w:val="0"/>
          <w:sz w:val="24"/>
          <w:highlight w:val="none"/>
        </w:rPr>
        <w:t>的机器设备，终身维修，维修时只收部件成本费。</w:t>
      </w:r>
    </w:p>
    <w:p w14:paraId="51F687F5">
      <w:pPr>
        <w:snapToGrid w:val="0"/>
        <w:spacing w:line="460" w:lineRule="exact"/>
        <w:ind w:firstLine="480" w:firstLineChars="200"/>
        <w:rPr>
          <w:rFonts w:ascii="宋体" w:hAnsi="宋体" w:cs="宋体"/>
          <w:color w:val="auto"/>
          <w:sz w:val="24"/>
          <w:highlight w:val="none"/>
          <w:u w:val="single"/>
        </w:rPr>
      </w:pPr>
      <w:r>
        <w:rPr>
          <w:rFonts w:hAnsi="宋体" w:cs="宋体"/>
          <w:color w:val="auto"/>
          <w:sz w:val="24"/>
          <w:highlight w:val="none"/>
        </w:rPr>
        <w:t>7</w:t>
      </w:r>
      <w:r>
        <w:rPr>
          <w:rFonts w:hint="eastAsia" w:ascii="宋体" w:hAnsi="宋体" w:cs="宋体"/>
          <w:bCs/>
          <w:color w:val="auto"/>
          <w:kern w:val="0"/>
          <w:sz w:val="24"/>
          <w:highlight w:val="none"/>
        </w:rPr>
        <w:t>.货物</w:t>
      </w:r>
      <w:r>
        <w:rPr>
          <w:rFonts w:hint="eastAsia" w:ascii="宋体" w:hAnsi="宋体" w:cs="宋体"/>
          <w:color w:val="auto"/>
          <w:sz w:val="24"/>
          <w:highlight w:val="none"/>
        </w:rPr>
        <w:t>质量保证期</w:t>
      </w:r>
      <w:r>
        <w:rPr>
          <w:rFonts w:hint="eastAsia" w:ascii="宋体" w:hAnsi="宋体" w:cs="宋体"/>
          <w:bCs/>
          <w:color w:val="auto"/>
          <w:kern w:val="0"/>
          <w:sz w:val="24"/>
          <w:highlight w:val="none"/>
        </w:rPr>
        <w:t>：</w:t>
      </w:r>
      <w:r>
        <w:rPr>
          <w:rFonts w:hint="eastAsia" w:ascii="宋体" w:hAnsi="宋体" w:cs="宋体"/>
          <w:color w:val="auto"/>
          <w:sz w:val="24"/>
          <w:highlight w:val="none"/>
          <w:u w:val="single"/>
        </w:rPr>
        <w:t xml:space="preserve"> 。</w:t>
      </w:r>
    </w:p>
    <w:p w14:paraId="10106E15">
      <w:pPr>
        <w:snapToGrid w:val="0"/>
        <w:spacing w:line="46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第十一条　违约责任</w:t>
      </w:r>
    </w:p>
    <w:p w14:paraId="7FBB29A5">
      <w:pPr>
        <w:pStyle w:val="24"/>
        <w:snapToGrid w:val="0"/>
        <w:spacing w:line="460" w:lineRule="exact"/>
        <w:ind w:firstLine="470" w:firstLineChars="196"/>
        <w:rPr>
          <w:rFonts w:hAnsi="宋体" w:cs="宋体"/>
          <w:color w:val="auto"/>
          <w:sz w:val="24"/>
          <w:szCs w:val="24"/>
          <w:highlight w:val="none"/>
        </w:rPr>
      </w:pPr>
      <w:r>
        <w:rPr>
          <w:rFonts w:hint="eastAsia" w:hAnsi="宋体" w:cs="宋体"/>
          <w:color w:val="auto"/>
          <w:sz w:val="24"/>
          <w:szCs w:val="24"/>
          <w:highlight w:val="none"/>
        </w:rPr>
        <w:t xml:space="preserve">1.乙方所提供的产品名称、商标品牌、生产厂家、规格型号、技术参数等质量不合格的，应及时更换，更换不及时的按逾期交货处罚；因质量问题甲方不同意接收的或者特殊情况甲方同意接收的，乙方应向甲方支付违约货款额5%违约金并赔偿甲方经济损失。                                       </w:t>
      </w:r>
    </w:p>
    <w:p w14:paraId="3E035305">
      <w:pPr>
        <w:pStyle w:val="24"/>
        <w:snapToGrid w:val="0"/>
        <w:spacing w:line="460" w:lineRule="exact"/>
        <w:ind w:firstLine="470" w:firstLineChars="196"/>
        <w:rPr>
          <w:rFonts w:hAnsi="宋体" w:cs="宋体"/>
          <w:color w:val="auto"/>
          <w:sz w:val="24"/>
          <w:szCs w:val="24"/>
          <w:highlight w:val="none"/>
        </w:rPr>
      </w:pPr>
      <w:r>
        <w:rPr>
          <w:rFonts w:hint="eastAsia" w:hAnsi="宋体" w:cs="宋体"/>
          <w:color w:val="auto"/>
          <w:sz w:val="24"/>
          <w:szCs w:val="24"/>
          <w:highlight w:val="none"/>
        </w:rPr>
        <w:t>2.乙方提供的货物如侵犯了第三方合法权益而引发的任何纠纷或者诉讼，均由乙方负责交涉并承担全部责任。</w:t>
      </w:r>
    </w:p>
    <w:p w14:paraId="000D9C0A">
      <w:pPr>
        <w:pStyle w:val="24"/>
        <w:snapToGrid w:val="0"/>
        <w:spacing w:line="460" w:lineRule="exact"/>
        <w:ind w:firstLine="470" w:firstLineChars="196"/>
        <w:rPr>
          <w:rFonts w:hAnsi="宋体" w:cs="宋体"/>
          <w:color w:val="auto"/>
          <w:sz w:val="24"/>
          <w:szCs w:val="24"/>
          <w:highlight w:val="none"/>
        </w:rPr>
      </w:pPr>
      <w:r>
        <w:rPr>
          <w:rFonts w:hint="eastAsia" w:hAnsi="宋体" w:cs="宋体"/>
          <w:color w:val="auto"/>
          <w:sz w:val="24"/>
          <w:szCs w:val="24"/>
          <w:highlight w:val="none"/>
        </w:rPr>
        <w:t>3.因包装、运输引起的货物损坏，按质量不合格处罚。</w:t>
      </w:r>
    </w:p>
    <w:p w14:paraId="60740A28">
      <w:pPr>
        <w:pStyle w:val="24"/>
        <w:snapToGrid w:val="0"/>
        <w:spacing w:line="460" w:lineRule="exact"/>
        <w:ind w:firstLine="470" w:firstLineChars="196"/>
        <w:rPr>
          <w:rFonts w:hAnsi="宋体" w:cs="宋体"/>
          <w:color w:val="auto"/>
          <w:sz w:val="24"/>
          <w:szCs w:val="24"/>
          <w:highlight w:val="none"/>
        </w:rPr>
      </w:pPr>
      <w:r>
        <w:rPr>
          <w:rFonts w:hint="eastAsia" w:hAnsi="宋体" w:cs="宋体"/>
          <w:color w:val="auto"/>
          <w:sz w:val="24"/>
          <w:szCs w:val="24"/>
          <w:highlight w:val="none"/>
        </w:rPr>
        <w:t>4.甲方无故延期接收货物、乙方逾期交货的，每天向对方偿付违约货款额3‰违约金，但违约金累计不得超过违约货款额5%，超过</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天对方有权解除合同，违约方承担因此给对方造成经济损失；甲方延期付货款的，每天向乙方偿付延期货款额3‰违约金，但违约金累计不得超过延期货款额5%。甲方无故延期退付履约保证金的，每天向对方偿付未退付履约保证金3‰的违约金。</w:t>
      </w:r>
    </w:p>
    <w:p w14:paraId="5A8581CD">
      <w:pPr>
        <w:pStyle w:val="24"/>
        <w:snapToGrid w:val="0"/>
        <w:spacing w:line="460" w:lineRule="exact"/>
        <w:ind w:firstLine="470" w:firstLineChars="196"/>
        <w:rPr>
          <w:rFonts w:hAnsi="宋体" w:cs="宋体"/>
          <w:color w:val="auto"/>
          <w:sz w:val="24"/>
          <w:szCs w:val="24"/>
          <w:highlight w:val="none"/>
        </w:rPr>
      </w:pPr>
      <w:r>
        <w:rPr>
          <w:rFonts w:hint="eastAsia" w:hAnsi="宋体" w:cs="宋体"/>
          <w:color w:val="auto"/>
          <w:sz w:val="24"/>
          <w:szCs w:val="24"/>
          <w:highlight w:val="none"/>
        </w:rPr>
        <w:t>5. 乙方未按本合同和投标文件中规定的服务承诺提供售后服务的，乙方应按本合同合计金额 5%向甲方支付违约金。</w:t>
      </w:r>
    </w:p>
    <w:p w14:paraId="670190EC">
      <w:pPr>
        <w:pStyle w:val="24"/>
        <w:snapToGrid w:val="0"/>
        <w:spacing w:line="460" w:lineRule="exact"/>
        <w:ind w:firstLine="470" w:firstLineChars="196"/>
        <w:rPr>
          <w:rFonts w:hAnsi="宋体" w:cs="宋体"/>
          <w:color w:val="auto"/>
          <w:sz w:val="24"/>
          <w:szCs w:val="24"/>
          <w:highlight w:val="none"/>
        </w:rPr>
      </w:pPr>
      <w:r>
        <w:rPr>
          <w:rFonts w:hint="eastAsia" w:hAnsi="宋体" w:cs="宋体"/>
          <w:color w:val="auto"/>
          <w:sz w:val="24"/>
          <w:szCs w:val="24"/>
          <w:highlight w:val="none"/>
        </w:rPr>
        <w:t>6. 乙方提供的货物在质量保证期内，因设计、工艺或者材料的缺陷和其它质量原因造成的问题，由乙方负责，费用从余款或者履约保证金中扣除，不足另补。</w:t>
      </w:r>
    </w:p>
    <w:p w14:paraId="6941971E">
      <w:pPr>
        <w:pStyle w:val="24"/>
        <w:snapToGrid w:val="0"/>
        <w:spacing w:line="460" w:lineRule="exact"/>
        <w:ind w:firstLine="470" w:firstLineChars="196"/>
        <w:rPr>
          <w:rFonts w:hAnsi="宋体" w:cs="宋体"/>
          <w:color w:val="auto"/>
          <w:sz w:val="24"/>
          <w:szCs w:val="24"/>
          <w:highlight w:val="none"/>
        </w:rPr>
      </w:pPr>
      <w:r>
        <w:rPr>
          <w:rFonts w:hint="eastAsia" w:hAnsi="宋体" w:cs="宋体"/>
          <w:color w:val="auto"/>
          <w:sz w:val="24"/>
          <w:szCs w:val="24"/>
          <w:highlight w:val="none"/>
        </w:rPr>
        <w:t>7. 甲乙双方有其它违约行为的，由违约方向对方支付违约内容涉及货款额的5%，违约内容涉及货款额的5%不足以赔偿经济损失的按实际赔偿。</w:t>
      </w:r>
    </w:p>
    <w:p w14:paraId="4A379331">
      <w:pPr>
        <w:pStyle w:val="24"/>
        <w:snapToGrid w:val="0"/>
        <w:spacing w:line="460" w:lineRule="exact"/>
        <w:ind w:firstLine="472" w:firstLineChars="196"/>
        <w:rPr>
          <w:rFonts w:hAnsi="宋体" w:cs="宋体"/>
          <w:b/>
          <w:bCs/>
          <w:color w:val="auto"/>
          <w:sz w:val="24"/>
          <w:szCs w:val="24"/>
          <w:highlight w:val="none"/>
        </w:rPr>
      </w:pPr>
      <w:r>
        <w:rPr>
          <w:rFonts w:hint="eastAsia" w:hAnsi="宋体" w:cs="宋体"/>
          <w:b/>
          <w:bCs/>
          <w:color w:val="auto"/>
          <w:sz w:val="24"/>
          <w:szCs w:val="24"/>
          <w:highlight w:val="none"/>
        </w:rPr>
        <w:t>第十二条  不可抗力事件处理</w:t>
      </w:r>
    </w:p>
    <w:p w14:paraId="5D9421B8">
      <w:pPr>
        <w:pStyle w:val="24"/>
        <w:snapToGrid w:val="0"/>
        <w:spacing w:line="460" w:lineRule="exact"/>
        <w:ind w:firstLine="470" w:firstLineChars="196"/>
        <w:rPr>
          <w:rFonts w:hAnsi="宋体" w:cs="宋体"/>
          <w:color w:val="auto"/>
          <w:sz w:val="24"/>
          <w:szCs w:val="24"/>
          <w:highlight w:val="none"/>
        </w:rPr>
      </w:pPr>
      <w:r>
        <w:rPr>
          <w:rFonts w:hint="eastAsia" w:hAnsi="宋体" w:cs="宋体"/>
          <w:color w:val="auto"/>
          <w:sz w:val="24"/>
          <w:szCs w:val="24"/>
          <w:highlight w:val="none"/>
        </w:rPr>
        <w:t>1.在合同有效期内，任何一方因不可抗力事件导致不能履行合同，则合同履行期可延长，其延长期与不可抗力影响期相同。</w:t>
      </w:r>
    </w:p>
    <w:p w14:paraId="55C9D233">
      <w:pPr>
        <w:pStyle w:val="24"/>
        <w:snapToGrid w:val="0"/>
        <w:spacing w:line="46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2.不可抗力事件发生后，应立即通知对方，并寄送有关权威机构出具的证明。</w:t>
      </w:r>
    </w:p>
    <w:p w14:paraId="7A573E35">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3.不可抗力事件延续</w:t>
      </w:r>
      <w:r>
        <w:rPr>
          <w:rFonts w:ascii="宋体" w:hAnsi="宋体" w:cs="宋体"/>
          <w:color w:val="auto"/>
          <w:sz w:val="24"/>
          <w:highlight w:val="none"/>
        </w:rPr>
        <w:t>60</w:t>
      </w:r>
      <w:r>
        <w:rPr>
          <w:rFonts w:hint="eastAsia" w:ascii="宋体" w:hAnsi="宋体" w:cs="宋体"/>
          <w:color w:val="auto"/>
          <w:sz w:val="24"/>
          <w:highlight w:val="none"/>
        </w:rPr>
        <w:t>天以上，双方应通过友好协商，确定是否继续履行合同。</w:t>
      </w:r>
    </w:p>
    <w:p w14:paraId="43978656">
      <w:pPr>
        <w:snapToGrid w:val="0"/>
        <w:spacing w:line="460" w:lineRule="exact"/>
        <w:ind w:firstLine="482" w:firstLineChars="200"/>
        <w:rPr>
          <w:rFonts w:ascii="宋体" w:hAnsi="宋体" w:cs="宋体"/>
          <w:color w:val="auto"/>
          <w:sz w:val="24"/>
          <w:highlight w:val="none"/>
        </w:rPr>
      </w:pPr>
      <w:r>
        <w:rPr>
          <w:rFonts w:hint="eastAsia" w:ascii="宋体" w:hAnsi="宋体" w:cs="宋体"/>
          <w:b/>
          <w:color w:val="auto"/>
          <w:sz w:val="24"/>
          <w:highlight w:val="none"/>
        </w:rPr>
        <w:t>第十三条  合同争议解决</w:t>
      </w:r>
    </w:p>
    <w:p w14:paraId="1B16CB58">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1.因货物质量问题发生争议的，应邀请国家认可的质量检测机构对货物质量进行鉴定。货物符合标准的，鉴定费由甲方承担；货物不符合标准的，鉴定费由乙方承担。</w:t>
      </w:r>
    </w:p>
    <w:p w14:paraId="4DF69AAE">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2.因履行本合同引起的或者与本合同有关的争议，甲乙双方应首先通过友好协商解决，如果协商不能解决，任何一方可向甲方所在地有管辖权的人民法院提起诉讼。</w:t>
      </w:r>
    </w:p>
    <w:p w14:paraId="61BF0F2F">
      <w:pPr>
        <w:snapToGrid w:val="0"/>
        <w:spacing w:line="460" w:lineRule="exact"/>
        <w:ind w:firstLine="514"/>
        <w:rPr>
          <w:rFonts w:ascii="宋体" w:hAnsi="宋体" w:cs="宋体"/>
          <w:color w:val="auto"/>
          <w:sz w:val="24"/>
          <w:highlight w:val="none"/>
        </w:rPr>
      </w:pPr>
      <w:r>
        <w:rPr>
          <w:rFonts w:hint="eastAsia" w:ascii="宋体" w:hAnsi="宋体" w:cs="宋体"/>
          <w:color w:val="auto"/>
          <w:sz w:val="24"/>
          <w:highlight w:val="none"/>
        </w:rPr>
        <w:t>3.诉讼期间，本合同无争议部分须继续履行。</w:t>
      </w:r>
    </w:p>
    <w:p w14:paraId="5DE821AB">
      <w:pPr>
        <w:pStyle w:val="24"/>
        <w:snapToGrid w:val="0"/>
        <w:spacing w:line="460" w:lineRule="exact"/>
        <w:ind w:firstLine="472" w:firstLineChars="196"/>
        <w:rPr>
          <w:rFonts w:hAnsi="宋体" w:cs="宋体"/>
          <w:b/>
          <w:color w:val="auto"/>
          <w:sz w:val="24"/>
          <w:szCs w:val="24"/>
          <w:highlight w:val="none"/>
        </w:rPr>
      </w:pPr>
      <w:r>
        <w:rPr>
          <w:rFonts w:hint="eastAsia" w:hAnsi="宋体" w:cs="宋体"/>
          <w:b/>
          <w:color w:val="auto"/>
          <w:sz w:val="24"/>
          <w:szCs w:val="24"/>
          <w:highlight w:val="none"/>
        </w:rPr>
        <w:t>第十四条  合同生效及其他</w:t>
      </w:r>
    </w:p>
    <w:p w14:paraId="10E98510">
      <w:pPr>
        <w:pStyle w:val="24"/>
        <w:snapToGrid w:val="0"/>
        <w:spacing w:line="460" w:lineRule="exact"/>
        <w:ind w:firstLine="480" w:firstLineChars="200"/>
        <w:rPr>
          <w:rFonts w:hAnsi="宋体" w:cs="宋体"/>
          <w:color w:val="auto"/>
          <w:kern w:val="2"/>
          <w:sz w:val="24"/>
          <w:szCs w:val="24"/>
          <w:highlight w:val="none"/>
        </w:rPr>
      </w:pPr>
      <w:r>
        <w:rPr>
          <w:rFonts w:hint="eastAsia" w:hAnsi="宋体" w:cs="宋体"/>
          <w:color w:val="auto"/>
          <w:kern w:val="2"/>
          <w:sz w:val="24"/>
          <w:szCs w:val="24"/>
          <w:highlight w:val="none"/>
        </w:rPr>
        <w:t>1.合同经双方法定代表人或者委托代理人签字并加盖单位公章后生效（委托代理人签字的须后附授权委托书，格式自拟）。</w:t>
      </w:r>
    </w:p>
    <w:p w14:paraId="53D6B418">
      <w:pPr>
        <w:pStyle w:val="24"/>
        <w:snapToGrid w:val="0"/>
        <w:spacing w:line="460" w:lineRule="exact"/>
        <w:ind w:firstLine="480" w:firstLineChars="200"/>
        <w:rPr>
          <w:rFonts w:hAnsi="宋体" w:cs="宋体"/>
          <w:color w:val="auto"/>
          <w:kern w:val="2"/>
          <w:sz w:val="24"/>
          <w:szCs w:val="24"/>
          <w:highlight w:val="none"/>
        </w:rPr>
      </w:pPr>
      <w:r>
        <w:rPr>
          <w:rFonts w:hint="eastAsia" w:hAnsi="宋体" w:cs="宋体"/>
          <w:color w:val="auto"/>
          <w:kern w:val="2"/>
          <w:sz w:val="24"/>
          <w:szCs w:val="24"/>
          <w:highlight w:val="none"/>
        </w:rPr>
        <w:t>2.本合同未尽事宜，遵照《中华人民共和国民法典》有关条文执行。</w:t>
      </w:r>
    </w:p>
    <w:p w14:paraId="4AFBD0DF">
      <w:pPr>
        <w:pStyle w:val="24"/>
        <w:snapToGrid w:val="0"/>
        <w:spacing w:line="460" w:lineRule="exact"/>
        <w:ind w:firstLine="480" w:firstLineChars="200"/>
        <w:rPr>
          <w:rFonts w:hAnsi="宋体" w:cs="宋体"/>
          <w:color w:val="auto"/>
          <w:kern w:val="2"/>
          <w:sz w:val="24"/>
          <w:szCs w:val="24"/>
          <w:highlight w:val="none"/>
        </w:rPr>
      </w:pPr>
      <w:r>
        <w:rPr>
          <w:rFonts w:hint="eastAsia" w:hAnsi="宋体" w:cs="宋体"/>
          <w:color w:val="auto"/>
          <w:kern w:val="2"/>
          <w:sz w:val="24"/>
          <w:szCs w:val="24"/>
          <w:highlight w:val="none"/>
        </w:rPr>
        <w:t>3</w:t>
      </w:r>
      <w:r>
        <w:rPr>
          <w:rFonts w:hAnsi="宋体" w:cs="宋体"/>
          <w:color w:val="auto"/>
          <w:kern w:val="2"/>
          <w:sz w:val="24"/>
          <w:szCs w:val="24"/>
          <w:highlight w:val="none"/>
        </w:rPr>
        <w:t>.</w:t>
      </w:r>
      <w:r>
        <w:rPr>
          <w:rFonts w:hint="eastAsia" w:hAnsi="宋体" w:cs="宋体"/>
          <w:color w:val="auto"/>
          <w:kern w:val="2"/>
          <w:sz w:val="24"/>
          <w:szCs w:val="24"/>
          <w:highlight w:val="none"/>
        </w:rPr>
        <w:t>双方确认本合同落款通讯地址作为文书送达地址，该通讯地址适用于包括双方合同履行过程中的各类通知、补充协议等文件，以及因履行合同发生争议进入民事诉讼程序后的一审、二审、再审和执行程序等阶段法律文书的送达。通讯地址需要变更时应当提前15个工作日书面通知对方。因提供或者确认的通讯地址不准确、通讯地址变更后未及时依程序告知对方或受送达方拒绝签收或拒绝接听快递员投递电话等原因，导致文书未能被实际接收的，邮寄文书被退回之日视为送达之日。</w:t>
      </w:r>
    </w:p>
    <w:p w14:paraId="588C4BC4">
      <w:pPr>
        <w:snapToGrid w:val="0"/>
        <w:spacing w:line="46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第十五条　合同的变更、终止与转让</w:t>
      </w:r>
    </w:p>
    <w:p w14:paraId="4F901F10">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1.除《中华人民共和国政府采购法》第五十条规定的情形外，本合同一经签订，甲乙双方不得擅自变更、中止或者终止。</w:t>
      </w:r>
    </w:p>
    <w:p w14:paraId="6F659C67">
      <w:pPr>
        <w:snapToGrid w:val="0"/>
        <w:spacing w:line="460" w:lineRule="exact"/>
        <w:ind w:firstLine="514"/>
        <w:rPr>
          <w:rFonts w:ascii="宋体" w:hAnsi="宋体" w:cs="宋体"/>
          <w:color w:val="auto"/>
          <w:sz w:val="24"/>
          <w:highlight w:val="none"/>
        </w:rPr>
      </w:pPr>
      <w:r>
        <w:rPr>
          <w:rFonts w:hint="eastAsia" w:ascii="宋体" w:hAnsi="宋体" w:cs="宋体"/>
          <w:color w:val="auto"/>
          <w:sz w:val="24"/>
          <w:highlight w:val="none"/>
        </w:rPr>
        <w:t>2.乙方不得擅自转让其应履行的合同义务。</w:t>
      </w:r>
    </w:p>
    <w:p w14:paraId="675CA849">
      <w:pPr>
        <w:pStyle w:val="24"/>
        <w:snapToGrid w:val="0"/>
        <w:spacing w:line="460" w:lineRule="exact"/>
        <w:ind w:firstLine="472" w:firstLineChars="196"/>
        <w:rPr>
          <w:rFonts w:hAnsi="宋体" w:cs="宋体"/>
          <w:color w:val="auto"/>
          <w:sz w:val="24"/>
          <w:szCs w:val="24"/>
          <w:highlight w:val="none"/>
        </w:rPr>
      </w:pPr>
      <w:r>
        <w:rPr>
          <w:rFonts w:hint="eastAsia" w:hAnsi="宋体" w:cs="宋体"/>
          <w:b/>
          <w:color w:val="auto"/>
          <w:sz w:val="24"/>
          <w:szCs w:val="24"/>
          <w:highlight w:val="none"/>
        </w:rPr>
        <w:t>第十六条　</w:t>
      </w:r>
      <w:r>
        <w:rPr>
          <w:rFonts w:hint="eastAsia" w:hAnsi="宋体" w:cs="宋体"/>
          <w:color w:val="auto"/>
          <w:spacing w:val="-2"/>
          <w:sz w:val="24"/>
          <w:szCs w:val="24"/>
          <w:highlight w:val="none"/>
        </w:rPr>
        <w:t>本</w:t>
      </w:r>
      <w:r>
        <w:rPr>
          <w:rFonts w:hint="eastAsia" w:hAnsi="宋体" w:cs="宋体"/>
          <w:color w:val="auto"/>
          <w:sz w:val="24"/>
          <w:szCs w:val="24"/>
          <w:highlight w:val="none"/>
        </w:rPr>
        <w:t>合同书</w:t>
      </w:r>
      <w:r>
        <w:rPr>
          <w:rFonts w:hint="eastAsia" w:hAnsi="宋体" w:cs="宋体"/>
          <w:color w:val="auto"/>
          <w:spacing w:val="-2"/>
          <w:sz w:val="24"/>
          <w:szCs w:val="24"/>
          <w:highlight w:val="none"/>
        </w:rPr>
        <w:t>与</w:t>
      </w:r>
      <w:r>
        <w:rPr>
          <w:rFonts w:hint="eastAsia" w:hAnsi="宋体" w:cs="宋体"/>
          <w:color w:val="auto"/>
          <w:sz w:val="24"/>
          <w:szCs w:val="24"/>
          <w:highlight w:val="none"/>
        </w:rPr>
        <w:t>下</w:t>
      </w:r>
      <w:r>
        <w:rPr>
          <w:rFonts w:hint="eastAsia" w:hAnsi="宋体" w:cs="宋体"/>
          <w:color w:val="auto"/>
          <w:spacing w:val="-2"/>
          <w:sz w:val="24"/>
          <w:szCs w:val="24"/>
          <w:highlight w:val="none"/>
        </w:rPr>
        <w:t>列</w:t>
      </w:r>
      <w:r>
        <w:rPr>
          <w:rFonts w:hint="eastAsia" w:hAnsi="宋体" w:cs="宋体"/>
          <w:color w:val="auto"/>
          <w:sz w:val="24"/>
          <w:szCs w:val="24"/>
          <w:highlight w:val="none"/>
        </w:rPr>
        <w:t>文</w:t>
      </w:r>
      <w:r>
        <w:rPr>
          <w:rFonts w:hint="eastAsia" w:hAnsi="宋体" w:cs="宋体"/>
          <w:color w:val="auto"/>
          <w:spacing w:val="-2"/>
          <w:sz w:val="24"/>
          <w:szCs w:val="24"/>
          <w:highlight w:val="none"/>
        </w:rPr>
        <w:t>件一</w:t>
      </w:r>
      <w:r>
        <w:rPr>
          <w:rFonts w:hint="eastAsia" w:hAnsi="宋体" w:cs="宋体"/>
          <w:color w:val="auto"/>
          <w:sz w:val="24"/>
          <w:szCs w:val="24"/>
          <w:highlight w:val="none"/>
        </w:rPr>
        <w:t>起构</w:t>
      </w:r>
      <w:r>
        <w:rPr>
          <w:rFonts w:hint="eastAsia" w:hAnsi="宋体" w:cs="宋体"/>
          <w:color w:val="auto"/>
          <w:spacing w:val="-2"/>
          <w:sz w:val="24"/>
          <w:szCs w:val="24"/>
          <w:highlight w:val="none"/>
        </w:rPr>
        <w:t>成</w:t>
      </w:r>
      <w:r>
        <w:rPr>
          <w:rFonts w:hint="eastAsia" w:hAnsi="宋体" w:cs="宋体"/>
          <w:color w:val="auto"/>
          <w:sz w:val="24"/>
          <w:szCs w:val="24"/>
          <w:highlight w:val="none"/>
        </w:rPr>
        <w:t>合</w:t>
      </w:r>
      <w:r>
        <w:rPr>
          <w:rFonts w:hint="eastAsia" w:hAnsi="宋体" w:cs="宋体"/>
          <w:color w:val="auto"/>
          <w:spacing w:val="-2"/>
          <w:sz w:val="24"/>
          <w:szCs w:val="24"/>
          <w:highlight w:val="none"/>
        </w:rPr>
        <w:t>同</w:t>
      </w:r>
      <w:r>
        <w:rPr>
          <w:rFonts w:hint="eastAsia" w:hAnsi="宋体" w:cs="宋体"/>
          <w:color w:val="auto"/>
          <w:sz w:val="24"/>
          <w:szCs w:val="24"/>
          <w:highlight w:val="none"/>
        </w:rPr>
        <w:t>文</w:t>
      </w:r>
      <w:r>
        <w:rPr>
          <w:rFonts w:hint="eastAsia" w:hAnsi="宋体" w:cs="宋体"/>
          <w:color w:val="auto"/>
          <w:spacing w:val="-2"/>
          <w:sz w:val="24"/>
          <w:szCs w:val="24"/>
          <w:highlight w:val="none"/>
        </w:rPr>
        <w:t>件</w:t>
      </w:r>
    </w:p>
    <w:p w14:paraId="13A7E6C3">
      <w:pPr>
        <w:pStyle w:val="24"/>
        <w:snapToGrid w:val="0"/>
        <w:spacing w:line="460" w:lineRule="exact"/>
        <w:ind w:firstLine="470" w:firstLineChars="196"/>
        <w:rPr>
          <w:rFonts w:hAnsi="宋体" w:cs="宋体"/>
          <w:color w:val="auto"/>
          <w:sz w:val="24"/>
          <w:szCs w:val="24"/>
          <w:highlight w:val="none"/>
        </w:rPr>
      </w:pPr>
      <w:r>
        <w:rPr>
          <w:rFonts w:hint="eastAsia" w:hAnsi="宋体" w:cs="宋体"/>
          <w:color w:val="auto"/>
          <w:sz w:val="24"/>
          <w:szCs w:val="24"/>
          <w:highlight w:val="none"/>
        </w:rPr>
        <w:t>1.中标通知书</w:t>
      </w:r>
    </w:p>
    <w:p w14:paraId="6A2CD7CC">
      <w:pPr>
        <w:pStyle w:val="24"/>
        <w:snapToGrid w:val="0"/>
        <w:spacing w:line="460" w:lineRule="exact"/>
        <w:ind w:firstLine="470" w:firstLineChars="196"/>
        <w:rPr>
          <w:rFonts w:hAnsi="宋体" w:cs="宋体"/>
          <w:color w:val="auto"/>
          <w:sz w:val="24"/>
          <w:szCs w:val="24"/>
          <w:highlight w:val="none"/>
        </w:rPr>
      </w:pPr>
      <w:r>
        <w:rPr>
          <w:rFonts w:hint="eastAsia" w:hAnsi="宋体" w:cs="宋体"/>
          <w:color w:val="auto"/>
          <w:sz w:val="24"/>
          <w:szCs w:val="24"/>
          <w:highlight w:val="none"/>
        </w:rPr>
        <w:t>2.采购需求</w:t>
      </w:r>
    </w:p>
    <w:p w14:paraId="0F81DE6C">
      <w:pPr>
        <w:pStyle w:val="24"/>
        <w:snapToGrid w:val="0"/>
        <w:spacing w:line="460" w:lineRule="exact"/>
        <w:ind w:firstLine="470" w:firstLineChars="196"/>
        <w:rPr>
          <w:rFonts w:hAnsi="宋体" w:cs="宋体"/>
          <w:color w:val="auto"/>
          <w:sz w:val="24"/>
          <w:szCs w:val="24"/>
          <w:highlight w:val="none"/>
        </w:rPr>
      </w:pPr>
      <w:r>
        <w:rPr>
          <w:rFonts w:hint="eastAsia" w:hAnsi="宋体" w:cs="宋体"/>
          <w:color w:val="auto"/>
          <w:sz w:val="24"/>
          <w:szCs w:val="24"/>
          <w:highlight w:val="none"/>
        </w:rPr>
        <w:t>3.投标函</w:t>
      </w:r>
    </w:p>
    <w:p w14:paraId="66839E12">
      <w:pPr>
        <w:pStyle w:val="24"/>
        <w:snapToGrid w:val="0"/>
        <w:spacing w:line="460" w:lineRule="exact"/>
        <w:ind w:firstLine="470" w:firstLineChars="196"/>
        <w:rPr>
          <w:rFonts w:hAnsi="宋体" w:cs="宋体"/>
          <w:color w:val="auto"/>
          <w:sz w:val="24"/>
          <w:szCs w:val="24"/>
          <w:highlight w:val="none"/>
        </w:rPr>
      </w:pPr>
      <w:r>
        <w:rPr>
          <w:rFonts w:hint="eastAsia" w:hAnsi="宋体" w:cs="宋体"/>
          <w:color w:val="auto"/>
          <w:sz w:val="24"/>
          <w:szCs w:val="24"/>
          <w:highlight w:val="none"/>
        </w:rPr>
        <w:t>4.开标一览表及设备性能配置清单</w:t>
      </w:r>
    </w:p>
    <w:p w14:paraId="64A4B071">
      <w:pPr>
        <w:pStyle w:val="24"/>
        <w:snapToGrid w:val="0"/>
        <w:spacing w:line="460" w:lineRule="exact"/>
        <w:ind w:firstLine="470" w:firstLineChars="196"/>
        <w:rPr>
          <w:rFonts w:hAnsi="宋体" w:cs="宋体"/>
          <w:color w:val="auto"/>
          <w:sz w:val="24"/>
          <w:szCs w:val="24"/>
          <w:highlight w:val="none"/>
        </w:rPr>
      </w:pPr>
      <w:r>
        <w:rPr>
          <w:rFonts w:hint="eastAsia" w:hAnsi="宋体" w:cs="宋体"/>
          <w:color w:val="auto"/>
          <w:sz w:val="24"/>
          <w:szCs w:val="24"/>
          <w:highlight w:val="none"/>
        </w:rPr>
        <w:t>5.商务要求偏离表和技术要求偏离表</w:t>
      </w:r>
    </w:p>
    <w:p w14:paraId="79D3BC2C">
      <w:pPr>
        <w:pStyle w:val="24"/>
        <w:snapToGrid w:val="0"/>
        <w:spacing w:line="460" w:lineRule="exact"/>
        <w:ind w:firstLine="470" w:firstLineChars="196"/>
        <w:rPr>
          <w:rFonts w:hAnsi="宋体" w:cs="宋体"/>
          <w:color w:val="auto"/>
          <w:sz w:val="24"/>
          <w:szCs w:val="24"/>
          <w:highlight w:val="none"/>
        </w:rPr>
      </w:pPr>
      <w:r>
        <w:rPr>
          <w:rFonts w:hint="eastAsia" w:hAnsi="宋体" w:cs="宋体"/>
          <w:color w:val="auto"/>
          <w:sz w:val="24"/>
          <w:szCs w:val="24"/>
          <w:highlight w:val="none"/>
        </w:rPr>
        <w:t>6.售后服务承诺</w:t>
      </w:r>
    </w:p>
    <w:p w14:paraId="6E8C33C8">
      <w:pPr>
        <w:pStyle w:val="24"/>
        <w:snapToGrid w:val="0"/>
        <w:spacing w:line="460" w:lineRule="exact"/>
        <w:ind w:firstLine="470" w:firstLineChars="196"/>
        <w:rPr>
          <w:rFonts w:hAnsi="宋体" w:cs="宋体"/>
          <w:color w:val="auto"/>
          <w:sz w:val="24"/>
          <w:szCs w:val="24"/>
          <w:highlight w:val="none"/>
        </w:rPr>
      </w:pPr>
      <w:r>
        <w:rPr>
          <w:rFonts w:hint="eastAsia" w:hAnsi="宋体" w:cs="宋体"/>
          <w:color w:val="auto"/>
          <w:sz w:val="24"/>
          <w:szCs w:val="24"/>
          <w:highlight w:val="none"/>
        </w:rPr>
        <w:t>7.其他合同文件</w:t>
      </w:r>
    </w:p>
    <w:p w14:paraId="0AD98653">
      <w:pPr>
        <w:pStyle w:val="24"/>
        <w:snapToGrid w:val="0"/>
        <w:spacing w:line="460" w:lineRule="exact"/>
        <w:ind w:firstLine="470" w:firstLineChars="196"/>
        <w:rPr>
          <w:rFonts w:hAnsi="宋体" w:cs="宋体"/>
          <w:color w:val="auto"/>
          <w:sz w:val="24"/>
          <w:szCs w:val="24"/>
          <w:highlight w:val="none"/>
        </w:rPr>
      </w:pPr>
      <w:r>
        <w:rPr>
          <w:rFonts w:hint="eastAsia" w:hAnsi="宋体" w:cs="宋体"/>
          <w:color w:val="auto"/>
          <w:sz w:val="24"/>
          <w:szCs w:val="24"/>
          <w:highlight w:val="none"/>
        </w:rPr>
        <w:t>上述合同文件互相补充和解释。如果合同文件之间存在矛盾或者不一致之处，以上述文件 的排列顺序在先者为准。</w:t>
      </w:r>
    </w:p>
    <w:p w14:paraId="5371DAED">
      <w:pPr>
        <w:snapToGrid w:val="0"/>
        <w:spacing w:line="460" w:lineRule="exact"/>
        <w:ind w:firstLine="482" w:firstLineChars="200"/>
        <w:rPr>
          <w:rFonts w:ascii="宋体" w:hAnsi="宋体" w:cs="宋体"/>
          <w:color w:val="auto"/>
          <w:sz w:val="24"/>
          <w:highlight w:val="none"/>
        </w:rPr>
      </w:pPr>
      <w:r>
        <w:rPr>
          <w:rFonts w:hint="eastAsia" w:ascii="宋体" w:hAnsi="宋体" w:cs="宋体"/>
          <w:b/>
          <w:color w:val="auto"/>
          <w:sz w:val="24"/>
          <w:highlight w:val="none"/>
        </w:rPr>
        <w:t>第十七条　</w:t>
      </w:r>
      <w:r>
        <w:rPr>
          <w:rFonts w:hint="eastAsia" w:ascii="宋体" w:hAnsi="宋体" w:cs="宋体"/>
          <w:color w:val="auto"/>
          <w:sz w:val="24"/>
          <w:highlight w:val="none"/>
        </w:rPr>
        <w:t>本合同一式柒份，具有同等法律效力，甲方伍份，乙方壹份，采购代理机构壹份。本合同自甲乙双方签字盖章后生效。</w:t>
      </w:r>
    </w:p>
    <w:p w14:paraId="323A6BFC">
      <w:pPr>
        <w:pStyle w:val="56"/>
        <w:rPr>
          <w:color w:val="auto"/>
          <w:highlight w:val="none"/>
        </w:rPr>
      </w:pPr>
    </w:p>
    <w:p w14:paraId="6FC58D1B">
      <w:pPr>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以下无正文。</w:t>
      </w:r>
    </w:p>
    <w:p w14:paraId="52A8B6AD">
      <w:pPr>
        <w:snapToGrid w:val="0"/>
        <w:spacing w:line="460" w:lineRule="exact"/>
        <w:rPr>
          <w:rFonts w:ascii="宋体" w:hAnsi="宋体" w:cs="宋体"/>
          <w:color w:val="auto"/>
          <w:sz w:val="24"/>
          <w:highlight w:val="none"/>
        </w:rPr>
      </w:pPr>
    </w:p>
    <w:tbl>
      <w:tblPr>
        <w:tblStyle w:val="47"/>
        <w:tblW w:w="8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9"/>
        <w:gridCol w:w="4360"/>
      </w:tblGrid>
      <w:tr w14:paraId="3401B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71" w:hRule="atLeast"/>
          <w:jc w:val="center"/>
        </w:trPr>
        <w:tc>
          <w:tcPr>
            <w:tcW w:w="4359" w:type="dxa"/>
            <w:vAlign w:val="center"/>
          </w:tcPr>
          <w:p w14:paraId="7F41EDD8">
            <w:pPr>
              <w:snapToGrid w:val="0"/>
              <w:spacing w:line="460" w:lineRule="exact"/>
              <w:rPr>
                <w:rFonts w:ascii="宋体" w:hAnsi="宋体" w:cs="宋体"/>
                <w:color w:val="auto"/>
                <w:sz w:val="24"/>
                <w:highlight w:val="none"/>
              </w:rPr>
            </w:pPr>
            <w:r>
              <w:rPr>
                <w:rFonts w:hint="eastAsia" w:ascii="宋体" w:hAnsi="宋体" w:cs="宋体"/>
                <w:color w:val="auto"/>
                <w:sz w:val="24"/>
                <w:highlight w:val="none"/>
              </w:rPr>
              <w:t xml:space="preserve">甲方（章）           </w:t>
            </w:r>
          </w:p>
          <w:p w14:paraId="11756762">
            <w:pPr>
              <w:snapToGrid w:val="0"/>
              <w:spacing w:line="460" w:lineRule="exact"/>
              <w:jc w:val="center"/>
              <w:rPr>
                <w:rFonts w:ascii="宋体" w:hAnsi="宋体" w:cs="宋体"/>
                <w:color w:val="auto"/>
                <w:sz w:val="24"/>
                <w:highlight w:val="none"/>
              </w:rPr>
            </w:pPr>
            <w:r>
              <w:rPr>
                <w:rFonts w:hint="eastAsia" w:ascii="宋体" w:hAnsi="宋体" w:cs="宋体"/>
                <w:color w:val="auto"/>
                <w:sz w:val="24"/>
                <w:highlight w:val="none"/>
              </w:rPr>
              <w:t>广西福利彩票发行中心</w:t>
            </w:r>
          </w:p>
          <w:p w14:paraId="0E7DEC50">
            <w:pPr>
              <w:snapToGrid w:val="0"/>
              <w:spacing w:line="460" w:lineRule="exact"/>
              <w:ind w:firstLine="1080" w:firstLineChars="450"/>
              <w:jc w:val="right"/>
              <w:rPr>
                <w:rFonts w:ascii="宋体" w:hAnsi="宋体" w:cs="宋体"/>
                <w:color w:val="auto"/>
                <w:sz w:val="24"/>
                <w:highlight w:val="none"/>
              </w:rPr>
            </w:pPr>
            <w:r>
              <w:rPr>
                <w:rFonts w:hint="eastAsia" w:ascii="宋体" w:hAnsi="宋体" w:cs="宋体"/>
                <w:color w:val="auto"/>
                <w:sz w:val="24"/>
                <w:highlight w:val="none"/>
              </w:rPr>
              <w:t>年   月   日</w:t>
            </w:r>
          </w:p>
        </w:tc>
        <w:tc>
          <w:tcPr>
            <w:tcW w:w="4360" w:type="dxa"/>
            <w:vAlign w:val="center"/>
          </w:tcPr>
          <w:p w14:paraId="3466BC6C">
            <w:pPr>
              <w:snapToGrid w:val="0"/>
              <w:spacing w:line="460" w:lineRule="exact"/>
              <w:rPr>
                <w:rFonts w:ascii="宋体" w:hAnsi="宋体" w:cs="宋体"/>
                <w:color w:val="auto"/>
                <w:sz w:val="24"/>
                <w:highlight w:val="none"/>
              </w:rPr>
            </w:pPr>
            <w:r>
              <w:rPr>
                <w:rFonts w:hint="eastAsia" w:ascii="宋体" w:hAnsi="宋体" w:cs="宋体"/>
                <w:color w:val="auto"/>
                <w:sz w:val="24"/>
                <w:highlight w:val="none"/>
              </w:rPr>
              <w:t xml:space="preserve">乙方（章）              </w:t>
            </w:r>
          </w:p>
          <w:p w14:paraId="56E3EEFA">
            <w:pPr>
              <w:snapToGrid w:val="0"/>
              <w:spacing w:line="460" w:lineRule="exact"/>
              <w:jc w:val="right"/>
              <w:rPr>
                <w:rFonts w:ascii="宋体" w:hAnsi="宋体" w:cs="宋体"/>
                <w:color w:val="auto"/>
                <w:sz w:val="24"/>
                <w:highlight w:val="none"/>
              </w:rPr>
            </w:pPr>
            <w:r>
              <w:rPr>
                <w:rFonts w:hint="eastAsia" w:ascii="宋体" w:hAnsi="宋体" w:cs="宋体"/>
                <w:color w:val="auto"/>
                <w:sz w:val="24"/>
                <w:highlight w:val="none"/>
              </w:rPr>
              <w:t xml:space="preserve">  年   月   日</w:t>
            </w:r>
          </w:p>
        </w:tc>
      </w:tr>
      <w:tr w14:paraId="4A997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5" w:hRule="atLeast"/>
          <w:jc w:val="center"/>
        </w:trPr>
        <w:tc>
          <w:tcPr>
            <w:tcW w:w="4359" w:type="dxa"/>
            <w:vAlign w:val="center"/>
          </w:tcPr>
          <w:p w14:paraId="29ED74C8">
            <w:pPr>
              <w:snapToGrid w:val="0"/>
              <w:spacing w:line="460" w:lineRule="exact"/>
              <w:rPr>
                <w:rFonts w:ascii="宋体" w:hAnsi="宋体" w:cs="宋体"/>
                <w:color w:val="auto"/>
                <w:sz w:val="24"/>
                <w:highlight w:val="none"/>
              </w:rPr>
            </w:pPr>
            <w:r>
              <w:rPr>
                <w:rFonts w:hint="eastAsia" w:ascii="宋体" w:hAnsi="宋体" w:cs="宋体"/>
                <w:color w:val="auto"/>
                <w:sz w:val="24"/>
                <w:highlight w:val="none"/>
              </w:rPr>
              <w:t>单位地址：广西壮族自治区南宁市青秀区葛村路23号</w:t>
            </w:r>
          </w:p>
        </w:tc>
        <w:tc>
          <w:tcPr>
            <w:tcW w:w="4360" w:type="dxa"/>
            <w:vAlign w:val="center"/>
          </w:tcPr>
          <w:p w14:paraId="0F0F2A9D">
            <w:pPr>
              <w:pStyle w:val="41"/>
              <w:spacing w:beforeAutospacing="0" w:afterAutospacing="0" w:line="460" w:lineRule="exact"/>
              <w:rPr>
                <w:rFonts w:cs="宋体"/>
                <w:color w:val="auto"/>
                <w:highlight w:val="none"/>
              </w:rPr>
            </w:pPr>
            <w:r>
              <w:rPr>
                <w:rFonts w:hint="eastAsia" w:cs="宋体"/>
                <w:color w:val="auto"/>
                <w:highlight w:val="none"/>
              </w:rPr>
              <w:t>单位地址：</w:t>
            </w:r>
            <w:r>
              <w:rPr>
                <w:rFonts w:hint="eastAsia"/>
                <w:color w:val="auto"/>
                <w:highlight w:val="none"/>
              </w:rPr>
              <w:t xml:space="preserve"> </w:t>
            </w:r>
          </w:p>
        </w:tc>
      </w:tr>
      <w:tr w14:paraId="33AD9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6" w:hRule="atLeast"/>
          <w:jc w:val="center"/>
        </w:trPr>
        <w:tc>
          <w:tcPr>
            <w:tcW w:w="4359" w:type="dxa"/>
            <w:vAlign w:val="center"/>
          </w:tcPr>
          <w:p w14:paraId="039B4530">
            <w:pPr>
              <w:snapToGrid w:val="0"/>
              <w:spacing w:line="460" w:lineRule="exact"/>
              <w:rPr>
                <w:rFonts w:ascii="宋体" w:hAnsi="宋体" w:cs="宋体"/>
                <w:color w:val="auto"/>
                <w:sz w:val="24"/>
                <w:highlight w:val="none"/>
              </w:rPr>
            </w:pPr>
            <w:r>
              <w:rPr>
                <w:rFonts w:hint="eastAsia" w:ascii="宋体" w:hAnsi="宋体" w:cs="宋体"/>
                <w:color w:val="auto"/>
                <w:sz w:val="24"/>
                <w:highlight w:val="none"/>
              </w:rPr>
              <w:t>法定代表人（签字）：</w:t>
            </w:r>
          </w:p>
        </w:tc>
        <w:tc>
          <w:tcPr>
            <w:tcW w:w="4360" w:type="dxa"/>
            <w:vAlign w:val="center"/>
          </w:tcPr>
          <w:p w14:paraId="2236801C">
            <w:pPr>
              <w:snapToGrid w:val="0"/>
              <w:spacing w:line="460" w:lineRule="exact"/>
              <w:rPr>
                <w:rFonts w:ascii="宋体" w:hAnsi="宋体" w:cs="宋体"/>
                <w:color w:val="auto"/>
                <w:sz w:val="24"/>
                <w:highlight w:val="none"/>
              </w:rPr>
            </w:pPr>
            <w:r>
              <w:rPr>
                <w:rFonts w:hint="eastAsia" w:ascii="宋体" w:hAnsi="宋体" w:cs="宋体"/>
                <w:color w:val="auto"/>
                <w:sz w:val="24"/>
                <w:highlight w:val="none"/>
              </w:rPr>
              <w:t>法定代表人（签字）：</w:t>
            </w:r>
          </w:p>
        </w:tc>
      </w:tr>
      <w:tr w14:paraId="6C010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6" w:hRule="atLeast"/>
          <w:jc w:val="center"/>
        </w:trPr>
        <w:tc>
          <w:tcPr>
            <w:tcW w:w="4359" w:type="dxa"/>
            <w:vAlign w:val="center"/>
          </w:tcPr>
          <w:p w14:paraId="0A82878B">
            <w:pPr>
              <w:snapToGrid w:val="0"/>
              <w:spacing w:line="460" w:lineRule="exact"/>
              <w:rPr>
                <w:rFonts w:ascii="宋体" w:hAnsi="宋体" w:cs="宋体"/>
                <w:color w:val="auto"/>
                <w:sz w:val="24"/>
                <w:highlight w:val="none"/>
              </w:rPr>
            </w:pPr>
            <w:r>
              <w:rPr>
                <w:rFonts w:hint="eastAsia" w:ascii="宋体" w:hAnsi="宋体" w:cs="宋体"/>
                <w:color w:val="auto"/>
                <w:sz w:val="24"/>
                <w:highlight w:val="none"/>
              </w:rPr>
              <w:t>委托代理人（签字）：</w:t>
            </w:r>
          </w:p>
        </w:tc>
        <w:tc>
          <w:tcPr>
            <w:tcW w:w="4360" w:type="dxa"/>
            <w:vAlign w:val="center"/>
          </w:tcPr>
          <w:p w14:paraId="240A3D27">
            <w:pPr>
              <w:snapToGrid w:val="0"/>
              <w:spacing w:line="460" w:lineRule="exact"/>
              <w:rPr>
                <w:rFonts w:ascii="宋体" w:hAnsi="宋体" w:cs="宋体"/>
                <w:color w:val="auto"/>
                <w:sz w:val="24"/>
                <w:highlight w:val="none"/>
              </w:rPr>
            </w:pPr>
            <w:r>
              <w:rPr>
                <w:rFonts w:hint="eastAsia" w:ascii="宋体" w:hAnsi="宋体" w:cs="宋体"/>
                <w:color w:val="auto"/>
                <w:sz w:val="24"/>
                <w:highlight w:val="none"/>
              </w:rPr>
              <w:t>委托代理人（签字）：</w:t>
            </w:r>
          </w:p>
        </w:tc>
      </w:tr>
      <w:tr w14:paraId="457B6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4359" w:type="dxa"/>
            <w:vAlign w:val="center"/>
          </w:tcPr>
          <w:p w14:paraId="23242E1A">
            <w:pPr>
              <w:snapToGrid w:val="0"/>
              <w:spacing w:line="460" w:lineRule="exact"/>
              <w:rPr>
                <w:rFonts w:ascii="宋体" w:hAnsi="宋体" w:cs="宋体"/>
                <w:color w:val="auto"/>
                <w:sz w:val="24"/>
                <w:highlight w:val="none"/>
              </w:rPr>
            </w:pPr>
            <w:r>
              <w:rPr>
                <w:rFonts w:hint="eastAsia" w:ascii="宋体" w:hAnsi="宋体" w:cs="宋体"/>
                <w:color w:val="auto"/>
                <w:sz w:val="24"/>
                <w:highlight w:val="none"/>
              </w:rPr>
              <w:t xml:space="preserve">电话： </w:t>
            </w:r>
          </w:p>
        </w:tc>
        <w:tc>
          <w:tcPr>
            <w:tcW w:w="4360" w:type="dxa"/>
            <w:vAlign w:val="center"/>
          </w:tcPr>
          <w:p w14:paraId="431884E8">
            <w:pPr>
              <w:widowControl/>
              <w:spacing w:line="460" w:lineRule="exact"/>
              <w:jc w:val="left"/>
              <w:rPr>
                <w:rFonts w:ascii="宋体" w:hAnsi="宋体" w:cs="宋体"/>
                <w:color w:val="auto"/>
                <w:kern w:val="0"/>
                <w:sz w:val="24"/>
                <w:highlight w:val="none"/>
              </w:rPr>
            </w:pPr>
            <w:r>
              <w:rPr>
                <w:rFonts w:hint="eastAsia" w:ascii="宋体" w:hAnsi="宋体" w:cs="宋体"/>
                <w:color w:val="auto"/>
                <w:kern w:val="0"/>
                <w:sz w:val="24"/>
                <w:highlight w:val="none"/>
              </w:rPr>
              <w:t>电话：</w:t>
            </w:r>
            <w:r>
              <w:rPr>
                <w:rFonts w:hint="eastAsia" w:ascii="宋体" w:hAnsi="宋体" w:cs="宋体"/>
                <w:color w:val="auto"/>
                <w:kern w:val="0"/>
                <w:sz w:val="24"/>
                <w:highlight w:val="none"/>
                <w:lang w:bidi="ar"/>
              </w:rPr>
              <w:t xml:space="preserve"> </w:t>
            </w:r>
          </w:p>
        </w:tc>
      </w:tr>
      <w:tr w14:paraId="00C54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4359" w:type="dxa"/>
            <w:vAlign w:val="center"/>
          </w:tcPr>
          <w:p w14:paraId="478AEB9D">
            <w:pPr>
              <w:snapToGrid w:val="0"/>
              <w:spacing w:line="460" w:lineRule="exact"/>
              <w:rPr>
                <w:rFonts w:ascii="宋体" w:hAnsi="宋体" w:cs="宋体"/>
                <w:color w:val="auto"/>
                <w:kern w:val="0"/>
                <w:sz w:val="24"/>
                <w:highlight w:val="none"/>
              </w:rPr>
            </w:pPr>
            <w:r>
              <w:rPr>
                <w:rFonts w:hint="eastAsia" w:ascii="宋体" w:hAnsi="宋体" w:cs="宋体"/>
                <w:color w:val="auto"/>
                <w:kern w:val="0"/>
                <w:sz w:val="24"/>
                <w:highlight w:val="none"/>
              </w:rPr>
              <w:t xml:space="preserve">电子邮箱： </w:t>
            </w:r>
          </w:p>
        </w:tc>
        <w:tc>
          <w:tcPr>
            <w:tcW w:w="4360" w:type="dxa"/>
            <w:vAlign w:val="center"/>
          </w:tcPr>
          <w:p w14:paraId="250AAEFE">
            <w:pPr>
              <w:snapToGrid w:val="0"/>
              <w:spacing w:line="460" w:lineRule="exact"/>
              <w:rPr>
                <w:rFonts w:ascii="宋体" w:hAnsi="宋体" w:cs="宋体"/>
                <w:color w:val="auto"/>
                <w:kern w:val="0"/>
                <w:sz w:val="24"/>
                <w:highlight w:val="none"/>
              </w:rPr>
            </w:pPr>
            <w:r>
              <w:rPr>
                <w:rFonts w:hint="eastAsia" w:ascii="宋体" w:hAnsi="宋体" w:cs="宋体"/>
                <w:color w:val="auto"/>
                <w:kern w:val="0"/>
                <w:sz w:val="24"/>
                <w:highlight w:val="none"/>
              </w:rPr>
              <w:t xml:space="preserve">电子邮箱： </w:t>
            </w:r>
          </w:p>
        </w:tc>
      </w:tr>
      <w:tr w14:paraId="0F5CB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5" w:hRule="atLeast"/>
          <w:jc w:val="center"/>
        </w:trPr>
        <w:tc>
          <w:tcPr>
            <w:tcW w:w="4359" w:type="dxa"/>
            <w:vAlign w:val="center"/>
          </w:tcPr>
          <w:p w14:paraId="47C2BDB0">
            <w:pPr>
              <w:snapToGrid w:val="0"/>
              <w:spacing w:line="460" w:lineRule="exact"/>
              <w:rPr>
                <w:rFonts w:ascii="宋体" w:hAnsi="宋体" w:cs="宋体"/>
                <w:color w:val="auto"/>
                <w:kern w:val="0"/>
                <w:sz w:val="24"/>
                <w:highlight w:val="none"/>
              </w:rPr>
            </w:pPr>
            <w:r>
              <w:rPr>
                <w:rFonts w:hint="eastAsia" w:ascii="宋体" w:hAnsi="宋体" w:cs="宋体"/>
                <w:color w:val="auto"/>
                <w:kern w:val="0"/>
                <w:sz w:val="24"/>
                <w:highlight w:val="none"/>
              </w:rPr>
              <w:t xml:space="preserve">开户银行： </w:t>
            </w:r>
          </w:p>
        </w:tc>
        <w:tc>
          <w:tcPr>
            <w:tcW w:w="4360" w:type="dxa"/>
            <w:vAlign w:val="center"/>
          </w:tcPr>
          <w:p w14:paraId="17097A6F">
            <w:pPr>
              <w:widowControl/>
              <w:spacing w:line="460" w:lineRule="exact"/>
              <w:jc w:val="left"/>
              <w:rPr>
                <w:rFonts w:ascii="宋体" w:hAnsi="宋体" w:cs="宋体"/>
                <w:color w:val="auto"/>
                <w:kern w:val="0"/>
                <w:sz w:val="24"/>
                <w:highlight w:val="none"/>
              </w:rPr>
            </w:pPr>
            <w:r>
              <w:rPr>
                <w:rFonts w:hint="eastAsia" w:ascii="宋体" w:hAnsi="宋体" w:cs="宋体"/>
                <w:color w:val="auto"/>
                <w:kern w:val="0"/>
                <w:sz w:val="24"/>
                <w:highlight w:val="none"/>
              </w:rPr>
              <w:t>开户银行：</w:t>
            </w:r>
            <w:r>
              <w:rPr>
                <w:rFonts w:hint="eastAsia" w:ascii="宋体" w:hAnsi="宋体" w:cs="宋体"/>
                <w:color w:val="auto"/>
                <w:kern w:val="0"/>
                <w:sz w:val="24"/>
                <w:highlight w:val="none"/>
                <w:lang w:bidi="ar"/>
              </w:rPr>
              <w:t xml:space="preserve"> </w:t>
            </w:r>
          </w:p>
        </w:tc>
      </w:tr>
      <w:tr w14:paraId="642C7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4359" w:type="dxa"/>
            <w:vAlign w:val="center"/>
          </w:tcPr>
          <w:p w14:paraId="5BAD12DF">
            <w:pPr>
              <w:pStyle w:val="41"/>
              <w:spacing w:beforeAutospacing="0" w:afterAutospacing="0"/>
              <w:rPr>
                <w:rFonts w:cs="宋体"/>
                <w:color w:val="auto"/>
                <w:highlight w:val="none"/>
              </w:rPr>
            </w:pPr>
            <w:r>
              <w:rPr>
                <w:rFonts w:hint="eastAsia" w:cs="宋体"/>
                <w:color w:val="auto"/>
                <w:highlight w:val="none"/>
              </w:rPr>
              <w:t xml:space="preserve">账号： </w:t>
            </w:r>
          </w:p>
        </w:tc>
        <w:tc>
          <w:tcPr>
            <w:tcW w:w="4360" w:type="dxa"/>
            <w:vAlign w:val="center"/>
          </w:tcPr>
          <w:p w14:paraId="4907E796">
            <w:pPr>
              <w:widowControl/>
              <w:spacing w:line="460" w:lineRule="exact"/>
              <w:jc w:val="left"/>
              <w:rPr>
                <w:rFonts w:ascii="宋体" w:hAnsi="宋体" w:cs="宋体"/>
                <w:color w:val="auto"/>
                <w:highlight w:val="none"/>
              </w:rPr>
            </w:pPr>
            <w:r>
              <w:rPr>
                <w:rFonts w:hint="eastAsia" w:ascii="宋体" w:hAnsi="宋体" w:cs="宋体"/>
                <w:color w:val="auto"/>
                <w:highlight w:val="none"/>
              </w:rPr>
              <w:t>账号：</w:t>
            </w:r>
            <w:r>
              <w:rPr>
                <w:rFonts w:hint="eastAsia" w:ascii="宋体" w:hAnsi="宋体" w:cs="宋体"/>
                <w:color w:val="auto"/>
                <w:kern w:val="0"/>
                <w:sz w:val="24"/>
                <w:highlight w:val="none"/>
                <w:lang w:bidi="ar"/>
              </w:rPr>
              <w:t xml:space="preserve"> </w:t>
            </w:r>
          </w:p>
        </w:tc>
      </w:tr>
      <w:tr w14:paraId="5AE69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jc w:val="center"/>
        </w:trPr>
        <w:tc>
          <w:tcPr>
            <w:tcW w:w="4359" w:type="dxa"/>
            <w:vAlign w:val="center"/>
          </w:tcPr>
          <w:p w14:paraId="76F5F75C">
            <w:pPr>
              <w:pStyle w:val="41"/>
              <w:spacing w:beforeAutospacing="0" w:afterAutospacing="0"/>
              <w:rPr>
                <w:rFonts w:cs="宋体"/>
                <w:color w:val="auto"/>
                <w:highlight w:val="none"/>
              </w:rPr>
            </w:pPr>
            <w:r>
              <w:rPr>
                <w:rFonts w:hint="eastAsia" w:cs="宋体"/>
                <w:color w:val="auto"/>
                <w:highlight w:val="none"/>
              </w:rPr>
              <w:t xml:space="preserve">邮政编码： </w:t>
            </w:r>
          </w:p>
        </w:tc>
        <w:tc>
          <w:tcPr>
            <w:tcW w:w="4360" w:type="dxa"/>
            <w:vAlign w:val="center"/>
          </w:tcPr>
          <w:p w14:paraId="380E1B53">
            <w:pPr>
              <w:widowControl/>
              <w:spacing w:line="460" w:lineRule="exact"/>
              <w:jc w:val="left"/>
              <w:rPr>
                <w:rFonts w:ascii="宋体" w:hAnsi="宋体" w:cs="宋体"/>
                <w:color w:val="auto"/>
                <w:kern w:val="0"/>
                <w:sz w:val="24"/>
                <w:highlight w:val="none"/>
              </w:rPr>
            </w:pPr>
            <w:r>
              <w:rPr>
                <w:rFonts w:hint="eastAsia" w:ascii="宋体" w:hAnsi="宋体" w:cs="宋体"/>
                <w:color w:val="auto"/>
                <w:kern w:val="0"/>
                <w:sz w:val="24"/>
                <w:highlight w:val="none"/>
              </w:rPr>
              <w:t>邮政编码：</w:t>
            </w:r>
            <w:r>
              <w:rPr>
                <w:rFonts w:hint="eastAsia" w:ascii="宋体" w:hAnsi="宋体" w:cs="宋体"/>
                <w:color w:val="auto"/>
                <w:kern w:val="0"/>
                <w:sz w:val="24"/>
                <w:highlight w:val="none"/>
                <w:lang w:bidi="ar"/>
              </w:rPr>
              <w:t xml:space="preserve"> </w:t>
            </w:r>
          </w:p>
        </w:tc>
      </w:tr>
    </w:tbl>
    <w:p w14:paraId="60A44EAF">
      <w:pPr>
        <w:rPr>
          <w:rFonts w:ascii="宋体" w:hAnsi="宋体" w:cs="宋体"/>
          <w:b/>
          <w:bCs/>
          <w:color w:val="auto"/>
          <w:kern w:val="0"/>
          <w:sz w:val="24"/>
          <w:highlight w:val="none"/>
        </w:rPr>
      </w:pPr>
      <w:r>
        <w:rPr>
          <w:rFonts w:hint="eastAsia" w:ascii="宋体" w:hAnsi="宋体" w:cs="宋体"/>
          <w:b/>
          <w:bCs/>
          <w:color w:val="auto"/>
          <w:kern w:val="0"/>
          <w:sz w:val="24"/>
          <w:highlight w:val="none"/>
        </w:rPr>
        <w:br w:type="page"/>
      </w:r>
    </w:p>
    <w:p w14:paraId="6EB7AED4">
      <w:pPr>
        <w:snapToGrid w:val="0"/>
        <w:spacing w:line="360" w:lineRule="auto"/>
        <w:rPr>
          <w:rFonts w:ascii="宋体" w:hAnsi="宋体" w:cs="宋体"/>
          <w:color w:val="auto"/>
          <w:sz w:val="24"/>
          <w:highlight w:val="none"/>
        </w:rPr>
      </w:pPr>
      <w:r>
        <w:rPr>
          <w:rFonts w:hint="eastAsia" w:ascii="宋体" w:hAnsi="宋体" w:cs="宋体"/>
          <w:b/>
          <w:color w:val="auto"/>
          <w:sz w:val="24"/>
          <w:highlight w:val="none"/>
        </w:rPr>
        <w:t xml:space="preserve">服务类： </w:t>
      </w:r>
    </w:p>
    <w:p w14:paraId="128BE7F9">
      <w:pPr>
        <w:snapToGrid w:val="0"/>
        <w:spacing w:line="360" w:lineRule="auto"/>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2分标</w:t>
      </w:r>
    </w:p>
    <w:p w14:paraId="34971120">
      <w:pPr>
        <w:snapToGrid w:val="0"/>
        <w:spacing w:line="360" w:lineRule="auto"/>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《广西壮族自治区政府采购合同》</w:t>
      </w:r>
    </w:p>
    <w:p w14:paraId="3F2A9156">
      <w:pPr>
        <w:spacing w:line="360" w:lineRule="auto"/>
        <w:rPr>
          <w:rFonts w:hint="eastAsia" w:ascii="宋体" w:hAnsi="宋体" w:eastAsia="宋体"/>
          <w:color w:val="auto"/>
          <w:sz w:val="24"/>
          <w:szCs w:val="32"/>
          <w:highlight w:val="none"/>
          <w:lang w:eastAsia="zh-CN"/>
        </w:rPr>
      </w:pPr>
      <w:r>
        <w:rPr>
          <w:rFonts w:hint="eastAsia" w:ascii="宋体" w:hAnsi="宋体"/>
          <w:color w:val="auto"/>
          <w:sz w:val="24"/>
          <w:szCs w:val="32"/>
          <w:highlight w:val="none"/>
        </w:rPr>
        <w:t>合同编号：</w:t>
      </w:r>
      <w:r>
        <w:rPr>
          <w:rFonts w:hint="eastAsia" w:ascii="宋体" w:hAnsi="宋体"/>
          <w:color w:val="auto"/>
          <w:sz w:val="24"/>
          <w:szCs w:val="32"/>
          <w:highlight w:val="none"/>
          <w:u w:val="single"/>
          <w:lang w:eastAsia="zh-CN"/>
        </w:rPr>
        <w:t>GXZC2024-G1-005575-KWZB</w:t>
      </w:r>
    </w:p>
    <w:p w14:paraId="15272C6E">
      <w:pPr>
        <w:spacing w:line="360" w:lineRule="auto"/>
        <w:rPr>
          <w:rFonts w:ascii="宋体" w:hAnsi="宋体"/>
          <w:color w:val="auto"/>
          <w:sz w:val="24"/>
          <w:szCs w:val="32"/>
          <w:highlight w:val="none"/>
        </w:rPr>
      </w:pPr>
      <w:r>
        <w:rPr>
          <w:rFonts w:hint="eastAsia" w:ascii="宋体" w:hAnsi="宋体"/>
          <w:color w:val="auto"/>
          <w:sz w:val="24"/>
          <w:szCs w:val="32"/>
          <w:highlight w:val="none"/>
        </w:rPr>
        <w:t>采购人（甲方）：</w:t>
      </w:r>
      <w:r>
        <w:rPr>
          <w:rFonts w:hint="eastAsia" w:ascii="宋体" w:hAnsi="宋体"/>
          <w:color w:val="auto"/>
          <w:sz w:val="24"/>
          <w:szCs w:val="32"/>
          <w:highlight w:val="none"/>
          <w:u w:val="single"/>
        </w:rPr>
        <w:t>广西福利彩票发行中心</w:t>
      </w:r>
      <w:r>
        <w:rPr>
          <w:rFonts w:hint="eastAsia" w:ascii="宋体" w:hAnsi="宋体"/>
          <w:color w:val="auto"/>
          <w:sz w:val="24"/>
          <w:szCs w:val="32"/>
          <w:highlight w:val="none"/>
        </w:rPr>
        <w:t xml:space="preserve">  </w:t>
      </w:r>
    </w:p>
    <w:p w14:paraId="394CEABA">
      <w:pPr>
        <w:spacing w:line="360" w:lineRule="auto"/>
        <w:rPr>
          <w:rFonts w:ascii="宋体" w:hAnsi="宋体"/>
          <w:color w:val="auto"/>
          <w:sz w:val="24"/>
          <w:szCs w:val="32"/>
          <w:highlight w:val="none"/>
          <w:u w:val="single"/>
        </w:rPr>
      </w:pPr>
      <w:r>
        <w:rPr>
          <w:rFonts w:hint="eastAsia" w:ascii="宋体" w:hAnsi="宋体"/>
          <w:color w:val="auto"/>
          <w:sz w:val="24"/>
          <w:szCs w:val="32"/>
          <w:highlight w:val="none"/>
        </w:rPr>
        <w:t>供应商（乙方）：</w:t>
      </w:r>
      <w:r>
        <w:rPr>
          <w:rFonts w:hint="eastAsia" w:ascii="宋体" w:hAnsi="宋体"/>
          <w:color w:val="auto"/>
          <w:sz w:val="24"/>
          <w:szCs w:val="32"/>
          <w:highlight w:val="none"/>
          <w:u w:val="single"/>
        </w:rPr>
        <w:t xml:space="preserve">   </w:t>
      </w:r>
      <w:r>
        <w:rPr>
          <w:rFonts w:hint="eastAsia" w:ascii="宋体" w:hAnsi="宋体"/>
          <w:color w:val="auto"/>
          <w:sz w:val="24"/>
          <w:szCs w:val="32"/>
          <w:highlight w:val="none"/>
        </w:rPr>
        <w:t xml:space="preserve">    </w:t>
      </w:r>
    </w:p>
    <w:p w14:paraId="677CD1C1">
      <w:pPr>
        <w:spacing w:line="360" w:lineRule="auto"/>
        <w:rPr>
          <w:rFonts w:ascii="宋体" w:hAnsi="宋体"/>
          <w:color w:val="auto"/>
          <w:sz w:val="24"/>
          <w:szCs w:val="32"/>
          <w:highlight w:val="none"/>
        </w:rPr>
      </w:pPr>
      <w:r>
        <w:rPr>
          <w:rFonts w:hint="eastAsia" w:ascii="宋体" w:hAnsi="宋体"/>
          <w:color w:val="auto"/>
          <w:sz w:val="24"/>
          <w:szCs w:val="32"/>
          <w:highlight w:val="none"/>
        </w:rPr>
        <w:t>采购计划号：</w:t>
      </w:r>
      <w:r>
        <w:rPr>
          <w:rFonts w:hint="eastAsia" w:ascii="宋体" w:hAnsi="宋体"/>
          <w:color w:val="auto"/>
          <w:sz w:val="24"/>
          <w:szCs w:val="32"/>
          <w:highlight w:val="none"/>
          <w:u w:val="single"/>
        </w:rPr>
        <w:t xml:space="preserve">      </w:t>
      </w:r>
    </w:p>
    <w:p w14:paraId="1EAC596B">
      <w:pPr>
        <w:spacing w:line="360" w:lineRule="auto"/>
        <w:rPr>
          <w:rFonts w:ascii="宋体" w:hAnsi="宋体"/>
          <w:color w:val="auto"/>
          <w:sz w:val="24"/>
          <w:szCs w:val="32"/>
          <w:highlight w:val="none"/>
        </w:rPr>
      </w:pPr>
      <w:r>
        <w:rPr>
          <w:rFonts w:hint="eastAsia" w:ascii="宋体" w:hAnsi="宋体"/>
          <w:color w:val="auto"/>
          <w:sz w:val="24"/>
          <w:szCs w:val="32"/>
          <w:highlight w:val="none"/>
        </w:rPr>
        <w:t>项目名称：</w:t>
      </w:r>
      <w:r>
        <w:rPr>
          <w:rFonts w:hint="eastAsia" w:ascii="宋体" w:hAnsi="宋体"/>
          <w:color w:val="auto"/>
          <w:sz w:val="24"/>
          <w:szCs w:val="32"/>
          <w:highlight w:val="none"/>
          <w:u w:val="single"/>
        </w:rPr>
        <w:t xml:space="preserve"> 综合业务安全接入系统升级及维保服务项目</w:t>
      </w:r>
    </w:p>
    <w:p w14:paraId="125576CD">
      <w:pPr>
        <w:spacing w:line="360" w:lineRule="auto"/>
        <w:rPr>
          <w:rFonts w:hint="eastAsia" w:ascii="宋体" w:hAnsi="宋体" w:eastAsia="宋体"/>
          <w:color w:val="auto"/>
          <w:sz w:val="24"/>
          <w:szCs w:val="32"/>
          <w:highlight w:val="none"/>
          <w:u w:val="single"/>
          <w:lang w:eastAsia="zh-CN"/>
        </w:rPr>
      </w:pPr>
      <w:r>
        <w:rPr>
          <w:rFonts w:hint="eastAsia" w:ascii="宋体" w:hAnsi="宋体"/>
          <w:color w:val="auto"/>
          <w:sz w:val="24"/>
          <w:szCs w:val="32"/>
          <w:highlight w:val="none"/>
        </w:rPr>
        <w:t>项目编号：</w:t>
      </w:r>
      <w:r>
        <w:rPr>
          <w:rFonts w:hint="eastAsia" w:ascii="宋体" w:hAnsi="宋体"/>
          <w:color w:val="auto"/>
          <w:sz w:val="24"/>
          <w:szCs w:val="32"/>
          <w:highlight w:val="none"/>
          <w:u w:val="single"/>
        </w:rPr>
        <w:t xml:space="preserve"> </w:t>
      </w:r>
      <w:r>
        <w:rPr>
          <w:rFonts w:hint="eastAsia" w:ascii="宋体" w:hAnsi="宋体"/>
          <w:color w:val="auto"/>
          <w:sz w:val="24"/>
          <w:szCs w:val="32"/>
          <w:highlight w:val="none"/>
          <w:u w:val="single"/>
          <w:lang w:eastAsia="zh-CN"/>
        </w:rPr>
        <w:t>GXZC2024-G1-005575-KWZB</w:t>
      </w:r>
    </w:p>
    <w:p w14:paraId="6D2C98C2">
      <w:pPr>
        <w:spacing w:line="360" w:lineRule="auto"/>
        <w:rPr>
          <w:rFonts w:ascii="宋体" w:hAnsi="宋体"/>
          <w:color w:val="auto"/>
          <w:sz w:val="24"/>
          <w:szCs w:val="32"/>
          <w:highlight w:val="none"/>
        </w:rPr>
      </w:pPr>
      <w:r>
        <w:rPr>
          <w:rFonts w:hint="eastAsia" w:ascii="宋体" w:hAnsi="宋体"/>
          <w:color w:val="auto"/>
          <w:sz w:val="24"/>
          <w:szCs w:val="32"/>
          <w:highlight w:val="none"/>
        </w:rPr>
        <w:t>是否专门面向中小企业采购：是</w:t>
      </w:r>
    </w:p>
    <w:p w14:paraId="2148E11A">
      <w:pPr>
        <w:rPr>
          <w:color w:val="auto"/>
          <w:szCs w:val="22"/>
          <w:highlight w:val="none"/>
        </w:rPr>
      </w:pPr>
    </w:p>
    <w:p w14:paraId="7D261356">
      <w:pPr>
        <w:spacing w:line="360" w:lineRule="auto"/>
        <w:ind w:firstLine="480" w:firstLineChars="200"/>
        <w:rPr>
          <w:rFonts w:ascii="宋体" w:hAnsi="宋体"/>
          <w:color w:val="auto"/>
          <w:sz w:val="24"/>
          <w:szCs w:val="32"/>
          <w:highlight w:val="none"/>
          <w:u w:val="single"/>
        </w:rPr>
      </w:pPr>
      <w:r>
        <w:rPr>
          <w:rFonts w:hint="eastAsia" w:ascii="宋体" w:hAnsi="宋体"/>
          <w:color w:val="auto"/>
          <w:sz w:val="24"/>
          <w:szCs w:val="32"/>
          <w:highlight w:val="none"/>
        </w:rPr>
        <w:t>根据《中华人民共和国政府采购法》《中华人民共和国民法典》等法律、法规规定，按照招标文件规定条款和中标人投标文件及其承诺，甲乙双方签订本合同。</w:t>
      </w:r>
    </w:p>
    <w:p w14:paraId="0CA9CCF6">
      <w:pPr>
        <w:numPr>
          <w:ilvl w:val="0"/>
          <w:numId w:val="10"/>
        </w:numPr>
        <w:spacing w:line="360" w:lineRule="auto"/>
        <w:rPr>
          <w:rFonts w:ascii="宋体" w:hAnsi="宋体"/>
          <w:color w:val="auto"/>
          <w:sz w:val="24"/>
          <w:szCs w:val="32"/>
          <w:highlight w:val="none"/>
        </w:rPr>
      </w:pPr>
      <w:r>
        <w:rPr>
          <w:rFonts w:hint="eastAsia" w:ascii="宋体" w:hAnsi="宋体"/>
          <w:color w:val="auto"/>
          <w:sz w:val="24"/>
          <w:szCs w:val="32"/>
          <w:highlight w:val="none"/>
        </w:rPr>
        <w:t>项目一览表</w:t>
      </w:r>
    </w:p>
    <w:tbl>
      <w:tblPr>
        <w:tblStyle w:val="47"/>
        <w:tblW w:w="9176"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189"/>
        <w:gridCol w:w="2353"/>
        <w:gridCol w:w="1294"/>
        <w:gridCol w:w="1176"/>
        <w:gridCol w:w="1275"/>
        <w:gridCol w:w="1183"/>
      </w:tblGrid>
      <w:tr w14:paraId="79E67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 w:hRule="atLeast"/>
        </w:trPr>
        <w:tc>
          <w:tcPr>
            <w:tcW w:w="706" w:type="dxa"/>
            <w:tcBorders>
              <w:top w:val="single" w:color="auto" w:sz="4" w:space="0"/>
              <w:left w:val="single" w:color="auto" w:sz="4" w:space="0"/>
              <w:bottom w:val="single" w:color="auto" w:sz="4" w:space="0"/>
              <w:right w:val="single" w:color="auto" w:sz="4" w:space="0"/>
            </w:tcBorders>
            <w:vAlign w:val="center"/>
          </w:tcPr>
          <w:p w14:paraId="360608C5">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序号</w:t>
            </w:r>
          </w:p>
        </w:tc>
        <w:tc>
          <w:tcPr>
            <w:tcW w:w="1189" w:type="dxa"/>
            <w:tcBorders>
              <w:top w:val="single" w:color="auto" w:sz="4" w:space="0"/>
              <w:left w:val="single" w:color="auto" w:sz="4" w:space="0"/>
              <w:bottom w:val="single" w:color="auto" w:sz="4" w:space="0"/>
              <w:right w:val="single" w:color="auto" w:sz="4" w:space="0"/>
            </w:tcBorders>
            <w:vAlign w:val="center"/>
          </w:tcPr>
          <w:p w14:paraId="5FD64D9F">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服务名称</w:t>
            </w:r>
          </w:p>
        </w:tc>
        <w:tc>
          <w:tcPr>
            <w:tcW w:w="2353" w:type="dxa"/>
            <w:tcBorders>
              <w:top w:val="single" w:color="auto" w:sz="4" w:space="0"/>
              <w:left w:val="single" w:color="auto" w:sz="4" w:space="0"/>
              <w:bottom w:val="single" w:color="auto" w:sz="4" w:space="0"/>
              <w:right w:val="single" w:color="auto" w:sz="4" w:space="0"/>
            </w:tcBorders>
            <w:vAlign w:val="center"/>
          </w:tcPr>
          <w:p w14:paraId="69EF4AD8">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服务要求</w:t>
            </w:r>
          </w:p>
        </w:tc>
        <w:tc>
          <w:tcPr>
            <w:tcW w:w="1294" w:type="dxa"/>
            <w:tcBorders>
              <w:top w:val="single" w:color="auto" w:sz="4" w:space="0"/>
              <w:left w:val="single" w:color="auto" w:sz="4" w:space="0"/>
              <w:bottom w:val="single" w:color="auto" w:sz="4" w:space="0"/>
              <w:right w:val="single" w:color="auto" w:sz="4" w:space="0"/>
            </w:tcBorders>
            <w:vAlign w:val="center"/>
          </w:tcPr>
          <w:p w14:paraId="54B8B270">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数  量</w:t>
            </w:r>
          </w:p>
        </w:tc>
        <w:tc>
          <w:tcPr>
            <w:tcW w:w="1176" w:type="dxa"/>
            <w:tcBorders>
              <w:top w:val="single" w:color="auto" w:sz="4" w:space="0"/>
              <w:left w:val="single" w:color="auto" w:sz="4" w:space="0"/>
              <w:bottom w:val="single" w:color="auto" w:sz="4" w:space="0"/>
              <w:right w:val="single" w:color="auto" w:sz="4" w:space="0"/>
            </w:tcBorders>
            <w:vAlign w:val="center"/>
          </w:tcPr>
          <w:p w14:paraId="0C3C68F4">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单位</w:t>
            </w:r>
          </w:p>
        </w:tc>
        <w:tc>
          <w:tcPr>
            <w:tcW w:w="1275" w:type="dxa"/>
            <w:tcBorders>
              <w:top w:val="single" w:color="auto" w:sz="4" w:space="0"/>
              <w:left w:val="single" w:color="auto" w:sz="4" w:space="0"/>
              <w:bottom w:val="single" w:color="auto" w:sz="4" w:space="0"/>
              <w:right w:val="single" w:color="auto" w:sz="4" w:space="0"/>
            </w:tcBorders>
            <w:vAlign w:val="center"/>
          </w:tcPr>
          <w:p w14:paraId="2B060632">
            <w:pPr>
              <w:jc w:val="center"/>
              <w:rPr>
                <w:rFonts w:ascii="宋体" w:hAnsi="宋体" w:cs="宋体"/>
                <w:color w:val="auto"/>
                <w:sz w:val="24"/>
                <w:highlight w:val="none"/>
              </w:rPr>
            </w:pPr>
            <w:r>
              <w:rPr>
                <w:rFonts w:hint="eastAsia" w:ascii="宋体" w:hAnsi="宋体" w:cs="宋体"/>
                <w:color w:val="auto"/>
                <w:sz w:val="24"/>
                <w:highlight w:val="none"/>
              </w:rPr>
              <w:t>单  价</w:t>
            </w:r>
          </w:p>
          <w:p w14:paraId="6D59844A">
            <w:pPr>
              <w:jc w:val="center"/>
              <w:rPr>
                <w:rFonts w:ascii="宋体" w:hAnsi="宋体" w:cs="宋体"/>
                <w:color w:val="auto"/>
                <w:sz w:val="24"/>
                <w:highlight w:val="none"/>
              </w:rPr>
            </w:pPr>
            <w:r>
              <w:rPr>
                <w:rFonts w:hint="eastAsia" w:ascii="宋体" w:hAnsi="宋体" w:cs="宋体"/>
                <w:color w:val="auto"/>
                <w:sz w:val="24"/>
                <w:highlight w:val="none"/>
              </w:rPr>
              <w:t>（元）</w:t>
            </w:r>
          </w:p>
        </w:tc>
        <w:tc>
          <w:tcPr>
            <w:tcW w:w="1183" w:type="dxa"/>
            <w:tcBorders>
              <w:top w:val="single" w:color="auto" w:sz="4" w:space="0"/>
              <w:left w:val="single" w:color="auto" w:sz="4" w:space="0"/>
              <w:bottom w:val="single" w:color="auto" w:sz="4" w:space="0"/>
              <w:right w:val="single" w:color="auto" w:sz="4" w:space="0"/>
            </w:tcBorders>
            <w:vAlign w:val="center"/>
          </w:tcPr>
          <w:p w14:paraId="2B1FDDB6">
            <w:pPr>
              <w:jc w:val="center"/>
              <w:rPr>
                <w:rFonts w:ascii="宋体" w:hAnsi="宋体" w:cs="宋体"/>
                <w:color w:val="auto"/>
                <w:sz w:val="24"/>
                <w:highlight w:val="none"/>
              </w:rPr>
            </w:pPr>
            <w:r>
              <w:rPr>
                <w:rFonts w:hint="eastAsia" w:ascii="宋体" w:hAnsi="宋体" w:cs="宋体"/>
                <w:color w:val="auto"/>
                <w:sz w:val="24"/>
                <w:highlight w:val="none"/>
              </w:rPr>
              <w:t>单项合计</w:t>
            </w:r>
          </w:p>
          <w:p w14:paraId="42CBA64D">
            <w:pPr>
              <w:jc w:val="center"/>
              <w:rPr>
                <w:rFonts w:ascii="宋体" w:hAnsi="宋体" w:cs="宋体"/>
                <w:color w:val="auto"/>
                <w:sz w:val="24"/>
                <w:highlight w:val="none"/>
              </w:rPr>
            </w:pPr>
            <w:r>
              <w:rPr>
                <w:rFonts w:hint="eastAsia" w:ascii="宋体" w:hAnsi="宋体" w:cs="宋体"/>
                <w:color w:val="auto"/>
                <w:sz w:val="24"/>
                <w:highlight w:val="none"/>
              </w:rPr>
              <w:t>（元）</w:t>
            </w:r>
          </w:p>
        </w:tc>
      </w:tr>
      <w:tr w14:paraId="0F94C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 w:hRule="atLeast"/>
        </w:trPr>
        <w:tc>
          <w:tcPr>
            <w:tcW w:w="706" w:type="dxa"/>
            <w:tcBorders>
              <w:top w:val="single" w:color="auto" w:sz="4" w:space="0"/>
              <w:left w:val="single" w:color="auto" w:sz="4" w:space="0"/>
              <w:bottom w:val="single" w:color="auto" w:sz="4" w:space="0"/>
              <w:right w:val="single" w:color="auto" w:sz="4" w:space="0"/>
            </w:tcBorders>
            <w:vAlign w:val="center"/>
          </w:tcPr>
          <w:p w14:paraId="1B810FDF">
            <w:pPr>
              <w:spacing w:line="360" w:lineRule="auto"/>
              <w:jc w:val="center"/>
              <w:rPr>
                <w:rFonts w:ascii="宋体" w:hAnsi="宋体" w:cs="宋体"/>
                <w:color w:val="auto"/>
                <w:sz w:val="24"/>
                <w:highlight w:val="none"/>
              </w:rPr>
            </w:pPr>
          </w:p>
        </w:tc>
        <w:tc>
          <w:tcPr>
            <w:tcW w:w="1189" w:type="dxa"/>
            <w:tcBorders>
              <w:top w:val="single" w:color="auto" w:sz="4" w:space="0"/>
              <w:left w:val="single" w:color="auto" w:sz="4" w:space="0"/>
              <w:bottom w:val="single" w:color="auto" w:sz="4" w:space="0"/>
              <w:right w:val="single" w:color="auto" w:sz="4" w:space="0"/>
            </w:tcBorders>
            <w:vAlign w:val="center"/>
          </w:tcPr>
          <w:p w14:paraId="58A0FB60">
            <w:pPr>
              <w:spacing w:line="360" w:lineRule="auto"/>
              <w:jc w:val="center"/>
              <w:rPr>
                <w:rFonts w:ascii="宋体" w:hAnsi="宋体" w:cs="宋体"/>
                <w:color w:val="auto"/>
                <w:sz w:val="24"/>
                <w:highlight w:val="none"/>
              </w:rPr>
            </w:pPr>
          </w:p>
        </w:tc>
        <w:tc>
          <w:tcPr>
            <w:tcW w:w="2353" w:type="dxa"/>
            <w:tcBorders>
              <w:top w:val="single" w:color="auto" w:sz="4" w:space="0"/>
              <w:left w:val="single" w:color="auto" w:sz="4" w:space="0"/>
              <w:bottom w:val="single" w:color="auto" w:sz="4" w:space="0"/>
              <w:right w:val="single" w:color="auto" w:sz="4" w:space="0"/>
            </w:tcBorders>
            <w:vAlign w:val="center"/>
          </w:tcPr>
          <w:p w14:paraId="77DCE390">
            <w:pPr>
              <w:spacing w:line="360" w:lineRule="auto"/>
              <w:jc w:val="center"/>
              <w:rPr>
                <w:rFonts w:ascii="宋体" w:hAnsi="宋体" w:cs="宋体"/>
                <w:color w:val="auto"/>
                <w:sz w:val="24"/>
                <w:highlight w:val="none"/>
              </w:rPr>
            </w:pPr>
          </w:p>
        </w:tc>
        <w:tc>
          <w:tcPr>
            <w:tcW w:w="1294" w:type="dxa"/>
            <w:tcBorders>
              <w:top w:val="single" w:color="auto" w:sz="4" w:space="0"/>
              <w:left w:val="single" w:color="auto" w:sz="4" w:space="0"/>
              <w:bottom w:val="single" w:color="auto" w:sz="4" w:space="0"/>
              <w:right w:val="single" w:color="auto" w:sz="4" w:space="0"/>
            </w:tcBorders>
            <w:vAlign w:val="center"/>
          </w:tcPr>
          <w:p w14:paraId="5560EE69">
            <w:pPr>
              <w:spacing w:line="360" w:lineRule="auto"/>
              <w:jc w:val="center"/>
              <w:rPr>
                <w:rFonts w:ascii="宋体" w:hAnsi="宋体" w:cs="宋体"/>
                <w:color w:val="auto"/>
                <w:sz w:val="24"/>
                <w:highlight w:val="none"/>
              </w:rPr>
            </w:pPr>
          </w:p>
        </w:tc>
        <w:tc>
          <w:tcPr>
            <w:tcW w:w="1176" w:type="dxa"/>
            <w:tcBorders>
              <w:top w:val="single" w:color="auto" w:sz="4" w:space="0"/>
              <w:left w:val="single" w:color="auto" w:sz="4" w:space="0"/>
              <w:bottom w:val="single" w:color="auto" w:sz="4" w:space="0"/>
              <w:right w:val="single" w:color="auto" w:sz="4" w:space="0"/>
            </w:tcBorders>
            <w:vAlign w:val="center"/>
          </w:tcPr>
          <w:p w14:paraId="54402C46">
            <w:pPr>
              <w:spacing w:line="360" w:lineRule="auto"/>
              <w:jc w:val="center"/>
              <w:rPr>
                <w:rFonts w:ascii="宋体" w:hAnsi="宋体" w:cs="宋体"/>
                <w:color w:val="auto"/>
                <w:sz w:val="24"/>
                <w:highlight w:val="none"/>
              </w:rPr>
            </w:pPr>
          </w:p>
        </w:tc>
        <w:tc>
          <w:tcPr>
            <w:tcW w:w="1275" w:type="dxa"/>
            <w:tcBorders>
              <w:top w:val="single" w:color="auto" w:sz="4" w:space="0"/>
              <w:left w:val="single" w:color="auto" w:sz="4" w:space="0"/>
              <w:bottom w:val="single" w:color="auto" w:sz="4" w:space="0"/>
              <w:right w:val="single" w:color="auto" w:sz="4" w:space="0"/>
            </w:tcBorders>
            <w:vAlign w:val="center"/>
          </w:tcPr>
          <w:p w14:paraId="01683607">
            <w:pPr>
              <w:spacing w:line="360" w:lineRule="auto"/>
              <w:jc w:val="center"/>
              <w:rPr>
                <w:rFonts w:ascii="宋体" w:hAnsi="宋体" w:cs="宋体"/>
                <w:color w:val="auto"/>
                <w:sz w:val="24"/>
                <w:highlight w:val="none"/>
              </w:rPr>
            </w:pPr>
          </w:p>
        </w:tc>
        <w:tc>
          <w:tcPr>
            <w:tcW w:w="1183" w:type="dxa"/>
            <w:tcBorders>
              <w:top w:val="single" w:color="auto" w:sz="4" w:space="0"/>
              <w:left w:val="single" w:color="auto" w:sz="4" w:space="0"/>
              <w:bottom w:val="single" w:color="auto" w:sz="4" w:space="0"/>
              <w:right w:val="single" w:color="auto" w:sz="4" w:space="0"/>
            </w:tcBorders>
            <w:vAlign w:val="center"/>
          </w:tcPr>
          <w:p w14:paraId="7815C60B">
            <w:pPr>
              <w:spacing w:line="360" w:lineRule="auto"/>
              <w:jc w:val="center"/>
              <w:rPr>
                <w:rFonts w:ascii="宋体" w:hAnsi="宋体" w:cs="宋体"/>
                <w:color w:val="auto"/>
                <w:sz w:val="24"/>
                <w:highlight w:val="none"/>
              </w:rPr>
            </w:pPr>
          </w:p>
        </w:tc>
      </w:tr>
      <w:tr w14:paraId="2E57B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 w:hRule="atLeast"/>
        </w:trPr>
        <w:tc>
          <w:tcPr>
            <w:tcW w:w="706" w:type="dxa"/>
            <w:tcBorders>
              <w:top w:val="single" w:color="auto" w:sz="4" w:space="0"/>
              <w:left w:val="single" w:color="auto" w:sz="4" w:space="0"/>
              <w:bottom w:val="single" w:color="auto" w:sz="4" w:space="0"/>
              <w:right w:val="single" w:color="auto" w:sz="4" w:space="0"/>
            </w:tcBorders>
            <w:vAlign w:val="center"/>
          </w:tcPr>
          <w:p w14:paraId="0773CE58">
            <w:pPr>
              <w:spacing w:line="360" w:lineRule="auto"/>
              <w:jc w:val="center"/>
              <w:rPr>
                <w:rFonts w:ascii="宋体" w:hAnsi="宋体" w:cs="宋体"/>
                <w:color w:val="auto"/>
                <w:sz w:val="24"/>
                <w:highlight w:val="none"/>
              </w:rPr>
            </w:pPr>
          </w:p>
        </w:tc>
        <w:tc>
          <w:tcPr>
            <w:tcW w:w="1189" w:type="dxa"/>
            <w:tcBorders>
              <w:top w:val="single" w:color="auto" w:sz="4" w:space="0"/>
              <w:left w:val="single" w:color="auto" w:sz="4" w:space="0"/>
              <w:bottom w:val="single" w:color="auto" w:sz="4" w:space="0"/>
              <w:right w:val="single" w:color="auto" w:sz="4" w:space="0"/>
            </w:tcBorders>
            <w:vAlign w:val="center"/>
          </w:tcPr>
          <w:p w14:paraId="5C848F3B">
            <w:pPr>
              <w:spacing w:line="360" w:lineRule="auto"/>
              <w:jc w:val="center"/>
              <w:rPr>
                <w:rFonts w:ascii="宋体" w:hAnsi="宋体" w:cs="宋体"/>
                <w:color w:val="auto"/>
                <w:sz w:val="24"/>
                <w:highlight w:val="none"/>
              </w:rPr>
            </w:pPr>
          </w:p>
        </w:tc>
        <w:tc>
          <w:tcPr>
            <w:tcW w:w="2353" w:type="dxa"/>
            <w:tcBorders>
              <w:top w:val="single" w:color="auto" w:sz="4" w:space="0"/>
              <w:left w:val="single" w:color="auto" w:sz="4" w:space="0"/>
              <w:bottom w:val="single" w:color="auto" w:sz="4" w:space="0"/>
              <w:right w:val="single" w:color="auto" w:sz="4" w:space="0"/>
            </w:tcBorders>
            <w:vAlign w:val="center"/>
          </w:tcPr>
          <w:p w14:paraId="1841CA99">
            <w:pPr>
              <w:spacing w:line="360" w:lineRule="auto"/>
              <w:jc w:val="center"/>
              <w:rPr>
                <w:rFonts w:ascii="宋体" w:hAnsi="宋体" w:cs="宋体"/>
                <w:color w:val="auto"/>
                <w:sz w:val="24"/>
                <w:highlight w:val="none"/>
              </w:rPr>
            </w:pPr>
          </w:p>
        </w:tc>
        <w:tc>
          <w:tcPr>
            <w:tcW w:w="1294" w:type="dxa"/>
            <w:tcBorders>
              <w:top w:val="single" w:color="auto" w:sz="4" w:space="0"/>
              <w:left w:val="single" w:color="auto" w:sz="4" w:space="0"/>
              <w:bottom w:val="single" w:color="auto" w:sz="4" w:space="0"/>
              <w:right w:val="single" w:color="auto" w:sz="4" w:space="0"/>
            </w:tcBorders>
            <w:vAlign w:val="center"/>
          </w:tcPr>
          <w:p w14:paraId="472A7D76">
            <w:pPr>
              <w:spacing w:line="360" w:lineRule="auto"/>
              <w:jc w:val="center"/>
              <w:rPr>
                <w:rFonts w:ascii="宋体" w:hAnsi="宋体" w:cs="宋体"/>
                <w:color w:val="auto"/>
                <w:sz w:val="24"/>
                <w:highlight w:val="none"/>
              </w:rPr>
            </w:pPr>
          </w:p>
        </w:tc>
        <w:tc>
          <w:tcPr>
            <w:tcW w:w="1176" w:type="dxa"/>
            <w:tcBorders>
              <w:top w:val="single" w:color="auto" w:sz="4" w:space="0"/>
              <w:left w:val="single" w:color="auto" w:sz="4" w:space="0"/>
              <w:bottom w:val="single" w:color="auto" w:sz="4" w:space="0"/>
              <w:right w:val="single" w:color="auto" w:sz="4" w:space="0"/>
            </w:tcBorders>
            <w:vAlign w:val="center"/>
          </w:tcPr>
          <w:p w14:paraId="72953F8A">
            <w:pPr>
              <w:spacing w:line="360" w:lineRule="auto"/>
              <w:jc w:val="center"/>
              <w:rPr>
                <w:rFonts w:ascii="宋体" w:hAnsi="宋体" w:cs="宋体"/>
                <w:color w:val="auto"/>
                <w:sz w:val="24"/>
                <w:highlight w:val="none"/>
              </w:rPr>
            </w:pPr>
          </w:p>
        </w:tc>
        <w:tc>
          <w:tcPr>
            <w:tcW w:w="1275" w:type="dxa"/>
            <w:tcBorders>
              <w:top w:val="single" w:color="auto" w:sz="4" w:space="0"/>
              <w:left w:val="single" w:color="auto" w:sz="4" w:space="0"/>
              <w:bottom w:val="single" w:color="auto" w:sz="4" w:space="0"/>
              <w:right w:val="single" w:color="auto" w:sz="4" w:space="0"/>
            </w:tcBorders>
            <w:vAlign w:val="center"/>
          </w:tcPr>
          <w:p w14:paraId="0AA7C567">
            <w:pPr>
              <w:spacing w:line="360" w:lineRule="auto"/>
              <w:jc w:val="center"/>
              <w:rPr>
                <w:rFonts w:ascii="宋体" w:hAnsi="宋体" w:cs="宋体"/>
                <w:color w:val="auto"/>
                <w:sz w:val="24"/>
                <w:highlight w:val="none"/>
              </w:rPr>
            </w:pPr>
          </w:p>
        </w:tc>
        <w:tc>
          <w:tcPr>
            <w:tcW w:w="1183" w:type="dxa"/>
            <w:tcBorders>
              <w:top w:val="single" w:color="auto" w:sz="4" w:space="0"/>
              <w:left w:val="single" w:color="auto" w:sz="4" w:space="0"/>
              <w:bottom w:val="single" w:color="auto" w:sz="4" w:space="0"/>
              <w:right w:val="single" w:color="auto" w:sz="4" w:space="0"/>
            </w:tcBorders>
            <w:vAlign w:val="center"/>
          </w:tcPr>
          <w:p w14:paraId="2FBA0196">
            <w:pPr>
              <w:spacing w:line="360" w:lineRule="auto"/>
              <w:jc w:val="center"/>
              <w:rPr>
                <w:rFonts w:ascii="宋体" w:hAnsi="宋体" w:cs="宋体"/>
                <w:color w:val="auto"/>
                <w:sz w:val="24"/>
                <w:highlight w:val="none"/>
              </w:rPr>
            </w:pPr>
          </w:p>
        </w:tc>
      </w:tr>
      <w:tr w14:paraId="2DD61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 w:hRule="atLeast"/>
        </w:trPr>
        <w:tc>
          <w:tcPr>
            <w:tcW w:w="706" w:type="dxa"/>
            <w:tcBorders>
              <w:top w:val="single" w:color="auto" w:sz="4" w:space="0"/>
              <w:left w:val="single" w:color="auto" w:sz="4" w:space="0"/>
              <w:bottom w:val="single" w:color="auto" w:sz="4" w:space="0"/>
              <w:right w:val="single" w:color="auto" w:sz="4" w:space="0"/>
            </w:tcBorders>
            <w:vAlign w:val="center"/>
          </w:tcPr>
          <w:p w14:paraId="31EEA0D8">
            <w:pPr>
              <w:spacing w:line="360" w:lineRule="auto"/>
              <w:jc w:val="center"/>
              <w:rPr>
                <w:rFonts w:ascii="宋体" w:hAnsi="宋体" w:cs="宋体"/>
                <w:color w:val="auto"/>
                <w:sz w:val="24"/>
                <w:highlight w:val="none"/>
              </w:rPr>
            </w:pPr>
          </w:p>
        </w:tc>
        <w:tc>
          <w:tcPr>
            <w:tcW w:w="1189" w:type="dxa"/>
            <w:tcBorders>
              <w:top w:val="single" w:color="auto" w:sz="4" w:space="0"/>
              <w:left w:val="single" w:color="auto" w:sz="4" w:space="0"/>
              <w:bottom w:val="single" w:color="auto" w:sz="4" w:space="0"/>
              <w:right w:val="single" w:color="auto" w:sz="4" w:space="0"/>
            </w:tcBorders>
            <w:vAlign w:val="center"/>
          </w:tcPr>
          <w:p w14:paraId="47FBD042">
            <w:pPr>
              <w:spacing w:line="360" w:lineRule="auto"/>
              <w:jc w:val="center"/>
              <w:rPr>
                <w:rFonts w:ascii="宋体" w:hAnsi="宋体" w:cs="宋体"/>
                <w:color w:val="auto"/>
                <w:sz w:val="24"/>
                <w:highlight w:val="none"/>
              </w:rPr>
            </w:pPr>
          </w:p>
        </w:tc>
        <w:tc>
          <w:tcPr>
            <w:tcW w:w="2353" w:type="dxa"/>
            <w:tcBorders>
              <w:top w:val="single" w:color="auto" w:sz="4" w:space="0"/>
              <w:left w:val="single" w:color="auto" w:sz="4" w:space="0"/>
              <w:bottom w:val="single" w:color="auto" w:sz="4" w:space="0"/>
              <w:right w:val="single" w:color="auto" w:sz="4" w:space="0"/>
            </w:tcBorders>
            <w:vAlign w:val="center"/>
          </w:tcPr>
          <w:p w14:paraId="392D3E8C">
            <w:pPr>
              <w:spacing w:line="360" w:lineRule="auto"/>
              <w:jc w:val="center"/>
              <w:rPr>
                <w:rFonts w:ascii="宋体" w:hAnsi="宋体" w:cs="宋体"/>
                <w:color w:val="auto"/>
                <w:sz w:val="24"/>
                <w:highlight w:val="none"/>
              </w:rPr>
            </w:pPr>
          </w:p>
        </w:tc>
        <w:tc>
          <w:tcPr>
            <w:tcW w:w="1294" w:type="dxa"/>
            <w:tcBorders>
              <w:top w:val="single" w:color="auto" w:sz="4" w:space="0"/>
              <w:left w:val="single" w:color="auto" w:sz="4" w:space="0"/>
              <w:bottom w:val="single" w:color="auto" w:sz="4" w:space="0"/>
              <w:right w:val="single" w:color="auto" w:sz="4" w:space="0"/>
            </w:tcBorders>
            <w:vAlign w:val="center"/>
          </w:tcPr>
          <w:p w14:paraId="1ADDBD1A">
            <w:pPr>
              <w:spacing w:line="360" w:lineRule="auto"/>
              <w:jc w:val="center"/>
              <w:rPr>
                <w:rFonts w:ascii="宋体" w:hAnsi="宋体" w:cs="宋体"/>
                <w:color w:val="auto"/>
                <w:sz w:val="24"/>
                <w:highlight w:val="none"/>
              </w:rPr>
            </w:pPr>
          </w:p>
        </w:tc>
        <w:tc>
          <w:tcPr>
            <w:tcW w:w="1176" w:type="dxa"/>
            <w:tcBorders>
              <w:top w:val="single" w:color="auto" w:sz="4" w:space="0"/>
              <w:left w:val="single" w:color="auto" w:sz="4" w:space="0"/>
              <w:bottom w:val="single" w:color="auto" w:sz="4" w:space="0"/>
              <w:right w:val="single" w:color="auto" w:sz="4" w:space="0"/>
            </w:tcBorders>
            <w:vAlign w:val="center"/>
          </w:tcPr>
          <w:p w14:paraId="1D2797BB">
            <w:pPr>
              <w:spacing w:line="360" w:lineRule="auto"/>
              <w:jc w:val="center"/>
              <w:rPr>
                <w:rFonts w:ascii="宋体" w:hAnsi="宋体" w:cs="宋体"/>
                <w:color w:val="auto"/>
                <w:sz w:val="24"/>
                <w:highlight w:val="none"/>
              </w:rPr>
            </w:pPr>
          </w:p>
        </w:tc>
        <w:tc>
          <w:tcPr>
            <w:tcW w:w="1275" w:type="dxa"/>
            <w:tcBorders>
              <w:top w:val="single" w:color="auto" w:sz="4" w:space="0"/>
              <w:left w:val="single" w:color="auto" w:sz="4" w:space="0"/>
              <w:bottom w:val="single" w:color="auto" w:sz="4" w:space="0"/>
              <w:right w:val="single" w:color="auto" w:sz="4" w:space="0"/>
            </w:tcBorders>
            <w:vAlign w:val="center"/>
          </w:tcPr>
          <w:p w14:paraId="45A4DFB8">
            <w:pPr>
              <w:spacing w:line="360" w:lineRule="auto"/>
              <w:jc w:val="center"/>
              <w:rPr>
                <w:rFonts w:ascii="宋体" w:hAnsi="宋体" w:cs="宋体"/>
                <w:color w:val="auto"/>
                <w:sz w:val="24"/>
                <w:highlight w:val="none"/>
              </w:rPr>
            </w:pPr>
          </w:p>
        </w:tc>
        <w:tc>
          <w:tcPr>
            <w:tcW w:w="1183" w:type="dxa"/>
            <w:tcBorders>
              <w:top w:val="single" w:color="auto" w:sz="4" w:space="0"/>
              <w:left w:val="single" w:color="auto" w:sz="4" w:space="0"/>
              <w:bottom w:val="single" w:color="auto" w:sz="4" w:space="0"/>
              <w:right w:val="single" w:color="auto" w:sz="4" w:space="0"/>
            </w:tcBorders>
            <w:vAlign w:val="center"/>
          </w:tcPr>
          <w:p w14:paraId="0AE3D223">
            <w:pPr>
              <w:spacing w:line="360" w:lineRule="auto"/>
              <w:jc w:val="center"/>
              <w:rPr>
                <w:rFonts w:ascii="宋体" w:hAnsi="宋体" w:cs="宋体"/>
                <w:color w:val="auto"/>
                <w:sz w:val="24"/>
                <w:highlight w:val="none"/>
              </w:rPr>
            </w:pPr>
          </w:p>
        </w:tc>
      </w:tr>
      <w:tr w14:paraId="512E8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1" w:hRule="atLeast"/>
        </w:trPr>
        <w:tc>
          <w:tcPr>
            <w:tcW w:w="9176" w:type="dxa"/>
            <w:gridSpan w:val="7"/>
            <w:tcBorders>
              <w:top w:val="single" w:color="auto" w:sz="4" w:space="0"/>
              <w:left w:val="single" w:color="auto" w:sz="4" w:space="0"/>
              <w:bottom w:val="single" w:color="auto" w:sz="4" w:space="0"/>
              <w:right w:val="single" w:color="auto" w:sz="4" w:space="0"/>
            </w:tcBorders>
            <w:vAlign w:val="center"/>
          </w:tcPr>
          <w:p w14:paraId="128F1E82">
            <w:pPr>
              <w:spacing w:line="360" w:lineRule="auto"/>
              <w:rPr>
                <w:rFonts w:ascii="宋体" w:hAnsi="宋体" w:cs="宋体"/>
                <w:color w:val="auto"/>
                <w:sz w:val="24"/>
                <w:highlight w:val="none"/>
              </w:rPr>
            </w:pPr>
            <w:r>
              <w:rPr>
                <w:rFonts w:hint="eastAsia" w:ascii="宋体" w:hAnsi="宋体" w:cs="宋体"/>
                <w:color w:val="auto"/>
                <w:sz w:val="24"/>
                <w:highlight w:val="none"/>
              </w:rPr>
              <w:t>人民币合计金额（大写）：</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（小写¥</w:t>
            </w:r>
            <w:r>
              <w:rPr>
                <w:rFonts w:ascii="宋体" w:hAnsi="宋体" w:cs="宋体"/>
                <w:color w:val="auto"/>
                <w:sz w:val="24"/>
                <w:highlight w:val="none"/>
                <w:u w:val="single"/>
              </w:rPr>
              <w:t xml:space="preserve">           </w:t>
            </w:r>
            <w:r>
              <w:rPr>
                <w:rFonts w:hint="eastAsia" w:ascii="宋体" w:hAnsi="宋体" w:cs="宋体"/>
                <w:color w:val="auto"/>
                <w:sz w:val="24"/>
                <w:highlight w:val="none"/>
              </w:rPr>
              <w:t xml:space="preserve">）              </w:t>
            </w:r>
          </w:p>
        </w:tc>
      </w:tr>
      <w:tr w14:paraId="743E0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1" w:hRule="atLeast"/>
        </w:trPr>
        <w:tc>
          <w:tcPr>
            <w:tcW w:w="9176" w:type="dxa"/>
            <w:gridSpan w:val="7"/>
            <w:tcBorders>
              <w:top w:val="single" w:color="auto" w:sz="4" w:space="0"/>
              <w:left w:val="single" w:color="auto" w:sz="4" w:space="0"/>
              <w:bottom w:val="single" w:color="auto" w:sz="4" w:space="0"/>
              <w:right w:val="single" w:color="auto" w:sz="4" w:space="0"/>
            </w:tcBorders>
            <w:vAlign w:val="center"/>
          </w:tcPr>
          <w:p w14:paraId="0F0C1BC0">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其中，电子体验卷总金额为：    </w:t>
            </w:r>
          </w:p>
        </w:tc>
      </w:tr>
    </w:tbl>
    <w:p w14:paraId="2A395918">
      <w:pPr>
        <w:spacing w:line="360" w:lineRule="auto"/>
        <w:ind w:firstLine="420"/>
        <w:rPr>
          <w:rFonts w:ascii="宋体" w:hAnsi="宋体" w:cs="宋体"/>
          <w:color w:val="auto"/>
          <w:sz w:val="24"/>
          <w:highlight w:val="none"/>
        </w:rPr>
      </w:pPr>
      <w:r>
        <w:rPr>
          <w:rFonts w:hint="eastAsia" w:ascii="宋体" w:hAnsi="宋体" w:cs="宋体"/>
          <w:color w:val="auto"/>
          <w:sz w:val="24"/>
          <w:highlight w:val="none"/>
        </w:rPr>
        <w:t>2.合同合计金额包括但不限于满足本次投标全部采购需求所应提供的服务，以及伴随的货物和工程（如有）的价格；包含投标服务、货物、工程的成本、运输（含保险）、安装（如有）、调试、检验、技术服务、培训、税费等所有费用。如招标文件对其另有规定的，从其规定。甲方不再支付合同合计金额以外的其他费用。</w:t>
      </w:r>
    </w:p>
    <w:p w14:paraId="248F2E23">
      <w:pPr>
        <w:spacing w:line="360" w:lineRule="auto"/>
        <w:ind w:firstLine="420"/>
        <w:rPr>
          <w:rFonts w:ascii="宋体" w:hAnsi="宋体"/>
          <w:b/>
          <w:color w:val="auto"/>
          <w:sz w:val="24"/>
          <w:highlight w:val="none"/>
        </w:rPr>
      </w:pPr>
      <w:r>
        <w:rPr>
          <w:rFonts w:hint="eastAsia" w:ascii="宋体" w:hAnsi="宋体"/>
          <w:b/>
          <w:color w:val="auto"/>
          <w:sz w:val="24"/>
          <w:highlight w:val="none"/>
        </w:rPr>
        <w:t>第二条 质量要求</w:t>
      </w:r>
    </w:p>
    <w:p w14:paraId="227B5A40">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乙方所提供的服务及服务内容必须与投标文件承诺相一致，有国家强制性标准的，还必须符合国家强制性标准的规定，没有国家强制性标准但有其他强制性标准的，必须符合其他强制性标准的规定。</w:t>
      </w:r>
    </w:p>
    <w:p w14:paraId="2577BC80">
      <w:pPr>
        <w:spacing w:line="360" w:lineRule="auto"/>
        <w:ind w:firstLine="482" w:firstLineChars="200"/>
        <w:rPr>
          <w:rFonts w:ascii="宋体" w:hAnsi="宋体"/>
          <w:color w:val="auto"/>
          <w:sz w:val="24"/>
          <w:highlight w:val="none"/>
        </w:rPr>
      </w:pPr>
      <w:r>
        <w:rPr>
          <w:rFonts w:hint="eastAsia" w:ascii="宋体" w:hAnsi="宋体"/>
          <w:b/>
          <w:color w:val="auto"/>
          <w:sz w:val="24"/>
          <w:highlight w:val="none"/>
        </w:rPr>
        <w:t>第三条 权利保证</w:t>
      </w:r>
    </w:p>
    <w:p w14:paraId="3316B9CB">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1.乙方应保证所提供服务在使用时不会侵犯任何第三方的专利权、商标权、工业设计权等知识产权及其他合法权利，且所有权、处分权等没有受到任何限制。</w:t>
      </w:r>
    </w:p>
    <w:p w14:paraId="660B817E">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2.没有甲方事先书面同意，乙方不得将由甲方提供的有关合同或者任何合同条文、规格、计划、图纸、样品或者资料提供给与履行本合同无关的任何其他人。即使向履行本合同有关的人员提供，也应注意保密并限于履行合同的必需范围。乙方的保密义务持续有效，不因为本合同履行终止、解除或者无效而解除。</w:t>
      </w:r>
    </w:p>
    <w:p w14:paraId="09146D28">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第四条 交付和验收等</w:t>
      </w:r>
    </w:p>
    <w:p w14:paraId="6BE6FFF8">
      <w:pPr>
        <w:snapToGrid w:val="0"/>
        <w:spacing w:line="360" w:lineRule="auto"/>
        <w:ind w:firstLine="720" w:firstLineChars="300"/>
        <w:rPr>
          <w:rFonts w:ascii="宋体" w:hAnsi="宋体"/>
          <w:color w:val="auto"/>
          <w:sz w:val="24"/>
          <w:highlight w:val="none"/>
        </w:rPr>
      </w:pPr>
      <w:r>
        <w:rPr>
          <w:rFonts w:hint="eastAsia" w:ascii="宋体" w:hAnsi="宋体"/>
          <w:color w:val="auto"/>
          <w:sz w:val="24"/>
          <w:highlight w:val="none"/>
        </w:rPr>
        <w:t>1.</w:t>
      </w:r>
      <w:r>
        <w:rPr>
          <w:rFonts w:hint="eastAsia" w:ascii="宋体" w:hAnsi="宋体"/>
          <w:color w:val="auto"/>
          <w:sz w:val="24"/>
          <w:highlight w:val="none"/>
          <w:u w:val="single"/>
        </w:rPr>
        <w:t>服务时间： 。</w:t>
      </w:r>
    </w:p>
    <w:p w14:paraId="25A19E8C">
      <w:pPr>
        <w:snapToGrid w:val="0"/>
        <w:spacing w:line="360" w:lineRule="auto"/>
        <w:ind w:firstLine="720" w:firstLineChars="300"/>
        <w:rPr>
          <w:rFonts w:ascii="宋体" w:hAnsi="宋体"/>
          <w:color w:val="auto"/>
          <w:sz w:val="24"/>
          <w:highlight w:val="none"/>
        </w:rPr>
      </w:pPr>
      <w:r>
        <w:rPr>
          <w:rFonts w:hint="eastAsia" w:ascii="宋体" w:hAnsi="宋体"/>
          <w:color w:val="auto"/>
          <w:sz w:val="24"/>
          <w:highlight w:val="none"/>
        </w:rPr>
        <w:t>服务地点：</w:t>
      </w:r>
      <w:r>
        <w:rPr>
          <w:rFonts w:hint="eastAsia" w:ascii="宋体" w:hAnsi="宋体"/>
          <w:color w:val="auto"/>
          <w:sz w:val="24"/>
          <w:highlight w:val="none"/>
          <w:u w:val="single"/>
        </w:rPr>
        <w:t>广西区内甲方指定地点。</w:t>
      </w:r>
    </w:p>
    <w:p w14:paraId="3A66CC7D">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2.乙方应按投标文件的承诺向甲方提供相应的服务，并提供所服务内容的相关技术资料。</w:t>
      </w:r>
    </w:p>
    <w:p w14:paraId="11EAE469">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3.乙方提供不符合招标文件要求和投标文件承诺和本合同规定的服务成果，甲方有权拒绝接受。</w:t>
      </w:r>
    </w:p>
    <w:p w14:paraId="0D102751">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4.乙方完成服务后应及时书面通知甲方进行验收，甲方应在收到通知后7个工作日内进行验收，逾期不开始验收的，乙方可视同验收合格。验收合格后由甲乙双方签署验收单并加盖采购人公章，甲乙双方各执壹份。</w:t>
      </w:r>
    </w:p>
    <w:p w14:paraId="597F8065">
      <w:pPr>
        <w:spacing w:line="360" w:lineRule="auto"/>
        <w:ind w:firstLine="480" w:firstLineChars="200"/>
        <w:rPr>
          <w:rFonts w:ascii="宋体" w:hAnsi="宋体"/>
          <w:color w:val="auto"/>
          <w:spacing w:val="-6"/>
          <w:sz w:val="24"/>
          <w:highlight w:val="none"/>
        </w:rPr>
      </w:pPr>
      <w:r>
        <w:rPr>
          <w:rFonts w:hint="eastAsia" w:ascii="宋体" w:hAnsi="宋体"/>
          <w:color w:val="auto"/>
          <w:sz w:val="24"/>
          <w:highlight w:val="none"/>
        </w:rPr>
        <w:t>5.甲乙双方应按照《广西壮族自治区政府采购项目履约验收管理办法》、双方</w:t>
      </w:r>
      <w:r>
        <w:rPr>
          <w:rFonts w:hint="eastAsia" w:ascii="宋体" w:hAnsi="宋体"/>
          <w:color w:val="auto"/>
          <w:spacing w:val="-6"/>
          <w:sz w:val="24"/>
          <w:highlight w:val="none"/>
        </w:rPr>
        <w:t>合同、投标文件验收。</w:t>
      </w:r>
    </w:p>
    <w:p w14:paraId="1056CB72">
      <w:pPr>
        <w:spacing w:line="360" w:lineRule="auto"/>
        <w:ind w:firstLine="480" w:firstLineChars="200"/>
        <w:rPr>
          <w:rFonts w:ascii="宋体" w:hAnsi="宋体"/>
          <w:color w:val="auto"/>
          <w:spacing w:val="-6"/>
          <w:sz w:val="24"/>
          <w:highlight w:val="none"/>
        </w:rPr>
      </w:pPr>
      <w:r>
        <w:rPr>
          <w:rFonts w:hint="eastAsia" w:ascii="宋体" w:hAnsi="宋体"/>
          <w:color w:val="auto"/>
          <w:sz w:val="24"/>
          <w:highlight w:val="none"/>
        </w:rPr>
        <w:t>6.甲方在验收后如发现乙方提供的服务成果不满足投标文件</w:t>
      </w:r>
      <w:r>
        <w:rPr>
          <w:rFonts w:hint="eastAsia" w:ascii="宋体" w:hAnsi="宋体"/>
          <w:color w:val="auto"/>
          <w:spacing w:val="-6"/>
          <w:sz w:val="24"/>
          <w:highlight w:val="none"/>
        </w:rPr>
        <w:t>及本合同规定的可暂缓向乙方付款，直到乙方及时完善并提交相应的服务成果且经甲方验收合格后，方可办理付款。</w:t>
      </w:r>
    </w:p>
    <w:p w14:paraId="7CB3F68F">
      <w:pPr>
        <w:spacing w:line="360" w:lineRule="auto"/>
        <w:ind w:firstLine="456" w:firstLineChars="200"/>
        <w:rPr>
          <w:rFonts w:ascii="宋体" w:hAnsi="宋体"/>
          <w:color w:val="auto"/>
          <w:sz w:val="24"/>
          <w:highlight w:val="none"/>
        </w:rPr>
      </w:pPr>
      <w:r>
        <w:rPr>
          <w:rFonts w:hint="eastAsia" w:ascii="宋体" w:hAnsi="宋体"/>
          <w:color w:val="auto"/>
          <w:spacing w:val="-6"/>
          <w:sz w:val="24"/>
          <w:highlight w:val="none"/>
        </w:rPr>
        <w:t>7.甲方验收时以书面形式提出异议的，乙方应自收到甲方书面异议后5个</w:t>
      </w:r>
      <w:r>
        <w:rPr>
          <w:rFonts w:hint="eastAsia" w:ascii="宋体" w:hAnsi="宋体"/>
          <w:color w:val="auto"/>
          <w:sz w:val="24"/>
          <w:highlight w:val="none"/>
        </w:rPr>
        <w:t>工作日内及时予以解决，否则甲方有权不出具服务验收合格单。</w:t>
      </w:r>
    </w:p>
    <w:p w14:paraId="7E1D4A3A">
      <w:pPr>
        <w:snapToGrid w:val="0"/>
        <w:spacing w:line="360" w:lineRule="auto"/>
        <w:ind w:left="-61" w:firstLine="514"/>
        <w:rPr>
          <w:rFonts w:ascii="宋体" w:hAnsi="宋体" w:cs="宋体"/>
          <w:color w:val="auto"/>
          <w:sz w:val="24"/>
          <w:highlight w:val="none"/>
        </w:rPr>
      </w:pPr>
      <w:r>
        <w:rPr>
          <w:rFonts w:ascii="宋体" w:hAnsi="宋体" w:cs="宋体"/>
          <w:color w:val="auto"/>
          <w:sz w:val="24"/>
          <w:highlight w:val="none"/>
        </w:rPr>
        <w:t>8.</w:t>
      </w:r>
      <w:r>
        <w:rPr>
          <w:rFonts w:hint="eastAsia" w:ascii="宋体" w:hAnsi="宋体" w:cs="宋体"/>
          <w:color w:val="auto"/>
          <w:sz w:val="24"/>
          <w:highlight w:val="none"/>
        </w:rPr>
        <w:t>验收时乙方必须在现场，验收完毕后作出验收结果报告；验收过程所产生的一切费用均由乙方承担。</w:t>
      </w:r>
    </w:p>
    <w:p w14:paraId="68261697">
      <w:pPr>
        <w:spacing w:after="120"/>
        <w:ind w:firstLine="480" w:firstLineChars="200"/>
        <w:rPr>
          <w:rFonts w:ascii="宋体" w:hAnsi="宋体" w:cs="宋体"/>
          <w:color w:val="auto"/>
          <w:sz w:val="24"/>
          <w:highlight w:val="none"/>
        </w:rPr>
      </w:pPr>
      <w:r>
        <w:rPr>
          <w:rFonts w:hint="eastAsia" w:ascii="宋体" w:hAnsi="宋体" w:cs="宋体"/>
          <w:color w:val="auto"/>
          <w:sz w:val="24"/>
          <w:highlight w:val="none"/>
        </w:rPr>
        <w:t>9</w:t>
      </w:r>
      <w:r>
        <w:rPr>
          <w:rFonts w:ascii="宋体" w:hAnsi="宋体" w:cs="宋体"/>
          <w:color w:val="auto"/>
          <w:sz w:val="24"/>
          <w:highlight w:val="none"/>
        </w:rPr>
        <w:t>.</w:t>
      </w:r>
      <w:r>
        <w:rPr>
          <w:rFonts w:hint="eastAsia" w:ascii="宋体" w:hAnsi="宋体" w:cs="宋体"/>
          <w:color w:val="auto"/>
          <w:sz w:val="24"/>
          <w:highlight w:val="none"/>
        </w:rPr>
        <w:t>本合同的验收条款与采购需求商务条款中的“验收要求”互为补充。</w:t>
      </w:r>
    </w:p>
    <w:p w14:paraId="62769DE0">
      <w:pPr>
        <w:snapToGrid w:val="0"/>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第五条  售后服务及培训</w:t>
      </w:r>
    </w:p>
    <w:p w14:paraId="7C7C55A2">
      <w:pPr>
        <w:spacing w:line="360" w:lineRule="auto"/>
        <w:ind w:firstLine="456" w:firstLineChars="200"/>
        <w:rPr>
          <w:rFonts w:ascii="宋体" w:hAnsi="宋体"/>
          <w:color w:val="auto"/>
          <w:spacing w:val="-6"/>
          <w:sz w:val="24"/>
          <w:highlight w:val="none"/>
        </w:rPr>
      </w:pPr>
      <w:r>
        <w:rPr>
          <w:rFonts w:hint="eastAsia" w:ascii="宋体" w:hAnsi="宋体"/>
          <w:color w:val="auto"/>
          <w:spacing w:val="-6"/>
          <w:sz w:val="24"/>
          <w:highlight w:val="none"/>
        </w:rPr>
        <w:t>1.乙方应按照国家有关法律法规和本合同所附的《服务承诺》要求为甲方提供相应的售后服务。</w:t>
      </w:r>
    </w:p>
    <w:p w14:paraId="4E77B3E0">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2.甲方应提供必要测试条件（如场地、电源、水源等）。</w:t>
      </w:r>
    </w:p>
    <w:p w14:paraId="5ED80595">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3.乙方负责甲方有关人员的培训。培训时间、地点：</w:t>
      </w:r>
      <w:r>
        <w:rPr>
          <w:rFonts w:hint="eastAsia" w:ascii="宋体" w:hAnsi="宋体"/>
          <w:color w:val="auto"/>
          <w:sz w:val="24"/>
          <w:highlight w:val="none"/>
          <w:u w:val="single"/>
        </w:rPr>
        <w:t>按照甲方需求和通知</w:t>
      </w:r>
      <w:r>
        <w:rPr>
          <w:rFonts w:hint="eastAsia" w:ascii="宋体" w:hAnsi="宋体"/>
          <w:color w:val="auto"/>
          <w:sz w:val="24"/>
          <w:highlight w:val="none"/>
        </w:rPr>
        <w:t>。</w:t>
      </w:r>
    </w:p>
    <w:p w14:paraId="05A322A6">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第六条 付款方式</w:t>
      </w:r>
    </w:p>
    <w:p w14:paraId="6CF0E0B1">
      <w:pPr>
        <w:spacing w:line="360" w:lineRule="auto"/>
        <w:ind w:firstLine="480" w:firstLineChars="200"/>
        <w:rPr>
          <w:rFonts w:ascii="宋体" w:hAnsi="宋体"/>
          <w:bCs/>
          <w:color w:val="auto"/>
          <w:sz w:val="24"/>
          <w:highlight w:val="none"/>
          <w:u w:val="single"/>
        </w:rPr>
      </w:pPr>
      <w:r>
        <w:rPr>
          <w:rFonts w:hint="eastAsia" w:ascii="宋体" w:hAnsi="宋体"/>
          <w:bCs/>
          <w:color w:val="auto"/>
          <w:sz w:val="24"/>
          <w:highlight w:val="none"/>
          <w:u w:val="single"/>
        </w:rPr>
        <w:t xml:space="preserve">  。</w:t>
      </w:r>
    </w:p>
    <w:p w14:paraId="65666DE1">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第七条 履约保证金</w:t>
      </w:r>
    </w:p>
    <w:p w14:paraId="63401D5D">
      <w:pPr>
        <w:snapToGrid w:val="0"/>
        <w:spacing w:line="46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u w:val="single"/>
        </w:rPr>
        <w:t>1.履约保证金金额：</w:t>
      </w:r>
      <w:r>
        <w:rPr>
          <w:rFonts w:hint="eastAsia" w:ascii="宋体" w:hAnsi="宋体" w:cs="宋体"/>
          <w:color w:val="auto"/>
          <w:sz w:val="24"/>
          <w:highlight w:val="none"/>
          <w:u w:val="single"/>
          <w:lang w:eastAsia="zh-Hans"/>
        </w:rPr>
        <w:t>合同金额的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eastAsia="zh-Hans"/>
        </w:rPr>
        <w:t>%</w:t>
      </w:r>
      <w:r>
        <w:rPr>
          <w:rFonts w:hint="eastAsia" w:ascii="宋体" w:hAnsi="宋体" w:cs="宋体"/>
          <w:color w:val="auto"/>
          <w:sz w:val="24"/>
          <w:highlight w:val="none"/>
          <w:u w:val="single"/>
        </w:rPr>
        <w:t>（</w:t>
      </w:r>
      <w:r>
        <w:rPr>
          <w:rFonts w:hint="eastAsia" w:ascii="宋体" w:hAnsi="宋体" w:cs="宋体"/>
          <w:b/>
          <w:bCs/>
          <w:color w:val="auto"/>
          <w:sz w:val="24"/>
          <w:highlight w:val="none"/>
          <w:u w:val="single"/>
        </w:rPr>
        <w:t xml:space="preserve">¥ </w:t>
      </w:r>
      <w:r>
        <w:rPr>
          <w:rFonts w:hint="eastAsia" w:ascii="宋体" w:hAnsi="宋体" w:cs="宋体"/>
          <w:color w:val="auto"/>
          <w:sz w:val="24"/>
          <w:highlight w:val="none"/>
          <w:u w:val="single"/>
        </w:rPr>
        <w:t xml:space="preserve">），即人民币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rPr>
        <w:t>签订合同前交至指定账户，否则不予签订合同。如乙方违反相关法律法规，不履行所订立的合同，甲方有权取消乙方中标资格，本合同自动终止。履约保证金不予返还，所造成的损失超过履约保证金数额的，乙方还应对超出部分予以赔偿。</w:t>
      </w:r>
    </w:p>
    <w:p w14:paraId="396611B5">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2.履约保证金递交方式：</w:t>
      </w:r>
      <w:r>
        <w:rPr>
          <w:rFonts w:hint="eastAsia" w:ascii="宋体" w:hAnsi="宋体" w:cs="宋体"/>
          <w:color w:val="auto"/>
          <w:sz w:val="24"/>
          <w:highlight w:val="none"/>
          <w:u w:val="single"/>
        </w:rPr>
        <w:t>银行转账、电汇、或网上支付、支票、汇票、本票后者银行、保险机构出具的保函等非现金方式。</w:t>
      </w:r>
    </w:p>
    <w:p w14:paraId="7864314A">
      <w:pPr>
        <w:tabs>
          <w:tab w:val="left" w:pos="42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3.履约保证金退付方式、时间及条件：服务验收合格后，甲方向乙方无息退还履约保证金。</w:t>
      </w:r>
    </w:p>
    <w:p w14:paraId="01D9AEF5">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由乙方向甲方提供《广西壮族自治区政府采购项目合同验收书》或广西福利彩票发行中心的验收报告（甲方提供格式）、《政府采购项目履约保证金退付意见书》，甲方在收到合格材料后5个工作日内办理退还手续（不计利息）。</w:t>
      </w:r>
    </w:p>
    <w:p w14:paraId="5611ECA4">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4.备注：</w:t>
      </w:r>
    </w:p>
    <w:p w14:paraId="5E4FCC4B">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（1）履约保证金不足额缴纳的，或银行出具的保函额度不足的或者银行保函有效期低于合同履行期限（即签订采购合同之日起至履行完合同约定的权利及义务之日止）的，不予签订合同。</w:t>
      </w:r>
    </w:p>
    <w:p w14:paraId="3C761EA2">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（2）采用银行出具的保函的，必须为无条件的银行保函，否则不予签订合同。</w:t>
      </w:r>
    </w:p>
    <w:p w14:paraId="74D840C3">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（3）履约保证金缴纳时须明确备注项目编号</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GXZC2024-G1-005575-KWZB</w:t>
      </w:r>
      <w:r>
        <w:rPr>
          <w:rFonts w:hint="eastAsia" w:ascii="宋体" w:hAnsi="宋体" w:cs="宋体"/>
          <w:color w:val="auto"/>
          <w:sz w:val="24"/>
          <w:highlight w:val="none"/>
          <w:u w:val="single"/>
        </w:rPr>
        <w:t>综合业务安全接入系统升级及维保服务项目</w:t>
      </w:r>
      <w:r>
        <w:rPr>
          <w:rFonts w:hint="eastAsia" w:ascii="宋体" w:hAnsi="宋体"/>
          <w:color w:val="auto"/>
          <w:sz w:val="24"/>
          <w:highlight w:val="none"/>
          <w:u w:val="single"/>
        </w:rPr>
        <w:t xml:space="preserve"> </w:t>
      </w:r>
      <w:r>
        <w:rPr>
          <w:rFonts w:hint="eastAsia" w:ascii="宋体" w:hAnsi="宋体" w:cs="宋体"/>
          <w:color w:val="auto"/>
          <w:sz w:val="24"/>
          <w:highlight w:val="none"/>
          <w:u w:val="single"/>
        </w:rPr>
        <w:t>）</w:t>
      </w:r>
      <w:r>
        <w:rPr>
          <w:rFonts w:hint="eastAsia" w:ascii="宋体" w:hAnsi="宋体" w:cs="宋体"/>
          <w:color w:val="auto"/>
          <w:sz w:val="24"/>
          <w:highlight w:val="none"/>
        </w:rPr>
        <w:t>。</w:t>
      </w:r>
    </w:p>
    <w:p w14:paraId="10338F45">
      <w:pPr>
        <w:snapToGrid w:val="0"/>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签订合同后，如乙方不按双方签订的合同规定履约，则其全部履约保证金甲方不予退还；履约保证金不足以赔偿甲方损失的，按实际损失赔偿。</w:t>
      </w:r>
    </w:p>
    <w:p w14:paraId="58D25B6D">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第八条  税费</w:t>
      </w:r>
    </w:p>
    <w:p w14:paraId="7C560F47">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本合同执行中相关的一切税费均由乙方负担，合同另有约定的除外。</w:t>
      </w:r>
    </w:p>
    <w:p w14:paraId="401888FC">
      <w:pPr>
        <w:snapToGrid w:val="0"/>
        <w:spacing w:line="440" w:lineRule="exact"/>
        <w:ind w:firstLine="482" w:firstLineChars="200"/>
        <w:rPr>
          <w:rFonts w:ascii="宋体" w:hAnsi="宋体" w:cs="宋体"/>
          <w:color w:val="auto"/>
          <w:sz w:val="24"/>
          <w:highlight w:val="none"/>
        </w:rPr>
      </w:pPr>
      <w:r>
        <w:rPr>
          <w:rFonts w:hint="eastAsia" w:ascii="宋体" w:hAnsi="宋体"/>
          <w:b/>
          <w:color w:val="auto"/>
          <w:sz w:val="24"/>
          <w:szCs w:val="20"/>
          <w:highlight w:val="none"/>
        </w:rPr>
        <w:t>第九条 违约责任</w:t>
      </w:r>
    </w:p>
    <w:p w14:paraId="34C82DC1">
      <w:pPr>
        <w:snapToGrid w:val="0"/>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1、除不可抗力原因外，乙方没有按照合同规定的时间提供服务的，甲方可要求乙方支付违约金。每推迟一天按合同金额的万分之四支付违约金，该违约金累计不超过合同金额的10%。                                  </w:t>
      </w:r>
    </w:p>
    <w:p w14:paraId="165148A2">
      <w:pPr>
        <w:snapToGrid w:val="0"/>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2、乙方提供的服务如侵犯了第三方合法权益而引发的任何纠纷或者诉讼，均由乙方负责交涉并承担全部责任。</w:t>
      </w:r>
    </w:p>
    <w:p w14:paraId="2E08D087">
      <w:pPr>
        <w:snapToGrid w:val="0"/>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3、甲方延期付款的，每天向乙方偿付延期款额万分之四违约金，但违约金累计不得超过延期款额5%。</w:t>
      </w:r>
    </w:p>
    <w:p w14:paraId="1C340227">
      <w:pPr>
        <w:snapToGrid w:val="0"/>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4.其它违约责任按《中华人民共和国民法典》处理。</w:t>
      </w:r>
    </w:p>
    <w:p w14:paraId="4D17FEEF">
      <w:pPr>
        <w:snapToGrid w:val="0"/>
        <w:spacing w:line="44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第十条  不可抗力事件处理</w:t>
      </w:r>
    </w:p>
    <w:p w14:paraId="4E1AC7B1">
      <w:pPr>
        <w:snapToGrid w:val="0"/>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1.在合同有效期内，任何一方因不可抗力事件导致不能履行合同，则合同履行期可延长，其延长期与不可抗力影响期相同。</w:t>
      </w:r>
    </w:p>
    <w:p w14:paraId="3ED59A76">
      <w:pPr>
        <w:snapToGrid w:val="0"/>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2.不可抗力事件发生后，应立即通知对方，并寄送有关权威机构出具的证明。</w:t>
      </w:r>
    </w:p>
    <w:p w14:paraId="581C936A">
      <w:pPr>
        <w:snapToGrid w:val="0"/>
        <w:spacing w:line="440" w:lineRule="exact"/>
        <w:ind w:firstLine="480" w:firstLineChars="200"/>
        <w:rPr>
          <w:rFonts w:ascii="宋体" w:hAnsi="宋体"/>
          <w:color w:val="auto"/>
          <w:sz w:val="24"/>
          <w:szCs w:val="20"/>
          <w:highlight w:val="none"/>
        </w:rPr>
      </w:pPr>
      <w:r>
        <w:rPr>
          <w:rFonts w:hint="eastAsia" w:ascii="宋体" w:hAnsi="宋体" w:cs="宋体"/>
          <w:color w:val="auto"/>
          <w:sz w:val="24"/>
          <w:highlight w:val="none"/>
        </w:rPr>
        <w:t>3.不可抗力事件延续60天以上，双方应通</w:t>
      </w:r>
      <w:r>
        <w:rPr>
          <w:rFonts w:hint="eastAsia" w:ascii="宋体" w:hAnsi="宋体"/>
          <w:color w:val="auto"/>
          <w:sz w:val="24"/>
          <w:szCs w:val="20"/>
          <w:highlight w:val="none"/>
        </w:rPr>
        <w:t>过友好协商，确定是否继续履行合同。</w:t>
      </w:r>
    </w:p>
    <w:p w14:paraId="15BC303A">
      <w:pPr>
        <w:spacing w:line="360" w:lineRule="auto"/>
        <w:ind w:firstLine="482" w:firstLineChars="200"/>
        <w:rPr>
          <w:rFonts w:ascii="宋体" w:hAnsi="宋体"/>
          <w:color w:val="auto"/>
          <w:sz w:val="24"/>
          <w:highlight w:val="none"/>
        </w:rPr>
      </w:pPr>
      <w:r>
        <w:rPr>
          <w:rFonts w:hint="eastAsia" w:ascii="宋体" w:hAnsi="宋体"/>
          <w:b/>
          <w:color w:val="auto"/>
          <w:sz w:val="24"/>
          <w:highlight w:val="none"/>
        </w:rPr>
        <w:t>第十一条  合同争议解决</w:t>
      </w:r>
    </w:p>
    <w:p w14:paraId="162CA4A0">
      <w:pPr>
        <w:snapToGrid w:val="0"/>
        <w:spacing w:line="440" w:lineRule="exact"/>
        <w:ind w:firstLine="480" w:firstLineChars="200"/>
        <w:rPr>
          <w:rFonts w:ascii="宋体" w:hAnsi="宋体" w:cs="宋体"/>
          <w:color w:val="auto"/>
          <w:sz w:val="24"/>
          <w:highlight w:val="none"/>
        </w:rPr>
      </w:pPr>
      <w:r>
        <w:rPr>
          <w:rFonts w:hint="eastAsia" w:ascii="宋体" w:hAnsi="宋体"/>
          <w:color w:val="auto"/>
          <w:sz w:val="24"/>
          <w:szCs w:val="20"/>
          <w:highlight w:val="none"/>
        </w:rPr>
        <w:t>1.因服务质量问题发生争议的，应邀请国家认可的质量检测机构进行鉴定。服务符合标准的，鉴定费由甲方承担；</w:t>
      </w:r>
      <w:r>
        <w:rPr>
          <w:rFonts w:hint="eastAsia" w:ascii="宋体" w:hAnsi="宋体" w:cs="宋体"/>
          <w:color w:val="auto"/>
          <w:sz w:val="24"/>
          <w:highlight w:val="none"/>
        </w:rPr>
        <w:t>服务不符合标准的，鉴定费由乙方承担。</w:t>
      </w:r>
    </w:p>
    <w:p w14:paraId="74812881">
      <w:pPr>
        <w:snapToGrid w:val="0"/>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2.因履行本合同引起的或者与本合同有关的争议，甲乙双方应首先通过友好协商解决，如果协商不能解决，可向甲方所在地有管辖权的人民法院提起诉讼。</w:t>
      </w:r>
    </w:p>
    <w:p w14:paraId="3F36B671">
      <w:pPr>
        <w:snapToGrid w:val="0"/>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3.诉讼期间，本合同无争议部分须继续履行。</w:t>
      </w:r>
    </w:p>
    <w:p w14:paraId="49410041">
      <w:pPr>
        <w:snapToGrid w:val="0"/>
        <w:spacing w:line="44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第十二条  合同生效及其它</w:t>
      </w:r>
    </w:p>
    <w:p w14:paraId="1AB5E875">
      <w:pPr>
        <w:snapToGrid w:val="0"/>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1.合同经双方法定代表人或者授权代表签字并加盖单位公章后生效（委托代理人签字的需后附授权委托书，格式自拟）。</w:t>
      </w:r>
    </w:p>
    <w:p w14:paraId="5FF4F8EB">
      <w:pPr>
        <w:snapToGrid w:val="0"/>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2.本合同未尽事宜，遵照《中华人民共和国民法典》有关条文执行。</w:t>
      </w:r>
    </w:p>
    <w:p w14:paraId="0D1C4AC5">
      <w:pPr>
        <w:snapToGrid w:val="0"/>
        <w:spacing w:line="440" w:lineRule="exact"/>
        <w:ind w:firstLine="480" w:firstLineChars="200"/>
        <w:rPr>
          <w:rFonts w:ascii="宋体" w:hAnsi="宋体" w:cs="宋体"/>
          <w:color w:val="auto"/>
          <w:sz w:val="24"/>
          <w:highlight w:val="none"/>
          <w:lang w:val="zh-CN"/>
        </w:rPr>
      </w:pPr>
      <w:r>
        <w:rPr>
          <w:rFonts w:hint="eastAsia" w:ascii="宋体" w:hAnsi="宋体" w:cs="宋体"/>
          <w:color w:val="auto"/>
          <w:sz w:val="24"/>
          <w:highlight w:val="none"/>
        </w:rPr>
        <w:t>3.双方确认本合同落款通讯地址作为文书送达地址，该通讯地址适用于包括双方合同履行过程中的各类通知、补充协议等文件，以及因履行合同发生争议进入民事诉讼程序后的一审、二审、再审和执行程序等阶段法律文书的送达。通讯地址需要变更时应当提前15个工作日书面通知对方。因提供或者确认的通讯地址不准确、通讯地址变更后未及时依程序告知对方或受送达方拒绝签收或拒绝接听快递员投递电话等原因，导致文书未能被实际接收的，邮寄文书被退回之日视为送达之日。</w:t>
      </w:r>
    </w:p>
    <w:p w14:paraId="4CA9B123">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第十三条 合同的变更、终止与转让</w:t>
      </w:r>
    </w:p>
    <w:p w14:paraId="2591E556">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1.除《中华人民共和国政府采购法》第五十条规定的情形外，本合同一经签订，甲乙双方不得擅自变更、中止或者终止。</w:t>
      </w:r>
    </w:p>
    <w:p w14:paraId="1A0C9DA3">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2.乙方不得擅自转让其应履行的合同义务。</w:t>
      </w:r>
    </w:p>
    <w:p w14:paraId="28FCC7E9">
      <w:pP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第十四条 签订本合同依据</w:t>
      </w:r>
    </w:p>
    <w:p w14:paraId="1A501204">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1.中标通知书；</w:t>
      </w:r>
    </w:p>
    <w:p w14:paraId="6A90DDC5">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2.采购需求；</w:t>
      </w:r>
    </w:p>
    <w:p w14:paraId="7AB9E474">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3.开标一览表；</w:t>
      </w:r>
    </w:p>
    <w:p w14:paraId="37A3BC5E">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4.商务要求偏离表和服务需求偏离表；</w:t>
      </w:r>
    </w:p>
    <w:p w14:paraId="3636593D">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5.投标文件中的其他相关文件。</w:t>
      </w:r>
    </w:p>
    <w:p w14:paraId="0AC1C1E8">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6.上述合同文件互相补充和解释。如果合同文件之间存在矛盾或者不一致之处，以上述文件的排列顺序在先者为准。</w:t>
      </w:r>
    </w:p>
    <w:p w14:paraId="57E04E6D">
      <w:pPr>
        <w:spacing w:line="360" w:lineRule="auto"/>
        <w:ind w:firstLine="482" w:firstLineChars="200"/>
        <w:rPr>
          <w:rFonts w:ascii="宋体" w:hAnsi="宋体"/>
          <w:color w:val="auto"/>
          <w:sz w:val="24"/>
          <w:highlight w:val="none"/>
        </w:rPr>
      </w:pPr>
      <w:r>
        <w:rPr>
          <w:rFonts w:hint="eastAsia" w:ascii="宋体" w:hAnsi="宋体"/>
          <w:b/>
          <w:color w:val="auto"/>
          <w:sz w:val="24"/>
          <w:highlight w:val="none"/>
        </w:rPr>
        <w:t xml:space="preserve">第十五条 </w:t>
      </w:r>
      <w:r>
        <w:rPr>
          <w:rFonts w:hint="eastAsia" w:ascii="宋体" w:hAnsi="宋体"/>
          <w:color w:val="auto"/>
          <w:sz w:val="24"/>
          <w:highlight w:val="none"/>
        </w:rPr>
        <w:t>本合同一式柒份，具有同等法律效力，甲方肆份，乙方贰份，采购代理机构壹份。</w:t>
      </w:r>
    </w:p>
    <w:p w14:paraId="52A2D9D1">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本合同自签订之日起2个工作日内，甲方应当将采购合同在广西壮族自治区财政厅指定的媒体上公告。</w:t>
      </w:r>
    </w:p>
    <w:tbl>
      <w:tblPr>
        <w:tblStyle w:val="47"/>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0"/>
        <w:gridCol w:w="4580"/>
      </w:tblGrid>
      <w:tr w14:paraId="69A8A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1" w:hRule="atLeast"/>
          <w:jc w:val="center"/>
        </w:trPr>
        <w:tc>
          <w:tcPr>
            <w:tcW w:w="4780" w:type="dxa"/>
            <w:tcBorders>
              <w:top w:val="single" w:color="auto" w:sz="4" w:space="0"/>
              <w:left w:val="single" w:color="auto" w:sz="4" w:space="0"/>
              <w:bottom w:val="single" w:color="auto" w:sz="4" w:space="0"/>
              <w:right w:val="single" w:color="auto" w:sz="4" w:space="0"/>
            </w:tcBorders>
            <w:vAlign w:val="center"/>
          </w:tcPr>
          <w:p w14:paraId="276A85B6">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甲方：</w:t>
            </w:r>
            <w:bookmarkStart w:id="139" w:name="OLE_LINK1"/>
            <w:r>
              <w:rPr>
                <w:rFonts w:hint="eastAsia" w:ascii="宋体" w:hAnsi="宋体" w:cs="宋体"/>
                <w:color w:val="auto"/>
                <w:kern w:val="0"/>
                <w:sz w:val="24"/>
                <w:highlight w:val="none"/>
              </w:rPr>
              <w:t>广西福利彩票发行中心（章）</w:t>
            </w:r>
            <w:bookmarkEnd w:id="139"/>
          </w:p>
          <w:p w14:paraId="0D693915">
            <w:pPr>
              <w:snapToGrid w:val="0"/>
              <w:spacing w:line="360" w:lineRule="auto"/>
              <w:rPr>
                <w:rFonts w:ascii="宋体" w:hAnsi="宋体" w:cs="宋体"/>
                <w:color w:val="auto"/>
                <w:kern w:val="0"/>
                <w:sz w:val="24"/>
                <w:highlight w:val="none"/>
              </w:rPr>
            </w:pPr>
          </w:p>
          <w:p w14:paraId="5F44B6A1">
            <w:pPr>
              <w:snapToGrid w:val="0"/>
              <w:spacing w:line="360" w:lineRule="auto"/>
              <w:ind w:firstLine="1080" w:firstLineChars="450"/>
              <w:jc w:val="right"/>
              <w:rPr>
                <w:rFonts w:ascii="宋体" w:hAnsi="宋体" w:cs="宋体"/>
                <w:color w:val="auto"/>
                <w:kern w:val="0"/>
                <w:sz w:val="24"/>
                <w:highlight w:val="none"/>
              </w:rPr>
            </w:pPr>
            <w:r>
              <w:rPr>
                <w:rFonts w:hint="eastAsia" w:ascii="宋体" w:hAnsi="宋体" w:cs="宋体"/>
                <w:color w:val="auto"/>
                <w:kern w:val="0"/>
                <w:sz w:val="24"/>
                <w:highlight w:val="none"/>
              </w:rPr>
              <w:t xml:space="preserve"> 年   月   日</w:t>
            </w:r>
          </w:p>
        </w:tc>
        <w:tc>
          <w:tcPr>
            <w:tcW w:w="4580" w:type="dxa"/>
            <w:tcBorders>
              <w:top w:val="single" w:color="auto" w:sz="4" w:space="0"/>
              <w:left w:val="single" w:color="auto" w:sz="4" w:space="0"/>
              <w:bottom w:val="single" w:color="auto" w:sz="4" w:space="0"/>
              <w:right w:val="single" w:color="auto" w:sz="4" w:space="0"/>
            </w:tcBorders>
            <w:vAlign w:val="center"/>
          </w:tcPr>
          <w:p w14:paraId="4D5632E5">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乙方：   （章）              </w:t>
            </w:r>
          </w:p>
          <w:p w14:paraId="4A70B74D">
            <w:pPr>
              <w:snapToGrid w:val="0"/>
              <w:spacing w:line="360" w:lineRule="auto"/>
              <w:rPr>
                <w:rFonts w:ascii="宋体" w:hAnsi="宋体" w:cs="宋体"/>
                <w:color w:val="auto"/>
                <w:kern w:val="0"/>
                <w:sz w:val="24"/>
                <w:highlight w:val="none"/>
              </w:rPr>
            </w:pPr>
          </w:p>
          <w:p w14:paraId="0FAF9962">
            <w:pPr>
              <w:snapToGrid w:val="0"/>
              <w:spacing w:line="360" w:lineRule="auto"/>
              <w:jc w:val="right"/>
              <w:rPr>
                <w:rFonts w:ascii="宋体" w:hAnsi="宋体" w:cs="宋体"/>
                <w:color w:val="auto"/>
                <w:kern w:val="0"/>
                <w:sz w:val="24"/>
                <w:highlight w:val="none"/>
              </w:rPr>
            </w:pPr>
            <w:r>
              <w:rPr>
                <w:rFonts w:hint="eastAsia" w:ascii="宋体" w:hAnsi="宋体" w:cs="宋体"/>
                <w:color w:val="auto"/>
                <w:kern w:val="0"/>
                <w:sz w:val="24"/>
                <w:highlight w:val="none"/>
              </w:rPr>
              <w:t xml:space="preserve"> 年   月   日</w:t>
            </w:r>
          </w:p>
        </w:tc>
      </w:tr>
      <w:tr w14:paraId="7906A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4780" w:type="dxa"/>
            <w:tcBorders>
              <w:top w:val="single" w:color="auto" w:sz="4" w:space="0"/>
              <w:left w:val="single" w:color="auto" w:sz="4" w:space="0"/>
              <w:bottom w:val="single" w:color="auto" w:sz="4" w:space="0"/>
              <w:right w:val="single" w:color="auto" w:sz="4" w:space="0"/>
            </w:tcBorders>
            <w:vAlign w:val="center"/>
          </w:tcPr>
          <w:p w14:paraId="2D58A4A2">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单位地址：南宁市青秀区葛村路23号</w:t>
            </w:r>
          </w:p>
        </w:tc>
        <w:tc>
          <w:tcPr>
            <w:tcW w:w="4580" w:type="dxa"/>
            <w:tcBorders>
              <w:top w:val="single" w:color="auto" w:sz="4" w:space="0"/>
              <w:left w:val="single" w:color="auto" w:sz="4" w:space="0"/>
              <w:bottom w:val="single" w:color="auto" w:sz="4" w:space="0"/>
              <w:right w:val="single" w:color="auto" w:sz="4" w:space="0"/>
            </w:tcBorders>
            <w:vAlign w:val="center"/>
          </w:tcPr>
          <w:p w14:paraId="3AE68190">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单位地址： </w:t>
            </w:r>
          </w:p>
        </w:tc>
      </w:tr>
      <w:tr w14:paraId="65B67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7" w:hRule="atLeast"/>
          <w:jc w:val="center"/>
        </w:trPr>
        <w:tc>
          <w:tcPr>
            <w:tcW w:w="4780" w:type="dxa"/>
            <w:tcBorders>
              <w:top w:val="single" w:color="auto" w:sz="4" w:space="0"/>
              <w:left w:val="single" w:color="auto" w:sz="4" w:space="0"/>
              <w:bottom w:val="single" w:color="auto" w:sz="4" w:space="0"/>
              <w:right w:val="single" w:color="auto" w:sz="4" w:space="0"/>
            </w:tcBorders>
            <w:vAlign w:val="center"/>
          </w:tcPr>
          <w:p w14:paraId="3734B474">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法定代表人：</w:t>
            </w:r>
          </w:p>
        </w:tc>
        <w:tc>
          <w:tcPr>
            <w:tcW w:w="4580" w:type="dxa"/>
            <w:tcBorders>
              <w:top w:val="single" w:color="auto" w:sz="4" w:space="0"/>
              <w:left w:val="single" w:color="auto" w:sz="4" w:space="0"/>
              <w:bottom w:val="single" w:color="auto" w:sz="4" w:space="0"/>
              <w:right w:val="single" w:color="auto" w:sz="4" w:space="0"/>
            </w:tcBorders>
            <w:vAlign w:val="center"/>
          </w:tcPr>
          <w:p w14:paraId="0354A6BC">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法定代表人：</w:t>
            </w:r>
          </w:p>
        </w:tc>
      </w:tr>
      <w:tr w14:paraId="4D89B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7" w:hRule="atLeast"/>
          <w:jc w:val="center"/>
        </w:trPr>
        <w:tc>
          <w:tcPr>
            <w:tcW w:w="4780" w:type="dxa"/>
            <w:tcBorders>
              <w:top w:val="single" w:color="auto" w:sz="4" w:space="0"/>
              <w:left w:val="single" w:color="auto" w:sz="4" w:space="0"/>
              <w:bottom w:val="single" w:color="auto" w:sz="4" w:space="0"/>
              <w:right w:val="single" w:color="auto" w:sz="4" w:space="0"/>
            </w:tcBorders>
            <w:vAlign w:val="center"/>
          </w:tcPr>
          <w:p w14:paraId="34D7C86D">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委托代理人：</w:t>
            </w:r>
          </w:p>
        </w:tc>
        <w:tc>
          <w:tcPr>
            <w:tcW w:w="4580" w:type="dxa"/>
            <w:tcBorders>
              <w:top w:val="single" w:color="auto" w:sz="4" w:space="0"/>
              <w:left w:val="single" w:color="auto" w:sz="4" w:space="0"/>
              <w:bottom w:val="single" w:color="auto" w:sz="4" w:space="0"/>
              <w:right w:val="single" w:color="auto" w:sz="4" w:space="0"/>
            </w:tcBorders>
            <w:vAlign w:val="center"/>
          </w:tcPr>
          <w:p w14:paraId="7FDBA8E9">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委托代理人:</w:t>
            </w:r>
          </w:p>
        </w:tc>
      </w:tr>
      <w:tr w14:paraId="586A3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780" w:type="dxa"/>
            <w:tcBorders>
              <w:top w:val="single" w:color="auto" w:sz="4" w:space="0"/>
              <w:left w:val="single" w:color="auto" w:sz="4" w:space="0"/>
              <w:bottom w:val="single" w:color="auto" w:sz="4" w:space="0"/>
              <w:right w:val="single" w:color="auto" w:sz="4" w:space="0"/>
            </w:tcBorders>
            <w:vAlign w:val="center"/>
          </w:tcPr>
          <w:p w14:paraId="78503AF6">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电话：0771-</w:t>
            </w:r>
          </w:p>
        </w:tc>
        <w:tc>
          <w:tcPr>
            <w:tcW w:w="4580" w:type="dxa"/>
            <w:tcBorders>
              <w:top w:val="single" w:color="auto" w:sz="4" w:space="0"/>
              <w:left w:val="single" w:color="auto" w:sz="4" w:space="0"/>
              <w:bottom w:val="single" w:color="auto" w:sz="4" w:space="0"/>
              <w:right w:val="single" w:color="auto" w:sz="4" w:space="0"/>
            </w:tcBorders>
            <w:vAlign w:val="center"/>
          </w:tcPr>
          <w:p w14:paraId="7C38F701">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电话： </w:t>
            </w:r>
          </w:p>
        </w:tc>
      </w:tr>
      <w:tr w14:paraId="538F0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780" w:type="dxa"/>
            <w:tcBorders>
              <w:top w:val="single" w:color="auto" w:sz="4" w:space="0"/>
              <w:left w:val="single" w:color="auto" w:sz="4" w:space="0"/>
              <w:bottom w:val="single" w:color="auto" w:sz="4" w:space="0"/>
              <w:right w:val="single" w:color="auto" w:sz="4" w:space="0"/>
            </w:tcBorders>
            <w:vAlign w:val="center"/>
          </w:tcPr>
          <w:p w14:paraId="02CFBEF4">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邮箱：</w:t>
            </w:r>
          </w:p>
        </w:tc>
        <w:tc>
          <w:tcPr>
            <w:tcW w:w="4580" w:type="dxa"/>
            <w:tcBorders>
              <w:top w:val="single" w:color="auto" w:sz="4" w:space="0"/>
              <w:left w:val="single" w:color="auto" w:sz="4" w:space="0"/>
              <w:bottom w:val="single" w:color="auto" w:sz="4" w:space="0"/>
              <w:right w:val="single" w:color="auto" w:sz="4" w:space="0"/>
            </w:tcBorders>
            <w:vAlign w:val="center"/>
          </w:tcPr>
          <w:p w14:paraId="3F49D580">
            <w:pPr>
              <w:snapToGrid w:val="0"/>
              <w:spacing w:line="360" w:lineRule="auto"/>
              <w:rPr>
                <w:rFonts w:ascii="宋体" w:hAnsi="宋体" w:cs="宋体"/>
                <w:color w:val="auto"/>
                <w:kern w:val="0"/>
                <w:sz w:val="24"/>
                <w:highlight w:val="none"/>
              </w:rPr>
            </w:pPr>
            <w:r>
              <w:rPr>
                <w:rFonts w:hint="eastAsia" w:ascii="宋体" w:cs="宋体"/>
                <w:color w:val="auto"/>
                <w:kern w:val="0"/>
                <w:sz w:val="24"/>
                <w:highlight w:val="none"/>
              </w:rPr>
              <w:t xml:space="preserve">邮箱： </w:t>
            </w:r>
          </w:p>
        </w:tc>
      </w:tr>
      <w:tr w14:paraId="7A6AC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780" w:type="dxa"/>
            <w:tcBorders>
              <w:top w:val="single" w:color="auto" w:sz="4" w:space="0"/>
              <w:left w:val="single" w:color="auto" w:sz="4" w:space="0"/>
              <w:bottom w:val="single" w:color="auto" w:sz="4" w:space="0"/>
              <w:right w:val="single" w:color="auto" w:sz="4" w:space="0"/>
            </w:tcBorders>
            <w:vAlign w:val="center"/>
          </w:tcPr>
          <w:p w14:paraId="7B972E6B">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开户银行：</w:t>
            </w:r>
          </w:p>
        </w:tc>
        <w:tc>
          <w:tcPr>
            <w:tcW w:w="4580" w:type="dxa"/>
            <w:tcBorders>
              <w:top w:val="single" w:color="auto" w:sz="4" w:space="0"/>
              <w:left w:val="single" w:color="auto" w:sz="4" w:space="0"/>
              <w:bottom w:val="single" w:color="auto" w:sz="4" w:space="0"/>
              <w:right w:val="single" w:color="auto" w:sz="4" w:space="0"/>
            </w:tcBorders>
            <w:vAlign w:val="center"/>
          </w:tcPr>
          <w:p w14:paraId="6822C03A">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开户银行： </w:t>
            </w:r>
          </w:p>
        </w:tc>
      </w:tr>
      <w:tr w14:paraId="52858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780" w:type="dxa"/>
            <w:tcBorders>
              <w:top w:val="single" w:color="auto" w:sz="4" w:space="0"/>
              <w:left w:val="single" w:color="auto" w:sz="4" w:space="0"/>
              <w:bottom w:val="single" w:color="auto" w:sz="4" w:space="0"/>
              <w:right w:val="single" w:color="auto" w:sz="4" w:space="0"/>
            </w:tcBorders>
            <w:vAlign w:val="center"/>
          </w:tcPr>
          <w:p w14:paraId="1AB43F6F">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账号：</w:t>
            </w:r>
          </w:p>
        </w:tc>
        <w:tc>
          <w:tcPr>
            <w:tcW w:w="4580" w:type="dxa"/>
            <w:tcBorders>
              <w:top w:val="single" w:color="auto" w:sz="4" w:space="0"/>
              <w:left w:val="single" w:color="auto" w:sz="4" w:space="0"/>
              <w:bottom w:val="single" w:color="auto" w:sz="4" w:space="0"/>
              <w:right w:val="single" w:color="auto" w:sz="4" w:space="0"/>
            </w:tcBorders>
            <w:vAlign w:val="center"/>
          </w:tcPr>
          <w:p w14:paraId="41500F8A">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账号：</w:t>
            </w:r>
          </w:p>
        </w:tc>
      </w:tr>
      <w:tr w14:paraId="31B76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780" w:type="dxa"/>
            <w:tcBorders>
              <w:top w:val="single" w:color="auto" w:sz="4" w:space="0"/>
              <w:left w:val="single" w:color="auto" w:sz="4" w:space="0"/>
              <w:bottom w:val="single" w:color="auto" w:sz="4" w:space="0"/>
              <w:right w:val="single" w:color="auto" w:sz="4" w:space="0"/>
            </w:tcBorders>
            <w:vAlign w:val="center"/>
          </w:tcPr>
          <w:p w14:paraId="5F14C3A3">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邮政编码：</w:t>
            </w:r>
          </w:p>
        </w:tc>
        <w:tc>
          <w:tcPr>
            <w:tcW w:w="4580" w:type="dxa"/>
            <w:tcBorders>
              <w:top w:val="single" w:color="auto" w:sz="4" w:space="0"/>
              <w:left w:val="single" w:color="auto" w:sz="4" w:space="0"/>
              <w:bottom w:val="single" w:color="auto" w:sz="4" w:space="0"/>
              <w:right w:val="single" w:color="auto" w:sz="4" w:space="0"/>
            </w:tcBorders>
            <w:vAlign w:val="center"/>
          </w:tcPr>
          <w:p w14:paraId="2F9948F9">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邮政编码： </w:t>
            </w:r>
          </w:p>
        </w:tc>
      </w:tr>
    </w:tbl>
    <w:p w14:paraId="05F4686A">
      <w:pPr>
        <w:spacing w:line="360" w:lineRule="auto"/>
        <w:rPr>
          <w:color w:val="auto"/>
          <w:sz w:val="24"/>
          <w:highlight w:val="none"/>
        </w:rPr>
      </w:pPr>
    </w:p>
    <w:p w14:paraId="360466FF">
      <w:pPr>
        <w:snapToGrid w:val="0"/>
        <w:spacing w:line="360" w:lineRule="auto"/>
        <w:jc w:val="center"/>
        <w:rPr>
          <w:rFonts w:ascii="宋体" w:hAnsi="宋体"/>
          <w:bCs/>
          <w:color w:val="auto"/>
          <w:sz w:val="24"/>
          <w:highlight w:val="none"/>
        </w:rPr>
      </w:pPr>
    </w:p>
    <w:p w14:paraId="48366D59">
      <w:pPr>
        <w:snapToGrid w:val="0"/>
        <w:spacing w:line="360" w:lineRule="auto"/>
        <w:jc w:val="center"/>
        <w:rPr>
          <w:rFonts w:ascii="宋体" w:hAnsi="宋体"/>
          <w:bCs/>
          <w:color w:val="auto"/>
          <w:sz w:val="24"/>
          <w:highlight w:val="none"/>
        </w:rPr>
      </w:pPr>
    </w:p>
    <w:p w14:paraId="54D53E44">
      <w:pPr>
        <w:spacing w:line="460" w:lineRule="exact"/>
        <w:rPr>
          <w:rFonts w:ascii="宋体" w:hAnsi="宋体" w:cs="宋体"/>
          <w:b/>
          <w:bCs/>
          <w:color w:val="auto"/>
          <w:kern w:val="0"/>
          <w:sz w:val="24"/>
          <w:highlight w:val="none"/>
        </w:rPr>
      </w:pPr>
    </w:p>
    <w:p w14:paraId="2DA0AF8D">
      <w:pPr>
        <w:snapToGrid w:val="0"/>
        <w:jc w:val="center"/>
        <w:rPr>
          <w:rFonts w:ascii="宋体" w:hAnsi="宋体" w:cs="宋体"/>
          <w:bCs/>
          <w:color w:val="auto"/>
          <w:sz w:val="32"/>
          <w:szCs w:val="32"/>
          <w:highlight w:val="none"/>
        </w:rPr>
      </w:pPr>
    </w:p>
    <w:p w14:paraId="4AC542EE">
      <w:pPr>
        <w:snapToGrid w:val="0"/>
        <w:jc w:val="center"/>
        <w:rPr>
          <w:rFonts w:ascii="宋体" w:hAnsi="宋体" w:cs="宋体"/>
          <w:bCs/>
          <w:color w:val="auto"/>
          <w:sz w:val="32"/>
          <w:szCs w:val="32"/>
          <w:highlight w:val="none"/>
        </w:rPr>
      </w:pPr>
    </w:p>
    <w:p w14:paraId="6FAACE84">
      <w:pPr>
        <w:rPr>
          <w:rFonts w:ascii="宋体" w:hAnsi="宋体" w:cs="宋体"/>
          <w:color w:val="auto"/>
          <w:highlight w:val="none"/>
        </w:rPr>
      </w:pPr>
      <w:bookmarkStart w:id="140" w:name="_Toc74320805"/>
      <w:r>
        <w:rPr>
          <w:rFonts w:hint="eastAsia" w:ascii="宋体" w:hAnsi="宋体" w:cs="宋体"/>
          <w:color w:val="auto"/>
          <w:highlight w:val="none"/>
        </w:rPr>
        <w:br w:type="page"/>
      </w:r>
    </w:p>
    <w:p w14:paraId="6E141101">
      <w:pPr>
        <w:pStyle w:val="3"/>
        <w:jc w:val="center"/>
        <w:rPr>
          <w:rFonts w:ascii="宋体" w:hAnsi="宋体" w:cs="宋体"/>
          <w:color w:val="auto"/>
          <w:highlight w:val="none"/>
        </w:rPr>
      </w:pPr>
      <w:r>
        <w:rPr>
          <w:rFonts w:hint="eastAsia" w:ascii="宋体" w:hAnsi="宋体" w:cs="宋体"/>
          <w:color w:val="auto"/>
          <w:highlight w:val="none"/>
        </w:rPr>
        <w:t>第六章　投标文件格式</w:t>
      </w:r>
      <w:bookmarkEnd w:id="140"/>
    </w:p>
    <w:p w14:paraId="4C58CBB6">
      <w:pPr>
        <w:rPr>
          <w:rFonts w:ascii="宋体" w:hAnsi="宋体" w:cs="宋体"/>
          <w:b/>
          <w:color w:val="auto"/>
          <w:sz w:val="28"/>
          <w:szCs w:val="28"/>
          <w:highlight w:val="none"/>
        </w:rPr>
      </w:pPr>
      <w:bookmarkStart w:id="141" w:name="_Toc19686836"/>
      <w:bookmarkStart w:id="142" w:name="_Toc254970557"/>
      <w:bookmarkStart w:id="143" w:name="_Toc254970698"/>
      <w:r>
        <w:rPr>
          <w:rFonts w:hint="eastAsia" w:ascii="宋体" w:hAnsi="宋体" w:cs="宋体"/>
          <w:b/>
          <w:color w:val="auto"/>
          <w:sz w:val="28"/>
          <w:szCs w:val="28"/>
          <w:highlight w:val="none"/>
        </w:rPr>
        <w:t>一、报价文件格式</w:t>
      </w:r>
      <w:bookmarkEnd w:id="141"/>
    </w:p>
    <w:p w14:paraId="1B41E0D3">
      <w:pPr>
        <w:snapToGrid w:val="0"/>
        <w:spacing w:before="166" w:beforeLines="50" w:after="50" w:line="360" w:lineRule="auto"/>
        <w:ind w:left="142"/>
        <w:jc w:val="left"/>
        <w:rPr>
          <w:rFonts w:ascii="宋体" w:hAnsi="宋体" w:cs="宋体"/>
          <w:color w:val="auto"/>
          <w:sz w:val="24"/>
          <w:highlight w:val="none"/>
        </w:rPr>
      </w:pPr>
      <w:r>
        <w:rPr>
          <w:rFonts w:hint="eastAsia" w:ascii="宋体" w:hAnsi="宋体" w:cs="宋体"/>
          <w:b/>
          <w:color w:val="auto"/>
          <w:sz w:val="24"/>
          <w:highlight w:val="none"/>
        </w:rPr>
        <w:t xml:space="preserve">1. 报价文件封面格式： </w:t>
      </w:r>
    </w:p>
    <w:p w14:paraId="0C3171AC">
      <w:pPr>
        <w:snapToGrid w:val="0"/>
        <w:spacing w:before="166" w:beforeLines="50" w:after="50" w:line="400" w:lineRule="exact"/>
        <w:rPr>
          <w:rFonts w:ascii="宋体" w:hAnsi="宋体" w:cs="宋体"/>
          <w:bCs/>
          <w:color w:val="auto"/>
          <w:sz w:val="24"/>
          <w:highlight w:val="none"/>
        </w:rPr>
      </w:pPr>
      <w:r>
        <w:rPr>
          <w:rFonts w:hint="eastAsia" w:ascii="宋体" w:hAnsi="宋体" w:cs="宋体"/>
          <w:color w:val="auto"/>
          <w:sz w:val="24"/>
          <w:highlight w:val="none"/>
        </w:rPr>
        <w:t xml:space="preserve">                                                   </w:t>
      </w:r>
    </w:p>
    <w:p w14:paraId="1A7951A8">
      <w:pPr>
        <w:snapToGrid w:val="0"/>
        <w:spacing w:before="166" w:beforeLines="50" w:after="50" w:line="400" w:lineRule="exact"/>
        <w:jc w:val="center"/>
        <w:rPr>
          <w:rFonts w:ascii="宋体" w:hAnsi="宋体" w:cs="宋体"/>
          <w:bCs/>
          <w:color w:val="auto"/>
          <w:sz w:val="24"/>
          <w:highlight w:val="none"/>
        </w:rPr>
      </w:pPr>
    </w:p>
    <w:p w14:paraId="61BAAD3C">
      <w:pPr>
        <w:snapToGrid w:val="0"/>
        <w:spacing w:before="166" w:beforeLines="50" w:after="50"/>
        <w:jc w:val="center"/>
        <w:rPr>
          <w:rFonts w:ascii="宋体" w:hAnsi="宋体" w:cs="宋体"/>
          <w:color w:val="auto"/>
          <w:sz w:val="84"/>
          <w:szCs w:val="84"/>
          <w:highlight w:val="none"/>
        </w:rPr>
      </w:pPr>
      <w:r>
        <w:rPr>
          <w:rFonts w:hint="eastAsia" w:ascii="宋体" w:hAnsi="宋体" w:cs="宋体"/>
          <w:color w:val="auto"/>
          <w:sz w:val="84"/>
          <w:szCs w:val="84"/>
          <w:highlight w:val="none"/>
        </w:rPr>
        <w:t>投  标  文  件</w:t>
      </w:r>
    </w:p>
    <w:p w14:paraId="5E535B9E">
      <w:pPr>
        <w:snapToGrid w:val="0"/>
        <w:spacing w:before="166" w:beforeLines="50" w:after="50" w:line="400" w:lineRule="exact"/>
        <w:jc w:val="center"/>
        <w:rPr>
          <w:rFonts w:ascii="宋体" w:hAnsi="宋体" w:cs="宋体"/>
          <w:bCs/>
          <w:color w:val="auto"/>
          <w:sz w:val="32"/>
          <w:szCs w:val="32"/>
          <w:highlight w:val="none"/>
        </w:rPr>
      </w:pPr>
    </w:p>
    <w:p w14:paraId="675A4E67">
      <w:pPr>
        <w:snapToGrid w:val="0"/>
        <w:spacing w:before="166" w:beforeLines="50" w:after="50" w:line="400" w:lineRule="exact"/>
        <w:jc w:val="center"/>
        <w:rPr>
          <w:rFonts w:ascii="宋体" w:hAnsi="宋体" w:cs="宋体"/>
          <w:color w:val="auto"/>
          <w:sz w:val="48"/>
          <w:szCs w:val="48"/>
          <w:highlight w:val="none"/>
        </w:rPr>
      </w:pPr>
      <w:r>
        <w:rPr>
          <w:rFonts w:hint="eastAsia" w:ascii="宋体" w:hAnsi="宋体" w:cs="宋体"/>
          <w:color w:val="auto"/>
          <w:sz w:val="48"/>
          <w:szCs w:val="48"/>
          <w:highlight w:val="none"/>
        </w:rPr>
        <w:t>报  价  文  件</w:t>
      </w:r>
    </w:p>
    <w:p w14:paraId="21948A02">
      <w:pPr>
        <w:snapToGrid w:val="0"/>
        <w:spacing w:before="166" w:beforeLines="50" w:after="50" w:line="400" w:lineRule="exact"/>
        <w:rPr>
          <w:rFonts w:ascii="宋体" w:hAnsi="宋体" w:cs="宋体"/>
          <w:bCs/>
          <w:color w:val="auto"/>
          <w:sz w:val="24"/>
          <w:szCs w:val="20"/>
          <w:highlight w:val="none"/>
        </w:rPr>
      </w:pPr>
    </w:p>
    <w:p w14:paraId="0CD2ED8F">
      <w:pPr>
        <w:snapToGrid w:val="0"/>
        <w:spacing w:before="166" w:beforeLines="50" w:after="50" w:line="400" w:lineRule="exact"/>
        <w:rPr>
          <w:rFonts w:ascii="宋体" w:hAnsi="宋体" w:cs="宋体"/>
          <w:bCs/>
          <w:color w:val="auto"/>
          <w:sz w:val="24"/>
          <w:szCs w:val="20"/>
          <w:highlight w:val="none"/>
        </w:rPr>
      </w:pPr>
    </w:p>
    <w:p w14:paraId="17D25861">
      <w:pPr>
        <w:snapToGrid w:val="0"/>
        <w:spacing w:before="166" w:beforeLines="50" w:after="50" w:line="400" w:lineRule="exact"/>
        <w:ind w:firstLine="1960" w:firstLineChars="700"/>
        <w:rPr>
          <w:rFonts w:ascii="宋体" w:hAnsi="宋体" w:cs="宋体"/>
          <w:bCs/>
          <w:color w:val="auto"/>
          <w:sz w:val="28"/>
          <w:szCs w:val="21"/>
          <w:highlight w:val="none"/>
        </w:rPr>
      </w:pPr>
    </w:p>
    <w:p w14:paraId="4879DA84">
      <w:pPr>
        <w:snapToGrid w:val="0"/>
        <w:spacing w:before="166" w:beforeLines="50" w:after="50" w:line="400" w:lineRule="exact"/>
        <w:ind w:firstLine="1960" w:firstLineChars="700"/>
        <w:rPr>
          <w:rFonts w:ascii="宋体" w:hAnsi="宋体" w:cs="宋体"/>
          <w:bCs/>
          <w:color w:val="auto"/>
          <w:sz w:val="28"/>
          <w:szCs w:val="21"/>
          <w:highlight w:val="none"/>
        </w:rPr>
      </w:pPr>
    </w:p>
    <w:p w14:paraId="003BF528">
      <w:pPr>
        <w:snapToGrid w:val="0"/>
        <w:spacing w:before="166" w:beforeLines="50" w:after="50" w:line="400" w:lineRule="exact"/>
        <w:ind w:firstLine="1960" w:firstLineChars="700"/>
        <w:rPr>
          <w:rFonts w:ascii="宋体" w:hAnsi="宋体" w:cs="宋体"/>
          <w:bCs/>
          <w:color w:val="auto"/>
          <w:sz w:val="28"/>
          <w:szCs w:val="28"/>
          <w:highlight w:val="none"/>
        </w:rPr>
      </w:pPr>
      <w:r>
        <w:rPr>
          <w:rFonts w:hint="eastAsia" w:ascii="宋体" w:hAnsi="宋体" w:cs="宋体"/>
          <w:bCs/>
          <w:color w:val="auto"/>
          <w:sz w:val="28"/>
          <w:szCs w:val="28"/>
          <w:highlight w:val="none"/>
        </w:rPr>
        <w:t xml:space="preserve">项目名称： </w:t>
      </w:r>
    </w:p>
    <w:p w14:paraId="1FDBC7C8">
      <w:pPr>
        <w:snapToGrid w:val="0"/>
        <w:spacing w:before="166" w:beforeLines="50" w:after="50" w:line="400" w:lineRule="exact"/>
        <w:ind w:firstLine="1960" w:firstLineChars="700"/>
        <w:rPr>
          <w:rFonts w:ascii="宋体" w:hAnsi="宋体" w:cs="宋体"/>
          <w:bCs/>
          <w:color w:val="auto"/>
          <w:sz w:val="28"/>
          <w:szCs w:val="28"/>
          <w:highlight w:val="none"/>
        </w:rPr>
      </w:pPr>
      <w:r>
        <w:rPr>
          <w:rFonts w:hint="eastAsia" w:ascii="宋体" w:hAnsi="宋体" w:cs="宋体"/>
          <w:bCs/>
          <w:color w:val="auto"/>
          <w:sz w:val="28"/>
          <w:szCs w:val="28"/>
          <w:highlight w:val="none"/>
        </w:rPr>
        <w:t xml:space="preserve">项目编号： </w:t>
      </w:r>
    </w:p>
    <w:p w14:paraId="7DEE9DD0">
      <w:pPr>
        <w:snapToGrid w:val="0"/>
        <w:spacing w:before="166" w:beforeLines="50" w:after="50" w:line="400" w:lineRule="exact"/>
        <w:ind w:firstLine="1960" w:firstLineChars="700"/>
        <w:rPr>
          <w:rFonts w:ascii="宋体" w:hAnsi="宋体" w:cs="宋体"/>
          <w:bCs/>
          <w:color w:val="auto"/>
          <w:sz w:val="28"/>
          <w:szCs w:val="28"/>
          <w:highlight w:val="none"/>
        </w:rPr>
      </w:pPr>
      <w:r>
        <w:rPr>
          <w:rFonts w:hint="eastAsia" w:ascii="宋体" w:hAnsi="宋体" w:cs="宋体"/>
          <w:bCs/>
          <w:color w:val="auto"/>
          <w:sz w:val="28"/>
          <w:szCs w:val="28"/>
          <w:highlight w:val="none"/>
        </w:rPr>
        <w:t>所投分标：</w:t>
      </w:r>
    </w:p>
    <w:p w14:paraId="272DCD52">
      <w:pPr>
        <w:snapToGrid w:val="0"/>
        <w:spacing w:before="166" w:beforeLines="50" w:after="50" w:line="400" w:lineRule="exact"/>
        <w:ind w:firstLine="1960" w:firstLineChars="700"/>
        <w:rPr>
          <w:rFonts w:ascii="宋体" w:hAnsi="宋体" w:cs="宋体"/>
          <w:bCs/>
          <w:color w:val="auto"/>
          <w:sz w:val="28"/>
          <w:szCs w:val="28"/>
          <w:highlight w:val="none"/>
        </w:rPr>
      </w:pPr>
      <w:r>
        <w:rPr>
          <w:rFonts w:hint="eastAsia" w:ascii="宋体" w:hAnsi="宋体" w:cs="宋体"/>
          <w:bCs/>
          <w:color w:val="auto"/>
          <w:sz w:val="28"/>
          <w:szCs w:val="28"/>
          <w:highlight w:val="none"/>
        </w:rPr>
        <w:t>投标人名称：</w:t>
      </w:r>
    </w:p>
    <w:p w14:paraId="3FCCA5F9">
      <w:pPr>
        <w:snapToGrid w:val="0"/>
        <w:spacing w:before="166" w:beforeLines="50" w:after="50" w:line="400" w:lineRule="exact"/>
        <w:ind w:firstLine="1960" w:firstLineChars="700"/>
        <w:rPr>
          <w:rFonts w:ascii="宋体" w:hAnsi="宋体" w:cs="宋体"/>
          <w:bCs/>
          <w:color w:val="auto"/>
          <w:sz w:val="28"/>
          <w:szCs w:val="28"/>
          <w:highlight w:val="none"/>
        </w:rPr>
      </w:pPr>
      <w:r>
        <w:rPr>
          <w:rFonts w:hint="eastAsia" w:ascii="宋体" w:hAnsi="宋体" w:cs="宋体"/>
          <w:bCs/>
          <w:color w:val="auto"/>
          <w:sz w:val="28"/>
          <w:szCs w:val="28"/>
          <w:highlight w:val="none"/>
        </w:rPr>
        <w:t>投标人地址：</w:t>
      </w:r>
    </w:p>
    <w:p w14:paraId="36E1201D">
      <w:pPr>
        <w:pStyle w:val="6"/>
        <w:snapToGrid w:val="0"/>
        <w:spacing w:before="50" w:after="50" w:line="400" w:lineRule="exact"/>
        <w:ind w:firstLine="1120" w:firstLineChars="400"/>
        <w:rPr>
          <w:rFonts w:ascii="宋体" w:hAnsi="宋体" w:cs="宋体"/>
          <w:bCs/>
          <w:color w:val="auto"/>
          <w:sz w:val="28"/>
          <w:szCs w:val="28"/>
          <w:highlight w:val="none"/>
        </w:rPr>
      </w:pPr>
    </w:p>
    <w:p w14:paraId="5D84058C">
      <w:pPr>
        <w:snapToGrid w:val="0"/>
        <w:spacing w:before="166" w:beforeLines="50" w:after="50" w:line="400" w:lineRule="exact"/>
        <w:rPr>
          <w:rFonts w:ascii="宋体" w:hAnsi="宋体" w:cs="宋体"/>
          <w:color w:val="auto"/>
          <w:sz w:val="32"/>
          <w:szCs w:val="21"/>
          <w:highlight w:val="none"/>
        </w:rPr>
      </w:pPr>
      <w:r>
        <w:rPr>
          <w:rFonts w:hint="eastAsia" w:ascii="宋体" w:hAnsi="宋体" w:cs="宋体"/>
          <w:color w:val="auto"/>
          <w:sz w:val="24"/>
          <w:highlight w:val="none"/>
        </w:rPr>
        <w:t xml:space="preserve">                             </w:t>
      </w:r>
      <w:r>
        <w:rPr>
          <w:rFonts w:hint="eastAsia" w:ascii="宋体" w:hAnsi="宋体" w:cs="宋体"/>
          <w:color w:val="auto"/>
          <w:sz w:val="28"/>
          <w:szCs w:val="28"/>
          <w:highlight w:val="none"/>
        </w:rPr>
        <w:t xml:space="preserve">      年  月  日</w:t>
      </w:r>
    </w:p>
    <w:p w14:paraId="6B7AB733">
      <w:pPr>
        <w:snapToGrid w:val="0"/>
        <w:spacing w:before="166" w:beforeLines="50" w:after="50" w:line="360" w:lineRule="auto"/>
        <w:jc w:val="left"/>
        <w:rPr>
          <w:rFonts w:ascii="宋体" w:hAnsi="宋体" w:cs="宋体"/>
          <w:color w:val="auto"/>
          <w:sz w:val="24"/>
          <w:szCs w:val="20"/>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2.</w:t>
      </w:r>
      <w:r>
        <w:rPr>
          <w:rFonts w:hint="eastAsia" w:ascii="宋体" w:hAnsi="宋体" w:cs="宋体"/>
          <w:b/>
          <w:bCs/>
          <w:color w:val="auto"/>
          <w:sz w:val="24"/>
          <w:highlight w:val="none"/>
        </w:rPr>
        <w:t>报价文件目录</w:t>
      </w:r>
    </w:p>
    <w:p w14:paraId="4502441A">
      <w:pPr>
        <w:snapToGrid w:val="0"/>
        <w:spacing w:before="50" w:after="166" w:afterLines="50" w:line="360" w:lineRule="auto"/>
        <w:jc w:val="left"/>
        <w:rPr>
          <w:rFonts w:ascii="宋体" w:hAnsi="宋体" w:cs="宋体"/>
          <w:b/>
          <w:color w:val="auto"/>
          <w:sz w:val="24"/>
          <w:highlight w:val="none"/>
        </w:rPr>
      </w:pPr>
      <w:r>
        <w:rPr>
          <w:rFonts w:hint="eastAsia" w:ascii="宋体" w:hAnsi="宋体" w:cs="宋体"/>
          <w:color w:val="auto"/>
          <w:sz w:val="24"/>
          <w:highlight w:val="none"/>
        </w:rPr>
        <w:t>根据招标文件规定及投标人提供的材料自行编写目录。</w:t>
      </w:r>
    </w:p>
    <w:p w14:paraId="4141DF1B">
      <w:pPr>
        <w:snapToGrid w:val="0"/>
        <w:spacing w:before="166" w:beforeLines="50" w:after="50"/>
        <w:rPr>
          <w:rFonts w:ascii="宋体" w:hAnsi="宋体" w:cs="宋体"/>
          <w:b/>
          <w:color w:val="auto"/>
          <w:sz w:val="24"/>
          <w:highlight w:val="none"/>
        </w:rPr>
      </w:pPr>
    </w:p>
    <w:p w14:paraId="7DEEE9F5">
      <w:pPr>
        <w:snapToGrid w:val="0"/>
        <w:spacing w:before="166" w:beforeLines="50" w:after="50"/>
        <w:rPr>
          <w:rFonts w:ascii="宋体" w:hAnsi="宋体" w:cs="宋体"/>
          <w:b/>
          <w:color w:val="auto"/>
          <w:sz w:val="24"/>
          <w:highlight w:val="none"/>
        </w:rPr>
      </w:pPr>
    </w:p>
    <w:p w14:paraId="0B98D5FA">
      <w:pPr>
        <w:snapToGrid w:val="0"/>
        <w:spacing w:before="166" w:beforeLines="50" w:after="50"/>
        <w:rPr>
          <w:rFonts w:ascii="宋体" w:hAnsi="宋体" w:cs="宋体"/>
          <w:b/>
          <w:color w:val="auto"/>
          <w:sz w:val="24"/>
          <w:highlight w:val="none"/>
        </w:rPr>
      </w:pPr>
    </w:p>
    <w:p w14:paraId="50215B03">
      <w:pPr>
        <w:snapToGrid w:val="0"/>
        <w:spacing w:before="166" w:beforeLines="50" w:after="50"/>
        <w:ind w:left="142"/>
        <w:jc w:val="left"/>
        <w:rPr>
          <w:rFonts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3. 投标函格式：</w:t>
      </w:r>
    </w:p>
    <w:p w14:paraId="2B29F8AF">
      <w:pPr>
        <w:snapToGrid w:val="0"/>
        <w:spacing w:before="166" w:beforeLines="50" w:after="50" w:line="360" w:lineRule="auto"/>
        <w:jc w:val="center"/>
        <w:rPr>
          <w:rFonts w:ascii="宋体" w:hAnsi="宋体" w:cs="宋体"/>
          <w:bCs/>
          <w:color w:val="auto"/>
          <w:sz w:val="44"/>
          <w:szCs w:val="44"/>
          <w:highlight w:val="none"/>
        </w:rPr>
      </w:pPr>
      <w:r>
        <w:rPr>
          <w:rFonts w:hint="eastAsia" w:ascii="宋体" w:hAnsi="宋体" w:cs="宋体"/>
          <w:bCs/>
          <w:color w:val="auto"/>
          <w:sz w:val="44"/>
          <w:szCs w:val="44"/>
          <w:highlight w:val="none"/>
        </w:rPr>
        <w:t>投 标 函</w:t>
      </w:r>
    </w:p>
    <w:p w14:paraId="70112300">
      <w:pPr>
        <w:spacing w:line="360" w:lineRule="auto"/>
        <w:contextualSpacing/>
        <w:rPr>
          <w:rFonts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采购人名称</w:t>
      </w:r>
    </w:p>
    <w:p w14:paraId="094ED9B8">
      <w:pPr>
        <w:spacing w:line="360" w:lineRule="auto"/>
        <w:ind w:firstLine="480"/>
        <w:contextualSpacing/>
        <w:rPr>
          <w:rFonts w:ascii="宋体" w:hAnsi="宋体" w:cs="宋体"/>
          <w:color w:val="auto"/>
          <w:sz w:val="24"/>
          <w:highlight w:val="none"/>
        </w:rPr>
      </w:pPr>
      <w:r>
        <w:rPr>
          <w:rFonts w:hint="eastAsia" w:ascii="宋体" w:hAnsi="宋体" w:cs="宋体"/>
          <w:color w:val="auto"/>
          <w:sz w:val="24"/>
          <w:highlight w:val="none"/>
        </w:rPr>
        <w:t>根据贵方</w:t>
      </w:r>
      <w:r>
        <w:rPr>
          <w:rFonts w:hint="eastAsia" w:ascii="宋体" w:hAnsi="宋体" w:cs="宋体"/>
          <w:color w:val="auto"/>
          <w:sz w:val="24"/>
          <w:highlight w:val="none"/>
          <w:u w:val="single"/>
        </w:rPr>
        <w:t xml:space="preserve"> 项目名称</w:t>
      </w:r>
      <w:r>
        <w:rPr>
          <w:rFonts w:hint="eastAsia" w:ascii="宋体" w:hAnsi="宋体" w:cs="宋体"/>
          <w:color w:val="auto"/>
          <w:sz w:val="24"/>
          <w:highlight w:val="none"/>
        </w:rPr>
        <w:t>（项目编号：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）的招标公告，签字代表</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（姓名）经正式授权并代表投标人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（投标人名称）提交投标文件。</w:t>
      </w:r>
    </w:p>
    <w:p w14:paraId="127295F5">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据此函，我方宣布同意如下：</w:t>
      </w:r>
    </w:p>
    <w:p w14:paraId="707682C9">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1.我方已详细审查全部“招标文件”，包括修改文件（如有的话）以及全部参考资料和有关附件，已经了解我方对于招标文件、采购过程、采购结果有依法进行询问、质疑、投诉的权利及相关渠道和要求。</w:t>
      </w:r>
    </w:p>
    <w:p w14:paraId="2DF9CB2E">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2.我方在投标之前已经完全理解并接受招标文件的各项规定和要求，对招标文件的合理性、合法性不再有异议。</w:t>
      </w:r>
    </w:p>
    <w:p w14:paraId="3587502D">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3.本投标有效期自投标截止之日起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14:paraId="3EFB89C5">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4.如中标，本投标文件至本项目合同履行完毕止均保持有效，我方将按“招标文件”及政府采购法律、法规的规定履行合同责任和义务。</w:t>
      </w:r>
    </w:p>
    <w:p w14:paraId="4AB120E1">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5.我方同意按照贵方要求提供与投标有关的一切数据或者资料。</w:t>
      </w:r>
    </w:p>
    <w:p w14:paraId="7738571A">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6.我方向贵方提交的所有投标文件、资料都是准确的和真实的。</w:t>
      </w:r>
    </w:p>
    <w:p w14:paraId="323A906C">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7.以上事项如有虚假或者隐瞒，我方愿意承担一切后果，并不再寻求任何旨在减轻或者免除法律责任的辩解。</w:t>
      </w:r>
    </w:p>
    <w:p w14:paraId="35B9AF70">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8.根据《中华人民共和国政府采购法实施条例》第五十条要求对政府采购合同进行公告，但政府采购合同中涉及国家秘密、商业秘密的内容除外。我方就对本次投标文件进行注明如下：（两项内容中必须选择一项）</w:t>
      </w:r>
    </w:p>
    <w:p w14:paraId="4258735F">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□我方本次投标文件</w:t>
      </w:r>
      <w:r>
        <w:rPr>
          <w:rFonts w:hint="eastAsia" w:ascii="宋体" w:hAnsi="宋体" w:cs="宋体"/>
          <w:color w:val="auto"/>
          <w:kern w:val="0"/>
          <w:sz w:val="24"/>
          <w:highlight w:val="none"/>
        </w:rPr>
        <w:t>内容中</w:t>
      </w:r>
      <w:r>
        <w:rPr>
          <w:rFonts w:hint="eastAsia" w:ascii="宋体" w:hAnsi="宋体" w:cs="宋体"/>
          <w:color w:val="auto"/>
          <w:sz w:val="24"/>
          <w:highlight w:val="none"/>
        </w:rPr>
        <w:t>未</w:t>
      </w:r>
      <w:r>
        <w:rPr>
          <w:rFonts w:hint="eastAsia" w:ascii="宋体" w:hAnsi="宋体" w:cs="宋体"/>
          <w:color w:val="auto"/>
          <w:kern w:val="0"/>
          <w:sz w:val="24"/>
          <w:highlight w:val="none"/>
        </w:rPr>
        <w:t>涉及商业秘密；</w:t>
      </w:r>
    </w:p>
    <w:p w14:paraId="6454D0B9">
      <w:pPr>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sz w:val="24"/>
          <w:highlight w:val="none"/>
        </w:rPr>
        <w:t>□我方本次投标文件</w:t>
      </w:r>
      <w:r>
        <w:rPr>
          <w:rFonts w:hint="eastAsia" w:ascii="宋体" w:hAnsi="宋体" w:cs="宋体"/>
          <w:color w:val="auto"/>
          <w:kern w:val="0"/>
          <w:sz w:val="24"/>
          <w:highlight w:val="none"/>
        </w:rPr>
        <w:t>涉及商业秘密的内容有：</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5CBDAD42">
      <w:pPr>
        <w:spacing w:line="360" w:lineRule="auto"/>
        <w:ind w:firstLine="480" w:firstLineChars="200"/>
        <w:contextualSpacing/>
        <w:rPr>
          <w:rFonts w:ascii="宋体" w:hAnsi="宋体" w:cs="宋体"/>
          <w:color w:val="auto"/>
          <w:sz w:val="24"/>
          <w:highlight w:val="none"/>
        </w:rPr>
      </w:pPr>
      <w:r>
        <w:rPr>
          <w:rFonts w:ascii="宋体" w:hAnsi="宋体" w:cs="宋体"/>
          <w:color w:val="auto"/>
          <w:sz w:val="24"/>
          <w:highlight w:val="none"/>
        </w:rPr>
        <w:t>9</w:t>
      </w:r>
      <w:r>
        <w:rPr>
          <w:rFonts w:hint="eastAsia" w:ascii="宋体" w:hAnsi="宋体" w:cs="宋体"/>
          <w:color w:val="auto"/>
          <w:sz w:val="24"/>
          <w:highlight w:val="none"/>
        </w:rPr>
        <w:t>.与本投标有关的一切正式往来信函请寄：</w:t>
      </w:r>
    </w:p>
    <w:p w14:paraId="304F1F16">
      <w:pPr>
        <w:spacing w:line="360" w:lineRule="auto"/>
        <w:ind w:firstLine="480" w:firstLineChars="200"/>
        <w:contextualSpacing/>
        <w:rPr>
          <w:rFonts w:ascii="宋体" w:hAnsi="宋体" w:cs="宋体"/>
          <w:color w:val="auto"/>
          <w:sz w:val="24"/>
          <w:highlight w:val="none"/>
          <w:u w:val="single"/>
        </w:rPr>
      </w:pPr>
      <w:r>
        <w:rPr>
          <w:rFonts w:hint="eastAsia" w:ascii="宋体" w:hAnsi="宋体" w:cs="宋体"/>
          <w:color w:val="auto"/>
          <w:sz w:val="24"/>
          <w:highlight w:val="none"/>
        </w:rPr>
        <w:t>地址：</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邮政编码：</w:t>
      </w:r>
      <w:r>
        <w:rPr>
          <w:rFonts w:hint="eastAsia" w:ascii="宋体" w:hAnsi="宋体" w:cs="宋体"/>
          <w:color w:val="auto"/>
          <w:sz w:val="24"/>
          <w:highlight w:val="none"/>
          <w:u w:val="single"/>
        </w:rPr>
        <w:t xml:space="preserve">            </w:t>
      </w:r>
    </w:p>
    <w:p w14:paraId="1B96A67A">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电话：</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传真：</w:t>
      </w:r>
      <w:r>
        <w:rPr>
          <w:rFonts w:hint="eastAsia" w:ascii="宋体" w:hAnsi="宋体" w:cs="宋体"/>
          <w:color w:val="auto"/>
          <w:sz w:val="24"/>
          <w:highlight w:val="none"/>
          <w:u w:val="single"/>
        </w:rPr>
        <w:t xml:space="preserve">          </w:t>
      </w:r>
    </w:p>
    <w:p w14:paraId="216DAE64">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投标人名称：</w:t>
      </w:r>
      <w:r>
        <w:rPr>
          <w:rFonts w:hint="eastAsia" w:ascii="宋体" w:hAnsi="宋体" w:cs="宋体"/>
          <w:color w:val="auto"/>
          <w:sz w:val="24"/>
          <w:highlight w:val="none"/>
          <w:u w:val="single"/>
        </w:rPr>
        <w:t xml:space="preserve">                </w:t>
      </w:r>
    </w:p>
    <w:p w14:paraId="06E9995B">
      <w:pPr>
        <w:spacing w:line="360" w:lineRule="auto"/>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开户银行：</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银行帐号：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14:paraId="3512F0C8">
      <w:pPr>
        <w:spacing w:line="360" w:lineRule="auto"/>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法定代表人或者委托代理人签字：</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14:paraId="427801D3">
      <w:pPr>
        <w:pStyle w:val="24"/>
        <w:spacing w:line="360" w:lineRule="auto"/>
        <w:contextualSpacing/>
        <w:jc w:val="center"/>
        <w:rPr>
          <w:rFonts w:hAnsi="宋体" w:cs="宋体"/>
          <w:color w:val="auto"/>
          <w:sz w:val="24"/>
          <w:szCs w:val="24"/>
          <w:highlight w:val="none"/>
          <w:u w:val="single"/>
        </w:rPr>
      </w:pPr>
      <w:r>
        <w:rPr>
          <w:rFonts w:hint="eastAsia" w:hAnsi="宋体" w:cs="宋体"/>
          <w:color w:val="auto"/>
          <w:sz w:val="24"/>
          <w:szCs w:val="24"/>
          <w:highlight w:val="none"/>
        </w:rPr>
        <w:t xml:space="preserve">                                    投标人（公章）：</w:t>
      </w:r>
      <w:r>
        <w:rPr>
          <w:rFonts w:hint="eastAsia" w:hAnsi="宋体" w:cs="宋体"/>
          <w:color w:val="auto"/>
          <w:sz w:val="24"/>
          <w:szCs w:val="24"/>
          <w:highlight w:val="none"/>
          <w:u w:val="single"/>
        </w:rPr>
        <w:t xml:space="preserve"> </w:t>
      </w:r>
      <w:r>
        <w:rPr>
          <w:rFonts w:hAnsi="宋体" w:cs="宋体"/>
          <w:color w:val="auto"/>
          <w:sz w:val="24"/>
          <w:szCs w:val="24"/>
          <w:highlight w:val="none"/>
          <w:u w:val="single"/>
        </w:rPr>
        <w:t xml:space="preserve">          </w:t>
      </w:r>
    </w:p>
    <w:p w14:paraId="591B0D4F">
      <w:pPr>
        <w:pStyle w:val="24"/>
        <w:spacing w:line="360" w:lineRule="auto"/>
        <w:contextualSpacing/>
        <w:rPr>
          <w:rFonts w:hAnsi="宋体" w:cs="宋体"/>
          <w:color w:val="auto"/>
          <w:sz w:val="24"/>
          <w:szCs w:val="24"/>
          <w:highlight w:val="none"/>
        </w:rPr>
      </w:pPr>
      <w:r>
        <w:rPr>
          <w:rFonts w:hint="eastAsia" w:hAnsi="宋体" w:cs="宋体"/>
          <w:color w:val="auto"/>
          <w:sz w:val="24"/>
          <w:szCs w:val="24"/>
          <w:highlight w:val="none"/>
        </w:rPr>
        <w:t xml:space="preserve">                                                日期：</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年</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月</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日</w:t>
      </w:r>
    </w:p>
    <w:p w14:paraId="4D99AEF7">
      <w:pPr>
        <w:snapToGrid w:val="0"/>
        <w:spacing w:before="166" w:beforeLines="50" w:after="50" w:line="360" w:lineRule="auto"/>
        <w:jc w:val="left"/>
        <w:rPr>
          <w:rFonts w:ascii="宋体" w:hAnsi="宋体" w:cs="宋体"/>
          <w:b/>
          <w:color w:val="auto"/>
          <w:sz w:val="24"/>
          <w:szCs w:val="20"/>
          <w:highlight w:val="none"/>
        </w:rPr>
      </w:pPr>
      <w:r>
        <w:rPr>
          <w:rFonts w:hint="eastAsia" w:ascii="宋体" w:hAnsi="宋体" w:cs="宋体"/>
          <w:color w:val="auto"/>
          <w:sz w:val="24"/>
          <w:highlight w:val="none"/>
          <w:u w:val="single"/>
        </w:rPr>
        <w:br w:type="page"/>
      </w:r>
      <w:r>
        <w:rPr>
          <w:rFonts w:hint="eastAsia" w:ascii="宋体" w:hAnsi="宋体" w:cs="宋体"/>
          <w:b/>
          <w:color w:val="auto"/>
          <w:sz w:val="24"/>
          <w:highlight w:val="none"/>
        </w:rPr>
        <w:t>4. 开标一览表（货物类格式）</w:t>
      </w:r>
    </w:p>
    <w:p w14:paraId="191E54D7">
      <w:pPr>
        <w:snapToGrid w:val="0"/>
        <w:spacing w:before="50" w:after="50"/>
        <w:jc w:val="center"/>
        <w:rPr>
          <w:rFonts w:ascii="宋体" w:hAnsi="宋体" w:cs="宋体"/>
          <w:b/>
          <w:color w:val="auto"/>
          <w:sz w:val="32"/>
          <w:szCs w:val="32"/>
          <w:highlight w:val="none"/>
        </w:rPr>
      </w:pPr>
      <w:r>
        <w:rPr>
          <w:rFonts w:hint="eastAsia" w:ascii="宋体" w:hAnsi="宋体" w:cs="宋体"/>
          <w:b/>
          <w:color w:val="auto"/>
          <w:sz w:val="32"/>
          <w:szCs w:val="32"/>
          <w:highlight w:val="none"/>
        </w:rPr>
        <w:t>开标一览表（1分标）</w:t>
      </w:r>
    </w:p>
    <w:p w14:paraId="55EF6287">
      <w:pPr>
        <w:snapToGrid w:val="0"/>
        <w:spacing w:before="50" w:after="50"/>
        <w:jc w:val="center"/>
        <w:rPr>
          <w:rFonts w:ascii="宋体" w:hAnsi="宋体" w:cs="宋体"/>
          <w:b/>
          <w:color w:val="auto"/>
          <w:sz w:val="24"/>
          <w:highlight w:val="none"/>
        </w:rPr>
      </w:pPr>
    </w:p>
    <w:p w14:paraId="26E701C2">
      <w:pPr>
        <w:snapToGrid w:val="0"/>
        <w:spacing w:before="50" w:after="50" w:line="360" w:lineRule="auto"/>
        <w:rPr>
          <w:rFonts w:ascii="宋体" w:hAnsi="宋体" w:cs="宋体"/>
          <w:color w:val="auto"/>
          <w:sz w:val="24"/>
          <w:highlight w:val="none"/>
          <w:u w:val="single"/>
        </w:rPr>
      </w:pPr>
      <w:r>
        <w:rPr>
          <w:rFonts w:hint="eastAsia" w:ascii="宋体" w:hAnsi="宋体" w:cs="宋体"/>
          <w:color w:val="auto"/>
          <w:sz w:val="24"/>
          <w:highlight w:val="none"/>
        </w:rPr>
        <w:t>项目名称：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项目编号：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分标：</w:t>
      </w:r>
      <w:r>
        <w:rPr>
          <w:rFonts w:hint="eastAsia" w:ascii="宋体" w:hAnsi="宋体" w:cs="宋体"/>
          <w:color w:val="auto"/>
          <w:sz w:val="24"/>
          <w:highlight w:val="none"/>
          <w:u w:val="single"/>
        </w:rPr>
        <w:t xml:space="preserve">           </w:t>
      </w:r>
    </w:p>
    <w:p w14:paraId="7313411F">
      <w:pPr>
        <w:snapToGrid w:val="0"/>
        <w:spacing w:before="50" w:after="50" w:line="360" w:lineRule="auto"/>
        <w:rPr>
          <w:rFonts w:ascii="宋体" w:hAnsi="宋体" w:cs="宋体"/>
          <w:color w:val="auto"/>
          <w:sz w:val="24"/>
          <w:highlight w:val="none"/>
        </w:rPr>
      </w:pPr>
      <w:r>
        <w:rPr>
          <w:rFonts w:hint="eastAsia" w:ascii="宋体" w:hAnsi="宋体" w:cs="宋体"/>
          <w:color w:val="auto"/>
          <w:sz w:val="24"/>
          <w:highlight w:val="none"/>
        </w:rPr>
        <w:t>投标人名称：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货币单位：人民币元</w:t>
      </w:r>
    </w:p>
    <w:tbl>
      <w:tblPr>
        <w:tblStyle w:val="47"/>
        <w:tblW w:w="4996"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96"/>
        <w:gridCol w:w="2164"/>
        <w:gridCol w:w="942"/>
        <w:gridCol w:w="854"/>
        <w:gridCol w:w="1127"/>
        <w:gridCol w:w="1190"/>
        <w:gridCol w:w="728"/>
        <w:gridCol w:w="52"/>
        <w:gridCol w:w="750"/>
        <w:gridCol w:w="778"/>
      </w:tblGrid>
      <w:tr w14:paraId="4D930D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374" w:type="pct"/>
            <w:tcBorders>
              <w:top w:val="single" w:color="auto" w:sz="4" w:space="0"/>
              <w:left w:val="single" w:color="auto" w:sz="4" w:space="0"/>
              <w:bottom w:val="single" w:color="auto" w:sz="4" w:space="0"/>
              <w:right w:val="single" w:color="auto" w:sz="4" w:space="0"/>
            </w:tcBorders>
            <w:vAlign w:val="center"/>
          </w:tcPr>
          <w:p w14:paraId="01038433">
            <w:pPr>
              <w:snapToGrid w:val="0"/>
              <w:spacing w:before="50" w:after="50"/>
              <w:jc w:val="center"/>
              <w:rPr>
                <w:rFonts w:ascii="宋体" w:hAnsi="宋体" w:cs="宋体"/>
                <w:color w:val="auto"/>
                <w:sz w:val="24"/>
                <w:highlight w:val="none"/>
              </w:rPr>
            </w:pPr>
            <w:r>
              <w:rPr>
                <w:rFonts w:hint="eastAsia" w:ascii="宋体" w:hAnsi="宋体" w:cs="宋体"/>
                <w:color w:val="auto"/>
                <w:sz w:val="24"/>
                <w:highlight w:val="none"/>
              </w:rPr>
              <w:t>序号</w:t>
            </w:r>
          </w:p>
        </w:tc>
        <w:tc>
          <w:tcPr>
            <w:tcW w:w="1166" w:type="pct"/>
            <w:tcBorders>
              <w:top w:val="single" w:color="auto" w:sz="4" w:space="0"/>
              <w:left w:val="single" w:color="auto" w:sz="4" w:space="0"/>
              <w:bottom w:val="single" w:color="auto" w:sz="4" w:space="0"/>
              <w:right w:val="single" w:color="auto" w:sz="4" w:space="0"/>
            </w:tcBorders>
            <w:vAlign w:val="center"/>
          </w:tcPr>
          <w:p w14:paraId="6415165E">
            <w:pPr>
              <w:snapToGrid w:val="0"/>
              <w:spacing w:before="50" w:after="50"/>
              <w:jc w:val="center"/>
              <w:rPr>
                <w:rFonts w:ascii="宋体" w:hAnsi="宋体" w:cs="宋体"/>
                <w:color w:val="auto"/>
                <w:sz w:val="24"/>
                <w:highlight w:val="none"/>
              </w:rPr>
            </w:pPr>
            <w:r>
              <w:rPr>
                <w:rFonts w:hint="eastAsia" w:ascii="宋体" w:hAnsi="宋体" w:cs="宋体"/>
                <w:color w:val="auto"/>
                <w:sz w:val="24"/>
                <w:highlight w:val="none"/>
              </w:rPr>
              <w:t>标的名称</w:t>
            </w:r>
          </w:p>
        </w:tc>
        <w:tc>
          <w:tcPr>
            <w:tcW w:w="508" w:type="pct"/>
            <w:tcBorders>
              <w:top w:val="single" w:color="auto" w:sz="4" w:space="0"/>
              <w:left w:val="single" w:color="auto" w:sz="4" w:space="0"/>
              <w:bottom w:val="single" w:color="auto" w:sz="4" w:space="0"/>
              <w:right w:val="single" w:color="auto" w:sz="4" w:space="0"/>
            </w:tcBorders>
            <w:vAlign w:val="center"/>
          </w:tcPr>
          <w:p w14:paraId="16356686">
            <w:pPr>
              <w:snapToGrid w:val="0"/>
              <w:spacing w:before="50" w:after="50"/>
              <w:jc w:val="center"/>
              <w:rPr>
                <w:rFonts w:ascii="宋体" w:hAnsi="宋体" w:cs="宋体"/>
                <w:color w:val="auto"/>
                <w:sz w:val="24"/>
                <w:highlight w:val="none"/>
              </w:rPr>
            </w:pPr>
            <w:r>
              <w:rPr>
                <w:rFonts w:hint="eastAsia" w:ascii="宋体" w:hAnsi="宋体" w:cs="宋体"/>
                <w:color w:val="auto"/>
                <w:sz w:val="24"/>
                <w:highlight w:val="none"/>
              </w:rPr>
              <w:t>品牌、型号</w:t>
            </w:r>
          </w:p>
        </w:tc>
        <w:tc>
          <w:tcPr>
            <w:tcW w:w="460" w:type="pct"/>
            <w:tcBorders>
              <w:top w:val="single" w:color="auto" w:sz="4" w:space="0"/>
              <w:left w:val="single" w:color="auto" w:sz="4" w:space="0"/>
              <w:bottom w:val="single" w:color="auto" w:sz="4" w:space="0"/>
              <w:right w:val="single" w:color="auto" w:sz="4" w:space="0"/>
            </w:tcBorders>
            <w:vAlign w:val="center"/>
          </w:tcPr>
          <w:p w14:paraId="5B4EA469">
            <w:pPr>
              <w:snapToGrid w:val="0"/>
              <w:spacing w:before="50" w:after="50"/>
              <w:jc w:val="center"/>
              <w:rPr>
                <w:rFonts w:ascii="宋体" w:hAnsi="宋体" w:cs="宋体"/>
                <w:color w:val="auto"/>
                <w:sz w:val="24"/>
                <w:highlight w:val="none"/>
              </w:rPr>
            </w:pPr>
            <w:r>
              <w:rPr>
                <w:rFonts w:hint="eastAsia" w:ascii="宋体" w:hAnsi="宋体" w:cs="宋体"/>
                <w:color w:val="auto"/>
                <w:sz w:val="24"/>
                <w:highlight w:val="none"/>
              </w:rPr>
              <w:t>生产厂家</w:t>
            </w:r>
          </w:p>
        </w:tc>
        <w:tc>
          <w:tcPr>
            <w:tcW w:w="607" w:type="pct"/>
            <w:tcBorders>
              <w:top w:val="single" w:color="auto" w:sz="4" w:space="0"/>
              <w:left w:val="single" w:color="auto" w:sz="4" w:space="0"/>
              <w:bottom w:val="single" w:color="auto" w:sz="4" w:space="0"/>
              <w:right w:val="single" w:color="auto" w:sz="4" w:space="0"/>
            </w:tcBorders>
            <w:vAlign w:val="center"/>
          </w:tcPr>
          <w:p w14:paraId="5EE46FBF">
            <w:pPr>
              <w:snapToGrid w:val="0"/>
              <w:spacing w:before="50" w:after="50"/>
              <w:jc w:val="center"/>
              <w:rPr>
                <w:rFonts w:ascii="宋体" w:hAnsi="宋体" w:cs="宋体"/>
                <w:color w:val="auto"/>
                <w:sz w:val="24"/>
                <w:highlight w:val="none"/>
              </w:rPr>
            </w:pPr>
            <w:r>
              <w:rPr>
                <w:rFonts w:hint="eastAsia" w:ascii="宋体" w:hAnsi="宋体" w:cs="宋体"/>
                <w:color w:val="auto"/>
                <w:sz w:val="24"/>
                <w:highlight w:val="none"/>
              </w:rPr>
              <w:t>产地</w:t>
            </w:r>
          </w:p>
        </w:tc>
        <w:tc>
          <w:tcPr>
            <w:tcW w:w="641" w:type="pct"/>
            <w:tcBorders>
              <w:top w:val="single" w:color="auto" w:sz="4" w:space="0"/>
              <w:left w:val="single" w:color="auto" w:sz="4" w:space="0"/>
              <w:bottom w:val="single" w:color="auto" w:sz="4" w:space="0"/>
              <w:right w:val="single" w:color="auto" w:sz="4" w:space="0"/>
            </w:tcBorders>
            <w:vAlign w:val="center"/>
          </w:tcPr>
          <w:p w14:paraId="310C0E71">
            <w:pPr>
              <w:snapToGrid w:val="0"/>
              <w:spacing w:before="50" w:after="50"/>
              <w:jc w:val="center"/>
              <w:rPr>
                <w:rFonts w:ascii="宋体" w:hAnsi="宋体" w:cs="宋体"/>
                <w:color w:val="auto"/>
                <w:sz w:val="24"/>
                <w:highlight w:val="none"/>
              </w:rPr>
            </w:pPr>
            <w:r>
              <w:rPr>
                <w:rFonts w:hint="eastAsia" w:ascii="宋体" w:hAnsi="宋体" w:cs="宋体"/>
                <w:color w:val="auto"/>
                <w:sz w:val="24"/>
                <w:highlight w:val="none"/>
              </w:rPr>
              <w:t>数量及单位①</w:t>
            </w:r>
          </w:p>
        </w:tc>
        <w:tc>
          <w:tcPr>
            <w:tcW w:w="420" w:type="pct"/>
            <w:gridSpan w:val="2"/>
            <w:tcBorders>
              <w:top w:val="single" w:color="auto" w:sz="4" w:space="0"/>
              <w:left w:val="single" w:color="auto" w:sz="4" w:space="0"/>
              <w:bottom w:val="single" w:color="auto" w:sz="4" w:space="0"/>
              <w:right w:val="single" w:color="auto" w:sz="4" w:space="0"/>
            </w:tcBorders>
            <w:vAlign w:val="center"/>
          </w:tcPr>
          <w:p w14:paraId="62C98FDD">
            <w:pPr>
              <w:snapToGrid w:val="0"/>
              <w:spacing w:before="50" w:after="50"/>
              <w:jc w:val="center"/>
              <w:rPr>
                <w:rFonts w:ascii="宋体" w:hAnsi="宋体" w:cs="宋体"/>
                <w:color w:val="auto"/>
                <w:sz w:val="24"/>
                <w:highlight w:val="none"/>
              </w:rPr>
            </w:pPr>
            <w:r>
              <w:rPr>
                <w:rFonts w:hint="eastAsia" w:ascii="宋体" w:hAnsi="宋体" w:cs="宋体"/>
                <w:color w:val="auto"/>
                <w:sz w:val="24"/>
                <w:highlight w:val="none"/>
              </w:rPr>
              <w:t>单价</w:t>
            </w:r>
          </w:p>
          <w:p w14:paraId="1F60DB91">
            <w:pPr>
              <w:snapToGrid w:val="0"/>
              <w:spacing w:before="50" w:after="50"/>
              <w:jc w:val="center"/>
              <w:rPr>
                <w:rFonts w:ascii="宋体" w:hAnsi="宋体" w:cs="宋体"/>
                <w:color w:val="auto"/>
                <w:sz w:val="24"/>
                <w:highlight w:val="none"/>
              </w:rPr>
            </w:pPr>
            <w:r>
              <w:rPr>
                <w:rFonts w:hint="eastAsia" w:ascii="宋体" w:hAnsi="宋体" w:cs="宋体"/>
                <w:color w:val="auto"/>
                <w:sz w:val="24"/>
                <w:highlight w:val="none"/>
              </w:rPr>
              <w:t>②</w:t>
            </w:r>
          </w:p>
        </w:tc>
        <w:tc>
          <w:tcPr>
            <w:tcW w:w="821" w:type="pct"/>
            <w:gridSpan w:val="2"/>
            <w:tcBorders>
              <w:top w:val="single" w:color="auto" w:sz="4" w:space="0"/>
              <w:left w:val="single" w:color="auto" w:sz="4" w:space="0"/>
              <w:bottom w:val="single" w:color="auto" w:sz="4" w:space="0"/>
              <w:right w:val="single" w:color="auto" w:sz="4" w:space="0"/>
            </w:tcBorders>
            <w:vAlign w:val="center"/>
          </w:tcPr>
          <w:p w14:paraId="10F79ECF">
            <w:pPr>
              <w:snapToGrid w:val="0"/>
              <w:spacing w:before="50" w:after="50"/>
              <w:jc w:val="center"/>
              <w:rPr>
                <w:rFonts w:ascii="宋体" w:hAnsi="宋体" w:cs="宋体"/>
                <w:color w:val="auto"/>
                <w:sz w:val="24"/>
                <w:highlight w:val="none"/>
              </w:rPr>
            </w:pPr>
            <w:r>
              <w:rPr>
                <w:rFonts w:hint="eastAsia" w:ascii="宋体" w:hAnsi="宋体" w:cs="宋体"/>
                <w:color w:val="auto"/>
                <w:sz w:val="24"/>
                <w:highlight w:val="none"/>
              </w:rPr>
              <w:t>投标报价</w:t>
            </w:r>
          </w:p>
          <w:p w14:paraId="6453B3CA">
            <w:pPr>
              <w:snapToGrid w:val="0"/>
              <w:spacing w:before="50" w:after="50"/>
              <w:jc w:val="center"/>
              <w:rPr>
                <w:rFonts w:ascii="宋体" w:hAnsi="宋体" w:cs="宋体"/>
                <w:color w:val="auto"/>
                <w:sz w:val="24"/>
                <w:highlight w:val="none"/>
              </w:rPr>
            </w:pPr>
            <w:r>
              <w:rPr>
                <w:rFonts w:ascii="宋体" w:hAnsi="宋体" w:cs="宋体"/>
                <w:color w:val="auto"/>
                <w:sz w:val="24"/>
                <w:highlight w:val="none"/>
              </w:rPr>
              <w:t>③</w:t>
            </w:r>
            <w:r>
              <w:rPr>
                <w:rFonts w:hint="eastAsia" w:ascii="宋体" w:hAnsi="宋体" w:cs="宋体"/>
                <w:color w:val="auto"/>
                <w:sz w:val="24"/>
                <w:highlight w:val="none"/>
              </w:rPr>
              <w:t>=①×②</w:t>
            </w:r>
          </w:p>
        </w:tc>
      </w:tr>
      <w:tr w14:paraId="4FF12F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1" w:hRule="atLeast"/>
          <w:jc w:val="center"/>
        </w:trPr>
        <w:tc>
          <w:tcPr>
            <w:tcW w:w="374" w:type="pct"/>
            <w:tcBorders>
              <w:top w:val="single" w:color="auto" w:sz="4" w:space="0"/>
              <w:left w:val="single" w:color="auto" w:sz="4" w:space="0"/>
              <w:bottom w:val="single" w:color="auto" w:sz="4" w:space="0"/>
              <w:right w:val="single" w:color="auto" w:sz="4" w:space="0"/>
            </w:tcBorders>
            <w:vAlign w:val="center"/>
          </w:tcPr>
          <w:p w14:paraId="38C79460">
            <w:pPr>
              <w:snapToGrid w:val="0"/>
              <w:spacing w:before="50" w:after="50"/>
              <w:jc w:val="center"/>
              <w:rPr>
                <w:rFonts w:ascii="宋体" w:hAnsi="宋体" w:cs="宋体"/>
                <w:color w:val="auto"/>
                <w:sz w:val="24"/>
                <w:highlight w:val="none"/>
              </w:rPr>
            </w:pPr>
            <w:r>
              <w:rPr>
                <w:rFonts w:hint="eastAsia" w:ascii="宋体" w:hAnsi="宋体" w:cs="宋体"/>
                <w:color w:val="auto"/>
                <w:sz w:val="24"/>
                <w:highlight w:val="none"/>
              </w:rPr>
              <w:t>1</w:t>
            </w:r>
          </w:p>
        </w:tc>
        <w:tc>
          <w:tcPr>
            <w:tcW w:w="1166" w:type="pct"/>
            <w:tcBorders>
              <w:top w:val="single" w:color="auto" w:sz="4" w:space="0"/>
              <w:left w:val="single" w:color="auto" w:sz="4" w:space="0"/>
              <w:bottom w:val="single" w:color="auto" w:sz="4" w:space="0"/>
              <w:right w:val="single" w:color="auto" w:sz="4" w:space="0"/>
            </w:tcBorders>
            <w:vAlign w:val="center"/>
          </w:tcPr>
          <w:p w14:paraId="659E5389">
            <w:pPr>
              <w:snapToGrid w:val="0"/>
              <w:spacing w:before="50" w:after="50"/>
              <w:jc w:val="center"/>
              <w:rPr>
                <w:rFonts w:ascii="宋体" w:hAnsi="宋体" w:cs="宋体"/>
                <w:color w:val="auto"/>
                <w:sz w:val="24"/>
                <w:highlight w:val="none"/>
              </w:rPr>
            </w:pPr>
          </w:p>
        </w:tc>
        <w:tc>
          <w:tcPr>
            <w:tcW w:w="508" w:type="pct"/>
            <w:tcBorders>
              <w:top w:val="single" w:color="auto" w:sz="4" w:space="0"/>
              <w:left w:val="single" w:color="auto" w:sz="4" w:space="0"/>
              <w:bottom w:val="single" w:color="auto" w:sz="4" w:space="0"/>
              <w:right w:val="single" w:color="auto" w:sz="4" w:space="0"/>
            </w:tcBorders>
            <w:vAlign w:val="center"/>
          </w:tcPr>
          <w:p w14:paraId="67635AF7">
            <w:pPr>
              <w:snapToGrid w:val="0"/>
              <w:spacing w:before="50" w:after="50"/>
              <w:jc w:val="center"/>
              <w:rPr>
                <w:rFonts w:ascii="宋体" w:hAnsi="宋体" w:cs="宋体"/>
                <w:color w:val="auto"/>
                <w:sz w:val="24"/>
                <w:highlight w:val="none"/>
              </w:rPr>
            </w:pPr>
          </w:p>
        </w:tc>
        <w:tc>
          <w:tcPr>
            <w:tcW w:w="460" w:type="pct"/>
            <w:tcBorders>
              <w:top w:val="single" w:color="auto" w:sz="4" w:space="0"/>
              <w:left w:val="single" w:color="auto" w:sz="4" w:space="0"/>
              <w:bottom w:val="single" w:color="auto" w:sz="4" w:space="0"/>
              <w:right w:val="single" w:color="auto" w:sz="4" w:space="0"/>
            </w:tcBorders>
            <w:vAlign w:val="center"/>
          </w:tcPr>
          <w:p w14:paraId="06BB284C">
            <w:pPr>
              <w:snapToGrid w:val="0"/>
              <w:spacing w:before="50" w:after="50"/>
              <w:jc w:val="center"/>
              <w:rPr>
                <w:rFonts w:ascii="宋体" w:hAnsi="宋体" w:cs="宋体"/>
                <w:color w:val="auto"/>
                <w:sz w:val="24"/>
                <w:highlight w:val="none"/>
              </w:rPr>
            </w:pPr>
          </w:p>
        </w:tc>
        <w:tc>
          <w:tcPr>
            <w:tcW w:w="607" w:type="pct"/>
            <w:tcBorders>
              <w:top w:val="single" w:color="auto" w:sz="4" w:space="0"/>
              <w:left w:val="single" w:color="auto" w:sz="4" w:space="0"/>
              <w:bottom w:val="single" w:color="auto" w:sz="4" w:space="0"/>
              <w:right w:val="single" w:color="auto" w:sz="4" w:space="0"/>
            </w:tcBorders>
            <w:vAlign w:val="center"/>
          </w:tcPr>
          <w:p w14:paraId="5712172F">
            <w:pPr>
              <w:snapToGrid w:val="0"/>
              <w:spacing w:before="50" w:after="50"/>
              <w:jc w:val="center"/>
              <w:rPr>
                <w:rFonts w:ascii="宋体" w:hAnsi="宋体" w:cs="宋体"/>
                <w:color w:val="auto"/>
                <w:sz w:val="24"/>
                <w:highlight w:val="none"/>
              </w:rPr>
            </w:pPr>
          </w:p>
        </w:tc>
        <w:tc>
          <w:tcPr>
            <w:tcW w:w="641" w:type="pct"/>
            <w:tcBorders>
              <w:top w:val="single" w:color="auto" w:sz="4" w:space="0"/>
              <w:left w:val="single" w:color="auto" w:sz="4" w:space="0"/>
              <w:bottom w:val="single" w:color="auto" w:sz="4" w:space="0"/>
              <w:right w:val="single" w:color="auto" w:sz="4" w:space="0"/>
            </w:tcBorders>
            <w:vAlign w:val="center"/>
          </w:tcPr>
          <w:p w14:paraId="655CED9E">
            <w:pPr>
              <w:snapToGrid w:val="0"/>
              <w:spacing w:before="50" w:after="50"/>
              <w:jc w:val="center"/>
              <w:rPr>
                <w:rFonts w:ascii="宋体" w:hAnsi="宋体" w:cs="宋体"/>
                <w:color w:val="auto"/>
                <w:sz w:val="24"/>
                <w:highlight w:val="none"/>
              </w:rPr>
            </w:pPr>
          </w:p>
        </w:tc>
        <w:tc>
          <w:tcPr>
            <w:tcW w:w="420" w:type="pct"/>
            <w:gridSpan w:val="2"/>
            <w:tcBorders>
              <w:top w:val="single" w:color="auto" w:sz="4" w:space="0"/>
              <w:left w:val="single" w:color="auto" w:sz="4" w:space="0"/>
              <w:bottom w:val="single" w:color="auto" w:sz="4" w:space="0"/>
              <w:right w:val="single" w:color="auto" w:sz="4" w:space="0"/>
            </w:tcBorders>
            <w:vAlign w:val="center"/>
          </w:tcPr>
          <w:p w14:paraId="3AB5AFED">
            <w:pPr>
              <w:snapToGrid w:val="0"/>
              <w:spacing w:before="50" w:after="50"/>
              <w:jc w:val="center"/>
              <w:rPr>
                <w:rFonts w:ascii="宋体" w:hAnsi="宋体" w:cs="宋体"/>
                <w:color w:val="auto"/>
                <w:sz w:val="24"/>
                <w:highlight w:val="none"/>
              </w:rPr>
            </w:pPr>
          </w:p>
        </w:tc>
        <w:tc>
          <w:tcPr>
            <w:tcW w:w="821" w:type="pct"/>
            <w:gridSpan w:val="2"/>
            <w:tcBorders>
              <w:top w:val="single" w:color="auto" w:sz="4" w:space="0"/>
              <w:left w:val="single" w:color="auto" w:sz="4" w:space="0"/>
              <w:bottom w:val="single" w:color="auto" w:sz="4" w:space="0"/>
              <w:right w:val="single" w:color="auto" w:sz="4" w:space="0"/>
            </w:tcBorders>
            <w:vAlign w:val="center"/>
          </w:tcPr>
          <w:p w14:paraId="3E4D4867">
            <w:pPr>
              <w:snapToGrid w:val="0"/>
              <w:spacing w:before="50" w:after="50"/>
              <w:jc w:val="center"/>
              <w:rPr>
                <w:rFonts w:ascii="宋体" w:hAnsi="宋体" w:cs="宋体"/>
                <w:color w:val="auto"/>
                <w:sz w:val="24"/>
                <w:highlight w:val="none"/>
              </w:rPr>
            </w:pPr>
          </w:p>
        </w:tc>
      </w:tr>
      <w:tr w14:paraId="3E5F9E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374" w:type="pct"/>
            <w:tcBorders>
              <w:top w:val="single" w:color="auto" w:sz="4" w:space="0"/>
              <w:left w:val="single" w:color="auto" w:sz="4" w:space="0"/>
              <w:bottom w:val="single" w:color="auto" w:sz="4" w:space="0"/>
              <w:right w:val="single" w:color="auto" w:sz="4" w:space="0"/>
            </w:tcBorders>
            <w:vAlign w:val="center"/>
          </w:tcPr>
          <w:p w14:paraId="19C5A422">
            <w:pPr>
              <w:snapToGrid w:val="0"/>
              <w:spacing w:before="50" w:after="50"/>
              <w:jc w:val="center"/>
              <w:rPr>
                <w:rFonts w:ascii="宋体" w:hAnsi="宋体" w:cs="宋体"/>
                <w:color w:val="auto"/>
                <w:sz w:val="24"/>
                <w:highlight w:val="none"/>
              </w:rPr>
            </w:pPr>
            <w:r>
              <w:rPr>
                <w:rFonts w:hint="eastAsia" w:ascii="宋体" w:hAnsi="宋体" w:cs="宋体"/>
                <w:color w:val="auto"/>
                <w:sz w:val="24"/>
                <w:highlight w:val="none"/>
              </w:rPr>
              <w:t>2</w:t>
            </w:r>
          </w:p>
        </w:tc>
        <w:tc>
          <w:tcPr>
            <w:tcW w:w="1166" w:type="pct"/>
            <w:tcBorders>
              <w:top w:val="single" w:color="auto" w:sz="4" w:space="0"/>
              <w:left w:val="single" w:color="auto" w:sz="4" w:space="0"/>
              <w:bottom w:val="single" w:color="auto" w:sz="4" w:space="0"/>
              <w:right w:val="single" w:color="auto" w:sz="4" w:space="0"/>
            </w:tcBorders>
            <w:vAlign w:val="center"/>
          </w:tcPr>
          <w:p w14:paraId="185E787C">
            <w:pPr>
              <w:snapToGrid w:val="0"/>
              <w:spacing w:before="50" w:after="50"/>
              <w:jc w:val="center"/>
              <w:rPr>
                <w:rFonts w:ascii="宋体" w:hAnsi="宋体" w:cs="宋体"/>
                <w:color w:val="auto"/>
                <w:sz w:val="24"/>
                <w:highlight w:val="none"/>
              </w:rPr>
            </w:pPr>
          </w:p>
        </w:tc>
        <w:tc>
          <w:tcPr>
            <w:tcW w:w="508" w:type="pct"/>
            <w:tcBorders>
              <w:top w:val="single" w:color="auto" w:sz="4" w:space="0"/>
              <w:left w:val="single" w:color="auto" w:sz="4" w:space="0"/>
              <w:bottom w:val="single" w:color="auto" w:sz="4" w:space="0"/>
              <w:right w:val="single" w:color="auto" w:sz="4" w:space="0"/>
            </w:tcBorders>
            <w:vAlign w:val="center"/>
          </w:tcPr>
          <w:p w14:paraId="0352E099">
            <w:pPr>
              <w:snapToGrid w:val="0"/>
              <w:spacing w:before="50" w:after="50"/>
              <w:jc w:val="center"/>
              <w:rPr>
                <w:rFonts w:ascii="宋体" w:hAnsi="宋体" w:cs="宋体"/>
                <w:color w:val="auto"/>
                <w:sz w:val="24"/>
                <w:highlight w:val="none"/>
              </w:rPr>
            </w:pPr>
          </w:p>
        </w:tc>
        <w:tc>
          <w:tcPr>
            <w:tcW w:w="460" w:type="pct"/>
            <w:tcBorders>
              <w:top w:val="single" w:color="auto" w:sz="4" w:space="0"/>
              <w:left w:val="single" w:color="auto" w:sz="4" w:space="0"/>
              <w:bottom w:val="single" w:color="auto" w:sz="4" w:space="0"/>
              <w:right w:val="single" w:color="auto" w:sz="4" w:space="0"/>
            </w:tcBorders>
            <w:vAlign w:val="center"/>
          </w:tcPr>
          <w:p w14:paraId="290DAE7E">
            <w:pPr>
              <w:snapToGrid w:val="0"/>
              <w:spacing w:before="50" w:after="50"/>
              <w:jc w:val="center"/>
              <w:rPr>
                <w:rFonts w:ascii="宋体" w:hAnsi="宋体" w:cs="宋体"/>
                <w:color w:val="auto"/>
                <w:sz w:val="24"/>
                <w:highlight w:val="none"/>
              </w:rPr>
            </w:pPr>
          </w:p>
        </w:tc>
        <w:tc>
          <w:tcPr>
            <w:tcW w:w="607" w:type="pct"/>
            <w:tcBorders>
              <w:top w:val="single" w:color="auto" w:sz="4" w:space="0"/>
              <w:left w:val="single" w:color="auto" w:sz="4" w:space="0"/>
              <w:bottom w:val="single" w:color="auto" w:sz="4" w:space="0"/>
              <w:right w:val="single" w:color="auto" w:sz="4" w:space="0"/>
            </w:tcBorders>
            <w:vAlign w:val="center"/>
          </w:tcPr>
          <w:p w14:paraId="406BFD3F">
            <w:pPr>
              <w:snapToGrid w:val="0"/>
              <w:spacing w:before="50" w:after="50"/>
              <w:jc w:val="center"/>
              <w:rPr>
                <w:rFonts w:ascii="宋体" w:hAnsi="宋体" w:cs="宋体"/>
                <w:color w:val="auto"/>
                <w:sz w:val="24"/>
                <w:highlight w:val="none"/>
              </w:rPr>
            </w:pPr>
          </w:p>
        </w:tc>
        <w:tc>
          <w:tcPr>
            <w:tcW w:w="641" w:type="pct"/>
            <w:tcBorders>
              <w:top w:val="single" w:color="auto" w:sz="4" w:space="0"/>
              <w:left w:val="single" w:color="auto" w:sz="4" w:space="0"/>
              <w:bottom w:val="single" w:color="auto" w:sz="4" w:space="0"/>
              <w:right w:val="single" w:color="auto" w:sz="4" w:space="0"/>
            </w:tcBorders>
            <w:vAlign w:val="center"/>
          </w:tcPr>
          <w:p w14:paraId="561BDF94">
            <w:pPr>
              <w:snapToGrid w:val="0"/>
              <w:spacing w:before="50" w:after="50"/>
              <w:jc w:val="center"/>
              <w:rPr>
                <w:rFonts w:ascii="宋体" w:hAnsi="宋体" w:cs="宋体"/>
                <w:color w:val="auto"/>
                <w:sz w:val="24"/>
                <w:highlight w:val="none"/>
              </w:rPr>
            </w:pPr>
          </w:p>
        </w:tc>
        <w:tc>
          <w:tcPr>
            <w:tcW w:w="420" w:type="pct"/>
            <w:gridSpan w:val="2"/>
            <w:tcBorders>
              <w:top w:val="single" w:color="auto" w:sz="4" w:space="0"/>
              <w:left w:val="single" w:color="auto" w:sz="4" w:space="0"/>
              <w:bottom w:val="single" w:color="auto" w:sz="4" w:space="0"/>
              <w:right w:val="single" w:color="auto" w:sz="4" w:space="0"/>
            </w:tcBorders>
            <w:vAlign w:val="center"/>
          </w:tcPr>
          <w:p w14:paraId="05B96318">
            <w:pPr>
              <w:snapToGrid w:val="0"/>
              <w:spacing w:before="50" w:after="50"/>
              <w:jc w:val="center"/>
              <w:rPr>
                <w:rFonts w:ascii="宋体" w:hAnsi="宋体" w:cs="宋体"/>
                <w:color w:val="auto"/>
                <w:sz w:val="24"/>
                <w:highlight w:val="none"/>
              </w:rPr>
            </w:pPr>
          </w:p>
        </w:tc>
        <w:tc>
          <w:tcPr>
            <w:tcW w:w="821" w:type="pct"/>
            <w:gridSpan w:val="2"/>
            <w:tcBorders>
              <w:top w:val="single" w:color="auto" w:sz="4" w:space="0"/>
              <w:left w:val="single" w:color="auto" w:sz="4" w:space="0"/>
              <w:bottom w:val="single" w:color="auto" w:sz="4" w:space="0"/>
              <w:right w:val="single" w:color="auto" w:sz="4" w:space="0"/>
            </w:tcBorders>
            <w:vAlign w:val="center"/>
          </w:tcPr>
          <w:p w14:paraId="708A6E28">
            <w:pPr>
              <w:snapToGrid w:val="0"/>
              <w:spacing w:before="50" w:after="50"/>
              <w:jc w:val="center"/>
              <w:rPr>
                <w:rFonts w:ascii="宋体" w:hAnsi="宋体" w:cs="宋体"/>
                <w:color w:val="auto"/>
                <w:sz w:val="24"/>
                <w:highlight w:val="none"/>
              </w:rPr>
            </w:pPr>
          </w:p>
        </w:tc>
      </w:tr>
      <w:tr w14:paraId="11AC4B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9" w:hRule="atLeast"/>
          <w:jc w:val="center"/>
        </w:trPr>
        <w:tc>
          <w:tcPr>
            <w:tcW w:w="374" w:type="pct"/>
            <w:tcBorders>
              <w:top w:val="single" w:color="auto" w:sz="4" w:space="0"/>
              <w:left w:val="single" w:color="auto" w:sz="4" w:space="0"/>
              <w:bottom w:val="single" w:color="auto" w:sz="4" w:space="0"/>
              <w:right w:val="single" w:color="auto" w:sz="4" w:space="0"/>
            </w:tcBorders>
            <w:vAlign w:val="center"/>
          </w:tcPr>
          <w:p w14:paraId="68700D19">
            <w:pPr>
              <w:snapToGrid w:val="0"/>
              <w:spacing w:before="50" w:after="50"/>
              <w:jc w:val="center"/>
              <w:rPr>
                <w:rFonts w:ascii="宋体" w:hAnsi="宋体" w:cs="宋体"/>
                <w:color w:val="auto"/>
                <w:sz w:val="24"/>
                <w:highlight w:val="none"/>
              </w:rPr>
            </w:pPr>
            <w:r>
              <w:rPr>
                <w:rFonts w:hint="eastAsia" w:ascii="宋体" w:hAnsi="宋体" w:cs="宋体"/>
                <w:color w:val="auto"/>
                <w:sz w:val="24"/>
                <w:highlight w:val="none"/>
              </w:rPr>
              <w:t>……</w:t>
            </w:r>
          </w:p>
        </w:tc>
        <w:tc>
          <w:tcPr>
            <w:tcW w:w="1166" w:type="pct"/>
            <w:tcBorders>
              <w:top w:val="single" w:color="auto" w:sz="4" w:space="0"/>
              <w:left w:val="single" w:color="auto" w:sz="4" w:space="0"/>
              <w:bottom w:val="single" w:color="auto" w:sz="4" w:space="0"/>
              <w:right w:val="single" w:color="auto" w:sz="4" w:space="0"/>
            </w:tcBorders>
            <w:vAlign w:val="center"/>
          </w:tcPr>
          <w:p w14:paraId="5B104046">
            <w:pPr>
              <w:snapToGrid w:val="0"/>
              <w:spacing w:before="50" w:after="50"/>
              <w:jc w:val="center"/>
              <w:rPr>
                <w:rFonts w:ascii="宋体" w:hAnsi="宋体" w:cs="宋体"/>
                <w:color w:val="auto"/>
                <w:sz w:val="24"/>
                <w:highlight w:val="none"/>
              </w:rPr>
            </w:pPr>
            <w:r>
              <w:rPr>
                <w:rFonts w:hint="eastAsia" w:ascii="宋体" w:hAnsi="宋体" w:cs="宋体"/>
                <w:color w:val="auto"/>
                <w:sz w:val="24"/>
                <w:highlight w:val="none"/>
              </w:rPr>
              <w:t>……</w:t>
            </w:r>
          </w:p>
        </w:tc>
        <w:tc>
          <w:tcPr>
            <w:tcW w:w="508" w:type="pct"/>
            <w:tcBorders>
              <w:top w:val="single" w:color="auto" w:sz="4" w:space="0"/>
              <w:left w:val="single" w:color="auto" w:sz="4" w:space="0"/>
              <w:bottom w:val="single" w:color="auto" w:sz="4" w:space="0"/>
              <w:right w:val="single" w:color="auto" w:sz="4" w:space="0"/>
            </w:tcBorders>
            <w:vAlign w:val="center"/>
          </w:tcPr>
          <w:p w14:paraId="6AA18882">
            <w:pPr>
              <w:snapToGrid w:val="0"/>
              <w:spacing w:before="50" w:after="50"/>
              <w:jc w:val="center"/>
              <w:rPr>
                <w:rFonts w:ascii="宋体" w:hAnsi="宋体" w:cs="宋体"/>
                <w:color w:val="auto"/>
                <w:sz w:val="24"/>
                <w:highlight w:val="none"/>
              </w:rPr>
            </w:pPr>
          </w:p>
        </w:tc>
        <w:tc>
          <w:tcPr>
            <w:tcW w:w="460" w:type="pct"/>
            <w:tcBorders>
              <w:top w:val="single" w:color="auto" w:sz="4" w:space="0"/>
              <w:left w:val="single" w:color="auto" w:sz="4" w:space="0"/>
              <w:bottom w:val="single" w:color="auto" w:sz="4" w:space="0"/>
              <w:right w:val="single" w:color="auto" w:sz="4" w:space="0"/>
            </w:tcBorders>
            <w:vAlign w:val="center"/>
          </w:tcPr>
          <w:p w14:paraId="7023DB4C">
            <w:pPr>
              <w:snapToGrid w:val="0"/>
              <w:spacing w:before="50" w:after="50"/>
              <w:jc w:val="center"/>
              <w:rPr>
                <w:rFonts w:ascii="宋体" w:hAnsi="宋体" w:cs="宋体"/>
                <w:color w:val="auto"/>
                <w:sz w:val="24"/>
                <w:highlight w:val="none"/>
              </w:rPr>
            </w:pPr>
          </w:p>
        </w:tc>
        <w:tc>
          <w:tcPr>
            <w:tcW w:w="607" w:type="pct"/>
            <w:tcBorders>
              <w:top w:val="single" w:color="auto" w:sz="4" w:space="0"/>
              <w:left w:val="single" w:color="auto" w:sz="4" w:space="0"/>
              <w:bottom w:val="single" w:color="auto" w:sz="4" w:space="0"/>
              <w:right w:val="single" w:color="auto" w:sz="4" w:space="0"/>
            </w:tcBorders>
            <w:vAlign w:val="center"/>
          </w:tcPr>
          <w:p w14:paraId="40293BE6">
            <w:pPr>
              <w:snapToGrid w:val="0"/>
              <w:spacing w:before="50" w:after="50"/>
              <w:jc w:val="center"/>
              <w:rPr>
                <w:rFonts w:ascii="宋体" w:hAnsi="宋体" w:cs="宋体"/>
                <w:color w:val="auto"/>
                <w:sz w:val="24"/>
                <w:highlight w:val="none"/>
              </w:rPr>
            </w:pPr>
          </w:p>
        </w:tc>
        <w:tc>
          <w:tcPr>
            <w:tcW w:w="641" w:type="pct"/>
            <w:tcBorders>
              <w:top w:val="single" w:color="auto" w:sz="4" w:space="0"/>
              <w:left w:val="single" w:color="auto" w:sz="4" w:space="0"/>
              <w:bottom w:val="single" w:color="auto" w:sz="4" w:space="0"/>
              <w:right w:val="single" w:color="auto" w:sz="4" w:space="0"/>
            </w:tcBorders>
            <w:vAlign w:val="center"/>
          </w:tcPr>
          <w:p w14:paraId="6FBE1D2B">
            <w:pPr>
              <w:snapToGrid w:val="0"/>
              <w:spacing w:before="50" w:after="50"/>
              <w:jc w:val="center"/>
              <w:rPr>
                <w:rFonts w:ascii="宋体" w:hAnsi="宋体" w:cs="宋体"/>
                <w:color w:val="auto"/>
                <w:sz w:val="24"/>
                <w:highlight w:val="none"/>
              </w:rPr>
            </w:pPr>
          </w:p>
        </w:tc>
        <w:tc>
          <w:tcPr>
            <w:tcW w:w="420" w:type="pct"/>
            <w:gridSpan w:val="2"/>
            <w:tcBorders>
              <w:top w:val="single" w:color="auto" w:sz="4" w:space="0"/>
              <w:left w:val="single" w:color="auto" w:sz="4" w:space="0"/>
              <w:bottom w:val="single" w:color="auto" w:sz="4" w:space="0"/>
              <w:right w:val="single" w:color="auto" w:sz="4" w:space="0"/>
            </w:tcBorders>
            <w:vAlign w:val="center"/>
          </w:tcPr>
          <w:p w14:paraId="2751D626">
            <w:pPr>
              <w:snapToGrid w:val="0"/>
              <w:spacing w:before="50" w:after="50"/>
              <w:jc w:val="center"/>
              <w:rPr>
                <w:rFonts w:ascii="宋体" w:hAnsi="宋体" w:cs="宋体"/>
                <w:color w:val="auto"/>
                <w:sz w:val="24"/>
                <w:highlight w:val="none"/>
              </w:rPr>
            </w:pPr>
          </w:p>
        </w:tc>
        <w:tc>
          <w:tcPr>
            <w:tcW w:w="821" w:type="pct"/>
            <w:gridSpan w:val="2"/>
            <w:tcBorders>
              <w:top w:val="single" w:color="auto" w:sz="4" w:space="0"/>
              <w:left w:val="single" w:color="auto" w:sz="4" w:space="0"/>
              <w:bottom w:val="single" w:color="auto" w:sz="4" w:space="0"/>
              <w:right w:val="single" w:color="auto" w:sz="4" w:space="0"/>
            </w:tcBorders>
            <w:vAlign w:val="center"/>
          </w:tcPr>
          <w:p w14:paraId="5D8D4D4B">
            <w:pPr>
              <w:snapToGrid w:val="0"/>
              <w:spacing w:before="50" w:after="50"/>
              <w:jc w:val="center"/>
              <w:rPr>
                <w:rFonts w:ascii="宋体" w:hAnsi="宋体" w:cs="宋体"/>
                <w:color w:val="auto"/>
                <w:sz w:val="24"/>
                <w:highlight w:val="none"/>
              </w:rPr>
            </w:pPr>
          </w:p>
        </w:tc>
      </w:tr>
      <w:tr w14:paraId="0F3F9D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9" w:hRule="atLeast"/>
          <w:jc w:val="center"/>
        </w:trPr>
        <w:tc>
          <w:tcPr>
            <w:tcW w:w="4148" w:type="pct"/>
            <w:gridSpan w:val="7"/>
            <w:tcBorders>
              <w:top w:val="single" w:color="auto" w:sz="4" w:space="0"/>
              <w:left w:val="single" w:color="auto" w:sz="4" w:space="0"/>
              <w:bottom w:val="single" w:color="auto" w:sz="4" w:space="0"/>
              <w:right w:val="single" w:color="auto" w:sz="4" w:space="0"/>
            </w:tcBorders>
            <w:vAlign w:val="center"/>
          </w:tcPr>
          <w:p w14:paraId="5BF90D97">
            <w:pPr>
              <w:snapToGrid w:val="0"/>
              <w:spacing w:before="50" w:after="50"/>
              <w:jc w:val="left"/>
              <w:rPr>
                <w:rFonts w:ascii="宋体" w:hAnsi="宋体" w:cs="宋体"/>
                <w:color w:val="auto"/>
                <w:sz w:val="24"/>
                <w:highlight w:val="none"/>
              </w:rPr>
            </w:pPr>
            <w:r>
              <w:rPr>
                <w:rFonts w:hint="eastAsia" w:ascii="宋体" w:hAnsi="宋体" w:cs="宋体"/>
                <w:color w:val="auto"/>
                <w:sz w:val="24"/>
                <w:highlight w:val="none"/>
              </w:rPr>
              <w:t xml:space="preserve">合计金额大写：人民币 </w:t>
            </w:r>
            <w:r>
              <w:rPr>
                <w:rFonts w:hint="eastAsia" w:ascii="宋体" w:hAnsi="宋体" w:cs="宋体"/>
                <w:color w:val="auto"/>
                <w:sz w:val="24"/>
                <w:highlight w:val="none"/>
                <w:u w:val="single"/>
              </w:rPr>
              <w:t xml:space="preserve">          （￥           ）</w:t>
            </w:r>
          </w:p>
        </w:tc>
        <w:tc>
          <w:tcPr>
            <w:tcW w:w="432" w:type="pct"/>
            <w:gridSpan w:val="2"/>
            <w:tcBorders>
              <w:top w:val="single" w:color="auto" w:sz="4" w:space="0"/>
              <w:left w:val="single" w:color="auto" w:sz="4" w:space="0"/>
              <w:bottom w:val="single" w:color="auto" w:sz="4" w:space="0"/>
              <w:right w:val="single" w:color="auto" w:sz="4" w:space="0"/>
            </w:tcBorders>
            <w:vAlign w:val="center"/>
          </w:tcPr>
          <w:p w14:paraId="0D98F86B">
            <w:pPr>
              <w:snapToGrid w:val="0"/>
              <w:spacing w:before="50" w:after="50"/>
              <w:jc w:val="left"/>
              <w:rPr>
                <w:rFonts w:ascii="宋体" w:hAnsi="宋体" w:cs="宋体"/>
                <w:color w:val="auto"/>
                <w:sz w:val="24"/>
                <w:highlight w:val="none"/>
              </w:rPr>
            </w:pPr>
          </w:p>
        </w:tc>
        <w:tc>
          <w:tcPr>
            <w:tcW w:w="419" w:type="pct"/>
            <w:tcBorders>
              <w:top w:val="single" w:color="auto" w:sz="4" w:space="0"/>
              <w:left w:val="single" w:color="auto" w:sz="4" w:space="0"/>
              <w:bottom w:val="single" w:color="auto" w:sz="4" w:space="0"/>
              <w:right w:val="single" w:color="auto" w:sz="4" w:space="0"/>
            </w:tcBorders>
            <w:vAlign w:val="center"/>
          </w:tcPr>
          <w:p w14:paraId="3EF473E6">
            <w:pPr>
              <w:snapToGrid w:val="0"/>
              <w:spacing w:before="50" w:after="50"/>
              <w:jc w:val="left"/>
              <w:rPr>
                <w:rFonts w:ascii="宋体" w:hAnsi="宋体" w:cs="宋体"/>
                <w:color w:val="auto"/>
                <w:sz w:val="24"/>
                <w:highlight w:val="none"/>
              </w:rPr>
            </w:pPr>
          </w:p>
        </w:tc>
      </w:tr>
    </w:tbl>
    <w:p w14:paraId="1A95789C">
      <w:pPr>
        <w:rPr>
          <w:color w:val="auto"/>
          <w:highlight w:val="none"/>
        </w:rPr>
      </w:pPr>
    </w:p>
    <w:p w14:paraId="117F9BE2">
      <w:pPr>
        <w:snapToGrid w:val="0"/>
        <w:spacing w:before="50" w:after="50"/>
        <w:jc w:val="left"/>
        <w:rPr>
          <w:rFonts w:ascii="楷体" w:hAnsi="楷体" w:eastAsia="楷体" w:cs="宋体"/>
          <w:b/>
          <w:color w:val="auto"/>
          <w:sz w:val="24"/>
          <w:highlight w:val="none"/>
        </w:rPr>
      </w:pPr>
      <w:r>
        <w:rPr>
          <w:rFonts w:hint="eastAsia" w:ascii="楷体" w:hAnsi="楷体" w:eastAsia="楷体" w:cs="宋体"/>
          <w:b/>
          <w:color w:val="auto"/>
          <w:sz w:val="24"/>
          <w:highlight w:val="none"/>
        </w:rPr>
        <w:t>注：</w:t>
      </w:r>
      <w:r>
        <w:rPr>
          <w:rFonts w:ascii="楷体" w:hAnsi="楷体" w:eastAsia="楷体" w:cs="宋体"/>
          <w:b/>
          <w:color w:val="auto"/>
          <w:sz w:val="24"/>
          <w:highlight w:val="none"/>
        </w:rPr>
        <w:t xml:space="preserve"> </w:t>
      </w:r>
    </w:p>
    <w:p w14:paraId="7458C6F1">
      <w:pPr>
        <w:ind w:firstLine="480" w:firstLineChars="200"/>
        <w:contextualSpacing/>
        <w:jc w:val="left"/>
        <w:rPr>
          <w:rFonts w:ascii="楷体" w:hAnsi="楷体" w:eastAsia="楷体"/>
          <w:color w:val="auto"/>
          <w:highlight w:val="none"/>
        </w:rPr>
      </w:pPr>
      <w:r>
        <w:rPr>
          <w:rFonts w:ascii="楷体" w:hAnsi="楷体" w:eastAsia="楷体" w:cs="宋体"/>
          <w:color w:val="auto"/>
          <w:sz w:val="24"/>
          <w:highlight w:val="none"/>
        </w:rPr>
        <w:t>1.</w:t>
      </w:r>
      <w:r>
        <w:rPr>
          <w:rFonts w:hint="eastAsia" w:ascii="楷体" w:hAnsi="楷体" w:eastAsia="楷体" w:cs="宋体"/>
          <w:color w:val="auto"/>
          <w:sz w:val="24"/>
          <w:highlight w:val="none"/>
        </w:rPr>
        <w:t>开标一览表中“标的名称、数量、单位、品牌、型号、生产厂家、产地”必须如实填写完整，定制产品在型号栏中填写“定制”。</w:t>
      </w:r>
      <w:r>
        <w:rPr>
          <w:rFonts w:hint="eastAsia" w:ascii="楷体" w:hAnsi="楷体" w:eastAsia="楷体" w:cs="宋体"/>
          <w:b/>
          <w:color w:val="auto"/>
          <w:sz w:val="24"/>
          <w:highlight w:val="none"/>
        </w:rPr>
        <w:t>填写有缺漏</w:t>
      </w:r>
      <w:r>
        <w:rPr>
          <w:rFonts w:hint="eastAsia" w:ascii="楷体" w:hAnsi="楷体" w:eastAsia="楷体" w:cs="宋体"/>
          <w:b/>
          <w:bCs/>
          <w:color w:val="auto"/>
          <w:sz w:val="24"/>
          <w:highlight w:val="none"/>
        </w:rPr>
        <w:t>的，</w:t>
      </w:r>
      <w:r>
        <w:rPr>
          <w:rFonts w:hint="eastAsia" w:ascii="楷体" w:hAnsi="楷体" w:eastAsia="楷体" w:cs="宋体"/>
          <w:b/>
          <w:color w:val="auto"/>
          <w:sz w:val="24"/>
          <w:highlight w:val="none"/>
        </w:rPr>
        <w:t>其响应文件按无效响应处理。</w:t>
      </w:r>
    </w:p>
    <w:p w14:paraId="0EFD98B1">
      <w:pPr>
        <w:snapToGrid w:val="0"/>
        <w:spacing w:before="50" w:after="50"/>
        <w:ind w:firstLine="480" w:firstLineChars="200"/>
        <w:jc w:val="left"/>
        <w:rPr>
          <w:rFonts w:ascii="楷体" w:hAnsi="楷体" w:eastAsia="楷体" w:cs="宋体"/>
          <w:color w:val="auto"/>
          <w:sz w:val="24"/>
          <w:highlight w:val="none"/>
        </w:rPr>
      </w:pPr>
      <w:r>
        <w:rPr>
          <w:rFonts w:ascii="楷体" w:hAnsi="楷体" w:eastAsia="楷体" w:cs="宋体"/>
          <w:color w:val="auto"/>
          <w:sz w:val="24"/>
          <w:highlight w:val="none"/>
        </w:rPr>
        <w:t>2.</w:t>
      </w:r>
      <w:r>
        <w:rPr>
          <w:rFonts w:ascii="楷体" w:hAnsi="楷体" w:eastAsia="楷体" w:cs="宋体"/>
          <w:b/>
          <w:color w:val="auto"/>
          <w:sz w:val="24"/>
          <w:highlight w:val="none"/>
        </w:rPr>
        <w:t>所填写的型号与货物铭牌一致。</w:t>
      </w:r>
    </w:p>
    <w:p w14:paraId="1280E2DE">
      <w:pPr>
        <w:snapToGrid w:val="0"/>
        <w:spacing w:before="50" w:after="50"/>
        <w:ind w:firstLine="480" w:firstLineChars="200"/>
        <w:jc w:val="left"/>
        <w:rPr>
          <w:rFonts w:ascii="楷体" w:hAnsi="楷体" w:eastAsia="楷体" w:cs="宋体"/>
          <w:b/>
          <w:color w:val="auto"/>
          <w:sz w:val="24"/>
          <w:highlight w:val="none"/>
        </w:rPr>
      </w:pPr>
      <w:r>
        <w:rPr>
          <w:rFonts w:ascii="楷体" w:hAnsi="楷体" w:eastAsia="楷体" w:cs="宋体"/>
          <w:bCs/>
          <w:color w:val="auto"/>
          <w:sz w:val="24"/>
          <w:highlight w:val="none"/>
        </w:rPr>
        <w:t>3.</w:t>
      </w:r>
      <w:r>
        <w:rPr>
          <w:rFonts w:hint="eastAsia" w:ascii="楷体" w:hAnsi="楷体" w:eastAsia="楷体" w:cs="宋体"/>
          <w:color w:val="auto"/>
          <w:sz w:val="24"/>
          <w:highlight w:val="none"/>
        </w:rPr>
        <w:t>报价一经涂改，应在涂改处加盖投标人公章或者由法定代表人或者委托代理人签字或者盖章</w:t>
      </w:r>
      <w:r>
        <w:rPr>
          <w:rFonts w:hint="eastAsia" w:ascii="楷体" w:hAnsi="楷体" w:eastAsia="楷体" w:cs="宋体"/>
          <w:b/>
          <w:color w:val="auto"/>
          <w:sz w:val="24"/>
          <w:highlight w:val="none"/>
        </w:rPr>
        <w:t>，否则其投标作无效标处理。</w:t>
      </w:r>
    </w:p>
    <w:p w14:paraId="64975A63">
      <w:pPr>
        <w:snapToGrid w:val="0"/>
        <w:spacing w:before="50" w:after="50"/>
        <w:ind w:firstLine="482" w:firstLineChars="200"/>
        <w:jc w:val="left"/>
        <w:rPr>
          <w:rFonts w:ascii="楷体" w:hAnsi="楷体" w:eastAsia="楷体" w:cs="宋体"/>
          <w:color w:val="auto"/>
          <w:sz w:val="24"/>
          <w:highlight w:val="none"/>
        </w:rPr>
      </w:pPr>
      <w:r>
        <w:rPr>
          <w:rFonts w:ascii="楷体" w:hAnsi="楷体" w:eastAsia="楷体" w:cs="宋体"/>
          <w:b/>
          <w:color w:val="auto"/>
          <w:sz w:val="24"/>
          <w:highlight w:val="none"/>
        </w:rPr>
        <w:t>4.</w:t>
      </w:r>
      <w:r>
        <w:rPr>
          <w:rFonts w:hint="eastAsia" w:ascii="楷体" w:hAnsi="楷体" w:eastAsia="楷体" w:cs="宋体"/>
          <w:color w:val="auto"/>
          <w:sz w:val="24"/>
          <w:highlight w:val="none"/>
        </w:rPr>
        <w:t>投标人的开标一览表必须加盖投标人公章并由法定代表人或者委托代理人签字，</w:t>
      </w:r>
      <w:r>
        <w:rPr>
          <w:rFonts w:hint="eastAsia" w:ascii="楷体" w:hAnsi="楷体" w:eastAsia="楷体" w:cs="宋体"/>
          <w:b/>
          <w:color w:val="auto"/>
          <w:sz w:val="24"/>
          <w:highlight w:val="none"/>
        </w:rPr>
        <w:t>否则其投标作无效标处理</w:t>
      </w:r>
      <w:r>
        <w:rPr>
          <w:rFonts w:hint="eastAsia" w:ascii="楷体" w:hAnsi="楷体" w:eastAsia="楷体" w:cs="宋体"/>
          <w:color w:val="auto"/>
          <w:sz w:val="24"/>
          <w:highlight w:val="none"/>
        </w:rPr>
        <w:t>。</w:t>
      </w:r>
    </w:p>
    <w:p w14:paraId="591E8568">
      <w:pPr>
        <w:snapToGrid w:val="0"/>
        <w:spacing w:before="50" w:after="50"/>
        <w:ind w:firstLine="480" w:firstLineChars="200"/>
        <w:jc w:val="left"/>
        <w:rPr>
          <w:rFonts w:ascii="楷体" w:hAnsi="楷体" w:eastAsia="楷体" w:cs="宋体"/>
          <w:color w:val="auto"/>
          <w:sz w:val="24"/>
          <w:highlight w:val="none"/>
        </w:rPr>
      </w:pPr>
      <w:r>
        <w:rPr>
          <w:rFonts w:ascii="楷体" w:hAnsi="楷体" w:eastAsia="楷体" w:cs="宋体"/>
          <w:color w:val="auto"/>
          <w:sz w:val="24"/>
          <w:highlight w:val="none"/>
        </w:rPr>
        <w:t>5.招标文件中列明采购专用耗材的，应按招标文件规定的耗材量或者按耗材的常规</w:t>
      </w:r>
      <w:r>
        <w:rPr>
          <w:rFonts w:hint="eastAsia" w:ascii="楷体" w:hAnsi="楷体" w:eastAsia="楷体" w:cs="宋体"/>
          <w:color w:val="auto"/>
          <w:sz w:val="24"/>
          <w:highlight w:val="none"/>
        </w:rPr>
        <w:t>使用量提供报价。</w:t>
      </w:r>
    </w:p>
    <w:p w14:paraId="16A3578D">
      <w:pPr>
        <w:snapToGrid w:val="0"/>
        <w:spacing w:before="50" w:after="50"/>
        <w:ind w:firstLine="480" w:firstLineChars="200"/>
        <w:jc w:val="left"/>
        <w:rPr>
          <w:rFonts w:ascii="楷体" w:hAnsi="楷体" w:eastAsia="楷体" w:cs="宋体"/>
          <w:color w:val="auto"/>
          <w:sz w:val="24"/>
          <w:highlight w:val="none"/>
        </w:rPr>
      </w:pPr>
      <w:r>
        <w:rPr>
          <w:rFonts w:ascii="楷体" w:hAnsi="楷体" w:eastAsia="楷体" w:cs="宋体"/>
          <w:color w:val="auto"/>
          <w:sz w:val="24"/>
          <w:highlight w:val="none"/>
        </w:rPr>
        <w:t>6.如为联合体投标，“投标人名称”处必须列明联合体各方名称，并标注联合体牵头人名称，</w:t>
      </w:r>
      <w:r>
        <w:rPr>
          <w:rFonts w:hint="eastAsia" w:ascii="楷体" w:hAnsi="楷体" w:eastAsia="楷体" w:cs="宋体"/>
          <w:b/>
          <w:color w:val="auto"/>
          <w:sz w:val="24"/>
          <w:highlight w:val="none"/>
        </w:rPr>
        <w:t>否则其投标作无效标处理。</w:t>
      </w:r>
    </w:p>
    <w:p w14:paraId="72A0A620">
      <w:pPr>
        <w:snapToGrid w:val="0"/>
        <w:spacing w:before="50" w:after="50"/>
        <w:ind w:firstLine="456" w:firstLineChars="200"/>
        <w:jc w:val="left"/>
        <w:rPr>
          <w:rFonts w:ascii="楷体" w:hAnsi="楷体" w:eastAsia="楷体" w:cs="宋体"/>
          <w:color w:val="auto"/>
          <w:spacing w:val="-6"/>
          <w:sz w:val="24"/>
          <w:highlight w:val="none"/>
        </w:rPr>
      </w:pPr>
      <w:r>
        <w:rPr>
          <w:rFonts w:ascii="楷体" w:hAnsi="楷体" w:eastAsia="楷体" w:cs="宋体"/>
          <w:color w:val="auto"/>
          <w:spacing w:val="-6"/>
          <w:sz w:val="24"/>
          <w:highlight w:val="none"/>
        </w:rPr>
        <w:t>7.如为联合体投标，盖章处须加盖联合体各方公章，</w:t>
      </w:r>
      <w:r>
        <w:rPr>
          <w:rFonts w:hint="eastAsia" w:ascii="楷体" w:hAnsi="楷体" w:eastAsia="楷体" w:cs="宋体"/>
          <w:b/>
          <w:color w:val="auto"/>
          <w:spacing w:val="-6"/>
          <w:sz w:val="24"/>
          <w:highlight w:val="none"/>
        </w:rPr>
        <w:t>否则其投标作无效标处理。</w:t>
      </w:r>
    </w:p>
    <w:p w14:paraId="4CFAF99C">
      <w:pPr>
        <w:snapToGrid w:val="0"/>
        <w:spacing w:before="50" w:after="50"/>
        <w:ind w:firstLine="480" w:firstLineChars="200"/>
        <w:rPr>
          <w:rFonts w:ascii="楷体" w:hAnsi="楷体" w:eastAsia="楷体" w:cs="宋体"/>
          <w:b/>
          <w:color w:val="auto"/>
          <w:sz w:val="24"/>
          <w:highlight w:val="none"/>
        </w:rPr>
      </w:pPr>
      <w:r>
        <w:rPr>
          <w:rFonts w:ascii="楷体" w:hAnsi="楷体" w:eastAsia="楷体" w:cs="宋体"/>
          <w:color w:val="auto"/>
          <w:sz w:val="24"/>
          <w:highlight w:val="none"/>
        </w:rPr>
        <w:t>8.</w:t>
      </w:r>
      <w:r>
        <w:rPr>
          <w:rFonts w:hint="eastAsia" w:ascii="楷体" w:hAnsi="楷体" w:eastAsia="楷体" w:cs="宋体"/>
          <w:color w:val="auto"/>
          <w:sz w:val="24"/>
          <w:highlight w:val="none"/>
        </w:rPr>
        <w:t>投标人需按本表格式填写，不得自行更改，如有多分标，按分标分别提供开标一览表，必须加盖投标人公章并由法定代表人或者委托代理人签字，</w:t>
      </w:r>
      <w:r>
        <w:rPr>
          <w:rFonts w:hint="eastAsia" w:ascii="楷体" w:hAnsi="楷体" w:eastAsia="楷体" w:cs="宋体"/>
          <w:b/>
          <w:color w:val="auto"/>
          <w:sz w:val="24"/>
          <w:highlight w:val="none"/>
        </w:rPr>
        <w:t>否则投标无效。</w:t>
      </w:r>
    </w:p>
    <w:p w14:paraId="633099F9">
      <w:pPr>
        <w:snapToGrid w:val="0"/>
        <w:spacing w:before="166" w:beforeLines="50" w:line="360" w:lineRule="auto"/>
        <w:ind w:right="482" w:firstLine="480" w:firstLineChars="200"/>
        <w:rPr>
          <w:rFonts w:ascii="楷体" w:hAnsi="楷体" w:eastAsia="楷体" w:cs="宋体"/>
          <w:color w:val="auto"/>
          <w:sz w:val="24"/>
          <w:highlight w:val="none"/>
        </w:rPr>
      </w:pPr>
      <w:r>
        <w:rPr>
          <w:rFonts w:ascii="楷体" w:hAnsi="楷体" w:eastAsia="楷体" w:cs="宋体"/>
          <w:color w:val="auto"/>
          <w:sz w:val="24"/>
          <w:highlight w:val="none"/>
        </w:rPr>
        <w:t>9.特别提示：采购代理机构将对项目名称和项目编号，中标人名称、地址和中标金额，主要中标标的</w:t>
      </w:r>
      <w:r>
        <w:rPr>
          <w:rFonts w:hint="eastAsia" w:ascii="楷体" w:hAnsi="楷体" w:eastAsia="楷体" w:cs="宋体"/>
          <w:color w:val="auto"/>
          <w:sz w:val="24"/>
          <w:highlight w:val="none"/>
        </w:rPr>
        <w:t>的名称、规格型号、品牌（如有）、数量、单价等予以公示。</w:t>
      </w:r>
    </w:p>
    <w:p w14:paraId="3A16391B">
      <w:pPr>
        <w:snapToGrid w:val="0"/>
        <w:spacing w:before="166" w:beforeLines="50" w:line="360" w:lineRule="auto"/>
        <w:ind w:right="482" w:firstLine="2400" w:firstLineChars="1000"/>
        <w:rPr>
          <w:rFonts w:ascii="宋体" w:hAnsi="宋体" w:cs="宋体"/>
          <w:color w:val="auto"/>
          <w:sz w:val="24"/>
          <w:highlight w:val="none"/>
          <w:u w:val="single"/>
        </w:rPr>
      </w:pPr>
      <w:r>
        <w:rPr>
          <w:rFonts w:hint="eastAsia" w:ascii="宋体" w:hAnsi="宋体" w:cs="宋体"/>
          <w:color w:val="auto"/>
          <w:sz w:val="24"/>
          <w:highlight w:val="none"/>
        </w:rPr>
        <w:t>法定代表人或者委托代理人（签字）：</w:t>
      </w:r>
      <w:r>
        <w:rPr>
          <w:rFonts w:hint="eastAsia" w:ascii="宋体" w:hAnsi="宋体" w:cs="宋体"/>
          <w:color w:val="auto"/>
          <w:sz w:val="24"/>
          <w:highlight w:val="none"/>
          <w:u w:val="single"/>
        </w:rPr>
        <w:t xml:space="preserve">             </w:t>
      </w:r>
    </w:p>
    <w:p w14:paraId="20DC8618">
      <w:pPr>
        <w:snapToGrid w:val="0"/>
        <w:spacing w:before="166" w:beforeLines="50" w:after="50" w:line="360" w:lineRule="auto"/>
        <w:ind w:right="480" w:firstLine="2400" w:firstLineChars="1000"/>
        <w:rPr>
          <w:rFonts w:ascii="宋体" w:hAnsi="宋体" w:cs="宋体"/>
          <w:color w:val="auto"/>
          <w:sz w:val="24"/>
          <w:highlight w:val="none"/>
          <w:u w:val="single"/>
        </w:rPr>
      </w:pPr>
      <w:r>
        <w:rPr>
          <w:rFonts w:hint="eastAsia" w:ascii="宋体" w:hAnsi="宋体" w:cs="宋体"/>
          <w:color w:val="auto"/>
          <w:sz w:val="24"/>
          <w:highlight w:val="none"/>
        </w:rPr>
        <w:t>投标人（公章）：</w:t>
      </w:r>
      <w:r>
        <w:rPr>
          <w:rFonts w:hint="eastAsia" w:ascii="宋体" w:hAnsi="宋体" w:cs="宋体"/>
          <w:color w:val="auto"/>
          <w:sz w:val="24"/>
          <w:highlight w:val="none"/>
          <w:u w:val="single"/>
        </w:rPr>
        <w:t xml:space="preserve">                 </w:t>
      </w:r>
    </w:p>
    <w:p w14:paraId="5DDA7131">
      <w:pPr>
        <w:snapToGrid w:val="0"/>
        <w:spacing w:before="50" w:after="50"/>
        <w:ind w:left="-31" w:leftChars="-15" w:right="-817" w:rightChars="-389" w:firstLine="2400" w:firstLineChars="1000"/>
        <w:rPr>
          <w:rFonts w:ascii="宋体" w:hAnsi="宋体" w:cs="宋体"/>
          <w:color w:val="auto"/>
          <w:sz w:val="24"/>
          <w:highlight w:val="none"/>
        </w:rPr>
      </w:pPr>
      <w:r>
        <w:rPr>
          <w:rFonts w:hint="eastAsia" w:hAnsi="宋体" w:cs="宋体"/>
          <w:color w:val="auto"/>
          <w:sz w:val="24"/>
          <w:highlight w:val="none"/>
        </w:rPr>
        <w:t>日期：</w:t>
      </w:r>
      <w:r>
        <w:rPr>
          <w:rFonts w:hint="eastAsia" w:hAnsi="宋体" w:cs="宋体"/>
          <w:color w:val="auto"/>
          <w:sz w:val="24"/>
          <w:highlight w:val="none"/>
          <w:u w:val="single"/>
        </w:rPr>
        <w:t xml:space="preserve">      </w:t>
      </w:r>
      <w:r>
        <w:rPr>
          <w:rFonts w:hint="eastAsia" w:hAnsi="宋体" w:cs="宋体"/>
          <w:color w:val="auto"/>
          <w:sz w:val="24"/>
          <w:highlight w:val="none"/>
        </w:rPr>
        <w:t>年</w:t>
      </w:r>
      <w:r>
        <w:rPr>
          <w:rFonts w:hint="eastAsia" w:hAnsi="宋体" w:cs="宋体"/>
          <w:color w:val="auto"/>
          <w:sz w:val="24"/>
          <w:highlight w:val="none"/>
          <w:u w:val="single"/>
        </w:rPr>
        <w:t xml:space="preserve">    </w:t>
      </w:r>
      <w:r>
        <w:rPr>
          <w:rFonts w:hint="eastAsia" w:hAnsi="宋体" w:cs="宋体"/>
          <w:color w:val="auto"/>
          <w:sz w:val="24"/>
          <w:highlight w:val="none"/>
        </w:rPr>
        <w:t>月</w:t>
      </w:r>
      <w:r>
        <w:rPr>
          <w:rFonts w:hint="eastAsia" w:hAnsi="宋体" w:cs="宋体"/>
          <w:color w:val="auto"/>
          <w:sz w:val="24"/>
          <w:highlight w:val="none"/>
          <w:u w:val="single"/>
        </w:rPr>
        <w:t xml:space="preserve">     </w:t>
      </w:r>
      <w:r>
        <w:rPr>
          <w:rFonts w:hint="eastAsia" w:hAnsi="宋体" w:cs="宋体"/>
          <w:color w:val="auto"/>
          <w:sz w:val="24"/>
          <w:highlight w:val="none"/>
        </w:rPr>
        <w:t>日</w:t>
      </w:r>
    </w:p>
    <w:p w14:paraId="0AA9B18B">
      <w:pPr>
        <w:snapToGrid w:val="0"/>
        <w:spacing w:before="50" w:after="50"/>
        <w:jc w:val="center"/>
        <w:rPr>
          <w:rFonts w:ascii="宋体" w:hAnsi="宋体" w:cs="宋体"/>
          <w:b/>
          <w:color w:val="auto"/>
          <w:sz w:val="32"/>
          <w:szCs w:val="32"/>
          <w:highlight w:val="none"/>
        </w:rPr>
      </w:pPr>
      <w:r>
        <w:rPr>
          <w:rFonts w:hint="eastAsia" w:ascii="宋体" w:hAnsi="宋体" w:cs="宋体"/>
          <w:b/>
          <w:bCs/>
          <w:color w:val="auto"/>
          <w:sz w:val="24"/>
          <w:highlight w:val="none"/>
        </w:rPr>
        <w:br w:type="page"/>
      </w:r>
      <w:bookmarkStart w:id="144" w:name="_Toc19686837"/>
      <w:r>
        <w:rPr>
          <w:rFonts w:hint="eastAsia" w:ascii="宋体" w:hAnsi="宋体" w:cs="宋体"/>
          <w:b/>
          <w:color w:val="auto"/>
          <w:sz w:val="32"/>
          <w:szCs w:val="32"/>
          <w:highlight w:val="none"/>
        </w:rPr>
        <w:t>开标一览表（2分标）</w:t>
      </w:r>
    </w:p>
    <w:p w14:paraId="54CA2DB8">
      <w:pPr>
        <w:snapToGrid w:val="0"/>
        <w:spacing w:before="50" w:after="50"/>
        <w:jc w:val="center"/>
        <w:rPr>
          <w:rFonts w:ascii="宋体" w:hAnsi="宋体" w:cs="宋体"/>
          <w:b/>
          <w:color w:val="auto"/>
          <w:sz w:val="24"/>
          <w:highlight w:val="none"/>
        </w:rPr>
      </w:pPr>
    </w:p>
    <w:p w14:paraId="5DCDC71C">
      <w:pPr>
        <w:snapToGrid w:val="0"/>
        <w:spacing w:before="50" w:after="50" w:line="360" w:lineRule="auto"/>
        <w:rPr>
          <w:rFonts w:ascii="宋体" w:hAnsi="宋体" w:cs="宋体"/>
          <w:color w:val="auto"/>
          <w:sz w:val="24"/>
          <w:highlight w:val="none"/>
          <w:u w:val="single"/>
        </w:rPr>
      </w:pPr>
      <w:r>
        <w:rPr>
          <w:rFonts w:hint="eastAsia" w:ascii="宋体" w:hAnsi="宋体" w:cs="宋体"/>
          <w:color w:val="auto"/>
          <w:sz w:val="24"/>
          <w:highlight w:val="none"/>
        </w:rPr>
        <w:t>项目名称：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项目编号：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分标：</w:t>
      </w:r>
      <w:r>
        <w:rPr>
          <w:rFonts w:hint="eastAsia" w:ascii="宋体" w:hAnsi="宋体" w:cs="宋体"/>
          <w:color w:val="auto"/>
          <w:sz w:val="24"/>
          <w:highlight w:val="none"/>
          <w:u w:val="single"/>
        </w:rPr>
        <w:t xml:space="preserve">           </w:t>
      </w:r>
    </w:p>
    <w:p w14:paraId="497B3F92">
      <w:pPr>
        <w:rPr>
          <w:rFonts w:ascii="宋体" w:hAnsi="宋体" w:cs="宋体"/>
          <w:color w:val="auto"/>
          <w:sz w:val="24"/>
          <w:highlight w:val="none"/>
        </w:rPr>
      </w:pPr>
      <w:r>
        <w:rPr>
          <w:rFonts w:hint="eastAsia" w:ascii="宋体" w:hAnsi="宋体" w:cs="宋体"/>
          <w:color w:val="auto"/>
          <w:sz w:val="24"/>
          <w:highlight w:val="none"/>
        </w:rPr>
        <w:t>投标人名称：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货币单位：人民币元</w:t>
      </w:r>
    </w:p>
    <w:tbl>
      <w:tblPr>
        <w:tblStyle w:val="47"/>
        <w:tblW w:w="4996"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96"/>
        <w:gridCol w:w="2154"/>
        <w:gridCol w:w="2917"/>
        <w:gridCol w:w="1190"/>
        <w:gridCol w:w="780"/>
        <w:gridCol w:w="1544"/>
      </w:tblGrid>
      <w:tr w14:paraId="3A95A2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374" w:type="pct"/>
            <w:tcBorders>
              <w:top w:val="single" w:color="auto" w:sz="4" w:space="0"/>
              <w:left w:val="single" w:color="auto" w:sz="4" w:space="0"/>
              <w:bottom w:val="single" w:color="auto" w:sz="4" w:space="0"/>
              <w:right w:val="single" w:color="auto" w:sz="4" w:space="0"/>
            </w:tcBorders>
            <w:vAlign w:val="center"/>
          </w:tcPr>
          <w:p w14:paraId="3FDE4367">
            <w:pPr>
              <w:snapToGrid w:val="0"/>
              <w:spacing w:before="50" w:after="50"/>
              <w:jc w:val="center"/>
              <w:rPr>
                <w:rFonts w:ascii="宋体" w:hAnsi="宋体" w:cs="宋体"/>
                <w:color w:val="auto"/>
                <w:sz w:val="24"/>
                <w:highlight w:val="none"/>
              </w:rPr>
            </w:pPr>
            <w:r>
              <w:rPr>
                <w:rFonts w:hint="eastAsia" w:ascii="宋体" w:hAnsi="宋体" w:cs="宋体"/>
                <w:color w:val="auto"/>
                <w:sz w:val="24"/>
                <w:highlight w:val="none"/>
              </w:rPr>
              <w:t>序号</w:t>
            </w:r>
          </w:p>
        </w:tc>
        <w:tc>
          <w:tcPr>
            <w:tcW w:w="1161" w:type="pct"/>
            <w:tcBorders>
              <w:top w:val="single" w:color="auto" w:sz="4" w:space="0"/>
              <w:left w:val="single" w:color="auto" w:sz="4" w:space="0"/>
              <w:bottom w:val="single" w:color="auto" w:sz="4" w:space="0"/>
              <w:right w:val="single" w:color="auto" w:sz="4" w:space="0"/>
            </w:tcBorders>
            <w:vAlign w:val="center"/>
          </w:tcPr>
          <w:p w14:paraId="5656271D">
            <w:pPr>
              <w:snapToGrid w:val="0"/>
              <w:spacing w:before="50" w:after="50"/>
              <w:jc w:val="center"/>
              <w:rPr>
                <w:rFonts w:ascii="宋体" w:hAnsi="宋体" w:cs="宋体"/>
                <w:color w:val="auto"/>
                <w:sz w:val="24"/>
                <w:highlight w:val="none"/>
              </w:rPr>
            </w:pPr>
            <w:r>
              <w:rPr>
                <w:rFonts w:hint="eastAsia" w:ascii="宋体" w:hAnsi="宋体" w:cs="宋体"/>
                <w:color w:val="auto"/>
                <w:sz w:val="24"/>
                <w:highlight w:val="none"/>
              </w:rPr>
              <w:t>标的名称</w:t>
            </w:r>
          </w:p>
        </w:tc>
        <w:tc>
          <w:tcPr>
            <w:tcW w:w="1572" w:type="pct"/>
            <w:tcBorders>
              <w:top w:val="single" w:color="auto" w:sz="4" w:space="0"/>
              <w:left w:val="single" w:color="auto" w:sz="4" w:space="0"/>
              <w:bottom w:val="single" w:color="auto" w:sz="4" w:space="0"/>
              <w:right w:val="single" w:color="auto" w:sz="4" w:space="0"/>
            </w:tcBorders>
            <w:vAlign w:val="center"/>
          </w:tcPr>
          <w:p w14:paraId="02A8DC85">
            <w:pPr>
              <w:snapToGrid w:val="0"/>
              <w:spacing w:before="50" w:after="50"/>
              <w:jc w:val="center"/>
              <w:rPr>
                <w:rFonts w:ascii="宋体" w:hAnsi="宋体" w:cs="宋体"/>
                <w:color w:val="auto"/>
                <w:sz w:val="24"/>
                <w:highlight w:val="none"/>
              </w:rPr>
            </w:pPr>
            <w:r>
              <w:rPr>
                <w:rFonts w:hint="eastAsia" w:ascii="宋体" w:hAnsi="宋体" w:cs="宋体"/>
                <w:color w:val="auto"/>
                <w:sz w:val="24"/>
                <w:highlight w:val="none"/>
              </w:rPr>
              <w:t>服务内容和要求</w:t>
            </w:r>
          </w:p>
        </w:tc>
        <w:tc>
          <w:tcPr>
            <w:tcW w:w="641" w:type="pct"/>
            <w:tcBorders>
              <w:top w:val="single" w:color="auto" w:sz="4" w:space="0"/>
              <w:left w:val="single" w:color="auto" w:sz="4" w:space="0"/>
              <w:bottom w:val="single" w:color="auto" w:sz="4" w:space="0"/>
              <w:right w:val="single" w:color="auto" w:sz="4" w:space="0"/>
            </w:tcBorders>
            <w:vAlign w:val="center"/>
          </w:tcPr>
          <w:p w14:paraId="5DAC4E51">
            <w:pPr>
              <w:snapToGrid w:val="0"/>
              <w:spacing w:before="50" w:after="50"/>
              <w:jc w:val="center"/>
              <w:rPr>
                <w:rFonts w:ascii="宋体" w:hAnsi="宋体" w:cs="宋体"/>
                <w:color w:val="auto"/>
                <w:sz w:val="24"/>
                <w:highlight w:val="none"/>
              </w:rPr>
            </w:pPr>
            <w:r>
              <w:rPr>
                <w:rFonts w:hint="eastAsia" w:ascii="宋体" w:hAnsi="宋体" w:cs="宋体"/>
                <w:color w:val="auto"/>
                <w:sz w:val="24"/>
                <w:highlight w:val="none"/>
              </w:rPr>
              <w:t>数量及单位①</w:t>
            </w:r>
          </w:p>
        </w:tc>
        <w:tc>
          <w:tcPr>
            <w:tcW w:w="420" w:type="pct"/>
            <w:tcBorders>
              <w:top w:val="single" w:color="auto" w:sz="4" w:space="0"/>
              <w:left w:val="single" w:color="auto" w:sz="4" w:space="0"/>
              <w:bottom w:val="single" w:color="auto" w:sz="4" w:space="0"/>
              <w:right w:val="single" w:color="auto" w:sz="4" w:space="0"/>
            </w:tcBorders>
            <w:vAlign w:val="center"/>
          </w:tcPr>
          <w:p w14:paraId="333024D1">
            <w:pPr>
              <w:snapToGrid w:val="0"/>
              <w:spacing w:before="50" w:after="50"/>
              <w:jc w:val="center"/>
              <w:rPr>
                <w:rFonts w:ascii="宋体" w:hAnsi="宋体" w:cs="宋体"/>
                <w:color w:val="auto"/>
                <w:sz w:val="24"/>
                <w:highlight w:val="none"/>
              </w:rPr>
            </w:pPr>
            <w:r>
              <w:rPr>
                <w:rFonts w:hint="eastAsia" w:ascii="宋体" w:hAnsi="宋体" w:cs="宋体"/>
                <w:color w:val="auto"/>
                <w:sz w:val="24"/>
                <w:highlight w:val="none"/>
              </w:rPr>
              <w:t>单价</w:t>
            </w:r>
          </w:p>
          <w:p w14:paraId="0ABB9148">
            <w:pPr>
              <w:snapToGrid w:val="0"/>
              <w:spacing w:before="50" w:after="50"/>
              <w:jc w:val="center"/>
              <w:rPr>
                <w:rFonts w:ascii="宋体" w:hAnsi="宋体" w:cs="宋体"/>
                <w:color w:val="auto"/>
                <w:sz w:val="24"/>
                <w:highlight w:val="none"/>
              </w:rPr>
            </w:pPr>
            <w:r>
              <w:rPr>
                <w:rFonts w:hint="eastAsia" w:ascii="宋体" w:hAnsi="宋体" w:cs="宋体"/>
                <w:color w:val="auto"/>
                <w:sz w:val="24"/>
                <w:highlight w:val="none"/>
              </w:rPr>
              <w:t>②</w:t>
            </w:r>
          </w:p>
        </w:tc>
        <w:tc>
          <w:tcPr>
            <w:tcW w:w="830" w:type="pct"/>
            <w:tcBorders>
              <w:top w:val="single" w:color="auto" w:sz="4" w:space="0"/>
              <w:left w:val="single" w:color="auto" w:sz="4" w:space="0"/>
              <w:bottom w:val="single" w:color="auto" w:sz="4" w:space="0"/>
              <w:right w:val="single" w:color="auto" w:sz="4" w:space="0"/>
            </w:tcBorders>
            <w:vAlign w:val="center"/>
          </w:tcPr>
          <w:p w14:paraId="68F04BC4">
            <w:pPr>
              <w:snapToGrid w:val="0"/>
              <w:spacing w:before="50" w:after="50"/>
              <w:jc w:val="center"/>
              <w:rPr>
                <w:rFonts w:ascii="宋体" w:hAnsi="宋体" w:cs="宋体"/>
                <w:color w:val="auto"/>
                <w:sz w:val="24"/>
                <w:highlight w:val="none"/>
              </w:rPr>
            </w:pPr>
            <w:r>
              <w:rPr>
                <w:rFonts w:hint="eastAsia" w:ascii="宋体" w:hAnsi="宋体" w:cs="宋体"/>
                <w:color w:val="auto"/>
                <w:sz w:val="24"/>
                <w:highlight w:val="none"/>
              </w:rPr>
              <w:t>投标报价</w:t>
            </w:r>
          </w:p>
          <w:p w14:paraId="089FB7F0">
            <w:pPr>
              <w:snapToGrid w:val="0"/>
              <w:spacing w:before="50" w:after="50"/>
              <w:jc w:val="center"/>
              <w:rPr>
                <w:rFonts w:ascii="宋体" w:hAnsi="宋体" w:cs="宋体"/>
                <w:color w:val="auto"/>
                <w:sz w:val="24"/>
                <w:highlight w:val="none"/>
              </w:rPr>
            </w:pPr>
            <w:r>
              <w:rPr>
                <w:rFonts w:ascii="宋体" w:hAnsi="宋体" w:cs="宋体"/>
                <w:color w:val="auto"/>
                <w:sz w:val="24"/>
                <w:highlight w:val="none"/>
              </w:rPr>
              <w:t>③</w:t>
            </w:r>
            <w:r>
              <w:rPr>
                <w:rFonts w:hint="eastAsia" w:ascii="宋体" w:hAnsi="宋体" w:cs="宋体"/>
                <w:color w:val="auto"/>
                <w:sz w:val="24"/>
                <w:highlight w:val="none"/>
              </w:rPr>
              <w:t>=①×②</w:t>
            </w:r>
          </w:p>
        </w:tc>
      </w:tr>
      <w:tr w14:paraId="092CF3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1" w:hRule="atLeast"/>
          <w:jc w:val="center"/>
        </w:trPr>
        <w:tc>
          <w:tcPr>
            <w:tcW w:w="374" w:type="pct"/>
            <w:tcBorders>
              <w:top w:val="single" w:color="auto" w:sz="4" w:space="0"/>
              <w:left w:val="single" w:color="auto" w:sz="4" w:space="0"/>
              <w:bottom w:val="single" w:color="auto" w:sz="4" w:space="0"/>
              <w:right w:val="single" w:color="auto" w:sz="4" w:space="0"/>
            </w:tcBorders>
            <w:vAlign w:val="center"/>
          </w:tcPr>
          <w:p w14:paraId="1ADB57B2">
            <w:pPr>
              <w:snapToGrid w:val="0"/>
              <w:spacing w:before="50" w:after="50"/>
              <w:jc w:val="center"/>
              <w:rPr>
                <w:rFonts w:ascii="宋体" w:hAnsi="宋体" w:cs="宋体"/>
                <w:color w:val="auto"/>
                <w:sz w:val="24"/>
                <w:highlight w:val="none"/>
              </w:rPr>
            </w:pPr>
            <w:r>
              <w:rPr>
                <w:rFonts w:hint="eastAsia" w:ascii="宋体" w:hAnsi="宋体" w:cs="宋体"/>
                <w:color w:val="auto"/>
                <w:sz w:val="24"/>
                <w:highlight w:val="none"/>
              </w:rPr>
              <w:t>1</w:t>
            </w:r>
          </w:p>
        </w:tc>
        <w:tc>
          <w:tcPr>
            <w:tcW w:w="1161" w:type="pct"/>
            <w:tcBorders>
              <w:top w:val="single" w:color="auto" w:sz="4" w:space="0"/>
              <w:left w:val="single" w:color="auto" w:sz="4" w:space="0"/>
              <w:bottom w:val="single" w:color="auto" w:sz="4" w:space="0"/>
              <w:right w:val="single" w:color="auto" w:sz="4" w:space="0"/>
            </w:tcBorders>
            <w:vAlign w:val="center"/>
          </w:tcPr>
          <w:p w14:paraId="22C8DE33">
            <w:pPr>
              <w:snapToGrid w:val="0"/>
              <w:spacing w:before="50" w:after="50"/>
              <w:jc w:val="center"/>
              <w:rPr>
                <w:rFonts w:ascii="宋体" w:hAnsi="宋体" w:cs="宋体"/>
                <w:color w:val="auto"/>
                <w:sz w:val="24"/>
                <w:highlight w:val="none"/>
              </w:rPr>
            </w:pPr>
          </w:p>
        </w:tc>
        <w:tc>
          <w:tcPr>
            <w:tcW w:w="1572" w:type="pct"/>
            <w:tcBorders>
              <w:top w:val="single" w:color="auto" w:sz="4" w:space="0"/>
              <w:left w:val="single" w:color="auto" w:sz="4" w:space="0"/>
              <w:bottom w:val="single" w:color="auto" w:sz="4" w:space="0"/>
              <w:right w:val="single" w:color="auto" w:sz="4" w:space="0"/>
            </w:tcBorders>
            <w:vAlign w:val="center"/>
          </w:tcPr>
          <w:p w14:paraId="3CA51A8C">
            <w:pPr>
              <w:snapToGrid w:val="0"/>
              <w:spacing w:before="50" w:after="50"/>
              <w:jc w:val="center"/>
              <w:rPr>
                <w:rFonts w:ascii="宋体" w:hAnsi="宋体" w:cs="宋体"/>
                <w:color w:val="auto"/>
                <w:sz w:val="24"/>
                <w:highlight w:val="none"/>
              </w:rPr>
            </w:pPr>
          </w:p>
        </w:tc>
        <w:tc>
          <w:tcPr>
            <w:tcW w:w="641" w:type="pct"/>
            <w:tcBorders>
              <w:top w:val="single" w:color="auto" w:sz="4" w:space="0"/>
              <w:left w:val="single" w:color="auto" w:sz="4" w:space="0"/>
              <w:bottom w:val="single" w:color="auto" w:sz="4" w:space="0"/>
              <w:right w:val="single" w:color="auto" w:sz="4" w:space="0"/>
            </w:tcBorders>
            <w:vAlign w:val="center"/>
          </w:tcPr>
          <w:p w14:paraId="79969DE3">
            <w:pPr>
              <w:snapToGrid w:val="0"/>
              <w:spacing w:before="50" w:after="50"/>
              <w:jc w:val="center"/>
              <w:rPr>
                <w:rFonts w:ascii="宋体" w:hAnsi="宋体" w:cs="宋体"/>
                <w:color w:val="auto"/>
                <w:sz w:val="24"/>
                <w:highlight w:val="none"/>
              </w:rPr>
            </w:pPr>
          </w:p>
        </w:tc>
        <w:tc>
          <w:tcPr>
            <w:tcW w:w="420" w:type="pct"/>
            <w:tcBorders>
              <w:top w:val="single" w:color="auto" w:sz="4" w:space="0"/>
              <w:left w:val="single" w:color="auto" w:sz="4" w:space="0"/>
              <w:bottom w:val="single" w:color="auto" w:sz="4" w:space="0"/>
              <w:right w:val="single" w:color="auto" w:sz="4" w:space="0"/>
            </w:tcBorders>
            <w:vAlign w:val="center"/>
          </w:tcPr>
          <w:p w14:paraId="7984FA2D">
            <w:pPr>
              <w:snapToGrid w:val="0"/>
              <w:spacing w:before="50" w:after="50"/>
              <w:jc w:val="center"/>
              <w:rPr>
                <w:rFonts w:ascii="宋体" w:hAnsi="宋体" w:cs="宋体"/>
                <w:color w:val="auto"/>
                <w:sz w:val="24"/>
                <w:highlight w:val="none"/>
              </w:rPr>
            </w:pPr>
          </w:p>
        </w:tc>
        <w:tc>
          <w:tcPr>
            <w:tcW w:w="830" w:type="pct"/>
            <w:tcBorders>
              <w:top w:val="single" w:color="auto" w:sz="4" w:space="0"/>
              <w:left w:val="single" w:color="auto" w:sz="4" w:space="0"/>
              <w:bottom w:val="single" w:color="auto" w:sz="4" w:space="0"/>
              <w:right w:val="single" w:color="auto" w:sz="4" w:space="0"/>
            </w:tcBorders>
            <w:vAlign w:val="center"/>
          </w:tcPr>
          <w:p w14:paraId="6AE68D7A">
            <w:pPr>
              <w:snapToGrid w:val="0"/>
              <w:spacing w:before="50" w:after="50"/>
              <w:jc w:val="center"/>
              <w:rPr>
                <w:rFonts w:ascii="宋体" w:hAnsi="宋体" w:cs="宋体"/>
                <w:color w:val="auto"/>
                <w:sz w:val="24"/>
                <w:highlight w:val="none"/>
              </w:rPr>
            </w:pPr>
          </w:p>
        </w:tc>
      </w:tr>
      <w:tr w14:paraId="5CD539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374" w:type="pct"/>
            <w:tcBorders>
              <w:top w:val="single" w:color="auto" w:sz="4" w:space="0"/>
              <w:left w:val="single" w:color="auto" w:sz="4" w:space="0"/>
              <w:bottom w:val="single" w:color="auto" w:sz="4" w:space="0"/>
              <w:right w:val="single" w:color="auto" w:sz="4" w:space="0"/>
            </w:tcBorders>
            <w:vAlign w:val="center"/>
          </w:tcPr>
          <w:p w14:paraId="376AFD64">
            <w:pPr>
              <w:snapToGrid w:val="0"/>
              <w:spacing w:before="50" w:after="50"/>
              <w:jc w:val="center"/>
              <w:rPr>
                <w:rFonts w:ascii="宋体" w:hAnsi="宋体" w:cs="宋体"/>
                <w:color w:val="auto"/>
                <w:sz w:val="24"/>
                <w:highlight w:val="none"/>
              </w:rPr>
            </w:pPr>
            <w:r>
              <w:rPr>
                <w:rFonts w:hint="eastAsia" w:ascii="宋体" w:hAnsi="宋体" w:cs="宋体"/>
                <w:color w:val="auto"/>
                <w:sz w:val="24"/>
                <w:highlight w:val="none"/>
              </w:rPr>
              <w:t>2</w:t>
            </w:r>
          </w:p>
        </w:tc>
        <w:tc>
          <w:tcPr>
            <w:tcW w:w="1161" w:type="pct"/>
            <w:tcBorders>
              <w:top w:val="single" w:color="auto" w:sz="4" w:space="0"/>
              <w:left w:val="single" w:color="auto" w:sz="4" w:space="0"/>
              <w:bottom w:val="single" w:color="auto" w:sz="4" w:space="0"/>
              <w:right w:val="single" w:color="auto" w:sz="4" w:space="0"/>
            </w:tcBorders>
            <w:vAlign w:val="center"/>
          </w:tcPr>
          <w:p w14:paraId="080071E6">
            <w:pPr>
              <w:snapToGrid w:val="0"/>
              <w:spacing w:before="50" w:after="50"/>
              <w:jc w:val="center"/>
              <w:rPr>
                <w:rFonts w:ascii="宋体" w:hAnsi="宋体" w:cs="宋体"/>
                <w:color w:val="auto"/>
                <w:sz w:val="24"/>
                <w:highlight w:val="none"/>
              </w:rPr>
            </w:pPr>
          </w:p>
        </w:tc>
        <w:tc>
          <w:tcPr>
            <w:tcW w:w="1572" w:type="pct"/>
            <w:tcBorders>
              <w:top w:val="single" w:color="auto" w:sz="4" w:space="0"/>
              <w:left w:val="single" w:color="auto" w:sz="4" w:space="0"/>
              <w:bottom w:val="single" w:color="auto" w:sz="4" w:space="0"/>
              <w:right w:val="single" w:color="auto" w:sz="4" w:space="0"/>
            </w:tcBorders>
            <w:vAlign w:val="center"/>
          </w:tcPr>
          <w:p w14:paraId="68F6C872">
            <w:pPr>
              <w:snapToGrid w:val="0"/>
              <w:spacing w:before="50" w:after="50"/>
              <w:jc w:val="center"/>
              <w:rPr>
                <w:rFonts w:ascii="宋体" w:hAnsi="宋体" w:cs="宋体"/>
                <w:color w:val="auto"/>
                <w:sz w:val="24"/>
                <w:highlight w:val="none"/>
              </w:rPr>
            </w:pPr>
          </w:p>
        </w:tc>
        <w:tc>
          <w:tcPr>
            <w:tcW w:w="641" w:type="pct"/>
            <w:tcBorders>
              <w:top w:val="single" w:color="auto" w:sz="4" w:space="0"/>
              <w:left w:val="single" w:color="auto" w:sz="4" w:space="0"/>
              <w:bottom w:val="single" w:color="auto" w:sz="4" w:space="0"/>
              <w:right w:val="single" w:color="auto" w:sz="4" w:space="0"/>
            </w:tcBorders>
            <w:vAlign w:val="center"/>
          </w:tcPr>
          <w:p w14:paraId="79DC47D0">
            <w:pPr>
              <w:snapToGrid w:val="0"/>
              <w:spacing w:before="50" w:after="50"/>
              <w:jc w:val="center"/>
              <w:rPr>
                <w:rFonts w:ascii="宋体" w:hAnsi="宋体" w:cs="宋体"/>
                <w:color w:val="auto"/>
                <w:sz w:val="24"/>
                <w:highlight w:val="none"/>
              </w:rPr>
            </w:pPr>
          </w:p>
        </w:tc>
        <w:tc>
          <w:tcPr>
            <w:tcW w:w="420" w:type="pct"/>
            <w:tcBorders>
              <w:top w:val="single" w:color="auto" w:sz="4" w:space="0"/>
              <w:left w:val="single" w:color="auto" w:sz="4" w:space="0"/>
              <w:bottom w:val="single" w:color="auto" w:sz="4" w:space="0"/>
              <w:right w:val="single" w:color="auto" w:sz="4" w:space="0"/>
            </w:tcBorders>
            <w:vAlign w:val="center"/>
          </w:tcPr>
          <w:p w14:paraId="424E8816">
            <w:pPr>
              <w:snapToGrid w:val="0"/>
              <w:spacing w:before="50" w:after="50"/>
              <w:jc w:val="center"/>
              <w:rPr>
                <w:rFonts w:ascii="宋体" w:hAnsi="宋体" w:cs="宋体"/>
                <w:color w:val="auto"/>
                <w:sz w:val="24"/>
                <w:highlight w:val="none"/>
              </w:rPr>
            </w:pPr>
          </w:p>
        </w:tc>
        <w:tc>
          <w:tcPr>
            <w:tcW w:w="830" w:type="pct"/>
            <w:tcBorders>
              <w:top w:val="single" w:color="auto" w:sz="4" w:space="0"/>
              <w:left w:val="single" w:color="auto" w:sz="4" w:space="0"/>
              <w:bottom w:val="single" w:color="auto" w:sz="4" w:space="0"/>
              <w:right w:val="single" w:color="auto" w:sz="4" w:space="0"/>
            </w:tcBorders>
            <w:vAlign w:val="center"/>
          </w:tcPr>
          <w:p w14:paraId="3B97746D">
            <w:pPr>
              <w:snapToGrid w:val="0"/>
              <w:spacing w:before="50" w:after="50"/>
              <w:jc w:val="center"/>
              <w:rPr>
                <w:rFonts w:ascii="宋体" w:hAnsi="宋体" w:cs="宋体"/>
                <w:color w:val="auto"/>
                <w:sz w:val="24"/>
                <w:highlight w:val="none"/>
              </w:rPr>
            </w:pPr>
          </w:p>
        </w:tc>
      </w:tr>
      <w:tr w14:paraId="31EEED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9" w:hRule="atLeast"/>
          <w:jc w:val="center"/>
        </w:trPr>
        <w:tc>
          <w:tcPr>
            <w:tcW w:w="374" w:type="pct"/>
            <w:tcBorders>
              <w:top w:val="single" w:color="auto" w:sz="4" w:space="0"/>
              <w:left w:val="single" w:color="auto" w:sz="4" w:space="0"/>
              <w:bottom w:val="single" w:color="auto" w:sz="4" w:space="0"/>
              <w:right w:val="single" w:color="auto" w:sz="4" w:space="0"/>
            </w:tcBorders>
            <w:vAlign w:val="center"/>
          </w:tcPr>
          <w:p w14:paraId="2ED2DA5E">
            <w:pPr>
              <w:snapToGrid w:val="0"/>
              <w:spacing w:before="50" w:after="50"/>
              <w:jc w:val="center"/>
              <w:rPr>
                <w:rFonts w:ascii="宋体" w:hAnsi="宋体" w:cs="宋体"/>
                <w:color w:val="auto"/>
                <w:sz w:val="24"/>
                <w:highlight w:val="none"/>
              </w:rPr>
            </w:pPr>
            <w:r>
              <w:rPr>
                <w:rFonts w:hint="eastAsia" w:ascii="宋体" w:hAnsi="宋体" w:cs="宋体"/>
                <w:color w:val="auto"/>
                <w:sz w:val="24"/>
                <w:highlight w:val="none"/>
              </w:rPr>
              <w:t>……</w:t>
            </w:r>
          </w:p>
        </w:tc>
        <w:tc>
          <w:tcPr>
            <w:tcW w:w="1161" w:type="pct"/>
            <w:tcBorders>
              <w:top w:val="single" w:color="auto" w:sz="4" w:space="0"/>
              <w:left w:val="single" w:color="auto" w:sz="4" w:space="0"/>
              <w:bottom w:val="single" w:color="auto" w:sz="4" w:space="0"/>
              <w:right w:val="single" w:color="auto" w:sz="4" w:space="0"/>
            </w:tcBorders>
            <w:vAlign w:val="center"/>
          </w:tcPr>
          <w:p w14:paraId="7B098D1E">
            <w:pPr>
              <w:snapToGrid w:val="0"/>
              <w:spacing w:before="50" w:after="50"/>
              <w:jc w:val="center"/>
              <w:rPr>
                <w:rFonts w:ascii="宋体" w:hAnsi="宋体" w:cs="宋体"/>
                <w:color w:val="auto"/>
                <w:sz w:val="24"/>
                <w:highlight w:val="none"/>
              </w:rPr>
            </w:pPr>
            <w:r>
              <w:rPr>
                <w:rFonts w:hint="eastAsia" w:ascii="宋体" w:hAnsi="宋体" w:cs="宋体"/>
                <w:color w:val="auto"/>
                <w:sz w:val="24"/>
                <w:highlight w:val="none"/>
              </w:rPr>
              <w:t>……</w:t>
            </w:r>
          </w:p>
        </w:tc>
        <w:tc>
          <w:tcPr>
            <w:tcW w:w="1572" w:type="pct"/>
            <w:tcBorders>
              <w:top w:val="single" w:color="auto" w:sz="4" w:space="0"/>
              <w:left w:val="single" w:color="auto" w:sz="4" w:space="0"/>
              <w:bottom w:val="single" w:color="auto" w:sz="4" w:space="0"/>
              <w:right w:val="single" w:color="auto" w:sz="4" w:space="0"/>
            </w:tcBorders>
            <w:vAlign w:val="center"/>
          </w:tcPr>
          <w:p w14:paraId="2BEF0ACE">
            <w:pPr>
              <w:snapToGrid w:val="0"/>
              <w:spacing w:before="50" w:after="50"/>
              <w:jc w:val="center"/>
              <w:rPr>
                <w:rFonts w:ascii="宋体" w:hAnsi="宋体" w:cs="宋体"/>
                <w:color w:val="auto"/>
                <w:sz w:val="24"/>
                <w:highlight w:val="none"/>
              </w:rPr>
            </w:pPr>
          </w:p>
        </w:tc>
        <w:tc>
          <w:tcPr>
            <w:tcW w:w="641" w:type="pct"/>
            <w:tcBorders>
              <w:top w:val="single" w:color="auto" w:sz="4" w:space="0"/>
              <w:left w:val="single" w:color="auto" w:sz="4" w:space="0"/>
              <w:bottom w:val="single" w:color="auto" w:sz="4" w:space="0"/>
              <w:right w:val="single" w:color="auto" w:sz="4" w:space="0"/>
            </w:tcBorders>
            <w:vAlign w:val="center"/>
          </w:tcPr>
          <w:p w14:paraId="66B45C0F">
            <w:pPr>
              <w:snapToGrid w:val="0"/>
              <w:spacing w:before="50" w:after="50"/>
              <w:jc w:val="center"/>
              <w:rPr>
                <w:rFonts w:ascii="宋体" w:hAnsi="宋体" w:cs="宋体"/>
                <w:color w:val="auto"/>
                <w:sz w:val="24"/>
                <w:highlight w:val="none"/>
              </w:rPr>
            </w:pPr>
          </w:p>
        </w:tc>
        <w:tc>
          <w:tcPr>
            <w:tcW w:w="420" w:type="pct"/>
            <w:tcBorders>
              <w:top w:val="single" w:color="auto" w:sz="4" w:space="0"/>
              <w:left w:val="single" w:color="auto" w:sz="4" w:space="0"/>
              <w:bottom w:val="single" w:color="auto" w:sz="4" w:space="0"/>
              <w:right w:val="single" w:color="auto" w:sz="4" w:space="0"/>
            </w:tcBorders>
            <w:vAlign w:val="center"/>
          </w:tcPr>
          <w:p w14:paraId="50ADDD3C">
            <w:pPr>
              <w:snapToGrid w:val="0"/>
              <w:spacing w:before="50" w:after="50"/>
              <w:jc w:val="center"/>
              <w:rPr>
                <w:rFonts w:ascii="宋体" w:hAnsi="宋体" w:cs="宋体"/>
                <w:color w:val="auto"/>
                <w:sz w:val="24"/>
                <w:highlight w:val="none"/>
              </w:rPr>
            </w:pPr>
          </w:p>
        </w:tc>
        <w:tc>
          <w:tcPr>
            <w:tcW w:w="830" w:type="pct"/>
            <w:tcBorders>
              <w:top w:val="single" w:color="auto" w:sz="4" w:space="0"/>
              <w:left w:val="single" w:color="auto" w:sz="4" w:space="0"/>
              <w:bottom w:val="single" w:color="auto" w:sz="4" w:space="0"/>
              <w:right w:val="single" w:color="auto" w:sz="4" w:space="0"/>
            </w:tcBorders>
            <w:vAlign w:val="center"/>
          </w:tcPr>
          <w:p w14:paraId="7D564B40">
            <w:pPr>
              <w:snapToGrid w:val="0"/>
              <w:spacing w:before="50" w:after="50"/>
              <w:jc w:val="center"/>
              <w:rPr>
                <w:rFonts w:ascii="宋体" w:hAnsi="宋体" w:cs="宋体"/>
                <w:color w:val="auto"/>
                <w:sz w:val="24"/>
                <w:highlight w:val="none"/>
              </w:rPr>
            </w:pPr>
          </w:p>
        </w:tc>
      </w:tr>
      <w:tr w14:paraId="4E16B0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9" w:hRule="atLeast"/>
          <w:jc w:val="center"/>
        </w:trPr>
        <w:tc>
          <w:tcPr>
            <w:tcW w:w="5000" w:type="pct"/>
            <w:gridSpan w:val="6"/>
            <w:tcBorders>
              <w:top w:val="single" w:color="auto" w:sz="4" w:space="0"/>
              <w:left w:val="single" w:color="auto" w:sz="4" w:space="0"/>
              <w:bottom w:val="single" w:color="auto" w:sz="4" w:space="0"/>
              <w:right w:val="single" w:color="auto" w:sz="4" w:space="0"/>
            </w:tcBorders>
            <w:vAlign w:val="center"/>
          </w:tcPr>
          <w:p w14:paraId="70AAB0F8">
            <w:pPr>
              <w:snapToGrid w:val="0"/>
              <w:spacing w:before="50" w:after="50"/>
              <w:jc w:val="left"/>
              <w:rPr>
                <w:rFonts w:ascii="宋体" w:hAnsi="宋体" w:cs="宋体"/>
                <w:color w:val="auto"/>
                <w:sz w:val="24"/>
                <w:highlight w:val="none"/>
              </w:rPr>
            </w:pPr>
            <w:r>
              <w:rPr>
                <w:rFonts w:hint="eastAsia" w:ascii="宋体" w:hAnsi="宋体" w:cs="宋体"/>
                <w:color w:val="auto"/>
                <w:sz w:val="24"/>
                <w:highlight w:val="none"/>
              </w:rPr>
              <w:t xml:space="preserve">合计金额大写：人民币 </w:t>
            </w:r>
            <w:r>
              <w:rPr>
                <w:rFonts w:hint="eastAsia" w:ascii="宋体" w:hAnsi="宋体" w:cs="宋体"/>
                <w:color w:val="auto"/>
                <w:sz w:val="24"/>
                <w:highlight w:val="none"/>
                <w:u w:val="single"/>
              </w:rPr>
              <w:t xml:space="preserve">          （￥           ）</w:t>
            </w:r>
          </w:p>
        </w:tc>
      </w:tr>
    </w:tbl>
    <w:p w14:paraId="56DC9D2A">
      <w:pPr>
        <w:rPr>
          <w:color w:val="auto"/>
          <w:highlight w:val="none"/>
        </w:rPr>
      </w:pPr>
    </w:p>
    <w:p w14:paraId="623D785E">
      <w:pPr>
        <w:snapToGrid w:val="0"/>
        <w:spacing w:before="50" w:after="50"/>
        <w:jc w:val="left"/>
        <w:rPr>
          <w:rFonts w:ascii="楷体" w:hAnsi="楷体" w:eastAsia="楷体" w:cs="宋体"/>
          <w:b/>
          <w:color w:val="auto"/>
          <w:sz w:val="24"/>
          <w:highlight w:val="none"/>
        </w:rPr>
      </w:pPr>
      <w:r>
        <w:rPr>
          <w:rFonts w:hint="eastAsia" w:ascii="楷体" w:hAnsi="楷体" w:eastAsia="楷体" w:cs="宋体"/>
          <w:b/>
          <w:color w:val="auto"/>
          <w:sz w:val="24"/>
          <w:highlight w:val="none"/>
        </w:rPr>
        <w:t>注：</w:t>
      </w:r>
      <w:r>
        <w:rPr>
          <w:rFonts w:ascii="楷体" w:hAnsi="楷体" w:eastAsia="楷体" w:cs="宋体"/>
          <w:b/>
          <w:color w:val="auto"/>
          <w:sz w:val="24"/>
          <w:highlight w:val="none"/>
        </w:rPr>
        <w:t xml:space="preserve"> </w:t>
      </w:r>
    </w:p>
    <w:p w14:paraId="3EB70B2E">
      <w:pPr>
        <w:snapToGrid w:val="0"/>
        <w:spacing w:before="50" w:after="50"/>
        <w:ind w:firstLine="480" w:firstLineChars="200"/>
        <w:jc w:val="left"/>
        <w:rPr>
          <w:rFonts w:ascii="楷体" w:hAnsi="楷体" w:eastAsia="楷体" w:cs="宋体"/>
          <w:color w:val="auto"/>
          <w:sz w:val="24"/>
          <w:highlight w:val="none"/>
        </w:rPr>
      </w:pPr>
      <w:r>
        <w:rPr>
          <w:rFonts w:ascii="楷体" w:hAnsi="楷体" w:eastAsia="楷体" w:cs="宋体"/>
          <w:color w:val="auto"/>
          <w:sz w:val="24"/>
          <w:highlight w:val="none"/>
        </w:rPr>
        <w:t>1.</w:t>
      </w:r>
      <w:r>
        <w:rPr>
          <w:rFonts w:hint="eastAsia" w:ascii="楷体" w:hAnsi="楷体" w:eastAsia="楷体" w:cs="宋体"/>
          <w:color w:val="auto"/>
          <w:sz w:val="24"/>
          <w:highlight w:val="none"/>
        </w:rPr>
        <w:t>报价一经涂改，应在涂改处加盖投标人公章或者由法定代表人或者委托代理人签字或者盖章，否则其投标作无效标处理。</w:t>
      </w:r>
    </w:p>
    <w:p w14:paraId="43620DC3">
      <w:pPr>
        <w:snapToGrid w:val="0"/>
        <w:spacing w:before="50" w:after="50"/>
        <w:ind w:firstLine="480" w:firstLineChars="200"/>
        <w:jc w:val="left"/>
        <w:rPr>
          <w:rFonts w:ascii="楷体" w:hAnsi="楷体" w:eastAsia="楷体" w:cs="宋体"/>
          <w:color w:val="auto"/>
          <w:sz w:val="24"/>
          <w:highlight w:val="none"/>
        </w:rPr>
      </w:pPr>
      <w:r>
        <w:rPr>
          <w:rFonts w:hint="eastAsia" w:ascii="楷体" w:hAnsi="楷体" w:eastAsia="楷体" w:cs="宋体"/>
          <w:color w:val="auto"/>
          <w:sz w:val="24"/>
          <w:highlight w:val="none"/>
        </w:rPr>
        <w:t>2</w:t>
      </w:r>
      <w:r>
        <w:rPr>
          <w:rFonts w:ascii="楷体" w:hAnsi="楷体" w:eastAsia="楷体" w:cs="宋体"/>
          <w:color w:val="auto"/>
          <w:sz w:val="24"/>
          <w:highlight w:val="none"/>
        </w:rPr>
        <w:t>.</w:t>
      </w:r>
      <w:r>
        <w:rPr>
          <w:rFonts w:hint="eastAsia" w:ascii="楷体" w:hAnsi="楷体" w:eastAsia="楷体" w:cs="宋体"/>
          <w:color w:val="auto"/>
          <w:sz w:val="24"/>
          <w:highlight w:val="none"/>
        </w:rPr>
        <w:t>投标人的开标一览表必须加盖投标人公章并由法定代表人或者委托代理人签字，否则其投标作无效标处理。</w:t>
      </w:r>
    </w:p>
    <w:p w14:paraId="57711336">
      <w:pPr>
        <w:snapToGrid w:val="0"/>
        <w:spacing w:before="50" w:after="50"/>
        <w:ind w:firstLine="480" w:firstLineChars="200"/>
        <w:jc w:val="left"/>
        <w:rPr>
          <w:rFonts w:ascii="楷体" w:hAnsi="楷体" w:eastAsia="楷体" w:cs="宋体"/>
          <w:color w:val="auto"/>
          <w:sz w:val="24"/>
          <w:highlight w:val="none"/>
        </w:rPr>
      </w:pPr>
      <w:r>
        <w:rPr>
          <w:rFonts w:hint="eastAsia" w:ascii="楷体" w:hAnsi="楷体" w:eastAsia="楷体" w:cs="宋体"/>
          <w:color w:val="auto"/>
          <w:sz w:val="24"/>
          <w:highlight w:val="none"/>
        </w:rPr>
        <w:t>3</w:t>
      </w:r>
      <w:r>
        <w:rPr>
          <w:rFonts w:ascii="楷体" w:hAnsi="楷体" w:eastAsia="楷体" w:cs="宋体"/>
          <w:color w:val="auto"/>
          <w:sz w:val="24"/>
          <w:highlight w:val="none"/>
        </w:rPr>
        <w:t>.招标文件中列明采购专用耗材的，应按招标文件规定的耗材量或者按耗材的常规</w:t>
      </w:r>
      <w:r>
        <w:rPr>
          <w:rFonts w:hint="eastAsia" w:ascii="楷体" w:hAnsi="楷体" w:eastAsia="楷体" w:cs="宋体"/>
          <w:color w:val="auto"/>
          <w:sz w:val="24"/>
          <w:highlight w:val="none"/>
        </w:rPr>
        <w:t>使用量提供报价。</w:t>
      </w:r>
    </w:p>
    <w:p w14:paraId="223FFE5D">
      <w:pPr>
        <w:snapToGrid w:val="0"/>
        <w:spacing w:before="50" w:after="50"/>
        <w:ind w:firstLine="480" w:firstLineChars="200"/>
        <w:jc w:val="left"/>
        <w:rPr>
          <w:rFonts w:ascii="楷体" w:hAnsi="楷体" w:eastAsia="楷体" w:cs="宋体"/>
          <w:color w:val="auto"/>
          <w:sz w:val="24"/>
          <w:highlight w:val="none"/>
        </w:rPr>
      </w:pPr>
      <w:r>
        <w:rPr>
          <w:rFonts w:hint="eastAsia" w:ascii="楷体" w:hAnsi="楷体" w:eastAsia="楷体" w:cs="宋体"/>
          <w:color w:val="auto"/>
          <w:sz w:val="24"/>
          <w:highlight w:val="none"/>
        </w:rPr>
        <w:t>4</w:t>
      </w:r>
      <w:r>
        <w:rPr>
          <w:rFonts w:ascii="楷体" w:hAnsi="楷体" w:eastAsia="楷体" w:cs="宋体"/>
          <w:color w:val="auto"/>
          <w:sz w:val="24"/>
          <w:highlight w:val="none"/>
        </w:rPr>
        <w:t>.如为联合体投标，“投标人名</w:t>
      </w:r>
      <w:r>
        <w:rPr>
          <w:rFonts w:hint="eastAsia" w:ascii="楷体" w:hAnsi="楷体" w:eastAsia="楷体" w:cs="宋体"/>
          <w:color w:val="auto"/>
          <w:sz w:val="24"/>
          <w:highlight w:val="none"/>
        </w:rPr>
        <w:t>称”处必须列明联合体各方名称，并标注联合体牵头人名称，否则其投标作无效标处理。</w:t>
      </w:r>
    </w:p>
    <w:p w14:paraId="5F865572">
      <w:pPr>
        <w:snapToGrid w:val="0"/>
        <w:spacing w:before="50" w:after="50"/>
        <w:ind w:firstLine="480" w:firstLineChars="200"/>
        <w:jc w:val="left"/>
        <w:rPr>
          <w:rFonts w:ascii="楷体" w:hAnsi="楷体" w:eastAsia="楷体" w:cs="宋体"/>
          <w:color w:val="auto"/>
          <w:sz w:val="24"/>
          <w:highlight w:val="none"/>
        </w:rPr>
      </w:pPr>
      <w:r>
        <w:rPr>
          <w:rFonts w:hint="eastAsia" w:ascii="楷体" w:hAnsi="楷体" w:eastAsia="楷体" w:cs="宋体"/>
          <w:color w:val="auto"/>
          <w:sz w:val="24"/>
          <w:highlight w:val="none"/>
        </w:rPr>
        <w:t>5.如为联合体投标，盖章处须加盖联合体各方公章，否则其投标作无效标处理。</w:t>
      </w:r>
    </w:p>
    <w:p w14:paraId="029BFC54">
      <w:pPr>
        <w:snapToGrid w:val="0"/>
        <w:spacing w:before="50" w:after="50"/>
        <w:ind w:firstLine="480" w:firstLineChars="200"/>
        <w:jc w:val="left"/>
        <w:rPr>
          <w:rFonts w:ascii="楷体" w:hAnsi="楷体" w:eastAsia="楷体" w:cs="宋体"/>
          <w:color w:val="auto"/>
          <w:sz w:val="24"/>
          <w:highlight w:val="none"/>
        </w:rPr>
      </w:pPr>
      <w:r>
        <w:rPr>
          <w:rFonts w:hint="eastAsia" w:ascii="楷体" w:hAnsi="楷体" w:eastAsia="楷体" w:cs="宋体"/>
          <w:color w:val="auto"/>
          <w:sz w:val="24"/>
          <w:highlight w:val="none"/>
        </w:rPr>
        <w:t>6.投标人需按本表格式填写，不得自行更改，如有多分标，按分标分别提供开标一览表，必须加盖投标人公章并由法定代表人或者委托代理人签字，否则投标无效。</w:t>
      </w:r>
    </w:p>
    <w:p w14:paraId="22CFDDAC">
      <w:pPr>
        <w:snapToGrid w:val="0"/>
        <w:spacing w:before="50" w:after="50"/>
        <w:ind w:firstLine="480" w:firstLineChars="200"/>
        <w:jc w:val="left"/>
        <w:rPr>
          <w:rFonts w:ascii="楷体" w:hAnsi="楷体" w:eastAsia="楷体" w:cs="宋体"/>
          <w:color w:val="auto"/>
          <w:sz w:val="24"/>
          <w:highlight w:val="none"/>
        </w:rPr>
      </w:pPr>
      <w:r>
        <w:rPr>
          <w:rFonts w:hint="eastAsia" w:ascii="楷体" w:hAnsi="楷体" w:eastAsia="楷体" w:cs="宋体"/>
          <w:color w:val="auto"/>
          <w:sz w:val="24"/>
          <w:highlight w:val="none"/>
        </w:rPr>
        <w:t>7.特别提示：采购代理机构将对项目名称和项目编号，中标人名称、地址和中标金额，主要中标标的的名称、规格型号、品牌（如有）、数量、单价等予以公示。</w:t>
      </w:r>
    </w:p>
    <w:p w14:paraId="59D877E8">
      <w:pPr>
        <w:snapToGrid w:val="0"/>
        <w:spacing w:before="166" w:beforeLines="50" w:line="360" w:lineRule="auto"/>
        <w:ind w:right="482" w:firstLine="2400" w:firstLineChars="1000"/>
        <w:rPr>
          <w:rFonts w:ascii="宋体" w:hAnsi="宋体" w:cs="宋体"/>
          <w:color w:val="auto"/>
          <w:sz w:val="24"/>
          <w:highlight w:val="none"/>
          <w:u w:val="single"/>
        </w:rPr>
      </w:pPr>
      <w:r>
        <w:rPr>
          <w:rFonts w:hint="eastAsia" w:ascii="宋体" w:hAnsi="宋体" w:cs="宋体"/>
          <w:color w:val="auto"/>
          <w:sz w:val="24"/>
          <w:highlight w:val="none"/>
        </w:rPr>
        <w:t>法定代表人或者委托代理人（签字）：</w:t>
      </w:r>
      <w:r>
        <w:rPr>
          <w:rFonts w:hint="eastAsia" w:ascii="宋体" w:hAnsi="宋体" w:cs="宋体"/>
          <w:color w:val="auto"/>
          <w:sz w:val="24"/>
          <w:highlight w:val="none"/>
          <w:u w:val="single"/>
        </w:rPr>
        <w:t xml:space="preserve">             </w:t>
      </w:r>
    </w:p>
    <w:p w14:paraId="4BC9185E">
      <w:pPr>
        <w:snapToGrid w:val="0"/>
        <w:spacing w:before="166" w:beforeLines="50" w:after="50" w:line="360" w:lineRule="auto"/>
        <w:ind w:right="480" w:firstLine="2400" w:firstLineChars="1000"/>
        <w:rPr>
          <w:rFonts w:ascii="宋体" w:hAnsi="宋体" w:cs="宋体"/>
          <w:color w:val="auto"/>
          <w:sz w:val="24"/>
          <w:highlight w:val="none"/>
          <w:u w:val="single"/>
        </w:rPr>
      </w:pPr>
      <w:r>
        <w:rPr>
          <w:rFonts w:hint="eastAsia" w:ascii="宋体" w:hAnsi="宋体" w:cs="宋体"/>
          <w:color w:val="auto"/>
          <w:sz w:val="24"/>
          <w:highlight w:val="none"/>
        </w:rPr>
        <w:t>投标人（公章）：</w:t>
      </w:r>
      <w:r>
        <w:rPr>
          <w:rFonts w:hint="eastAsia" w:ascii="宋体" w:hAnsi="宋体" w:cs="宋体"/>
          <w:color w:val="auto"/>
          <w:sz w:val="24"/>
          <w:highlight w:val="none"/>
          <w:u w:val="single"/>
        </w:rPr>
        <w:t xml:space="preserve">                 </w:t>
      </w:r>
    </w:p>
    <w:p w14:paraId="44A90D59">
      <w:pPr>
        <w:snapToGrid w:val="0"/>
        <w:spacing w:before="50" w:after="50"/>
        <w:ind w:left="-31" w:leftChars="-15" w:right="-817" w:rightChars="-389" w:firstLine="2400" w:firstLineChars="1000"/>
        <w:rPr>
          <w:rFonts w:ascii="宋体" w:hAnsi="宋体" w:cs="宋体"/>
          <w:color w:val="auto"/>
          <w:sz w:val="24"/>
          <w:highlight w:val="none"/>
        </w:rPr>
      </w:pPr>
      <w:r>
        <w:rPr>
          <w:rFonts w:hint="eastAsia" w:hAnsi="宋体" w:cs="宋体"/>
          <w:color w:val="auto"/>
          <w:sz w:val="24"/>
          <w:highlight w:val="none"/>
        </w:rPr>
        <w:t>日期：</w:t>
      </w:r>
      <w:r>
        <w:rPr>
          <w:rFonts w:hint="eastAsia" w:hAnsi="宋体" w:cs="宋体"/>
          <w:color w:val="auto"/>
          <w:sz w:val="24"/>
          <w:highlight w:val="none"/>
          <w:u w:val="single"/>
        </w:rPr>
        <w:t xml:space="preserve">      </w:t>
      </w:r>
      <w:r>
        <w:rPr>
          <w:rFonts w:hint="eastAsia" w:hAnsi="宋体" w:cs="宋体"/>
          <w:color w:val="auto"/>
          <w:sz w:val="24"/>
          <w:highlight w:val="none"/>
        </w:rPr>
        <w:t>年</w:t>
      </w:r>
      <w:r>
        <w:rPr>
          <w:rFonts w:hint="eastAsia" w:hAnsi="宋体" w:cs="宋体"/>
          <w:color w:val="auto"/>
          <w:sz w:val="24"/>
          <w:highlight w:val="none"/>
          <w:u w:val="single"/>
        </w:rPr>
        <w:t xml:space="preserve">    </w:t>
      </w:r>
      <w:r>
        <w:rPr>
          <w:rFonts w:hint="eastAsia" w:hAnsi="宋体" w:cs="宋体"/>
          <w:color w:val="auto"/>
          <w:sz w:val="24"/>
          <w:highlight w:val="none"/>
        </w:rPr>
        <w:t>月</w:t>
      </w:r>
      <w:r>
        <w:rPr>
          <w:rFonts w:hint="eastAsia" w:hAnsi="宋体" w:cs="宋体"/>
          <w:color w:val="auto"/>
          <w:sz w:val="24"/>
          <w:highlight w:val="none"/>
          <w:u w:val="single"/>
        </w:rPr>
        <w:t xml:space="preserve">     </w:t>
      </w:r>
      <w:r>
        <w:rPr>
          <w:rFonts w:hint="eastAsia" w:hAnsi="宋体" w:cs="宋体"/>
          <w:color w:val="auto"/>
          <w:sz w:val="24"/>
          <w:highlight w:val="none"/>
        </w:rPr>
        <w:t>日</w:t>
      </w:r>
    </w:p>
    <w:p w14:paraId="1BF047C5">
      <w:pPr>
        <w:rPr>
          <w:rFonts w:ascii="宋体" w:hAnsi="宋体" w:cs="宋体"/>
          <w:b/>
          <w:bCs/>
          <w:color w:val="auto"/>
          <w:sz w:val="24"/>
          <w:highlight w:val="none"/>
        </w:rPr>
      </w:pPr>
      <w:r>
        <w:rPr>
          <w:rFonts w:hint="eastAsia" w:ascii="宋体" w:hAnsi="宋体" w:cs="宋体"/>
          <w:b/>
          <w:bCs/>
          <w:color w:val="auto"/>
          <w:sz w:val="24"/>
          <w:highlight w:val="none"/>
        </w:rPr>
        <w:br w:type="page"/>
      </w:r>
    </w:p>
    <w:p w14:paraId="18A117B6">
      <w:pPr>
        <w:rPr>
          <w:rFonts w:ascii="宋体" w:hAnsi="宋体" w:cs="宋体"/>
          <w:b/>
          <w:color w:val="auto"/>
          <w:sz w:val="28"/>
          <w:szCs w:val="28"/>
          <w:highlight w:val="none"/>
        </w:rPr>
      </w:pPr>
      <w:r>
        <w:rPr>
          <w:rFonts w:hint="eastAsia" w:ascii="宋体" w:hAnsi="宋体" w:cs="宋体"/>
          <w:b/>
          <w:color w:val="auto"/>
          <w:sz w:val="28"/>
          <w:szCs w:val="28"/>
          <w:highlight w:val="none"/>
        </w:rPr>
        <w:t>二、资格证明文件格式</w:t>
      </w:r>
      <w:bookmarkEnd w:id="142"/>
      <w:bookmarkEnd w:id="143"/>
      <w:bookmarkEnd w:id="144"/>
    </w:p>
    <w:p w14:paraId="425EB648">
      <w:pPr>
        <w:numPr>
          <w:ilvl w:val="2"/>
          <w:numId w:val="11"/>
        </w:numPr>
        <w:snapToGrid w:val="0"/>
        <w:spacing w:before="166" w:beforeLines="50" w:after="50" w:line="360" w:lineRule="auto"/>
        <w:ind w:left="0" w:firstLine="0"/>
        <w:jc w:val="left"/>
        <w:rPr>
          <w:rFonts w:ascii="宋体" w:hAnsi="宋体" w:cs="宋体"/>
          <w:b/>
          <w:color w:val="auto"/>
          <w:sz w:val="24"/>
          <w:highlight w:val="none"/>
        </w:rPr>
      </w:pPr>
      <w:r>
        <w:rPr>
          <w:rFonts w:hint="eastAsia" w:ascii="宋体" w:hAnsi="宋体" w:cs="宋体"/>
          <w:b/>
          <w:color w:val="auto"/>
          <w:sz w:val="24"/>
          <w:highlight w:val="none"/>
        </w:rPr>
        <w:t xml:space="preserve">资格证明文件封面格式： </w:t>
      </w:r>
    </w:p>
    <w:p w14:paraId="5EA59AFA">
      <w:pPr>
        <w:snapToGrid w:val="0"/>
        <w:spacing w:before="166" w:beforeLines="50" w:after="50"/>
        <w:rPr>
          <w:rFonts w:ascii="宋体" w:hAnsi="宋体" w:cs="宋体"/>
          <w:bCs/>
          <w:color w:val="auto"/>
          <w:sz w:val="32"/>
          <w:szCs w:val="20"/>
          <w:highlight w:val="none"/>
        </w:rPr>
      </w:pPr>
      <w:r>
        <w:rPr>
          <w:rFonts w:hint="eastAsia" w:ascii="宋体" w:hAnsi="宋体" w:cs="宋体"/>
          <w:color w:val="auto"/>
          <w:sz w:val="24"/>
          <w:highlight w:val="none"/>
        </w:rPr>
        <w:t xml:space="preserve">                                                   </w:t>
      </w:r>
    </w:p>
    <w:p w14:paraId="774BF929">
      <w:pPr>
        <w:snapToGrid w:val="0"/>
        <w:spacing w:before="166" w:beforeLines="50" w:after="50"/>
        <w:rPr>
          <w:rFonts w:ascii="宋体" w:hAnsi="宋体" w:cs="宋体"/>
          <w:color w:val="auto"/>
          <w:sz w:val="24"/>
          <w:szCs w:val="20"/>
          <w:highlight w:val="none"/>
        </w:rPr>
      </w:pPr>
    </w:p>
    <w:p w14:paraId="303BF0A2">
      <w:pPr>
        <w:snapToGrid w:val="0"/>
        <w:spacing w:before="166" w:beforeLines="50" w:after="50"/>
        <w:rPr>
          <w:rFonts w:ascii="宋体" w:hAnsi="宋体" w:cs="宋体"/>
          <w:color w:val="auto"/>
          <w:sz w:val="24"/>
          <w:szCs w:val="20"/>
          <w:highlight w:val="none"/>
        </w:rPr>
      </w:pPr>
    </w:p>
    <w:p w14:paraId="3EB04F4B">
      <w:pPr>
        <w:snapToGrid w:val="0"/>
        <w:spacing w:before="166" w:beforeLines="50" w:after="50"/>
        <w:jc w:val="center"/>
        <w:rPr>
          <w:rFonts w:ascii="宋体" w:hAnsi="宋体" w:cs="宋体"/>
          <w:color w:val="auto"/>
          <w:sz w:val="84"/>
          <w:szCs w:val="84"/>
          <w:highlight w:val="none"/>
        </w:rPr>
      </w:pPr>
      <w:r>
        <w:rPr>
          <w:rFonts w:hint="eastAsia" w:ascii="宋体" w:hAnsi="宋体" w:cs="宋体"/>
          <w:color w:val="auto"/>
          <w:sz w:val="84"/>
          <w:szCs w:val="84"/>
          <w:highlight w:val="none"/>
        </w:rPr>
        <w:t>投  标  文  件</w:t>
      </w:r>
    </w:p>
    <w:p w14:paraId="0F939583">
      <w:pPr>
        <w:snapToGrid w:val="0"/>
        <w:spacing w:before="166" w:beforeLines="50" w:after="50"/>
        <w:rPr>
          <w:rFonts w:ascii="宋体" w:hAnsi="宋体" w:cs="宋体"/>
          <w:color w:val="auto"/>
          <w:sz w:val="24"/>
          <w:szCs w:val="20"/>
          <w:highlight w:val="none"/>
        </w:rPr>
      </w:pPr>
    </w:p>
    <w:p w14:paraId="7C89D0FF">
      <w:pPr>
        <w:snapToGrid w:val="0"/>
        <w:spacing w:before="166" w:beforeLines="50" w:after="50"/>
        <w:rPr>
          <w:rFonts w:ascii="宋体" w:hAnsi="宋体" w:cs="宋体"/>
          <w:color w:val="auto"/>
          <w:sz w:val="24"/>
          <w:szCs w:val="20"/>
          <w:highlight w:val="none"/>
        </w:rPr>
      </w:pPr>
    </w:p>
    <w:p w14:paraId="5C257127">
      <w:pPr>
        <w:snapToGrid w:val="0"/>
        <w:spacing w:before="166" w:beforeLines="50" w:after="50"/>
        <w:jc w:val="center"/>
        <w:rPr>
          <w:rFonts w:ascii="宋体" w:hAnsi="宋体" w:cs="宋体"/>
          <w:b/>
          <w:color w:val="auto"/>
          <w:sz w:val="24"/>
          <w:szCs w:val="20"/>
          <w:highlight w:val="none"/>
        </w:rPr>
      </w:pPr>
      <w:r>
        <w:rPr>
          <w:rFonts w:hint="eastAsia" w:ascii="宋体" w:hAnsi="宋体" w:cs="宋体"/>
          <w:b/>
          <w:color w:val="auto"/>
          <w:sz w:val="32"/>
          <w:szCs w:val="32"/>
          <w:highlight w:val="none"/>
        </w:rPr>
        <w:t>资 格 证 明 文 件</w:t>
      </w:r>
    </w:p>
    <w:p w14:paraId="1203BA1B">
      <w:pPr>
        <w:snapToGrid w:val="0"/>
        <w:spacing w:before="166" w:beforeLines="50" w:after="50"/>
        <w:rPr>
          <w:rFonts w:ascii="宋体" w:hAnsi="宋体" w:cs="宋体"/>
          <w:bCs/>
          <w:color w:val="auto"/>
          <w:sz w:val="24"/>
          <w:szCs w:val="20"/>
          <w:highlight w:val="none"/>
        </w:rPr>
      </w:pPr>
    </w:p>
    <w:p w14:paraId="7E89283C">
      <w:pPr>
        <w:snapToGrid w:val="0"/>
        <w:spacing w:before="166" w:beforeLines="50" w:after="50"/>
        <w:rPr>
          <w:rFonts w:ascii="宋体" w:hAnsi="宋体" w:cs="宋体"/>
          <w:bCs/>
          <w:color w:val="auto"/>
          <w:sz w:val="24"/>
          <w:szCs w:val="20"/>
          <w:highlight w:val="none"/>
        </w:rPr>
      </w:pPr>
    </w:p>
    <w:p w14:paraId="04C7043F">
      <w:pPr>
        <w:snapToGrid w:val="0"/>
        <w:spacing w:before="166" w:beforeLines="50" w:after="50"/>
        <w:ind w:firstLine="1680" w:firstLineChars="600"/>
        <w:rPr>
          <w:rFonts w:ascii="宋体" w:hAnsi="宋体" w:cs="宋体"/>
          <w:bCs/>
          <w:color w:val="auto"/>
          <w:sz w:val="28"/>
          <w:szCs w:val="21"/>
          <w:highlight w:val="none"/>
        </w:rPr>
      </w:pPr>
    </w:p>
    <w:p w14:paraId="3EE5F51B">
      <w:pPr>
        <w:snapToGrid w:val="0"/>
        <w:spacing w:before="166" w:beforeLines="50" w:after="50"/>
        <w:ind w:firstLine="1680" w:firstLineChars="600"/>
        <w:rPr>
          <w:rFonts w:ascii="宋体" w:hAnsi="宋体" w:cs="宋体"/>
          <w:bCs/>
          <w:color w:val="auto"/>
          <w:sz w:val="28"/>
          <w:szCs w:val="21"/>
          <w:highlight w:val="none"/>
        </w:rPr>
      </w:pPr>
    </w:p>
    <w:p w14:paraId="05A53E1D">
      <w:pPr>
        <w:snapToGrid w:val="0"/>
        <w:spacing w:before="166" w:beforeLines="50" w:after="50"/>
        <w:ind w:firstLine="1680" w:firstLineChars="600"/>
        <w:rPr>
          <w:rFonts w:ascii="宋体" w:hAnsi="宋体" w:cs="宋体"/>
          <w:bCs/>
          <w:color w:val="auto"/>
          <w:sz w:val="28"/>
          <w:szCs w:val="21"/>
          <w:highlight w:val="none"/>
        </w:rPr>
      </w:pPr>
      <w:r>
        <w:rPr>
          <w:rFonts w:hint="eastAsia" w:ascii="宋体" w:hAnsi="宋体" w:cs="宋体"/>
          <w:bCs/>
          <w:color w:val="auto"/>
          <w:sz w:val="28"/>
          <w:szCs w:val="28"/>
          <w:highlight w:val="none"/>
        </w:rPr>
        <w:t>项目名称：</w:t>
      </w:r>
    </w:p>
    <w:p w14:paraId="7CE942B3">
      <w:pPr>
        <w:snapToGrid w:val="0"/>
        <w:spacing w:before="166" w:beforeLines="50" w:after="50"/>
        <w:ind w:firstLine="1680" w:firstLineChars="600"/>
        <w:rPr>
          <w:rFonts w:ascii="宋体" w:hAnsi="宋体" w:cs="宋体"/>
          <w:bCs/>
          <w:color w:val="auto"/>
          <w:sz w:val="28"/>
          <w:szCs w:val="28"/>
          <w:highlight w:val="none"/>
        </w:rPr>
      </w:pPr>
      <w:r>
        <w:rPr>
          <w:rFonts w:hint="eastAsia" w:ascii="宋体" w:hAnsi="宋体" w:cs="宋体"/>
          <w:bCs/>
          <w:color w:val="auto"/>
          <w:sz w:val="28"/>
          <w:szCs w:val="28"/>
          <w:highlight w:val="none"/>
        </w:rPr>
        <w:t>项目编号：</w:t>
      </w:r>
    </w:p>
    <w:p w14:paraId="74613FD8">
      <w:pPr>
        <w:snapToGrid w:val="0"/>
        <w:spacing w:before="166" w:beforeLines="50" w:after="50"/>
        <w:ind w:firstLine="1680" w:firstLineChars="600"/>
        <w:rPr>
          <w:rFonts w:ascii="宋体" w:hAnsi="宋体" w:cs="宋体"/>
          <w:bCs/>
          <w:color w:val="auto"/>
          <w:sz w:val="28"/>
          <w:szCs w:val="28"/>
          <w:highlight w:val="none"/>
        </w:rPr>
      </w:pPr>
      <w:r>
        <w:rPr>
          <w:rFonts w:hint="eastAsia" w:ascii="宋体" w:hAnsi="宋体" w:cs="宋体"/>
          <w:bCs/>
          <w:color w:val="auto"/>
          <w:sz w:val="28"/>
          <w:szCs w:val="28"/>
          <w:highlight w:val="none"/>
        </w:rPr>
        <w:t>所投分标：</w:t>
      </w:r>
    </w:p>
    <w:p w14:paraId="1C51E98D">
      <w:pPr>
        <w:pStyle w:val="6"/>
        <w:snapToGrid w:val="0"/>
        <w:spacing w:before="50" w:after="50"/>
        <w:ind w:firstLine="1680" w:firstLineChars="600"/>
        <w:rPr>
          <w:rFonts w:ascii="宋体" w:hAnsi="宋体" w:cs="宋体"/>
          <w:bCs/>
          <w:color w:val="auto"/>
          <w:sz w:val="28"/>
          <w:szCs w:val="28"/>
          <w:highlight w:val="none"/>
        </w:rPr>
      </w:pPr>
      <w:r>
        <w:rPr>
          <w:rFonts w:hint="eastAsia" w:ascii="宋体" w:hAnsi="宋体" w:cs="宋体"/>
          <w:bCs/>
          <w:color w:val="auto"/>
          <w:sz w:val="28"/>
          <w:szCs w:val="28"/>
          <w:highlight w:val="none"/>
        </w:rPr>
        <w:t>投标人名称：</w:t>
      </w:r>
    </w:p>
    <w:p w14:paraId="1A14A55F">
      <w:pPr>
        <w:pStyle w:val="6"/>
        <w:snapToGrid w:val="0"/>
        <w:spacing w:before="50" w:after="50"/>
        <w:ind w:firstLine="1680" w:firstLineChars="600"/>
        <w:rPr>
          <w:rFonts w:ascii="宋体" w:hAnsi="宋体" w:cs="宋体"/>
          <w:bCs/>
          <w:color w:val="auto"/>
          <w:sz w:val="28"/>
          <w:szCs w:val="28"/>
          <w:highlight w:val="none"/>
        </w:rPr>
      </w:pPr>
    </w:p>
    <w:p w14:paraId="0014FA20">
      <w:pPr>
        <w:pStyle w:val="6"/>
        <w:snapToGrid w:val="0"/>
        <w:spacing w:before="50" w:after="50"/>
        <w:ind w:firstLine="1680" w:firstLineChars="600"/>
        <w:rPr>
          <w:rFonts w:ascii="宋体" w:hAnsi="宋体" w:cs="宋体"/>
          <w:bCs/>
          <w:color w:val="auto"/>
          <w:sz w:val="28"/>
          <w:szCs w:val="28"/>
          <w:highlight w:val="none"/>
        </w:rPr>
      </w:pPr>
    </w:p>
    <w:p w14:paraId="48DCCD39">
      <w:pPr>
        <w:snapToGrid w:val="0"/>
        <w:spacing w:before="166" w:beforeLines="50" w:after="50"/>
        <w:ind w:firstLine="1680" w:firstLineChars="600"/>
        <w:jc w:val="center"/>
        <w:rPr>
          <w:rFonts w:ascii="宋体" w:hAnsi="宋体" w:cs="宋体"/>
          <w:color w:val="auto"/>
          <w:sz w:val="28"/>
          <w:szCs w:val="28"/>
          <w:highlight w:val="none"/>
        </w:rPr>
      </w:pPr>
      <w:r>
        <w:rPr>
          <w:rFonts w:hint="eastAsia" w:ascii="宋体" w:hAnsi="宋体" w:cs="宋体"/>
          <w:color w:val="auto"/>
          <w:sz w:val="28"/>
          <w:szCs w:val="28"/>
          <w:highlight w:val="none"/>
        </w:rPr>
        <w:t>年  月  日</w:t>
      </w:r>
    </w:p>
    <w:p w14:paraId="2BFB5E52">
      <w:pPr>
        <w:snapToGrid w:val="0"/>
        <w:spacing w:before="166" w:beforeLines="50" w:after="50"/>
        <w:rPr>
          <w:rFonts w:ascii="宋体" w:hAnsi="宋体" w:cs="宋体"/>
          <w:color w:val="auto"/>
          <w:sz w:val="24"/>
          <w:szCs w:val="20"/>
          <w:highlight w:val="none"/>
        </w:rPr>
      </w:pPr>
      <w:r>
        <w:rPr>
          <w:rFonts w:hint="eastAsia" w:ascii="宋体" w:hAnsi="宋体" w:cs="宋体"/>
          <w:color w:val="auto"/>
          <w:sz w:val="24"/>
          <w:szCs w:val="20"/>
          <w:highlight w:val="none"/>
        </w:rPr>
        <w:t xml:space="preserve"> </w:t>
      </w:r>
    </w:p>
    <w:p w14:paraId="2CAAB965">
      <w:pPr>
        <w:snapToGrid w:val="0"/>
        <w:spacing w:before="166" w:beforeLines="50" w:after="50"/>
        <w:rPr>
          <w:rFonts w:ascii="宋体" w:hAnsi="宋体" w:cs="宋体"/>
          <w:color w:val="auto"/>
          <w:sz w:val="24"/>
          <w:szCs w:val="20"/>
          <w:highlight w:val="none"/>
        </w:rPr>
      </w:pPr>
    </w:p>
    <w:p w14:paraId="464B025D">
      <w:pPr>
        <w:numPr>
          <w:ilvl w:val="2"/>
          <w:numId w:val="11"/>
        </w:numPr>
        <w:snapToGrid w:val="0"/>
        <w:spacing w:before="166" w:beforeLines="50" w:after="50" w:line="360" w:lineRule="auto"/>
        <w:ind w:left="0" w:firstLine="0"/>
        <w:jc w:val="left"/>
        <w:rPr>
          <w:rFonts w:ascii="宋体" w:hAnsi="宋体" w:cs="宋体"/>
          <w:color w:val="auto"/>
          <w:sz w:val="24"/>
          <w:szCs w:val="20"/>
          <w:highlight w:val="none"/>
        </w:rPr>
      </w:pPr>
      <w:r>
        <w:rPr>
          <w:rFonts w:hint="eastAsia" w:ascii="宋体" w:hAnsi="宋体" w:cs="宋体"/>
          <w:b/>
          <w:bCs/>
          <w:color w:val="auto"/>
          <w:sz w:val="24"/>
          <w:highlight w:val="none"/>
        </w:rPr>
        <w:br w:type="page"/>
      </w:r>
      <w:r>
        <w:rPr>
          <w:rFonts w:hint="eastAsia" w:ascii="宋体" w:hAnsi="宋体" w:cs="宋体"/>
          <w:b/>
          <w:bCs/>
          <w:color w:val="auto"/>
          <w:sz w:val="24"/>
          <w:highlight w:val="none"/>
        </w:rPr>
        <w:t>资格证明文件目录</w:t>
      </w:r>
    </w:p>
    <w:p w14:paraId="5B7D7C53">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根据招标文件规定及投标人提供的材料自行编写目录。</w:t>
      </w:r>
    </w:p>
    <w:p w14:paraId="651E82BE">
      <w:pPr>
        <w:snapToGrid w:val="0"/>
        <w:spacing w:before="50" w:after="166" w:afterLines="50"/>
        <w:jc w:val="left"/>
        <w:rPr>
          <w:rFonts w:ascii="宋体" w:hAnsi="宋体" w:cs="宋体"/>
          <w:color w:val="auto"/>
          <w:sz w:val="24"/>
          <w:highlight w:val="none"/>
        </w:rPr>
      </w:pPr>
    </w:p>
    <w:p w14:paraId="7C6EFA52">
      <w:pPr>
        <w:snapToGrid w:val="0"/>
        <w:spacing w:before="50" w:after="166" w:afterLines="50"/>
        <w:jc w:val="left"/>
        <w:rPr>
          <w:rFonts w:ascii="宋体" w:hAnsi="宋体" w:cs="宋体"/>
          <w:color w:val="auto"/>
          <w:sz w:val="24"/>
          <w:highlight w:val="none"/>
        </w:rPr>
      </w:pPr>
    </w:p>
    <w:p w14:paraId="3F253B97">
      <w:pPr>
        <w:numPr>
          <w:ilvl w:val="2"/>
          <w:numId w:val="11"/>
        </w:numPr>
        <w:snapToGrid w:val="0"/>
        <w:spacing w:before="166" w:beforeLines="50" w:after="50"/>
        <w:ind w:left="0" w:firstLine="0"/>
        <w:jc w:val="left"/>
        <w:rPr>
          <w:rFonts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28"/>
          <w:szCs w:val="28"/>
          <w:highlight w:val="none"/>
        </w:rPr>
        <w:t>投标人直接控股、管理关系信息表</w:t>
      </w:r>
    </w:p>
    <w:p w14:paraId="5BF99BD7">
      <w:pPr>
        <w:snapToGrid w:val="0"/>
        <w:spacing w:before="50" w:after="166" w:afterLines="50"/>
        <w:jc w:val="center"/>
        <w:rPr>
          <w:rFonts w:ascii="宋体" w:hAnsi="宋体" w:cs="宋体"/>
          <w:b/>
          <w:color w:val="auto"/>
          <w:sz w:val="28"/>
          <w:szCs w:val="28"/>
          <w:highlight w:val="none"/>
        </w:rPr>
      </w:pPr>
    </w:p>
    <w:p w14:paraId="6E7A78C4">
      <w:pPr>
        <w:snapToGrid w:val="0"/>
        <w:spacing w:before="50" w:after="166" w:afterLines="50"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投标人直接控股股东信息表</w:t>
      </w:r>
    </w:p>
    <w:tbl>
      <w:tblPr>
        <w:tblStyle w:val="47"/>
        <w:tblW w:w="9476" w:type="dxa"/>
        <w:tblInd w:w="0"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2AE2CC62">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0DDD19F">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074C52B">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5B17698">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A6D4737">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2C97167">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03E88AA7">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CC85CE1">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96D337E">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545F9D4">
            <w:pPr>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C6E4E76">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8E959C6">
            <w:pPr>
              <w:spacing w:line="360" w:lineRule="auto"/>
              <w:jc w:val="center"/>
              <w:rPr>
                <w:rFonts w:ascii="宋体" w:hAnsi="宋体" w:cs="宋体"/>
                <w:color w:val="auto"/>
                <w:kern w:val="0"/>
                <w:sz w:val="24"/>
                <w:highlight w:val="none"/>
              </w:rPr>
            </w:pPr>
          </w:p>
        </w:tc>
      </w:tr>
      <w:tr w14:paraId="66FE11DF">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55C7B58">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80BA0C1">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598ADBD">
            <w:pPr>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61F5F2D">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B153598">
            <w:pPr>
              <w:spacing w:line="360" w:lineRule="auto"/>
              <w:jc w:val="center"/>
              <w:rPr>
                <w:rFonts w:ascii="宋体" w:hAnsi="宋体" w:cs="宋体"/>
                <w:color w:val="auto"/>
                <w:kern w:val="0"/>
                <w:sz w:val="24"/>
                <w:highlight w:val="none"/>
              </w:rPr>
            </w:pPr>
          </w:p>
        </w:tc>
      </w:tr>
      <w:tr w14:paraId="7A5B461D">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C2C4E78">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9EE169C">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A4D10E8">
            <w:pPr>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DAF599C">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49896CA">
            <w:pPr>
              <w:spacing w:line="360" w:lineRule="auto"/>
              <w:jc w:val="center"/>
              <w:rPr>
                <w:rFonts w:ascii="宋体" w:hAnsi="宋体" w:cs="宋体"/>
                <w:color w:val="auto"/>
                <w:kern w:val="0"/>
                <w:sz w:val="24"/>
                <w:highlight w:val="none"/>
              </w:rPr>
            </w:pPr>
          </w:p>
        </w:tc>
      </w:tr>
      <w:tr w14:paraId="61057418">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F60AE85">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AA7EB74">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208AA14">
            <w:pPr>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451C992">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5BADA61">
            <w:pPr>
              <w:spacing w:line="360" w:lineRule="auto"/>
              <w:jc w:val="center"/>
              <w:rPr>
                <w:rFonts w:ascii="宋体" w:hAnsi="宋体" w:cs="宋体"/>
                <w:color w:val="auto"/>
                <w:kern w:val="0"/>
                <w:sz w:val="24"/>
                <w:highlight w:val="none"/>
              </w:rPr>
            </w:pPr>
          </w:p>
        </w:tc>
      </w:tr>
    </w:tbl>
    <w:p w14:paraId="1F7867F7">
      <w:pPr>
        <w:snapToGrid w:val="0"/>
        <w:spacing w:line="360" w:lineRule="auto"/>
        <w:jc w:val="left"/>
        <w:rPr>
          <w:rFonts w:ascii="楷体" w:hAnsi="楷体" w:eastAsia="楷体" w:cs="宋体"/>
          <w:color w:val="auto"/>
          <w:sz w:val="24"/>
          <w:highlight w:val="none"/>
        </w:rPr>
      </w:pPr>
    </w:p>
    <w:p w14:paraId="0F9F1957">
      <w:pPr>
        <w:snapToGrid w:val="0"/>
        <w:spacing w:line="360" w:lineRule="auto"/>
        <w:jc w:val="left"/>
        <w:rPr>
          <w:rFonts w:ascii="楷体" w:hAnsi="楷体" w:eastAsia="楷体" w:cs="宋体"/>
          <w:b/>
          <w:color w:val="auto"/>
          <w:sz w:val="24"/>
          <w:highlight w:val="none"/>
        </w:rPr>
      </w:pPr>
      <w:r>
        <w:rPr>
          <w:rFonts w:hint="eastAsia" w:ascii="楷体" w:hAnsi="楷体" w:eastAsia="楷体" w:cs="宋体"/>
          <w:b/>
          <w:color w:val="auto"/>
          <w:sz w:val="24"/>
          <w:highlight w:val="none"/>
        </w:rPr>
        <w:t>注：</w:t>
      </w:r>
    </w:p>
    <w:p w14:paraId="2EAAE355">
      <w:pPr>
        <w:snapToGrid w:val="0"/>
        <w:spacing w:line="360" w:lineRule="auto"/>
        <w:ind w:firstLine="480" w:firstLineChars="200"/>
        <w:jc w:val="left"/>
        <w:rPr>
          <w:rFonts w:ascii="楷体" w:hAnsi="楷体" w:eastAsia="楷体" w:cs="宋体"/>
          <w:color w:val="auto"/>
          <w:sz w:val="24"/>
          <w:highlight w:val="none"/>
        </w:rPr>
      </w:pPr>
      <w:r>
        <w:rPr>
          <w:rFonts w:ascii="楷体" w:hAnsi="楷体" w:eastAsia="楷体" w:cs="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640D515B">
      <w:pPr>
        <w:snapToGrid w:val="0"/>
        <w:spacing w:line="360" w:lineRule="auto"/>
        <w:ind w:firstLine="480" w:firstLineChars="200"/>
        <w:jc w:val="left"/>
        <w:rPr>
          <w:rFonts w:ascii="楷体" w:hAnsi="楷体" w:eastAsia="楷体" w:cs="宋体"/>
          <w:color w:val="auto"/>
          <w:sz w:val="24"/>
          <w:highlight w:val="none"/>
        </w:rPr>
      </w:pPr>
      <w:r>
        <w:rPr>
          <w:rFonts w:ascii="楷体" w:hAnsi="楷体" w:eastAsia="楷体" w:cs="宋体"/>
          <w:color w:val="auto"/>
          <w:sz w:val="24"/>
          <w:highlight w:val="none"/>
        </w:rPr>
        <w:t>2.本表所指的控股关系仅限于直接控股关系，不包括间接的控股关系。公司实际控制人与公司之间的关系不属于本表所指的直接控股关系。</w:t>
      </w:r>
    </w:p>
    <w:p w14:paraId="5136BC7F">
      <w:pPr>
        <w:snapToGrid w:val="0"/>
        <w:spacing w:line="360" w:lineRule="auto"/>
        <w:ind w:firstLine="480" w:firstLineChars="200"/>
        <w:jc w:val="left"/>
        <w:rPr>
          <w:rFonts w:ascii="楷体" w:hAnsi="楷体" w:eastAsia="楷体" w:cs="宋体"/>
          <w:color w:val="auto"/>
          <w:sz w:val="24"/>
          <w:highlight w:val="none"/>
        </w:rPr>
      </w:pPr>
      <w:r>
        <w:rPr>
          <w:rFonts w:ascii="楷体" w:hAnsi="楷体" w:eastAsia="楷体" w:cs="宋体"/>
          <w:color w:val="auto"/>
          <w:sz w:val="24"/>
          <w:highlight w:val="none"/>
        </w:rPr>
        <w:t>3.供应商不存在直接控股股东的，则填“无”。</w:t>
      </w:r>
    </w:p>
    <w:p w14:paraId="2A429565">
      <w:pPr>
        <w:snapToGrid w:val="0"/>
        <w:spacing w:line="360" w:lineRule="auto"/>
        <w:jc w:val="left"/>
        <w:rPr>
          <w:rFonts w:ascii="宋体" w:hAnsi="宋体" w:cs="宋体"/>
          <w:color w:val="auto"/>
          <w:sz w:val="24"/>
          <w:highlight w:val="none"/>
        </w:rPr>
      </w:pPr>
    </w:p>
    <w:p w14:paraId="5CA964F5">
      <w:pPr>
        <w:snapToGrid w:val="0"/>
        <w:spacing w:line="360" w:lineRule="auto"/>
        <w:jc w:val="left"/>
        <w:rPr>
          <w:rFonts w:ascii="宋体" w:hAnsi="宋体" w:cs="宋体"/>
          <w:color w:val="auto"/>
          <w:sz w:val="24"/>
          <w:highlight w:val="none"/>
        </w:rPr>
      </w:pPr>
    </w:p>
    <w:p w14:paraId="05609580">
      <w:pPr>
        <w:snapToGrid w:val="0"/>
        <w:spacing w:line="360" w:lineRule="auto"/>
        <w:jc w:val="left"/>
        <w:rPr>
          <w:rFonts w:ascii="宋体" w:hAnsi="宋体" w:cs="宋体"/>
          <w:color w:val="auto"/>
          <w:sz w:val="24"/>
          <w:highlight w:val="none"/>
        </w:rPr>
      </w:pPr>
    </w:p>
    <w:p w14:paraId="3EA9AF99">
      <w:pPr>
        <w:snapToGrid w:val="0"/>
        <w:spacing w:line="360" w:lineRule="auto"/>
        <w:jc w:val="left"/>
        <w:rPr>
          <w:rFonts w:ascii="宋体" w:hAnsi="宋体" w:cs="宋体"/>
          <w:color w:val="auto"/>
          <w:sz w:val="24"/>
          <w:highlight w:val="none"/>
        </w:rPr>
      </w:pPr>
    </w:p>
    <w:p w14:paraId="5669196B">
      <w:pPr>
        <w:snapToGrid w:val="0"/>
        <w:spacing w:before="166" w:beforeLines="50" w:line="360" w:lineRule="auto"/>
        <w:ind w:right="480" w:firstLine="3967" w:firstLineChars="1653"/>
        <w:rPr>
          <w:rFonts w:ascii="宋体" w:hAnsi="宋体" w:cs="宋体"/>
          <w:color w:val="auto"/>
          <w:sz w:val="24"/>
          <w:highlight w:val="none"/>
          <w:u w:val="single"/>
        </w:rPr>
      </w:pPr>
      <w:r>
        <w:rPr>
          <w:rFonts w:hint="eastAsia" w:ascii="宋体" w:hAnsi="宋体" w:cs="宋体"/>
          <w:color w:val="auto"/>
          <w:sz w:val="24"/>
          <w:highlight w:val="none"/>
        </w:rPr>
        <w:t>法定代表人或者委托代理人（签字）：</w:t>
      </w:r>
      <w:r>
        <w:rPr>
          <w:rFonts w:hint="eastAsia" w:ascii="宋体" w:hAnsi="宋体" w:cs="宋体"/>
          <w:color w:val="auto"/>
          <w:sz w:val="24"/>
          <w:highlight w:val="none"/>
          <w:u w:val="single"/>
        </w:rPr>
        <w:t xml:space="preserve">             </w:t>
      </w:r>
    </w:p>
    <w:p w14:paraId="679735F0">
      <w:pPr>
        <w:snapToGrid w:val="0"/>
        <w:spacing w:before="166" w:beforeLines="50" w:after="50" w:line="360" w:lineRule="auto"/>
        <w:ind w:right="480" w:firstLine="4080" w:firstLineChars="1700"/>
        <w:rPr>
          <w:rFonts w:ascii="宋体" w:hAnsi="宋体" w:cs="宋体"/>
          <w:color w:val="auto"/>
          <w:sz w:val="24"/>
          <w:highlight w:val="none"/>
          <w:u w:val="single"/>
        </w:rPr>
      </w:pPr>
      <w:r>
        <w:rPr>
          <w:rFonts w:hint="eastAsia" w:ascii="宋体" w:hAnsi="宋体" w:cs="宋体"/>
          <w:color w:val="auto"/>
          <w:sz w:val="24"/>
          <w:highlight w:val="none"/>
        </w:rPr>
        <w:t>投标人（公章）：</w:t>
      </w:r>
      <w:r>
        <w:rPr>
          <w:rFonts w:hint="eastAsia" w:ascii="宋体" w:hAnsi="宋体" w:cs="宋体"/>
          <w:color w:val="auto"/>
          <w:sz w:val="24"/>
          <w:highlight w:val="none"/>
          <w:u w:val="single"/>
        </w:rPr>
        <w:t xml:space="preserve">                 </w:t>
      </w:r>
    </w:p>
    <w:p w14:paraId="0371490E">
      <w:pPr>
        <w:snapToGrid w:val="0"/>
        <w:spacing w:before="166" w:beforeLines="50" w:after="50" w:line="360" w:lineRule="auto"/>
        <w:ind w:right="480" w:firstLine="4080" w:firstLineChars="1700"/>
        <w:rPr>
          <w:rFonts w:ascii="宋体" w:hAnsi="宋体" w:cs="宋体"/>
          <w:color w:val="auto"/>
          <w:sz w:val="24"/>
          <w:highlight w:val="none"/>
        </w:rPr>
      </w:pPr>
      <w:r>
        <w:rPr>
          <w:rFonts w:hint="eastAsia" w:hAnsi="宋体" w:cs="宋体"/>
          <w:color w:val="auto"/>
          <w:sz w:val="24"/>
          <w:highlight w:val="none"/>
        </w:rPr>
        <w:t>日期：</w:t>
      </w:r>
      <w:r>
        <w:rPr>
          <w:rFonts w:hint="eastAsia" w:hAnsi="宋体" w:cs="宋体"/>
          <w:color w:val="auto"/>
          <w:sz w:val="24"/>
          <w:highlight w:val="none"/>
          <w:u w:val="single"/>
        </w:rPr>
        <w:t xml:space="preserve">      </w:t>
      </w:r>
      <w:r>
        <w:rPr>
          <w:rFonts w:hint="eastAsia" w:hAnsi="宋体" w:cs="宋体"/>
          <w:color w:val="auto"/>
          <w:sz w:val="24"/>
          <w:highlight w:val="none"/>
        </w:rPr>
        <w:t>年</w:t>
      </w:r>
      <w:r>
        <w:rPr>
          <w:rFonts w:hint="eastAsia" w:hAnsi="宋体" w:cs="宋体"/>
          <w:color w:val="auto"/>
          <w:sz w:val="24"/>
          <w:highlight w:val="none"/>
          <w:u w:val="single"/>
        </w:rPr>
        <w:t xml:space="preserve">    </w:t>
      </w:r>
      <w:r>
        <w:rPr>
          <w:rFonts w:hint="eastAsia" w:hAnsi="宋体" w:cs="宋体"/>
          <w:color w:val="auto"/>
          <w:sz w:val="24"/>
          <w:highlight w:val="none"/>
        </w:rPr>
        <w:t>月</w:t>
      </w:r>
      <w:r>
        <w:rPr>
          <w:rFonts w:hint="eastAsia" w:hAnsi="宋体" w:cs="宋体"/>
          <w:color w:val="auto"/>
          <w:sz w:val="24"/>
          <w:highlight w:val="none"/>
          <w:u w:val="single"/>
        </w:rPr>
        <w:t xml:space="preserve">     </w:t>
      </w:r>
      <w:r>
        <w:rPr>
          <w:rFonts w:hint="eastAsia" w:hAnsi="宋体" w:cs="宋体"/>
          <w:color w:val="auto"/>
          <w:sz w:val="24"/>
          <w:highlight w:val="none"/>
        </w:rPr>
        <w:t>日</w:t>
      </w:r>
    </w:p>
    <w:p w14:paraId="176068CE">
      <w:pPr>
        <w:snapToGrid w:val="0"/>
        <w:spacing w:line="360" w:lineRule="auto"/>
        <w:jc w:val="center"/>
        <w:rPr>
          <w:rFonts w:ascii="宋体" w:hAnsi="宋体" w:cs="宋体"/>
          <w:color w:val="auto"/>
          <w:sz w:val="32"/>
          <w:szCs w:val="32"/>
          <w:highlight w:val="none"/>
        </w:rPr>
      </w:pPr>
      <w:r>
        <w:rPr>
          <w:rFonts w:hint="eastAsia" w:ascii="宋体" w:hAnsi="宋体" w:cs="宋体"/>
          <w:b/>
          <w:color w:val="auto"/>
          <w:sz w:val="32"/>
          <w:szCs w:val="32"/>
          <w:highlight w:val="none"/>
        </w:rPr>
        <w:t>投标人直接管理关系信息表</w:t>
      </w:r>
    </w:p>
    <w:tbl>
      <w:tblPr>
        <w:tblStyle w:val="47"/>
        <w:tblW w:w="9652" w:type="dxa"/>
        <w:tblInd w:w="0" w:type="dxa"/>
        <w:tblLayout w:type="fixed"/>
        <w:tblCellMar>
          <w:top w:w="0" w:type="dxa"/>
          <w:left w:w="0" w:type="dxa"/>
          <w:bottom w:w="0" w:type="dxa"/>
          <w:right w:w="0" w:type="dxa"/>
        </w:tblCellMar>
      </w:tblPr>
      <w:tblGrid>
        <w:gridCol w:w="1005"/>
        <w:gridCol w:w="2659"/>
        <w:gridCol w:w="3924"/>
        <w:gridCol w:w="2064"/>
      </w:tblGrid>
      <w:tr w14:paraId="00E10A25">
        <w:tblPrEx>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3723DB79">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34A071B1">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970D0C8">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36EE44EE">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7E2DADC6">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1EE4139">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62909E4B">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1E183AC0">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3290321D">
            <w:pPr>
              <w:spacing w:line="360" w:lineRule="auto"/>
              <w:jc w:val="center"/>
              <w:rPr>
                <w:rFonts w:ascii="宋体" w:hAnsi="宋体" w:cs="宋体"/>
                <w:color w:val="auto"/>
                <w:kern w:val="0"/>
                <w:sz w:val="24"/>
                <w:highlight w:val="none"/>
              </w:rPr>
            </w:pPr>
          </w:p>
        </w:tc>
      </w:tr>
      <w:tr w14:paraId="1FC51CE8">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25AEB2AD">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3C28D546">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53EFF4E6">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1873E81">
            <w:pPr>
              <w:spacing w:line="360" w:lineRule="auto"/>
              <w:jc w:val="center"/>
              <w:rPr>
                <w:rFonts w:ascii="宋体" w:hAnsi="宋体" w:cs="宋体"/>
                <w:color w:val="auto"/>
                <w:kern w:val="0"/>
                <w:sz w:val="24"/>
                <w:highlight w:val="none"/>
              </w:rPr>
            </w:pPr>
          </w:p>
        </w:tc>
      </w:tr>
      <w:tr w14:paraId="6D9D3236">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6BBA861">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9E9E8B7">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203B2979">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4738F012">
            <w:pPr>
              <w:spacing w:line="360" w:lineRule="auto"/>
              <w:jc w:val="center"/>
              <w:rPr>
                <w:rFonts w:ascii="宋体" w:hAnsi="宋体" w:cs="宋体"/>
                <w:color w:val="auto"/>
                <w:kern w:val="0"/>
                <w:sz w:val="24"/>
                <w:highlight w:val="none"/>
              </w:rPr>
            </w:pPr>
          </w:p>
        </w:tc>
      </w:tr>
      <w:tr w14:paraId="5416E35D">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2CB1DDAF">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484126E7">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3630A0BB">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2641ACC3">
            <w:pPr>
              <w:spacing w:line="360" w:lineRule="auto"/>
              <w:jc w:val="center"/>
              <w:rPr>
                <w:rFonts w:ascii="宋体" w:hAnsi="宋体" w:cs="宋体"/>
                <w:color w:val="auto"/>
                <w:kern w:val="0"/>
                <w:sz w:val="24"/>
                <w:highlight w:val="none"/>
              </w:rPr>
            </w:pPr>
          </w:p>
        </w:tc>
      </w:tr>
    </w:tbl>
    <w:p w14:paraId="2DA824F6">
      <w:pPr>
        <w:snapToGrid w:val="0"/>
        <w:spacing w:line="360" w:lineRule="auto"/>
        <w:jc w:val="left"/>
        <w:rPr>
          <w:rFonts w:ascii="楷体" w:hAnsi="楷体" w:eastAsia="楷体" w:cs="宋体"/>
          <w:color w:val="auto"/>
          <w:sz w:val="24"/>
          <w:highlight w:val="none"/>
        </w:rPr>
      </w:pPr>
    </w:p>
    <w:p w14:paraId="06F69D2B">
      <w:pPr>
        <w:snapToGrid w:val="0"/>
        <w:spacing w:line="360" w:lineRule="auto"/>
        <w:jc w:val="left"/>
        <w:rPr>
          <w:rFonts w:ascii="楷体" w:hAnsi="楷体" w:eastAsia="楷体" w:cs="宋体"/>
          <w:b/>
          <w:color w:val="auto"/>
          <w:sz w:val="24"/>
          <w:highlight w:val="none"/>
        </w:rPr>
      </w:pPr>
      <w:r>
        <w:rPr>
          <w:rFonts w:hint="eastAsia" w:ascii="楷体" w:hAnsi="楷体" w:eastAsia="楷体" w:cs="宋体"/>
          <w:b/>
          <w:color w:val="auto"/>
          <w:sz w:val="24"/>
          <w:highlight w:val="none"/>
        </w:rPr>
        <w:t>注：</w:t>
      </w:r>
    </w:p>
    <w:p w14:paraId="52A6C120">
      <w:pPr>
        <w:snapToGrid w:val="0"/>
        <w:spacing w:line="360" w:lineRule="auto"/>
        <w:ind w:firstLine="480" w:firstLineChars="200"/>
        <w:jc w:val="left"/>
        <w:rPr>
          <w:rFonts w:ascii="楷体" w:hAnsi="楷体" w:eastAsia="楷体" w:cs="宋体"/>
          <w:color w:val="auto"/>
          <w:sz w:val="24"/>
          <w:highlight w:val="none"/>
        </w:rPr>
      </w:pPr>
      <w:r>
        <w:rPr>
          <w:rFonts w:ascii="楷体" w:hAnsi="楷体" w:eastAsia="楷体" w:cs="宋体"/>
          <w:color w:val="auto"/>
          <w:sz w:val="24"/>
          <w:highlight w:val="none"/>
        </w:rPr>
        <w:t>1.管理关系：是指不具有出资持股关系的其他单位之间存在的管理与被管理关系，如一些上下级关系的事业单位和团体组织。</w:t>
      </w:r>
    </w:p>
    <w:p w14:paraId="4FD84BCE">
      <w:pPr>
        <w:snapToGrid w:val="0"/>
        <w:spacing w:line="360" w:lineRule="auto"/>
        <w:ind w:firstLine="480" w:firstLineChars="200"/>
        <w:jc w:val="left"/>
        <w:rPr>
          <w:rFonts w:ascii="楷体" w:hAnsi="楷体" w:eastAsia="楷体" w:cs="宋体"/>
          <w:color w:val="auto"/>
          <w:sz w:val="24"/>
          <w:highlight w:val="none"/>
        </w:rPr>
      </w:pPr>
      <w:r>
        <w:rPr>
          <w:rFonts w:ascii="楷体" w:hAnsi="楷体" w:eastAsia="楷体" w:cs="宋体"/>
          <w:color w:val="auto"/>
          <w:sz w:val="24"/>
          <w:highlight w:val="none"/>
        </w:rPr>
        <w:t>2.</w:t>
      </w:r>
      <w:r>
        <w:rPr>
          <w:rFonts w:hint="eastAsia" w:ascii="楷体" w:hAnsi="楷体" w:eastAsia="楷体" w:cs="宋体"/>
          <w:color w:val="auto"/>
          <w:spacing w:val="-6"/>
          <w:sz w:val="24"/>
          <w:highlight w:val="none"/>
        </w:rPr>
        <w:t>本表所指的管理关系仅限于直接管理关系，不包括间接的管理关系。</w:t>
      </w:r>
    </w:p>
    <w:p w14:paraId="758DFAE0">
      <w:pPr>
        <w:snapToGrid w:val="0"/>
        <w:spacing w:line="360" w:lineRule="auto"/>
        <w:ind w:firstLine="480" w:firstLineChars="200"/>
        <w:jc w:val="left"/>
        <w:rPr>
          <w:rFonts w:ascii="楷体" w:hAnsi="楷体" w:eastAsia="楷体" w:cs="宋体"/>
          <w:color w:val="auto"/>
          <w:sz w:val="24"/>
          <w:highlight w:val="none"/>
        </w:rPr>
      </w:pPr>
      <w:r>
        <w:rPr>
          <w:rFonts w:ascii="楷体" w:hAnsi="楷体" w:eastAsia="楷体" w:cs="宋体"/>
          <w:color w:val="auto"/>
          <w:sz w:val="24"/>
          <w:highlight w:val="none"/>
        </w:rPr>
        <w:t>3.供应商不存在直接管理关系的，则填“无”。</w:t>
      </w:r>
    </w:p>
    <w:p w14:paraId="11D588D2">
      <w:pPr>
        <w:snapToGrid w:val="0"/>
        <w:spacing w:line="360" w:lineRule="auto"/>
        <w:jc w:val="left"/>
        <w:rPr>
          <w:rFonts w:ascii="宋体" w:hAnsi="宋体" w:cs="宋体"/>
          <w:color w:val="auto"/>
          <w:sz w:val="24"/>
          <w:highlight w:val="none"/>
        </w:rPr>
      </w:pPr>
    </w:p>
    <w:p w14:paraId="751C0241">
      <w:pPr>
        <w:snapToGrid w:val="0"/>
        <w:spacing w:line="360" w:lineRule="auto"/>
        <w:jc w:val="left"/>
        <w:rPr>
          <w:rFonts w:ascii="宋体" w:hAnsi="宋体" w:cs="宋体"/>
          <w:color w:val="auto"/>
          <w:sz w:val="24"/>
          <w:highlight w:val="none"/>
        </w:rPr>
      </w:pPr>
    </w:p>
    <w:p w14:paraId="4A5994D9">
      <w:pPr>
        <w:snapToGrid w:val="0"/>
        <w:spacing w:line="360" w:lineRule="auto"/>
        <w:jc w:val="left"/>
        <w:rPr>
          <w:rFonts w:ascii="宋体" w:hAnsi="宋体" w:cs="宋体"/>
          <w:color w:val="auto"/>
          <w:sz w:val="24"/>
          <w:highlight w:val="none"/>
        </w:rPr>
      </w:pPr>
    </w:p>
    <w:p w14:paraId="71E91E23">
      <w:pPr>
        <w:snapToGrid w:val="0"/>
        <w:spacing w:line="360" w:lineRule="auto"/>
        <w:jc w:val="left"/>
        <w:rPr>
          <w:rFonts w:ascii="宋体" w:hAnsi="宋体" w:cs="宋体"/>
          <w:color w:val="auto"/>
          <w:sz w:val="24"/>
          <w:highlight w:val="none"/>
        </w:rPr>
      </w:pPr>
    </w:p>
    <w:p w14:paraId="677C70EA">
      <w:pPr>
        <w:snapToGrid w:val="0"/>
        <w:spacing w:line="360" w:lineRule="auto"/>
        <w:jc w:val="left"/>
        <w:rPr>
          <w:rFonts w:ascii="宋体" w:hAnsi="宋体" w:cs="宋体"/>
          <w:color w:val="auto"/>
          <w:sz w:val="24"/>
          <w:highlight w:val="none"/>
        </w:rPr>
      </w:pPr>
    </w:p>
    <w:p w14:paraId="59B1CE9E">
      <w:pPr>
        <w:snapToGrid w:val="0"/>
        <w:spacing w:line="360" w:lineRule="auto"/>
        <w:jc w:val="left"/>
        <w:rPr>
          <w:rFonts w:ascii="宋体" w:hAnsi="宋体" w:cs="宋体"/>
          <w:color w:val="auto"/>
          <w:sz w:val="24"/>
          <w:highlight w:val="none"/>
        </w:rPr>
      </w:pPr>
    </w:p>
    <w:p w14:paraId="5A7E5A9B">
      <w:pPr>
        <w:snapToGrid w:val="0"/>
        <w:spacing w:line="360" w:lineRule="auto"/>
        <w:jc w:val="left"/>
        <w:rPr>
          <w:rFonts w:ascii="宋体" w:hAnsi="宋体" w:cs="宋体"/>
          <w:color w:val="auto"/>
          <w:sz w:val="24"/>
          <w:highlight w:val="none"/>
        </w:rPr>
      </w:pPr>
    </w:p>
    <w:p w14:paraId="43E20D4B">
      <w:pPr>
        <w:snapToGrid w:val="0"/>
        <w:spacing w:before="166" w:beforeLines="50" w:line="360" w:lineRule="auto"/>
        <w:ind w:right="480" w:firstLine="3967" w:firstLineChars="1653"/>
        <w:rPr>
          <w:rFonts w:ascii="宋体" w:hAnsi="宋体" w:cs="宋体"/>
          <w:color w:val="auto"/>
          <w:sz w:val="24"/>
          <w:highlight w:val="none"/>
          <w:u w:val="single"/>
        </w:rPr>
      </w:pPr>
      <w:r>
        <w:rPr>
          <w:rFonts w:hint="eastAsia" w:ascii="宋体" w:hAnsi="宋体" w:cs="宋体"/>
          <w:color w:val="auto"/>
          <w:sz w:val="24"/>
          <w:highlight w:val="none"/>
        </w:rPr>
        <w:t>法定代表人或者委托代理人（签字）：</w:t>
      </w:r>
      <w:r>
        <w:rPr>
          <w:rFonts w:hint="eastAsia" w:ascii="宋体" w:hAnsi="宋体" w:cs="宋体"/>
          <w:color w:val="auto"/>
          <w:sz w:val="24"/>
          <w:highlight w:val="none"/>
          <w:u w:val="single"/>
        </w:rPr>
        <w:t xml:space="preserve">             </w:t>
      </w:r>
    </w:p>
    <w:p w14:paraId="542F2ADC">
      <w:pPr>
        <w:snapToGrid w:val="0"/>
        <w:spacing w:before="166" w:beforeLines="50" w:after="50" w:line="360" w:lineRule="auto"/>
        <w:ind w:right="480" w:firstLine="5520" w:firstLineChars="2300"/>
        <w:rPr>
          <w:rFonts w:ascii="宋体" w:hAnsi="宋体" w:cs="宋体"/>
          <w:color w:val="auto"/>
          <w:sz w:val="24"/>
          <w:highlight w:val="none"/>
        </w:rPr>
      </w:pPr>
      <w:r>
        <w:rPr>
          <w:rFonts w:hint="eastAsia" w:ascii="宋体" w:hAnsi="宋体" w:cs="宋体"/>
          <w:color w:val="auto"/>
          <w:sz w:val="24"/>
          <w:highlight w:val="none"/>
        </w:rPr>
        <w:t>投标人（公章）：</w:t>
      </w:r>
      <w:r>
        <w:rPr>
          <w:rFonts w:hint="eastAsia" w:ascii="宋体" w:hAnsi="宋体" w:cs="宋体"/>
          <w:color w:val="auto"/>
          <w:sz w:val="24"/>
          <w:highlight w:val="none"/>
          <w:u w:val="single"/>
        </w:rPr>
        <w:t xml:space="preserve">                 </w:t>
      </w:r>
    </w:p>
    <w:p w14:paraId="11EFCB17">
      <w:pPr>
        <w:snapToGrid w:val="0"/>
        <w:spacing w:before="166" w:beforeLines="50" w:after="50" w:line="360" w:lineRule="auto"/>
        <w:ind w:right="480" w:firstLine="240" w:firstLineChars="100"/>
        <w:jc w:val="right"/>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hAnsi="宋体" w:cs="宋体"/>
          <w:color w:val="auto"/>
          <w:sz w:val="24"/>
          <w:highlight w:val="none"/>
        </w:rPr>
        <w:t>日期：</w:t>
      </w:r>
      <w:r>
        <w:rPr>
          <w:rFonts w:hint="eastAsia" w:hAnsi="宋体" w:cs="宋体"/>
          <w:color w:val="auto"/>
          <w:sz w:val="24"/>
          <w:highlight w:val="none"/>
          <w:u w:val="single"/>
        </w:rPr>
        <w:t xml:space="preserve">      </w:t>
      </w:r>
      <w:r>
        <w:rPr>
          <w:rFonts w:hint="eastAsia" w:hAnsi="宋体" w:cs="宋体"/>
          <w:color w:val="auto"/>
          <w:sz w:val="24"/>
          <w:highlight w:val="none"/>
        </w:rPr>
        <w:t>年</w:t>
      </w:r>
      <w:r>
        <w:rPr>
          <w:rFonts w:hint="eastAsia" w:hAnsi="宋体" w:cs="宋体"/>
          <w:color w:val="auto"/>
          <w:sz w:val="24"/>
          <w:highlight w:val="none"/>
          <w:u w:val="single"/>
        </w:rPr>
        <w:t xml:space="preserve">    </w:t>
      </w:r>
      <w:r>
        <w:rPr>
          <w:rFonts w:hint="eastAsia" w:hAnsi="宋体" w:cs="宋体"/>
          <w:color w:val="auto"/>
          <w:sz w:val="24"/>
          <w:highlight w:val="none"/>
        </w:rPr>
        <w:t>月</w:t>
      </w:r>
      <w:r>
        <w:rPr>
          <w:rFonts w:hint="eastAsia" w:hAnsi="宋体" w:cs="宋体"/>
          <w:color w:val="auto"/>
          <w:sz w:val="24"/>
          <w:highlight w:val="none"/>
          <w:u w:val="single"/>
        </w:rPr>
        <w:t xml:space="preserve">     </w:t>
      </w:r>
      <w:r>
        <w:rPr>
          <w:rFonts w:hint="eastAsia" w:hAnsi="宋体" w:cs="宋体"/>
          <w:color w:val="auto"/>
          <w:sz w:val="24"/>
          <w:highlight w:val="none"/>
        </w:rPr>
        <w:t>日</w:t>
      </w:r>
    </w:p>
    <w:p w14:paraId="6655C07B">
      <w:pPr>
        <w:snapToGrid w:val="0"/>
        <w:spacing w:before="50" w:after="166" w:afterLines="50"/>
        <w:jc w:val="left"/>
        <w:rPr>
          <w:rFonts w:ascii="宋体" w:hAnsi="宋体" w:cs="宋体"/>
          <w:color w:val="auto"/>
          <w:szCs w:val="21"/>
          <w:highlight w:val="none"/>
        </w:rPr>
      </w:pPr>
    </w:p>
    <w:p w14:paraId="3D3BA614">
      <w:pPr>
        <w:snapToGrid w:val="0"/>
        <w:spacing w:before="166" w:beforeLines="50" w:after="50"/>
        <w:jc w:val="left"/>
        <w:rPr>
          <w:rFonts w:ascii="宋体" w:hAnsi="宋体" w:cs="宋体"/>
          <w:b/>
          <w:color w:val="auto"/>
          <w:sz w:val="24"/>
          <w:szCs w:val="20"/>
          <w:highlight w:val="none"/>
        </w:rPr>
      </w:pPr>
    </w:p>
    <w:p w14:paraId="26C50194">
      <w:pPr>
        <w:numPr>
          <w:ilvl w:val="2"/>
          <w:numId w:val="11"/>
        </w:numPr>
        <w:snapToGrid w:val="0"/>
        <w:spacing w:before="166" w:beforeLines="50" w:after="50"/>
        <w:ind w:left="0" w:firstLine="0"/>
        <w:jc w:val="left"/>
        <w:rPr>
          <w:rFonts w:ascii="宋体" w:hAnsi="宋体" w:cs="宋体"/>
          <w:b/>
          <w:color w:val="auto"/>
          <w:sz w:val="24"/>
          <w:szCs w:val="20"/>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投标声明格式</w:t>
      </w:r>
    </w:p>
    <w:p w14:paraId="523EB62B">
      <w:pPr>
        <w:snapToGrid w:val="0"/>
        <w:spacing w:before="50" w:after="166" w:afterLines="50"/>
        <w:jc w:val="left"/>
        <w:rPr>
          <w:rFonts w:ascii="宋体" w:hAnsi="宋体" w:cs="宋体"/>
          <w:color w:val="auto"/>
          <w:highlight w:val="none"/>
        </w:rPr>
      </w:pPr>
    </w:p>
    <w:p w14:paraId="5CA33137">
      <w:pPr>
        <w:snapToGrid w:val="0"/>
        <w:spacing w:before="50" w:after="166" w:afterLines="50"/>
        <w:jc w:val="center"/>
        <w:rPr>
          <w:rFonts w:ascii="宋体" w:hAnsi="宋体" w:cs="宋体"/>
          <w:bCs/>
          <w:color w:val="auto"/>
          <w:sz w:val="44"/>
          <w:szCs w:val="44"/>
          <w:highlight w:val="none"/>
        </w:rPr>
      </w:pPr>
      <w:r>
        <w:rPr>
          <w:rFonts w:hint="eastAsia" w:ascii="宋体" w:hAnsi="宋体" w:cs="宋体"/>
          <w:bCs/>
          <w:color w:val="auto"/>
          <w:sz w:val="44"/>
          <w:szCs w:val="44"/>
          <w:highlight w:val="none"/>
        </w:rPr>
        <w:t>投标声明</w:t>
      </w:r>
    </w:p>
    <w:p w14:paraId="1B72D68A">
      <w:pPr>
        <w:snapToGrid w:val="0"/>
        <w:spacing w:before="50" w:after="166" w:afterLines="50"/>
        <w:jc w:val="center"/>
        <w:rPr>
          <w:rFonts w:ascii="宋体" w:hAnsi="宋体" w:cs="宋体"/>
          <w:bCs/>
          <w:color w:val="auto"/>
          <w:sz w:val="44"/>
          <w:szCs w:val="44"/>
          <w:highlight w:val="none"/>
        </w:rPr>
      </w:pPr>
    </w:p>
    <w:p w14:paraId="71A48912">
      <w:pPr>
        <w:spacing w:line="400" w:lineRule="exact"/>
        <w:contextualSpacing/>
        <w:jc w:val="left"/>
        <w:rPr>
          <w:rFonts w:ascii="宋体" w:hAnsi="宋体" w:cs="宋体"/>
          <w:color w:val="auto"/>
          <w:sz w:val="24"/>
          <w:highlight w:val="none"/>
        </w:rPr>
      </w:pPr>
      <w:r>
        <w:rPr>
          <w:rFonts w:hint="eastAsia" w:ascii="宋体" w:hAnsi="宋体" w:cs="宋体"/>
          <w:color w:val="auto"/>
          <w:sz w:val="24"/>
          <w:highlight w:val="none"/>
        </w:rPr>
        <w:t>（采购人名称）：</w:t>
      </w:r>
    </w:p>
    <w:p w14:paraId="123DFD56">
      <w:pPr>
        <w:spacing w:line="400" w:lineRule="exact"/>
        <w:ind w:firstLine="523" w:firstLineChars="218"/>
        <w:contextualSpacing/>
        <w:jc w:val="left"/>
        <w:rPr>
          <w:rFonts w:ascii="宋体" w:hAnsi="宋体" w:cs="宋体"/>
          <w:color w:val="auto"/>
          <w:sz w:val="24"/>
          <w:highlight w:val="none"/>
        </w:rPr>
      </w:pPr>
      <w:r>
        <w:rPr>
          <w:rFonts w:hint="eastAsia" w:ascii="宋体" w:hAnsi="宋体" w:cs="宋体"/>
          <w:color w:val="auto"/>
          <w:sz w:val="24"/>
          <w:highlight w:val="none"/>
        </w:rPr>
        <w:t>我方参加贵单位组织</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项目（项目编号：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）的政府采购活动。我方在此郑重声明：</w:t>
      </w:r>
    </w:p>
    <w:p w14:paraId="5A50683E">
      <w:pPr>
        <w:spacing w:line="400" w:lineRule="exact"/>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1.我方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5D9392BB">
      <w:pPr>
        <w:spacing w:line="400" w:lineRule="exact"/>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2.我方不是为本次采购项目提供整体设计、规范编制或者项目管理、监理、检测等服务的供应商。</w:t>
      </w:r>
    </w:p>
    <w:p w14:paraId="48325D5B">
      <w:pPr>
        <w:spacing w:line="400" w:lineRule="exact"/>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3.我方承诺符合《中华人民共和国政府采购法》第二十二条规定：</w:t>
      </w:r>
    </w:p>
    <w:p w14:paraId="050F6841">
      <w:pPr>
        <w:spacing w:line="400" w:lineRule="exact"/>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（一）具有独立承担民事责任的能力；</w:t>
      </w:r>
    </w:p>
    <w:p w14:paraId="36A509D6">
      <w:pPr>
        <w:spacing w:line="400" w:lineRule="exact"/>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（二）具有良好的商业信誉和健全的财务会计制度；</w:t>
      </w:r>
    </w:p>
    <w:p w14:paraId="616A80F6">
      <w:pPr>
        <w:spacing w:line="400" w:lineRule="exact"/>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（三）具有履行合同所必需的设备和专业技术能力；</w:t>
      </w:r>
    </w:p>
    <w:p w14:paraId="39663756">
      <w:pPr>
        <w:spacing w:line="400" w:lineRule="exact"/>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（四）有依法缴纳税收和社会保障资金的良好记录；</w:t>
      </w:r>
    </w:p>
    <w:p w14:paraId="73CC6E68">
      <w:pPr>
        <w:spacing w:line="400" w:lineRule="exact"/>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（五）参加政府采购活动前三年内，在经营活动中没有重大违法记录；</w:t>
      </w:r>
    </w:p>
    <w:p w14:paraId="221D214F">
      <w:pPr>
        <w:spacing w:line="400" w:lineRule="exact"/>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（六）法律、行政法规规定的其他条件。</w:t>
      </w:r>
    </w:p>
    <w:p w14:paraId="424D8061">
      <w:pPr>
        <w:spacing w:line="400" w:lineRule="exact"/>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4.以上事项如有虚假或者隐瞒，我方愿意承担一切后果，并不再寻求任何旨在减轻或者免除法律责任的辩解。</w:t>
      </w:r>
    </w:p>
    <w:p w14:paraId="44A5ACEC">
      <w:pPr>
        <w:spacing w:line="400" w:lineRule="exact"/>
        <w:ind w:firstLine="480" w:firstLineChars="200"/>
        <w:contextualSpacing/>
        <w:jc w:val="left"/>
        <w:rPr>
          <w:color w:val="auto"/>
          <w:highlight w:val="none"/>
        </w:rPr>
      </w:pPr>
      <w:r>
        <w:rPr>
          <w:rFonts w:ascii="宋体" w:hAnsi="宋体" w:cs="宋体"/>
          <w:color w:val="auto"/>
          <w:sz w:val="24"/>
          <w:highlight w:val="none"/>
        </w:rPr>
        <w:t>5</w:t>
      </w:r>
      <w:r>
        <w:rPr>
          <w:rFonts w:hint="eastAsia" w:ascii="宋体" w:hAnsi="宋体" w:cs="宋体"/>
          <w:color w:val="auto"/>
          <w:sz w:val="24"/>
          <w:highlight w:val="none"/>
        </w:rPr>
        <w:t>.我方若中标，除非发生不可抗力，承诺与发包方及时签订《合同书》。如果弃标，自愿按照本文件之《投标人须知正文》第3</w:t>
      </w:r>
      <w:r>
        <w:rPr>
          <w:rFonts w:ascii="宋体" w:hAnsi="宋体" w:cs="宋体"/>
          <w:color w:val="auto"/>
          <w:sz w:val="24"/>
          <w:highlight w:val="none"/>
        </w:rPr>
        <w:t>0.4</w:t>
      </w:r>
      <w:r>
        <w:rPr>
          <w:rFonts w:hint="eastAsia" w:ascii="宋体" w:hAnsi="宋体" w:cs="宋体"/>
          <w:color w:val="auto"/>
          <w:sz w:val="24"/>
          <w:highlight w:val="none"/>
        </w:rPr>
        <w:t>条的要求承担法律责任和失信惩戒。</w:t>
      </w:r>
    </w:p>
    <w:p w14:paraId="60C9EDE8">
      <w:pPr>
        <w:spacing w:line="400" w:lineRule="exact"/>
        <w:contextualSpacing/>
        <w:jc w:val="left"/>
        <w:rPr>
          <w:rFonts w:ascii="宋体" w:hAnsi="宋体" w:cs="宋体"/>
          <w:color w:val="auto"/>
          <w:sz w:val="24"/>
          <w:highlight w:val="none"/>
        </w:rPr>
      </w:pPr>
      <w:r>
        <w:rPr>
          <w:rFonts w:hint="eastAsia" w:ascii="宋体" w:hAnsi="宋体" w:cs="宋体"/>
          <w:color w:val="auto"/>
          <w:sz w:val="24"/>
          <w:highlight w:val="none"/>
        </w:rPr>
        <w:t xml:space="preserve">    特此承诺。</w:t>
      </w:r>
    </w:p>
    <w:p w14:paraId="45B18219">
      <w:pPr>
        <w:spacing w:line="400" w:lineRule="exact"/>
        <w:contextualSpacing/>
        <w:jc w:val="left"/>
        <w:rPr>
          <w:rFonts w:ascii="楷体" w:hAnsi="楷体" w:eastAsia="楷体" w:cs="宋体"/>
          <w:b/>
          <w:color w:val="auto"/>
          <w:sz w:val="24"/>
          <w:highlight w:val="none"/>
        </w:rPr>
      </w:pPr>
      <w:r>
        <w:rPr>
          <w:rFonts w:hint="eastAsia" w:ascii="宋体" w:hAnsi="宋体" w:cs="宋体"/>
          <w:b/>
          <w:color w:val="auto"/>
          <w:sz w:val="24"/>
          <w:highlight w:val="none"/>
        </w:rPr>
        <w:t xml:space="preserve">   </w:t>
      </w:r>
      <w:r>
        <w:rPr>
          <w:rFonts w:ascii="楷体" w:hAnsi="楷体" w:eastAsia="楷体" w:cs="宋体"/>
          <w:b/>
          <w:color w:val="auto"/>
          <w:sz w:val="24"/>
          <w:highlight w:val="none"/>
        </w:rPr>
        <w:t xml:space="preserve"> 注：如为联合体投标，盖章处须加盖联合体各方公章并由联合体各方法定代表人分别签字，否则投标无效。</w:t>
      </w:r>
    </w:p>
    <w:p w14:paraId="7B037F33">
      <w:pPr>
        <w:spacing w:line="400" w:lineRule="exact"/>
        <w:contextualSpacing/>
        <w:jc w:val="left"/>
        <w:rPr>
          <w:rFonts w:ascii="宋体" w:hAnsi="宋体" w:cs="宋体"/>
          <w:color w:val="auto"/>
          <w:sz w:val="24"/>
          <w:highlight w:val="none"/>
        </w:rPr>
      </w:pPr>
      <w:r>
        <w:rPr>
          <w:rFonts w:hint="eastAsia" w:ascii="宋体" w:hAnsi="宋体" w:cs="宋体"/>
          <w:color w:val="auto"/>
          <w:sz w:val="24"/>
          <w:highlight w:val="none"/>
        </w:rPr>
        <w:t xml:space="preserve">                                          法定代表人（签字）：</w:t>
      </w:r>
      <w:r>
        <w:rPr>
          <w:rFonts w:hint="eastAsia" w:ascii="宋体" w:hAnsi="宋体" w:cs="宋体"/>
          <w:color w:val="auto"/>
          <w:sz w:val="24"/>
          <w:highlight w:val="none"/>
          <w:u w:val="single"/>
        </w:rPr>
        <w:t xml:space="preserve">             </w:t>
      </w:r>
    </w:p>
    <w:p w14:paraId="1ADF0DBB">
      <w:pPr>
        <w:spacing w:line="400" w:lineRule="exact"/>
        <w:contextualSpacing/>
        <w:jc w:val="left"/>
        <w:rPr>
          <w:rFonts w:ascii="宋体" w:hAnsi="宋体" w:cs="宋体"/>
          <w:color w:val="auto"/>
          <w:sz w:val="24"/>
          <w:highlight w:val="none"/>
        </w:rPr>
      </w:pPr>
      <w:r>
        <w:rPr>
          <w:rFonts w:hint="eastAsia" w:ascii="宋体" w:hAnsi="宋体" w:cs="宋体"/>
          <w:color w:val="auto"/>
          <w:sz w:val="24"/>
          <w:highlight w:val="none"/>
        </w:rPr>
        <w:t xml:space="preserve">                                          投标人（公章）：</w:t>
      </w:r>
      <w:r>
        <w:rPr>
          <w:rFonts w:hint="eastAsia" w:ascii="宋体" w:hAnsi="宋体" w:cs="宋体"/>
          <w:color w:val="auto"/>
          <w:sz w:val="24"/>
          <w:highlight w:val="none"/>
          <w:u w:val="single"/>
        </w:rPr>
        <w:t xml:space="preserve">                 </w:t>
      </w:r>
    </w:p>
    <w:p w14:paraId="0404905C">
      <w:pPr>
        <w:spacing w:line="400" w:lineRule="exact"/>
        <w:contextualSpacing/>
        <w:jc w:val="left"/>
        <w:rPr>
          <w:rFonts w:ascii="宋体" w:hAnsi="宋体" w:cs="宋体"/>
          <w:color w:val="auto"/>
          <w:highlight w:val="none"/>
        </w:rPr>
      </w:pPr>
      <w:r>
        <w:rPr>
          <w:rFonts w:hint="eastAsia" w:ascii="宋体" w:hAnsi="宋体" w:cs="宋体"/>
          <w:color w:val="auto"/>
          <w:sz w:val="24"/>
          <w:highlight w:val="none"/>
        </w:rPr>
        <w:t xml:space="preserve">                                         </w:t>
      </w:r>
      <w:r>
        <w:rPr>
          <w:rFonts w:hint="eastAsia" w:hAnsi="宋体" w:cs="宋体"/>
          <w:color w:val="auto"/>
          <w:sz w:val="24"/>
          <w:highlight w:val="none"/>
        </w:rPr>
        <w:t>日期：</w:t>
      </w:r>
      <w:r>
        <w:rPr>
          <w:rFonts w:hint="eastAsia" w:hAnsi="宋体" w:cs="宋体"/>
          <w:color w:val="auto"/>
          <w:sz w:val="24"/>
          <w:highlight w:val="none"/>
          <w:u w:val="single"/>
        </w:rPr>
        <w:t xml:space="preserve">      </w:t>
      </w:r>
      <w:r>
        <w:rPr>
          <w:rFonts w:hint="eastAsia" w:hAnsi="宋体" w:cs="宋体"/>
          <w:color w:val="auto"/>
          <w:sz w:val="24"/>
          <w:highlight w:val="none"/>
        </w:rPr>
        <w:t>年</w:t>
      </w:r>
      <w:r>
        <w:rPr>
          <w:rFonts w:hint="eastAsia" w:hAnsi="宋体" w:cs="宋体"/>
          <w:color w:val="auto"/>
          <w:sz w:val="24"/>
          <w:highlight w:val="none"/>
          <w:u w:val="single"/>
        </w:rPr>
        <w:t xml:space="preserve">    </w:t>
      </w:r>
      <w:r>
        <w:rPr>
          <w:rFonts w:hint="eastAsia" w:hAnsi="宋体" w:cs="宋体"/>
          <w:color w:val="auto"/>
          <w:sz w:val="24"/>
          <w:highlight w:val="none"/>
        </w:rPr>
        <w:t>月</w:t>
      </w:r>
      <w:r>
        <w:rPr>
          <w:rFonts w:hint="eastAsia" w:hAnsi="宋体" w:cs="宋体"/>
          <w:color w:val="auto"/>
          <w:sz w:val="24"/>
          <w:highlight w:val="none"/>
          <w:u w:val="single"/>
        </w:rPr>
        <w:t xml:space="preserve">     </w:t>
      </w:r>
      <w:r>
        <w:rPr>
          <w:rFonts w:hint="eastAsia" w:hAnsi="宋体" w:cs="宋体"/>
          <w:color w:val="auto"/>
          <w:sz w:val="24"/>
          <w:highlight w:val="none"/>
        </w:rPr>
        <w:t>日</w:t>
      </w:r>
    </w:p>
    <w:p w14:paraId="526EA85E">
      <w:pPr>
        <w:rPr>
          <w:rFonts w:ascii="宋体" w:hAnsi="宋体" w:cs="宋体"/>
          <w:b/>
          <w:color w:val="auto"/>
          <w:sz w:val="28"/>
          <w:szCs w:val="28"/>
          <w:highlight w:val="none"/>
        </w:rPr>
      </w:pPr>
      <w:bookmarkStart w:id="145" w:name="_Toc19686838"/>
      <w:r>
        <w:rPr>
          <w:rFonts w:hint="eastAsia" w:ascii="宋体" w:hAnsi="宋体" w:cs="宋体"/>
          <w:b/>
          <w:color w:val="auto"/>
          <w:sz w:val="28"/>
          <w:szCs w:val="28"/>
          <w:highlight w:val="none"/>
        </w:rPr>
        <w:br w:type="page"/>
      </w:r>
      <w:r>
        <w:rPr>
          <w:rFonts w:hint="eastAsia" w:ascii="宋体" w:hAnsi="宋体" w:cs="宋体"/>
          <w:b/>
          <w:color w:val="auto"/>
          <w:sz w:val="28"/>
          <w:szCs w:val="28"/>
          <w:highlight w:val="none"/>
        </w:rPr>
        <w:t>三、商务文件格式</w:t>
      </w:r>
      <w:bookmarkEnd w:id="145"/>
    </w:p>
    <w:p w14:paraId="41051746">
      <w:pPr>
        <w:snapToGrid w:val="0"/>
        <w:spacing w:before="166" w:beforeLines="50" w:after="50" w:line="360" w:lineRule="auto"/>
        <w:jc w:val="left"/>
        <w:rPr>
          <w:rFonts w:ascii="宋体" w:hAnsi="宋体" w:cs="宋体"/>
          <w:b/>
          <w:color w:val="auto"/>
          <w:sz w:val="24"/>
          <w:highlight w:val="none"/>
        </w:rPr>
      </w:pPr>
      <w:r>
        <w:rPr>
          <w:rFonts w:hint="eastAsia" w:ascii="宋体" w:hAnsi="宋体" w:cs="宋体"/>
          <w:b/>
          <w:color w:val="auto"/>
          <w:sz w:val="24"/>
          <w:highlight w:val="none"/>
        </w:rPr>
        <w:t xml:space="preserve">1.商务文件封面格式： </w:t>
      </w:r>
    </w:p>
    <w:p w14:paraId="01A0CEC7">
      <w:pPr>
        <w:snapToGrid w:val="0"/>
        <w:spacing w:before="166" w:beforeLines="50" w:after="50"/>
        <w:rPr>
          <w:rFonts w:ascii="宋体" w:hAnsi="宋体" w:cs="宋体"/>
          <w:bCs/>
          <w:color w:val="auto"/>
          <w:sz w:val="32"/>
          <w:szCs w:val="20"/>
          <w:highlight w:val="none"/>
        </w:rPr>
      </w:pPr>
      <w:r>
        <w:rPr>
          <w:rFonts w:hint="eastAsia" w:ascii="宋体" w:hAnsi="宋体" w:cs="宋体"/>
          <w:color w:val="auto"/>
          <w:sz w:val="24"/>
          <w:highlight w:val="none"/>
        </w:rPr>
        <w:t xml:space="preserve">                                                 </w:t>
      </w:r>
    </w:p>
    <w:p w14:paraId="35596E66">
      <w:pPr>
        <w:snapToGrid w:val="0"/>
        <w:spacing w:before="166" w:beforeLines="50" w:after="50"/>
        <w:rPr>
          <w:rFonts w:ascii="宋体" w:hAnsi="宋体" w:cs="宋体"/>
          <w:color w:val="auto"/>
          <w:sz w:val="24"/>
          <w:szCs w:val="20"/>
          <w:highlight w:val="none"/>
        </w:rPr>
      </w:pPr>
    </w:p>
    <w:p w14:paraId="0CD92C68">
      <w:pPr>
        <w:snapToGrid w:val="0"/>
        <w:spacing w:before="166" w:beforeLines="50" w:after="50"/>
        <w:rPr>
          <w:rFonts w:ascii="宋体" w:hAnsi="宋体" w:cs="宋体"/>
          <w:color w:val="auto"/>
          <w:sz w:val="24"/>
          <w:szCs w:val="20"/>
          <w:highlight w:val="none"/>
        </w:rPr>
      </w:pPr>
    </w:p>
    <w:p w14:paraId="34270E86">
      <w:pPr>
        <w:snapToGrid w:val="0"/>
        <w:spacing w:before="166" w:beforeLines="50" w:after="50"/>
        <w:rPr>
          <w:rFonts w:ascii="宋体" w:hAnsi="宋体" w:cs="宋体"/>
          <w:color w:val="auto"/>
          <w:sz w:val="24"/>
          <w:szCs w:val="20"/>
          <w:highlight w:val="none"/>
        </w:rPr>
      </w:pPr>
    </w:p>
    <w:p w14:paraId="6C1981B9">
      <w:pPr>
        <w:snapToGrid w:val="0"/>
        <w:spacing w:before="166" w:beforeLines="50" w:after="50"/>
        <w:jc w:val="center"/>
        <w:rPr>
          <w:rFonts w:ascii="宋体" w:hAnsi="宋体" w:cs="宋体"/>
          <w:color w:val="auto"/>
          <w:sz w:val="84"/>
          <w:szCs w:val="84"/>
          <w:highlight w:val="none"/>
        </w:rPr>
      </w:pPr>
      <w:r>
        <w:rPr>
          <w:rFonts w:hint="eastAsia" w:ascii="宋体" w:hAnsi="宋体" w:cs="宋体"/>
          <w:color w:val="auto"/>
          <w:sz w:val="84"/>
          <w:szCs w:val="84"/>
          <w:highlight w:val="none"/>
        </w:rPr>
        <w:t>投  标  文  件</w:t>
      </w:r>
    </w:p>
    <w:p w14:paraId="778B8CA2">
      <w:pPr>
        <w:snapToGrid w:val="0"/>
        <w:spacing w:before="166" w:beforeLines="50" w:after="50"/>
        <w:rPr>
          <w:rFonts w:ascii="宋体" w:hAnsi="宋体" w:cs="宋体"/>
          <w:color w:val="auto"/>
          <w:sz w:val="24"/>
          <w:szCs w:val="20"/>
          <w:highlight w:val="none"/>
        </w:rPr>
      </w:pPr>
    </w:p>
    <w:p w14:paraId="4891A9BC">
      <w:pPr>
        <w:snapToGrid w:val="0"/>
        <w:spacing w:before="166" w:beforeLines="50" w:after="50"/>
        <w:rPr>
          <w:rFonts w:ascii="宋体" w:hAnsi="宋体" w:cs="宋体"/>
          <w:color w:val="auto"/>
          <w:sz w:val="24"/>
          <w:szCs w:val="20"/>
          <w:highlight w:val="none"/>
        </w:rPr>
      </w:pPr>
    </w:p>
    <w:p w14:paraId="70B23427">
      <w:pPr>
        <w:snapToGrid w:val="0"/>
        <w:spacing w:before="166" w:beforeLines="50" w:after="50"/>
        <w:jc w:val="center"/>
        <w:rPr>
          <w:rFonts w:ascii="宋体" w:hAnsi="宋体" w:cs="宋体"/>
          <w:bCs/>
          <w:color w:val="auto"/>
          <w:sz w:val="32"/>
          <w:szCs w:val="32"/>
          <w:highlight w:val="none"/>
        </w:rPr>
      </w:pPr>
      <w:r>
        <w:rPr>
          <w:rFonts w:hint="eastAsia" w:ascii="宋体" w:hAnsi="宋体" w:cs="宋体"/>
          <w:bCs/>
          <w:color w:val="auto"/>
          <w:sz w:val="32"/>
          <w:szCs w:val="32"/>
          <w:highlight w:val="none"/>
        </w:rPr>
        <w:t>商  务  文  件</w:t>
      </w:r>
    </w:p>
    <w:p w14:paraId="0D4E9C5C">
      <w:pPr>
        <w:snapToGrid w:val="0"/>
        <w:spacing w:before="166" w:beforeLines="50" w:after="50"/>
        <w:rPr>
          <w:rFonts w:ascii="宋体" w:hAnsi="宋体" w:cs="宋体"/>
          <w:bCs/>
          <w:color w:val="auto"/>
          <w:sz w:val="24"/>
          <w:szCs w:val="20"/>
          <w:highlight w:val="none"/>
        </w:rPr>
      </w:pPr>
    </w:p>
    <w:p w14:paraId="78EB1AAB">
      <w:pPr>
        <w:snapToGrid w:val="0"/>
        <w:spacing w:before="166" w:beforeLines="50" w:after="50"/>
        <w:ind w:firstLine="540" w:firstLineChars="225"/>
        <w:rPr>
          <w:rFonts w:ascii="宋体" w:hAnsi="宋体" w:cs="宋体"/>
          <w:bCs/>
          <w:color w:val="auto"/>
          <w:sz w:val="24"/>
          <w:highlight w:val="none"/>
        </w:rPr>
      </w:pPr>
    </w:p>
    <w:p w14:paraId="6814E3B5">
      <w:pPr>
        <w:snapToGrid w:val="0"/>
        <w:spacing w:before="166" w:beforeLines="50" w:after="50"/>
        <w:ind w:firstLine="540" w:firstLineChars="225"/>
        <w:rPr>
          <w:rFonts w:ascii="宋体" w:hAnsi="宋体" w:cs="宋体"/>
          <w:bCs/>
          <w:color w:val="auto"/>
          <w:sz w:val="24"/>
          <w:highlight w:val="none"/>
        </w:rPr>
      </w:pPr>
    </w:p>
    <w:p w14:paraId="10DA022A">
      <w:pPr>
        <w:snapToGrid w:val="0"/>
        <w:spacing w:before="166" w:beforeLines="50" w:after="50"/>
        <w:ind w:firstLine="1680" w:firstLineChars="600"/>
        <w:rPr>
          <w:rFonts w:ascii="宋体" w:hAnsi="宋体" w:cs="宋体"/>
          <w:bCs/>
          <w:color w:val="auto"/>
          <w:sz w:val="28"/>
          <w:szCs w:val="28"/>
          <w:highlight w:val="none"/>
        </w:rPr>
      </w:pPr>
    </w:p>
    <w:p w14:paraId="1C08FB29">
      <w:pPr>
        <w:snapToGrid w:val="0"/>
        <w:spacing w:before="166" w:beforeLines="50" w:after="50"/>
        <w:ind w:firstLine="1680" w:firstLineChars="600"/>
        <w:rPr>
          <w:rFonts w:ascii="宋体" w:hAnsi="宋体" w:cs="宋体"/>
          <w:bCs/>
          <w:color w:val="auto"/>
          <w:sz w:val="28"/>
          <w:szCs w:val="28"/>
          <w:highlight w:val="none"/>
        </w:rPr>
      </w:pPr>
      <w:r>
        <w:rPr>
          <w:rFonts w:hint="eastAsia" w:ascii="宋体" w:hAnsi="宋体" w:cs="宋体"/>
          <w:bCs/>
          <w:color w:val="auto"/>
          <w:sz w:val="28"/>
          <w:szCs w:val="28"/>
          <w:highlight w:val="none"/>
        </w:rPr>
        <w:t>项目名称：</w:t>
      </w:r>
    </w:p>
    <w:p w14:paraId="295740EB">
      <w:pPr>
        <w:snapToGrid w:val="0"/>
        <w:spacing w:before="166" w:beforeLines="50" w:after="50"/>
        <w:ind w:firstLine="1680" w:firstLineChars="600"/>
        <w:rPr>
          <w:rFonts w:ascii="宋体" w:hAnsi="宋体" w:cs="宋体"/>
          <w:bCs/>
          <w:color w:val="auto"/>
          <w:sz w:val="28"/>
          <w:szCs w:val="21"/>
          <w:highlight w:val="none"/>
        </w:rPr>
      </w:pPr>
      <w:r>
        <w:rPr>
          <w:rFonts w:hint="eastAsia" w:ascii="宋体" w:hAnsi="宋体" w:cs="宋体"/>
          <w:bCs/>
          <w:color w:val="auto"/>
          <w:sz w:val="28"/>
          <w:szCs w:val="28"/>
          <w:highlight w:val="none"/>
        </w:rPr>
        <w:t>项目编号：</w:t>
      </w:r>
    </w:p>
    <w:p w14:paraId="195CEB2C">
      <w:pPr>
        <w:snapToGrid w:val="0"/>
        <w:spacing w:before="166" w:beforeLines="50" w:after="50"/>
        <w:ind w:firstLine="1680" w:firstLineChars="600"/>
        <w:rPr>
          <w:rFonts w:ascii="宋体" w:hAnsi="宋体" w:cs="宋体"/>
          <w:bCs/>
          <w:color w:val="auto"/>
          <w:sz w:val="28"/>
          <w:szCs w:val="28"/>
          <w:highlight w:val="none"/>
        </w:rPr>
      </w:pPr>
      <w:r>
        <w:rPr>
          <w:rFonts w:hint="eastAsia" w:ascii="宋体" w:hAnsi="宋体" w:cs="宋体"/>
          <w:bCs/>
          <w:color w:val="auto"/>
          <w:sz w:val="28"/>
          <w:szCs w:val="28"/>
          <w:highlight w:val="none"/>
        </w:rPr>
        <w:t>所投分标：</w:t>
      </w:r>
    </w:p>
    <w:p w14:paraId="36FDD02B">
      <w:pPr>
        <w:pStyle w:val="6"/>
        <w:snapToGrid w:val="0"/>
        <w:spacing w:before="50" w:after="50"/>
        <w:ind w:firstLine="1680" w:firstLineChars="600"/>
        <w:rPr>
          <w:rFonts w:ascii="宋体" w:hAnsi="宋体" w:cs="宋体"/>
          <w:bCs/>
          <w:color w:val="auto"/>
          <w:sz w:val="28"/>
          <w:szCs w:val="28"/>
          <w:highlight w:val="none"/>
        </w:rPr>
      </w:pPr>
      <w:r>
        <w:rPr>
          <w:rFonts w:hint="eastAsia" w:ascii="宋体" w:hAnsi="宋体" w:cs="宋体"/>
          <w:bCs/>
          <w:color w:val="auto"/>
          <w:sz w:val="28"/>
          <w:szCs w:val="28"/>
          <w:highlight w:val="none"/>
        </w:rPr>
        <w:t>投标人名称：</w:t>
      </w:r>
    </w:p>
    <w:p w14:paraId="7B4C538F">
      <w:pPr>
        <w:pStyle w:val="6"/>
        <w:snapToGrid w:val="0"/>
        <w:spacing w:before="50" w:after="50"/>
        <w:ind w:firstLine="1680" w:firstLineChars="600"/>
        <w:rPr>
          <w:rFonts w:ascii="宋体" w:hAnsi="宋体" w:cs="宋体"/>
          <w:bCs/>
          <w:color w:val="auto"/>
          <w:sz w:val="28"/>
          <w:szCs w:val="28"/>
          <w:highlight w:val="none"/>
        </w:rPr>
      </w:pPr>
      <w:r>
        <w:rPr>
          <w:rFonts w:hint="eastAsia" w:ascii="宋体" w:hAnsi="宋体" w:cs="宋体"/>
          <w:bCs/>
          <w:color w:val="auto"/>
          <w:sz w:val="28"/>
          <w:szCs w:val="28"/>
          <w:highlight w:val="none"/>
        </w:rPr>
        <w:t>投标人地址：</w:t>
      </w:r>
    </w:p>
    <w:p w14:paraId="6E0F07E5">
      <w:pPr>
        <w:pStyle w:val="6"/>
        <w:snapToGrid w:val="0"/>
        <w:spacing w:before="50" w:after="50"/>
        <w:ind w:firstLine="1680" w:firstLineChars="600"/>
        <w:rPr>
          <w:rFonts w:ascii="宋体" w:hAnsi="宋体" w:cs="宋体"/>
          <w:bCs/>
          <w:color w:val="auto"/>
          <w:sz w:val="28"/>
          <w:szCs w:val="28"/>
          <w:highlight w:val="none"/>
        </w:rPr>
      </w:pPr>
    </w:p>
    <w:p w14:paraId="709D3FAC">
      <w:pPr>
        <w:snapToGrid w:val="0"/>
        <w:spacing w:before="166" w:beforeLines="50" w:after="50"/>
        <w:ind w:firstLine="1680" w:firstLineChars="600"/>
        <w:rPr>
          <w:rFonts w:ascii="宋体" w:hAnsi="宋体" w:cs="宋体"/>
          <w:color w:val="auto"/>
          <w:sz w:val="28"/>
          <w:szCs w:val="28"/>
          <w:highlight w:val="none"/>
        </w:rPr>
      </w:pPr>
      <w:r>
        <w:rPr>
          <w:rFonts w:hint="eastAsia" w:ascii="宋体" w:hAnsi="宋体" w:cs="宋体"/>
          <w:color w:val="auto"/>
          <w:sz w:val="28"/>
          <w:szCs w:val="28"/>
          <w:highlight w:val="none"/>
        </w:rPr>
        <w:t xml:space="preserve">                        年  月  日</w:t>
      </w:r>
    </w:p>
    <w:p w14:paraId="453D965D">
      <w:pPr>
        <w:snapToGrid w:val="0"/>
        <w:spacing w:before="166" w:beforeLines="50" w:after="50"/>
        <w:rPr>
          <w:rFonts w:ascii="宋体" w:hAnsi="宋体" w:cs="宋体"/>
          <w:color w:val="auto"/>
          <w:sz w:val="24"/>
          <w:szCs w:val="20"/>
          <w:highlight w:val="none"/>
        </w:rPr>
      </w:pPr>
      <w:r>
        <w:rPr>
          <w:rFonts w:hint="eastAsia" w:ascii="宋体" w:hAnsi="宋体" w:cs="宋体"/>
          <w:color w:val="auto"/>
          <w:sz w:val="24"/>
          <w:szCs w:val="20"/>
          <w:highlight w:val="none"/>
        </w:rPr>
        <w:t xml:space="preserve"> </w:t>
      </w:r>
    </w:p>
    <w:p w14:paraId="6B359E3F">
      <w:pPr>
        <w:snapToGrid w:val="0"/>
        <w:spacing w:line="360" w:lineRule="auto"/>
        <w:jc w:val="left"/>
        <w:rPr>
          <w:rFonts w:ascii="宋体" w:hAnsi="宋体" w:cs="宋体"/>
          <w:b/>
          <w:bCs/>
          <w:color w:val="auto"/>
          <w:sz w:val="28"/>
          <w:szCs w:val="28"/>
          <w:highlight w:val="none"/>
        </w:rPr>
      </w:pPr>
      <w:r>
        <w:rPr>
          <w:rFonts w:hint="eastAsia" w:ascii="宋体" w:hAnsi="宋体" w:cs="宋体"/>
          <w:color w:val="auto"/>
          <w:sz w:val="24"/>
          <w:szCs w:val="20"/>
          <w:highlight w:val="none"/>
        </w:rPr>
        <w:br w:type="page"/>
      </w:r>
      <w:r>
        <w:rPr>
          <w:rFonts w:hint="eastAsia" w:ascii="宋体" w:hAnsi="宋体" w:cs="宋体"/>
          <w:b/>
          <w:bCs/>
          <w:color w:val="auto"/>
          <w:sz w:val="24"/>
          <w:highlight w:val="none"/>
        </w:rPr>
        <w:t>2.商务文件目录</w:t>
      </w:r>
    </w:p>
    <w:p w14:paraId="1A868C1F">
      <w:pPr>
        <w:snapToGrid w:val="0"/>
        <w:spacing w:before="50" w:after="166" w:afterLines="50" w:line="360" w:lineRule="auto"/>
        <w:ind w:firstLine="480" w:firstLineChars="200"/>
        <w:jc w:val="left"/>
        <w:rPr>
          <w:rFonts w:ascii="宋体" w:hAnsi="宋体" w:cs="宋体"/>
          <w:b/>
          <w:bCs/>
          <w:color w:val="auto"/>
          <w:sz w:val="32"/>
          <w:szCs w:val="32"/>
          <w:highlight w:val="none"/>
        </w:rPr>
      </w:pPr>
      <w:r>
        <w:rPr>
          <w:rFonts w:hint="eastAsia" w:ascii="宋体" w:hAnsi="宋体" w:cs="宋体"/>
          <w:color w:val="auto"/>
          <w:sz w:val="24"/>
          <w:highlight w:val="none"/>
        </w:rPr>
        <w:t>根据招标文件规定及投标人提供的材料自行编写目录。</w:t>
      </w:r>
    </w:p>
    <w:p w14:paraId="66CFE423">
      <w:pPr>
        <w:snapToGrid w:val="0"/>
        <w:spacing w:before="50" w:after="166" w:afterLines="50"/>
        <w:jc w:val="left"/>
        <w:rPr>
          <w:rFonts w:ascii="宋体" w:hAnsi="宋体" w:cs="宋体"/>
          <w:color w:val="auto"/>
          <w:highlight w:val="none"/>
        </w:rPr>
      </w:pPr>
    </w:p>
    <w:p w14:paraId="1098A127">
      <w:pPr>
        <w:snapToGrid w:val="0"/>
        <w:spacing w:before="166" w:beforeLines="50" w:after="50"/>
        <w:jc w:val="left"/>
        <w:rPr>
          <w:rFonts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3.投标人参加本项目无围标串标行为的承诺</w:t>
      </w:r>
    </w:p>
    <w:p w14:paraId="4556010A">
      <w:pPr>
        <w:snapToGrid w:val="0"/>
        <w:spacing w:before="166" w:beforeLines="50" w:after="50"/>
        <w:jc w:val="left"/>
        <w:rPr>
          <w:rFonts w:ascii="宋体" w:hAnsi="宋体" w:cs="宋体"/>
          <w:b/>
          <w:color w:val="auto"/>
          <w:sz w:val="24"/>
          <w:highlight w:val="none"/>
        </w:rPr>
      </w:pPr>
    </w:p>
    <w:p w14:paraId="1C2EECB7">
      <w:pPr>
        <w:spacing w:line="360" w:lineRule="auto"/>
        <w:ind w:left="420"/>
        <w:contextualSpacing/>
        <w:jc w:val="center"/>
        <w:rPr>
          <w:rFonts w:ascii="宋体" w:hAnsi="宋体" w:cs="宋体"/>
          <w:b/>
          <w:color w:val="auto"/>
          <w:sz w:val="24"/>
          <w:highlight w:val="none"/>
        </w:rPr>
      </w:pPr>
      <w:r>
        <w:rPr>
          <w:rFonts w:hint="eastAsia" w:ascii="宋体" w:hAnsi="宋体" w:cs="宋体"/>
          <w:bCs/>
          <w:color w:val="auto"/>
          <w:spacing w:val="-11"/>
          <w:sz w:val="44"/>
          <w:szCs w:val="44"/>
          <w:highlight w:val="none"/>
        </w:rPr>
        <w:t>投标人参加本项目无围标串标行为的承诺函</w:t>
      </w:r>
    </w:p>
    <w:p w14:paraId="38C88502">
      <w:pPr>
        <w:spacing w:line="440" w:lineRule="exact"/>
        <w:contextualSpacing/>
        <w:jc w:val="left"/>
        <w:rPr>
          <w:rFonts w:ascii="宋体" w:hAnsi="宋体" w:cs="宋体"/>
          <w:b/>
          <w:color w:val="auto"/>
          <w:sz w:val="24"/>
          <w:highlight w:val="none"/>
        </w:rPr>
      </w:pPr>
      <w:r>
        <w:rPr>
          <w:rFonts w:hint="eastAsia" w:ascii="宋体" w:hAnsi="宋体" w:cs="宋体"/>
          <w:b/>
          <w:color w:val="auto"/>
          <w:sz w:val="24"/>
          <w:highlight w:val="none"/>
        </w:rPr>
        <w:t>一、我方承诺无下列相互串通投标的情形：</w:t>
      </w:r>
    </w:p>
    <w:p w14:paraId="0F63AC07">
      <w:pPr>
        <w:spacing w:line="440" w:lineRule="exact"/>
        <w:ind w:firstLine="470" w:firstLineChars="196"/>
        <w:contextualSpacing/>
        <w:jc w:val="left"/>
        <w:rPr>
          <w:rFonts w:ascii="宋体" w:hAnsi="宋体" w:cs="宋体"/>
          <w:color w:val="auto"/>
          <w:sz w:val="24"/>
          <w:highlight w:val="none"/>
        </w:rPr>
      </w:pPr>
      <w:r>
        <w:rPr>
          <w:rFonts w:hint="eastAsia" w:ascii="宋体" w:hAnsi="宋体" w:cs="宋体"/>
          <w:color w:val="auto"/>
          <w:sz w:val="24"/>
          <w:highlight w:val="none"/>
        </w:rPr>
        <w:t>1.不同投标人的投标文件由同一单位或者个人编制；</w:t>
      </w:r>
    </w:p>
    <w:p w14:paraId="522004F0">
      <w:pPr>
        <w:spacing w:line="440" w:lineRule="exact"/>
        <w:ind w:firstLine="470" w:firstLineChars="196"/>
        <w:contextualSpacing/>
        <w:jc w:val="left"/>
        <w:rPr>
          <w:rFonts w:ascii="宋体" w:hAnsi="宋体" w:cs="宋体"/>
          <w:color w:val="auto"/>
          <w:sz w:val="24"/>
          <w:highlight w:val="none"/>
        </w:rPr>
      </w:pPr>
      <w:r>
        <w:rPr>
          <w:rFonts w:hint="eastAsia" w:ascii="宋体" w:hAnsi="宋体" w:cs="宋体"/>
          <w:color w:val="auto"/>
          <w:sz w:val="24"/>
          <w:highlight w:val="none"/>
        </w:rPr>
        <w:t>2.不同投标人委托同一单位或者个人办理投标事宜；</w:t>
      </w:r>
    </w:p>
    <w:p w14:paraId="0019C6D9">
      <w:pPr>
        <w:spacing w:line="440" w:lineRule="exact"/>
        <w:ind w:firstLine="470" w:firstLineChars="196"/>
        <w:contextualSpacing/>
        <w:jc w:val="left"/>
        <w:rPr>
          <w:rFonts w:ascii="宋体" w:hAnsi="宋体" w:cs="宋体"/>
          <w:color w:val="auto"/>
          <w:sz w:val="24"/>
          <w:highlight w:val="none"/>
        </w:rPr>
      </w:pPr>
      <w:r>
        <w:rPr>
          <w:rFonts w:hint="eastAsia" w:ascii="宋体" w:hAnsi="宋体" w:cs="宋体"/>
          <w:color w:val="auto"/>
          <w:sz w:val="24"/>
          <w:highlight w:val="none"/>
        </w:rPr>
        <w:t>3.不同的投标人的投标文件载明的项目管理员为同一个人；</w:t>
      </w:r>
    </w:p>
    <w:p w14:paraId="66A5A9FB">
      <w:pPr>
        <w:spacing w:line="440" w:lineRule="exact"/>
        <w:ind w:firstLine="470" w:firstLineChars="196"/>
        <w:contextualSpacing/>
        <w:jc w:val="left"/>
        <w:rPr>
          <w:rFonts w:ascii="宋体" w:hAnsi="宋体" w:cs="宋体"/>
          <w:color w:val="auto"/>
          <w:sz w:val="24"/>
          <w:highlight w:val="none"/>
        </w:rPr>
      </w:pPr>
      <w:r>
        <w:rPr>
          <w:rFonts w:hint="eastAsia" w:ascii="宋体" w:hAnsi="宋体" w:cs="宋体"/>
          <w:color w:val="auto"/>
          <w:sz w:val="24"/>
          <w:highlight w:val="none"/>
        </w:rPr>
        <w:t>4.不同投标人的投标文件异常一致或者投标报价呈规律性差异；</w:t>
      </w:r>
    </w:p>
    <w:p w14:paraId="26AE3ACC">
      <w:pPr>
        <w:spacing w:line="440" w:lineRule="exact"/>
        <w:ind w:firstLine="470" w:firstLineChars="196"/>
        <w:contextualSpacing/>
        <w:jc w:val="left"/>
        <w:rPr>
          <w:rFonts w:ascii="宋体" w:hAnsi="宋体" w:cs="宋体"/>
          <w:color w:val="auto"/>
          <w:sz w:val="24"/>
          <w:highlight w:val="none"/>
        </w:rPr>
      </w:pPr>
      <w:r>
        <w:rPr>
          <w:rFonts w:hint="eastAsia" w:ascii="宋体" w:hAnsi="宋体" w:cs="宋体"/>
          <w:color w:val="auto"/>
          <w:sz w:val="24"/>
          <w:highlight w:val="none"/>
        </w:rPr>
        <w:t>5.不同投标人的投标文件相互混装；</w:t>
      </w:r>
    </w:p>
    <w:p w14:paraId="41C86ECA">
      <w:pPr>
        <w:spacing w:line="440" w:lineRule="exact"/>
        <w:ind w:firstLine="470" w:firstLineChars="196"/>
        <w:contextualSpacing/>
        <w:jc w:val="left"/>
        <w:rPr>
          <w:rFonts w:ascii="宋体" w:hAnsi="宋体" w:cs="宋体"/>
          <w:color w:val="auto"/>
          <w:sz w:val="24"/>
          <w:highlight w:val="none"/>
        </w:rPr>
      </w:pPr>
      <w:r>
        <w:rPr>
          <w:rFonts w:hint="eastAsia" w:ascii="宋体" w:hAnsi="宋体" w:cs="宋体"/>
          <w:color w:val="auto"/>
          <w:sz w:val="24"/>
          <w:highlight w:val="none"/>
        </w:rPr>
        <w:t>6.不同投标人的投标保证金从同一单位或者个人账户转出。</w:t>
      </w:r>
    </w:p>
    <w:p w14:paraId="4789D1BC">
      <w:pPr>
        <w:spacing w:line="440" w:lineRule="exact"/>
        <w:contextualSpacing/>
        <w:jc w:val="left"/>
        <w:rPr>
          <w:rFonts w:ascii="宋体" w:hAnsi="宋体" w:cs="宋体"/>
          <w:color w:val="auto"/>
          <w:sz w:val="24"/>
          <w:highlight w:val="none"/>
        </w:rPr>
      </w:pPr>
      <w:r>
        <w:rPr>
          <w:rFonts w:hint="eastAsia" w:ascii="宋体" w:hAnsi="宋体" w:cs="宋体"/>
          <w:b/>
          <w:color w:val="auto"/>
          <w:sz w:val="24"/>
          <w:highlight w:val="none"/>
        </w:rPr>
        <w:t>二、我方承诺无下列恶意串通的情形：</w:t>
      </w:r>
    </w:p>
    <w:p w14:paraId="3B8879D9">
      <w:pPr>
        <w:spacing w:line="440" w:lineRule="exact"/>
        <w:ind w:firstLine="470" w:firstLineChars="196"/>
        <w:contextualSpacing/>
        <w:jc w:val="left"/>
        <w:rPr>
          <w:rFonts w:ascii="宋体" w:hAnsi="宋体" w:cs="宋体"/>
          <w:color w:val="auto"/>
          <w:sz w:val="24"/>
          <w:highlight w:val="none"/>
        </w:rPr>
      </w:pPr>
      <w:r>
        <w:rPr>
          <w:rFonts w:hint="eastAsia" w:ascii="宋体" w:hAnsi="宋体" w:cs="宋体"/>
          <w:color w:val="auto"/>
          <w:sz w:val="24"/>
          <w:highlight w:val="none"/>
        </w:rPr>
        <w:t>1.投标人直接或者间接从采购人或者采购代理机构处获得其他投标人的相关信息并修改其投标文件或者响应文件；</w:t>
      </w:r>
    </w:p>
    <w:p w14:paraId="16B8B1B1">
      <w:pPr>
        <w:spacing w:line="440" w:lineRule="exact"/>
        <w:ind w:firstLine="470" w:firstLineChars="196"/>
        <w:contextualSpacing/>
        <w:jc w:val="left"/>
        <w:rPr>
          <w:rFonts w:ascii="宋体" w:hAnsi="宋体" w:cs="宋体"/>
          <w:color w:val="auto"/>
          <w:sz w:val="24"/>
          <w:highlight w:val="none"/>
        </w:rPr>
      </w:pPr>
      <w:r>
        <w:rPr>
          <w:rFonts w:hint="eastAsia" w:ascii="宋体" w:hAnsi="宋体" w:cs="宋体"/>
          <w:color w:val="auto"/>
          <w:sz w:val="24"/>
          <w:highlight w:val="none"/>
        </w:rPr>
        <w:t>2.投标人按照采购人或者采购代理机构的授意撤换、修改投标文件或者响应文件；</w:t>
      </w:r>
    </w:p>
    <w:p w14:paraId="6555591D">
      <w:pPr>
        <w:spacing w:line="440" w:lineRule="exact"/>
        <w:ind w:firstLine="470" w:firstLineChars="196"/>
        <w:contextualSpacing/>
        <w:jc w:val="left"/>
        <w:rPr>
          <w:rFonts w:ascii="宋体" w:hAnsi="宋体" w:cs="宋体"/>
          <w:color w:val="auto"/>
          <w:sz w:val="24"/>
          <w:highlight w:val="none"/>
        </w:rPr>
      </w:pPr>
      <w:r>
        <w:rPr>
          <w:rFonts w:hint="eastAsia" w:ascii="宋体" w:hAnsi="宋体" w:cs="宋体"/>
          <w:color w:val="auto"/>
          <w:sz w:val="24"/>
          <w:highlight w:val="none"/>
        </w:rPr>
        <w:t>3.投标人之间协商报价、技术方案等投标文件或者响应文件的实质性内容；</w:t>
      </w:r>
    </w:p>
    <w:p w14:paraId="21DB1A4B">
      <w:pPr>
        <w:spacing w:line="440" w:lineRule="exact"/>
        <w:ind w:firstLine="470" w:firstLineChars="196"/>
        <w:contextualSpacing/>
        <w:jc w:val="left"/>
        <w:rPr>
          <w:rFonts w:ascii="宋体" w:hAnsi="宋体" w:cs="宋体"/>
          <w:color w:val="auto"/>
          <w:sz w:val="24"/>
          <w:highlight w:val="none"/>
        </w:rPr>
      </w:pPr>
      <w:r>
        <w:rPr>
          <w:rFonts w:hint="eastAsia" w:ascii="宋体" w:hAnsi="宋体" w:cs="宋体"/>
          <w:color w:val="auto"/>
          <w:sz w:val="24"/>
          <w:highlight w:val="none"/>
        </w:rPr>
        <w:t>4.属于同一集团、协会、商会等组织成员的投标人按照该组织要求协同参加政府采购活动；</w:t>
      </w:r>
    </w:p>
    <w:p w14:paraId="10C1202B">
      <w:pPr>
        <w:spacing w:line="440" w:lineRule="exact"/>
        <w:ind w:firstLine="470" w:firstLineChars="196"/>
        <w:contextualSpacing/>
        <w:jc w:val="left"/>
        <w:rPr>
          <w:rFonts w:ascii="宋体" w:hAnsi="宋体" w:cs="宋体"/>
          <w:color w:val="auto"/>
          <w:sz w:val="24"/>
          <w:highlight w:val="none"/>
        </w:rPr>
      </w:pPr>
      <w:r>
        <w:rPr>
          <w:rFonts w:hint="eastAsia" w:ascii="宋体" w:hAnsi="宋体" w:cs="宋体"/>
          <w:color w:val="auto"/>
          <w:sz w:val="24"/>
          <w:highlight w:val="none"/>
        </w:rPr>
        <w:t>5.投标人之间事先约定一致抬高或者压低投标报价，或者在招标项目中事先约定轮流以高价位或者低价位中标，或者事先约定由某一特定投标人中标，然后再参加投标；</w:t>
      </w:r>
    </w:p>
    <w:p w14:paraId="11E53336">
      <w:pPr>
        <w:spacing w:line="440" w:lineRule="exact"/>
        <w:ind w:firstLine="470" w:firstLineChars="196"/>
        <w:contextualSpacing/>
        <w:jc w:val="left"/>
        <w:rPr>
          <w:rFonts w:ascii="宋体" w:hAnsi="宋体" w:cs="宋体"/>
          <w:color w:val="auto"/>
          <w:sz w:val="24"/>
          <w:highlight w:val="none"/>
        </w:rPr>
      </w:pPr>
      <w:r>
        <w:rPr>
          <w:rFonts w:hint="eastAsia" w:ascii="宋体" w:hAnsi="宋体" w:cs="宋体"/>
          <w:color w:val="auto"/>
          <w:sz w:val="24"/>
          <w:highlight w:val="none"/>
        </w:rPr>
        <w:t>6.投标人之间商定部分投标人放弃参加政府采购活动或者放弃中标；</w:t>
      </w:r>
    </w:p>
    <w:p w14:paraId="0550B820">
      <w:pPr>
        <w:spacing w:line="440" w:lineRule="exact"/>
        <w:ind w:firstLine="470" w:firstLineChars="196"/>
        <w:contextualSpacing/>
        <w:jc w:val="left"/>
        <w:rPr>
          <w:rFonts w:ascii="宋体" w:hAnsi="宋体" w:cs="宋体"/>
          <w:color w:val="auto"/>
          <w:sz w:val="24"/>
          <w:highlight w:val="none"/>
        </w:rPr>
      </w:pPr>
      <w:r>
        <w:rPr>
          <w:rFonts w:hint="eastAsia" w:ascii="宋体" w:hAnsi="宋体" w:cs="宋体"/>
          <w:color w:val="auto"/>
          <w:sz w:val="24"/>
          <w:highlight w:val="none"/>
        </w:rPr>
        <w:t>7.投标人与采购人或者采购代理机构之间、投标人相互之间，为谋求特定投标人中标或者排斥其他投标人的其他串通行为。</w:t>
      </w:r>
    </w:p>
    <w:p w14:paraId="4263849C">
      <w:pPr>
        <w:spacing w:line="440" w:lineRule="exact"/>
        <w:ind w:firstLine="472" w:firstLineChars="196"/>
        <w:contextualSpacing/>
        <w:jc w:val="left"/>
        <w:rPr>
          <w:rFonts w:ascii="宋体" w:hAnsi="宋体" w:cs="宋体"/>
          <w:b/>
          <w:color w:val="auto"/>
          <w:sz w:val="24"/>
          <w:highlight w:val="none"/>
        </w:rPr>
      </w:pPr>
      <w:r>
        <w:rPr>
          <w:rFonts w:hint="eastAsia" w:ascii="宋体" w:hAnsi="宋体" w:cs="宋体"/>
          <w:b/>
          <w:color w:val="auto"/>
          <w:sz w:val="24"/>
          <w:highlight w:val="none"/>
        </w:rPr>
        <w:t>以上情形一经核查属实，我方愿意承担一切后果，并不再寻求任何旨在减轻或者免除法律责任的辩解。</w:t>
      </w:r>
    </w:p>
    <w:p w14:paraId="3E02E2FA">
      <w:pPr>
        <w:pStyle w:val="24"/>
        <w:spacing w:line="440" w:lineRule="exact"/>
        <w:ind w:firstLine="6840" w:firstLineChars="2850"/>
        <w:contextualSpacing/>
        <w:rPr>
          <w:rFonts w:hAnsi="宋体" w:cs="宋体"/>
          <w:color w:val="auto"/>
          <w:sz w:val="24"/>
          <w:szCs w:val="24"/>
          <w:highlight w:val="none"/>
        </w:rPr>
      </w:pPr>
    </w:p>
    <w:p w14:paraId="49834B0D">
      <w:pPr>
        <w:pStyle w:val="24"/>
        <w:spacing w:line="440" w:lineRule="exact"/>
        <w:contextualSpacing/>
        <w:jc w:val="center"/>
        <w:rPr>
          <w:rFonts w:hAnsi="宋体" w:cs="宋体"/>
          <w:color w:val="auto"/>
          <w:sz w:val="24"/>
          <w:szCs w:val="24"/>
          <w:highlight w:val="none"/>
          <w:u w:val="single"/>
        </w:rPr>
      </w:pPr>
      <w:r>
        <w:rPr>
          <w:rFonts w:hint="eastAsia" w:hAnsi="宋体" w:cs="宋体"/>
          <w:color w:val="auto"/>
          <w:sz w:val="24"/>
          <w:szCs w:val="24"/>
          <w:highlight w:val="none"/>
        </w:rPr>
        <w:t xml:space="preserve">                                    投标人名称（公章）：</w:t>
      </w:r>
      <w:r>
        <w:rPr>
          <w:rFonts w:hint="eastAsia" w:hAnsi="宋体" w:cs="宋体"/>
          <w:color w:val="auto"/>
          <w:sz w:val="24"/>
          <w:szCs w:val="24"/>
          <w:highlight w:val="none"/>
          <w:u w:val="single"/>
        </w:rPr>
        <w:t xml:space="preserve"> </w:t>
      </w:r>
      <w:r>
        <w:rPr>
          <w:rFonts w:hAnsi="宋体" w:cs="宋体"/>
          <w:color w:val="auto"/>
          <w:sz w:val="24"/>
          <w:szCs w:val="24"/>
          <w:highlight w:val="none"/>
          <w:u w:val="single"/>
        </w:rPr>
        <w:t xml:space="preserve">           </w:t>
      </w:r>
      <w:r>
        <w:rPr>
          <w:rFonts w:hint="eastAsia" w:hAnsi="宋体" w:cs="宋体"/>
          <w:color w:val="auto"/>
          <w:sz w:val="24"/>
          <w:szCs w:val="24"/>
          <w:highlight w:val="none"/>
        </w:rPr>
        <w:t xml:space="preserve"> </w:t>
      </w:r>
      <w:r>
        <w:rPr>
          <w:rFonts w:hAnsi="宋体" w:cs="宋体"/>
          <w:color w:val="auto"/>
          <w:sz w:val="24"/>
          <w:szCs w:val="24"/>
          <w:highlight w:val="none"/>
        </w:rPr>
        <w:t xml:space="preserve">    </w:t>
      </w:r>
    </w:p>
    <w:p w14:paraId="543E87CE">
      <w:pPr>
        <w:pStyle w:val="24"/>
        <w:spacing w:line="440" w:lineRule="exact"/>
        <w:contextualSpacing/>
        <w:rPr>
          <w:rFonts w:hAnsi="宋体" w:cs="宋体"/>
          <w:color w:val="auto"/>
          <w:sz w:val="24"/>
          <w:highlight w:val="none"/>
        </w:rPr>
      </w:pPr>
      <w:r>
        <w:rPr>
          <w:rFonts w:hint="eastAsia" w:hAnsi="宋体" w:cs="宋体"/>
          <w:color w:val="auto"/>
          <w:sz w:val="24"/>
          <w:highlight w:val="none"/>
        </w:rPr>
        <w:t xml:space="preserve">                                               </w:t>
      </w:r>
      <w:r>
        <w:rPr>
          <w:rFonts w:hint="eastAsia" w:hAnsi="宋体" w:cs="宋体"/>
          <w:color w:val="auto"/>
          <w:sz w:val="24"/>
          <w:szCs w:val="24"/>
          <w:highlight w:val="none"/>
        </w:rPr>
        <w:t>日期：</w:t>
      </w:r>
      <w:r>
        <w:rPr>
          <w:rFonts w:hAnsi="宋体" w:cs="宋体"/>
          <w:color w:val="auto"/>
          <w:sz w:val="24"/>
          <w:szCs w:val="24"/>
          <w:highlight w:val="none"/>
          <w:u w:val="single"/>
        </w:rPr>
        <w:t xml:space="preserve">      </w:t>
      </w:r>
      <w:r>
        <w:rPr>
          <w:rFonts w:hint="eastAsia" w:hAnsi="宋体" w:cs="宋体"/>
          <w:color w:val="auto"/>
          <w:sz w:val="24"/>
          <w:szCs w:val="24"/>
          <w:highlight w:val="none"/>
        </w:rPr>
        <w:t>年</w:t>
      </w:r>
      <w:r>
        <w:rPr>
          <w:rFonts w:hAnsi="宋体" w:cs="宋体"/>
          <w:color w:val="auto"/>
          <w:sz w:val="24"/>
          <w:szCs w:val="24"/>
          <w:highlight w:val="none"/>
          <w:u w:val="single"/>
        </w:rPr>
        <w:t xml:space="preserve">    </w:t>
      </w:r>
      <w:r>
        <w:rPr>
          <w:rFonts w:hint="eastAsia" w:hAnsi="宋体" w:cs="宋体"/>
          <w:color w:val="auto"/>
          <w:sz w:val="24"/>
          <w:szCs w:val="24"/>
          <w:highlight w:val="none"/>
        </w:rPr>
        <w:t>月</w:t>
      </w:r>
      <w:r>
        <w:rPr>
          <w:rFonts w:hAnsi="宋体" w:cs="宋体"/>
          <w:color w:val="auto"/>
          <w:sz w:val="24"/>
          <w:szCs w:val="24"/>
          <w:highlight w:val="none"/>
          <w:u w:val="single"/>
        </w:rPr>
        <w:t xml:space="preserve">     </w:t>
      </w:r>
      <w:r>
        <w:rPr>
          <w:rFonts w:hint="eastAsia" w:hAnsi="宋体" w:cs="宋体"/>
          <w:color w:val="auto"/>
          <w:sz w:val="24"/>
          <w:szCs w:val="24"/>
          <w:highlight w:val="none"/>
        </w:rPr>
        <w:t>日</w:t>
      </w:r>
    </w:p>
    <w:p w14:paraId="799AA6D6">
      <w:pPr>
        <w:snapToGrid w:val="0"/>
        <w:spacing w:before="166" w:beforeLines="50" w:after="50"/>
        <w:jc w:val="left"/>
        <w:rPr>
          <w:rFonts w:ascii="宋体" w:hAnsi="宋体" w:cs="宋体"/>
          <w:b/>
          <w:color w:val="auto"/>
          <w:sz w:val="24"/>
          <w:szCs w:val="20"/>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4.法定代表人身份证明</w:t>
      </w:r>
    </w:p>
    <w:p w14:paraId="7FEBAE1B">
      <w:pPr>
        <w:spacing w:before="333" w:beforeLines="100" w:after="166" w:afterLines="50"/>
        <w:ind w:left="540"/>
        <w:jc w:val="center"/>
        <w:rPr>
          <w:rFonts w:ascii="宋体" w:hAnsi="宋体" w:cs="宋体"/>
          <w:bCs/>
          <w:color w:val="auto"/>
          <w:sz w:val="44"/>
          <w:szCs w:val="44"/>
          <w:highlight w:val="none"/>
        </w:rPr>
      </w:pPr>
    </w:p>
    <w:p w14:paraId="044BF44F">
      <w:pPr>
        <w:spacing w:before="333" w:beforeLines="100" w:after="166" w:afterLines="50"/>
        <w:ind w:left="540"/>
        <w:jc w:val="center"/>
        <w:rPr>
          <w:rFonts w:ascii="宋体" w:hAnsi="宋体" w:cs="宋体"/>
          <w:bCs/>
          <w:color w:val="auto"/>
          <w:sz w:val="44"/>
          <w:szCs w:val="44"/>
          <w:highlight w:val="none"/>
        </w:rPr>
      </w:pPr>
      <w:r>
        <w:rPr>
          <w:rFonts w:hint="eastAsia" w:ascii="宋体" w:hAnsi="宋体" w:cs="宋体"/>
          <w:bCs/>
          <w:color w:val="auto"/>
          <w:sz w:val="44"/>
          <w:szCs w:val="44"/>
          <w:highlight w:val="none"/>
        </w:rPr>
        <w:t>法定代表人身份证明</w:t>
      </w:r>
    </w:p>
    <w:p w14:paraId="2B0B6BDA">
      <w:pPr>
        <w:spacing w:line="500" w:lineRule="exact"/>
        <w:ind w:left="540"/>
        <w:rPr>
          <w:rFonts w:ascii="宋体" w:hAnsi="宋体" w:cs="宋体"/>
          <w:color w:val="auto"/>
          <w:sz w:val="24"/>
          <w:highlight w:val="none"/>
        </w:rPr>
      </w:pPr>
      <w:r>
        <w:rPr>
          <w:rFonts w:hint="eastAsia" w:ascii="宋体" w:hAnsi="宋体" w:cs="宋体"/>
          <w:color w:val="auto"/>
          <w:sz w:val="24"/>
          <w:highlight w:val="none"/>
        </w:rPr>
        <w:t>投 标 人：</w:t>
      </w:r>
      <w:r>
        <w:rPr>
          <w:rFonts w:hint="eastAsia" w:ascii="宋体" w:hAnsi="宋体" w:cs="宋体"/>
          <w:color w:val="auto"/>
          <w:sz w:val="24"/>
          <w:highlight w:val="none"/>
          <w:u w:val="single"/>
        </w:rPr>
        <w:t xml:space="preserve">                                                        </w:t>
      </w:r>
    </w:p>
    <w:p w14:paraId="667EC0E6">
      <w:pPr>
        <w:spacing w:line="500" w:lineRule="exact"/>
        <w:ind w:left="540"/>
        <w:rPr>
          <w:rFonts w:ascii="宋体" w:hAnsi="宋体" w:cs="宋体"/>
          <w:color w:val="auto"/>
          <w:sz w:val="24"/>
          <w:highlight w:val="none"/>
        </w:rPr>
      </w:pPr>
      <w:r>
        <w:rPr>
          <w:rFonts w:hint="eastAsia" w:ascii="宋体" w:hAnsi="宋体" w:cs="宋体"/>
          <w:color w:val="auto"/>
          <w:sz w:val="24"/>
          <w:highlight w:val="none"/>
        </w:rPr>
        <w:t>地    址：</w:t>
      </w:r>
      <w:r>
        <w:rPr>
          <w:rFonts w:hint="eastAsia" w:ascii="宋体" w:hAnsi="宋体" w:cs="宋体"/>
          <w:color w:val="auto"/>
          <w:sz w:val="24"/>
          <w:highlight w:val="none"/>
          <w:u w:val="single"/>
        </w:rPr>
        <w:t xml:space="preserve">                                                        </w:t>
      </w:r>
    </w:p>
    <w:p w14:paraId="52511A7C">
      <w:pPr>
        <w:spacing w:line="500" w:lineRule="exact"/>
        <w:ind w:left="540"/>
        <w:rPr>
          <w:rFonts w:ascii="宋体" w:hAnsi="宋体" w:cs="宋体"/>
          <w:color w:val="auto"/>
          <w:sz w:val="24"/>
          <w:highlight w:val="none"/>
        </w:rPr>
      </w:pPr>
      <w:r>
        <w:rPr>
          <w:rFonts w:hint="eastAsia" w:ascii="宋体" w:hAnsi="宋体" w:cs="宋体"/>
          <w:color w:val="auto"/>
          <w:sz w:val="24"/>
          <w:highlight w:val="none"/>
        </w:rPr>
        <w:t>姓    名：</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性      别：</w:t>
      </w:r>
      <w:r>
        <w:rPr>
          <w:rFonts w:hint="eastAsia" w:ascii="宋体" w:hAnsi="宋体" w:cs="宋体"/>
          <w:color w:val="auto"/>
          <w:sz w:val="24"/>
          <w:highlight w:val="none"/>
          <w:u w:val="single"/>
        </w:rPr>
        <w:t xml:space="preserve">                </w:t>
      </w:r>
    </w:p>
    <w:p w14:paraId="150CC28E">
      <w:pPr>
        <w:spacing w:line="500" w:lineRule="exact"/>
        <w:ind w:left="540"/>
        <w:rPr>
          <w:rFonts w:ascii="宋体" w:hAnsi="宋体" w:cs="宋体"/>
          <w:color w:val="auto"/>
          <w:sz w:val="24"/>
          <w:highlight w:val="none"/>
          <w:u w:val="single"/>
        </w:rPr>
      </w:pPr>
      <w:r>
        <w:rPr>
          <w:rFonts w:hint="eastAsia" w:ascii="宋体" w:hAnsi="宋体" w:cs="宋体"/>
          <w:color w:val="auto"/>
          <w:sz w:val="24"/>
          <w:highlight w:val="none"/>
        </w:rPr>
        <w:t>年    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职      务：</w:t>
      </w:r>
      <w:r>
        <w:rPr>
          <w:rFonts w:hint="eastAsia" w:ascii="宋体" w:hAnsi="宋体" w:cs="宋体"/>
          <w:color w:val="auto"/>
          <w:sz w:val="24"/>
          <w:highlight w:val="none"/>
          <w:u w:val="single"/>
        </w:rPr>
        <w:t xml:space="preserve">                </w:t>
      </w:r>
    </w:p>
    <w:p w14:paraId="30841798">
      <w:pPr>
        <w:spacing w:line="500" w:lineRule="exact"/>
        <w:ind w:left="540"/>
        <w:rPr>
          <w:rFonts w:ascii="宋体" w:hAnsi="宋体" w:cs="宋体"/>
          <w:color w:val="auto"/>
          <w:sz w:val="24"/>
          <w:highlight w:val="none"/>
        </w:rPr>
      </w:pPr>
      <w:r>
        <w:rPr>
          <w:rFonts w:hint="eastAsia" w:ascii="宋体" w:hAnsi="宋体" w:cs="宋体"/>
          <w:color w:val="auto"/>
          <w:sz w:val="24"/>
          <w:highlight w:val="none"/>
        </w:rPr>
        <w:t>身份证号码：</w:t>
      </w:r>
      <w:r>
        <w:rPr>
          <w:rFonts w:hint="eastAsia" w:ascii="宋体" w:hAnsi="宋体" w:cs="宋体"/>
          <w:color w:val="auto"/>
          <w:sz w:val="24"/>
          <w:highlight w:val="none"/>
          <w:u w:val="single"/>
        </w:rPr>
        <w:t xml:space="preserve">                                 </w:t>
      </w:r>
    </w:p>
    <w:p w14:paraId="54DBF32D">
      <w:pPr>
        <w:spacing w:line="500" w:lineRule="exact"/>
        <w:ind w:left="540"/>
        <w:rPr>
          <w:rFonts w:ascii="宋体" w:hAnsi="宋体" w:cs="宋体"/>
          <w:color w:val="auto"/>
          <w:sz w:val="24"/>
          <w:highlight w:val="none"/>
        </w:rPr>
      </w:pPr>
      <w:r>
        <w:rPr>
          <w:rFonts w:hint="eastAsia" w:ascii="宋体" w:hAnsi="宋体" w:cs="宋体"/>
          <w:color w:val="auto"/>
          <w:sz w:val="24"/>
          <w:highlight w:val="none"/>
        </w:rPr>
        <w:t>系</w:t>
      </w:r>
      <w:r>
        <w:rPr>
          <w:rFonts w:hint="eastAsia" w:ascii="宋体" w:hAnsi="宋体" w:cs="宋体"/>
          <w:color w:val="auto"/>
          <w:sz w:val="24"/>
          <w:highlight w:val="none"/>
          <w:u w:val="single"/>
        </w:rPr>
        <w:t xml:space="preserve">            （投标人名称）              </w:t>
      </w:r>
      <w:r>
        <w:rPr>
          <w:rFonts w:hint="eastAsia" w:ascii="宋体" w:hAnsi="宋体" w:cs="宋体"/>
          <w:color w:val="auto"/>
          <w:sz w:val="24"/>
          <w:highlight w:val="none"/>
        </w:rPr>
        <w:t>的法定代表人。</w:t>
      </w:r>
    </w:p>
    <w:p w14:paraId="341C12EE">
      <w:pPr>
        <w:spacing w:line="500" w:lineRule="exact"/>
        <w:ind w:left="540"/>
        <w:rPr>
          <w:rFonts w:ascii="宋体" w:hAnsi="宋体" w:cs="宋体"/>
          <w:color w:val="auto"/>
          <w:sz w:val="24"/>
          <w:highlight w:val="none"/>
        </w:rPr>
      </w:pPr>
      <w:r>
        <w:rPr>
          <w:rFonts w:hint="eastAsia" w:ascii="宋体" w:hAnsi="宋体" w:cs="宋体"/>
          <w:color w:val="auto"/>
          <w:sz w:val="24"/>
          <w:highlight w:val="none"/>
        </w:rPr>
        <w:t>特此证明。</w:t>
      </w:r>
    </w:p>
    <w:p w14:paraId="1F5B3A7F">
      <w:pPr>
        <w:spacing w:line="500" w:lineRule="exact"/>
        <w:ind w:left="540"/>
        <w:rPr>
          <w:rFonts w:ascii="宋体" w:hAnsi="宋体" w:cs="宋体"/>
          <w:color w:val="auto"/>
          <w:sz w:val="24"/>
          <w:highlight w:val="none"/>
        </w:rPr>
      </w:pPr>
    </w:p>
    <w:p w14:paraId="79AEE1FE">
      <w:pPr>
        <w:spacing w:line="500" w:lineRule="exact"/>
        <w:ind w:left="540"/>
        <w:rPr>
          <w:rFonts w:ascii="宋体" w:hAnsi="宋体" w:cs="宋体"/>
          <w:color w:val="auto"/>
          <w:sz w:val="24"/>
          <w:highlight w:val="none"/>
        </w:rPr>
      </w:pPr>
    </w:p>
    <w:p w14:paraId="66B68767">
      <w:pPr>
        <w:spacing w:line="500" w:lineRule="exact"/>
        <w:ind w:left="540"/>
        <w:rPr>
          <w:rFonts w:ascii="宋体" w:hAnsi="宋体" w:cs="宋体"/>
          <w:color w:val="auto"/>
          <w:sz w:val="24"/>
          <w:highlight w:val="none"/>
        </w:rPr>
      </w:pPr>
      <w:r>
        <w:rPr>
          <w:rFonts w:hint="eastAsia" w:ascii="宋体" w:hAnsi="宋体" w:cs="宋体"/>
          <w:color w:val="auto"/>
          <w:sz w:val="24"/>
          <w:highlight w:val="none"/>
        </w:rPr>
        <w:t>附件：法定代表人有效身份证正反面复印件</w:t>
      </w:r>
    </w:p>
    <w:p w14:paraId="4AB73AFC">
      <w:pPr>
        <w:spacing w:line="500" w:lineRule="exact"/>
        <w:ind w:left="540"/>
        <w:rPr>
          <w:rFonts w:ascii="宋体" w:hAnsi="宋体" w:cs="宋体"/>
          <w:color w:val="auto"/>
          <w:sz w:val="24"/>
          <w:highlight w:val="none"/>
        </w:rPr>
      </w:pPr>
    </w:p>
    <w:p w14:paraId="4029A82E">
      <w:pPr>
        <w:wordWrap w:val="0"/>
        <w:spacing w:line="500" w:lineRule="exact"/>
        <w:ind w:left="540"/>
        <w:jc w:val="right"/>
        <w:rPr>
          <w:rFonts w:ascii="宋体" w:hAnsi="宋体" w:cs="宋体"/>
          <w:color w:val="auto"/>
          <w:sz w:val="24"/>
          <w:highlight w:val="none"/>
          <w:u w:val="single"/>
        </w:rPr>
      </w:pPr>
      <w:r>
        <w:rPr>
          <w:rFonts w:hint="eastAsia" w:ascii="宋体" w:hAnsi="宋体" w:cs="宋体"/>
          <w:color w:val="auto"/>
          <w:sz w:val="24"/>
          <w:highlight w:val="none"/>
        </w:rPr>
        <w:t>投标人名称（公章）：</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p>
    <w:p w14:paraId="79811659">
      <w:pPr>
        <w:spacing w:line="500" w:lineRule="exact"/>
        <w:ind w:left="540"/>
        <w:jc w:val="right"/>
        <w:rPr>
          <w:rFonts w:ascii="宋体" w:hAnsi="宋体" w:cs="宋体"/>
          <w:color w:val="auto"/>
          <w:sz w:val="24"/>
          <w:highlight w:val="none"/>
        </w:rPr>
      </w:pPr>
    </w:p>
    <w:p w14:paraId="200BBD34">
      <w:pPr>
        <w:snapToGrid w:val="0"/>
        <w:spacing w:before="166" w:beforeLines="50" w:after="50"/>
        <w:ind w:left="540"/>
        <w:jc w:val="right"/>
        <w:rPr>
          <w:rFonts w:ascii="宋体" w:hAnsi="宋体" w:cs="宋体"/>
          <w:color w:val="auto"/>
          <w:sz w:val="24"/>
          <w:highlight w:val="none"/>
        </w:rPr>
      </w:pPr>
      <w:r>
        <w:rPr>
          <w:rFonts w:hint="eastAsia" w:hAnsi="宋体" w:cs="宋体"/>
          <w:color w:val="auto"/>
          <w:sz w:val="24"/>
          <w:highlight w:val="none"/>
        </w:rPr>
        <w:t>日期：</w:t>
      </w:r>
      <w:r>
        <w:rPr>
          <w:rFonts w:hAnsi="宋体" w:cs="宋体"/>
          <w:color w:val="auto"/>
          <w:sz w:val="24"/>
          <w:highlight w:val="none"/>
          <w:u w:val="single"/>
        </w:rPr>
        <w:t xml:space="preserve">      </w:t>
      </w:r>
      <w:r>
        <w:rPr>
          <w:rFonts w:hint="eastAsia" w:hAnsi="宋体" w:cs="宋体"/>
          <w:color w:val="auto"/>
          <w:sz w:val="24"/>
          <w:highlight w:val="none"/>
        </w:rPr>
        <w:t>年</w:t>
      </w:r>
      <w:r>
        <w:rPr>
          <w:rFonts w:hAnsi="宋体" w:cs="宋体"/>
          <w:color w:val="auto"/>
          <w:sz w:val="24"/>
          <w:highlight w:val="none"/>
          <w:u w:val="single"/>
        </w:rPr>
        <w:t xml:space="preserve">    </w:t>
      </w:r>
      <w:r>
        <w:rPr>
          <w:rFonts w:hint="eastAsia" w:hAnsi="宋体" w:cs="宋体"/>
          <w:color w:val="auto"/>
          <w:sz w:val="24"/>
          <w:highlight w:val="none"/>
        </w:rPr>
        <w:t>月</w:t>
      </w:r>
      <w:r>
        <w:rPr>
          <w:rFonts w:hAnsi="宋体" w:cs="宋体"/>
          <w:color w:val="auto"/>
          <w:sz w:val="24"/>
          <w:highlight w:val="none"/>
          <w:u w:val="single"/>
        </w:rPr>
        <w:t xml:space="preserve">     </w:t>
      </w:r>
      <w:r>
        <w:rPr>
          <w:rFonts w:hint="eastAsia" w:hAnsi="宋体" w:cs="宋体"/>
          <w:color w:val="auto"/>
          <w:sz w:val="24"/>
          <w:highlight w:val="none"/>
        </w:rPr>
        <w:t>日</w:t>
      </w:r>
    </w:p>
    <w:p w14:paraId="4E8E8F54">
      <w:pPr>
        <w:snapToGrid w:val="0"/>
        <w:spacing w:before="166" w:beforeLines="50" w:after="50"/>
        <w:jc w:val="center"/>
        <w:rPr>
          <w:rFonts w:ascii="宋体" w:hAnsi="宋体" w:cs="宋体"/>
          <w:b/>
          <w:color w:val="auto"/>
          <w:sz w:val="24"/>
          <w:highlight w:val="none"/>
        </w:rPr>
      </w:pPr>
    </w:p>
    <w:p w14:paraId="1A9AD067">
      <w:pPr>
        <w:snapToGrid w:val="0"/>
        <w:spacing w:before="166" w:beforeLines="50" w:after="50"/>
        <w:jc w:val="left"/>
        <w:rPr>
          <w:rFonts w:ascii="楷体" w:hAnsi="楷体" w:eastAsia="楷体" w:cs="宋体"/>
          <w:b/>
          <w:color w:val="auto"/>
          <w:sz w:val="24"/>
          <w:szCs w:val="20"/>
          <w:highlight w:val="none"/>
        </w:rPr>
      </w:pPr>
      <w:r>
        <w:rPr>
          <w:rFonts w:hint="eastAsia" w:ascii="楷体" w:hAnsi="楷体" w:eastAsia="楷体" w:cs="宋体"/>
          <w:b/>
          <w:color w:val="auto"/>
          <w:sz w:val="24"/>
          <w:highlight w:val="none"/>
        </w:rPr>
        <w:t>注：</w:t>
      </w:r>
      <w:r>
        <w:rPr>
          <w:rFonts w:hint="eastAsia" w:ascii="楷体" w:hAnsi="楷体" w:eastAsia="楷体" w:cs="宋体"/>
          <w:color w:val="auto"/>
          <w:sz w:val="24"/>
          <w:highlight w:val="none"/>
        </w:rPr>
        <w:t>自然人投标的无需提供</w:t>
      </w:r>
    </w:p>
    <w:p w14:paraId="4A00A10D">
      <w:pPr>
        <w:snapToGrid w:val="0"/>
        <w:spacing w:before="166" w:beforeLines="50" w:after="50"/>
        <w:jc w:val="left"/>
        <w:rPr>
          <w:rFonts w:ascii="宋体" w:hAnsi="宋体" w:cs="宋体"/>
          <w:b/>
          <w:color w:val="auto"/>
          <w:sz w:val="24"/>
          <w:szCs w:val="20"/>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5.授权委托书格式</w:t>
      </w:r>
    </w:p>
    <w:p w14:paraId="3C018B6B">
      <w:pPr>
        <w:snapToGrid w:val="0"/>
        <w:spacing w:before="166" w:beforeLines="50" w:after="50"/>
        <w:jc w:val="center"/>
        <w:rPr>
          <w:rFonts w:ascii="宋体" w:hAnsi="宋体" w:cs="宋体"/>
          <w:b/>
          <w:color w:val="auto"/>
          <w:sz w:val="44"/>
          <w:szCs w:val="44"/>
          <w:highlight w:val="none"/>
        </w:rPr>
      </w:pPr>
    </w:p>
    <w:p w14:paraId="0418E709">
      <w:pPr>
        <w:spacing w:line="360" w:lineRule="auto"/>
        <w:contextualSpacing/>
        <w:jc w:val="center"/>
        <w:rPr>
          <w:rFonts w:ascii="宋体" w:hAnsi="宋体" w:cs="宋体"/>
          <w:bCs/>
          <w:color w:val="auto"/>
          <w:sz w:val="44"/>
          <w:szCs w:val="44"/>
          <w:highlight w:val="none"/>
        </w:rPr>
      </w:pPr>
      <w:r>
        <w:rPr>
          <w:rFonts w:hint="eastAsia" w:ascii="宋体" w:hAnsi="宋体" w:cs="宋体"/>
          <w:bCs/>
          <w:color w:val="auto"/>
          <w:sz w:val="44"/>
          <w:szCs w:val="44"/>
          <w:highlight w:val="none"/>
        </w:rPr>
        <w:t>授权委托书</w:t>
      </w:r>
    </w:p>
    <w:p w14:paraId="29939569">
      <w:pPr>
        <w:spacing w:line="360" w:lineRule="auto"/>
        <w:contextualSpacing/>
        <w:jc w:val="center"/>
        <w:rPr>
          <w:rFonts w:ascii="宋体" w:hAnsi="宋体" w:cs="宋体"/>
          <w:bCs/>
          <w:color w:val="auto"/>
          <w:sz w:val="32"/>
          <w:szCs w:val="32"/>
          <w:highlight w:val="none"/>
        </w:rPr>
      </w:pPr>
      <w:r>
        <w:rPr>
          <w:rFonts w:hint="eastAsia" w:ascii="宋体" w:hAnsi="宋体" w:cs="宋体"/>
          <w:bCs/>
          <w:color w:val="auto"/>
          <w:sz w:val="32"/>
          <w:szCs w:val="32"/>
          <w:highlight w:val="none"/>
        </w:rPr>
        <w:t>（非联合体投标格式）</w:t>
      </w:r>
    </w:p>
    <w:p w14:paraId="6A8BCFD4">
      <w:pPr>
        <w:spacing w:line="360" w:lineRule="auto"/>
        <w:contextualSpacing/>
        <w:jc w:val="center"/>
        <w:rPr>
          <w:rFonts w:ascii="宋体" w:hAnsi="宋体" w:cs="宋体"/>
          <w:bCs/>
          <w:color w:val="auto"/>
          <w:sz w:val="24"/>
          <w:highlight w:val="none"/>
        </w:rPr>
      </w:pPr>
      <w:r>
        <w:rPr>
          <w:rFonts w:hint="eastAsia" w:ascii="宋体" w:hAnsi="宋体" w:cs="宋体"/>
          <w:bCs/>
          <w:color w:val="auto"/>
          <w:sz w:val="32"/>
          <w:szCs w:val="32"/>
          <w:highlight w:val="none"/>
        </w:rPr>
        <w:t>（如有委托时）</w:t>
      </w:r>
    </w:p>
    <w:p w14:paraId="73A814CA">
      <w:pPr>
        <w:spacing w:line="440" w:lineRule="exact"/>
        <w:contextualSpacing/>
        <w:jc w:val="center"/>
        <w:rPr>
          <w:rFonts w:ascii="宋体" w:hAnsi="宋体" w:cs="宋体"/>
          <w:b/>
          <w:color w:val="auto"/>
          <w:sz w:val="24"/>
          <w:highlight w:val="none"/>
        </w:rPr>
      </w:pPr>
    </w:p>
    <w:p w14:paraId="25A59A7B">
      <w:pPr>
        <w:spacing w:line="440" w:lineRule="exact"/>
        <w:contextualSpacing/>
        <w:rPr>
          <w:rFonts w:ascii="宋体" w:hAnsi="宋体" w:cs="宋体"/>
          <w:b/>
          <w:bCs/>
          <w:color w:val="auto"/>
          <w:sz w:val="24"/>
          <w:highlight w:val="none"/>
        </w:rPr>
      </w:pPr>
      <w:r>
        <w:rPr>
          <w:rFonts w:hint="eastAsia" w:ascii="宋体" w:hAnsi="宋体" w:cs="宋体"/>
          <w:bCs/>
          <w:color w:val="auto"/>
          <w:sz w:val="24"/>
          <w:highlight w:val="none"/>
        </w:rPr>
        <w:t>致：</w:t>
      </w:r>
      <w:r>
        <w:rPr>
          <w:rFonts w:hint="eastAsia" w:ascii="宋体" w:hAnsi="宋体" w:cs="宋体"/>
          <w:color w:val="auto"/>
          <w:sz w:val="24"/>
          <w:highlight w:val="none"/>
          <w:u w:val="single"/>
        </w:rPr>
        <w:t>采购人名称</w:t>
      </w:r>
      <w:r>
        <w:rPr>
          <w:rFonts w:hint="eastAsia" w:ascii="宋体" w:hAnsi="宋体" w:cs="宋体"/>
          <w:color w:val="auto"/>
          <w:sz w:val="24"/>
          <w:highlight w:val="none"/>
        </w:rPr>
        <w:t>：</w:t>
      </w:r>
    </w:p>
    <w:p w14:paraId="7E7460E9">
      <w:pPr>
        <w:spacing w:line="440" w:lineRule="exact"/>
        <w:ind w:firstLine="566" w:firstLineChars="236"/>
        <w:contextualSpacing/>
        <w:rPr>
          <w:rFonts w:ascii="宋体" w:hAnsi="宋体" w:cs="宋体"/>
          <w:color w:val="auto"/>
          <w:sz w:val="24"/>
          <w:highlight w:val="none"/>
        </w:rPr>
      </w:pPr>
      <w:r>
        <w:rPr>
          <w:rFonts w:hint="eastAsia" w:ascii="宋体" w:hAnsi="宋体" w:cs="宋体"/>
          <w:color w:val="auto"/>
          <w:sz w:val="24"/>
          <w:highlight w:val="none"/>
        </w:rPr>
        <w:t>我</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（姓名）系</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（投标人名称）的法定代表人，现授权委托</w:t>
      </w:r>
      <w:r>
        <w:rPr>
          <w:rFonts w:hint="eastAsia" w:ascii="宋体" w:hAnsi="宋体" w:cs="宋体"/>
          <w:color w:val="auto"/>
          <w:sz w:val="24"/>
          <w:highlight w:val="none"/>
          <w:u w:val="single"/>
        </w:rPr>
        <w:t xml:space="preserve">              （姓名）</w:t>
      </w:r>
      <w:r>
        <w:rPr>
          <w:rFonts w:hint="eastAsia" w:ascii="宋体" w:hAnsi="宋体" w:cs="宋体"/>
          <w:color w:val="auto"/>
          <w:sz w:val="24"/>
          <w:highlight w:val="none"/>
        </w:rPr>
        <w:t>以我方的名义参加</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项目的投标活动，并代表我方全权办理针对上述项目的所有采购程序和环节的具体事务和签署相关文件。</w:t>
      </w:r>
    </w:p>
    <w:p w14:paraId="20A9FB7E">
      <w:pPr>
        <w:spacing w:line="440" w:lineRule="exact"/>
        <w:contextualSpacing/>
        <w:rPr>
          <w:rFonts w:ascii="宋体" w:hAnsi="宋体" w:cs="宋体"/>
          <w:color w:val="auto"/>
          <w:sz w:val="24"/>
          <w:highlight w:val="none"/>
        </w:rPr>
      </w:pPr>
      <w:r>
        <w:rPr>
          <w:rFonts w:hint="eastAsia" w:ascii="宋体" w:hAnsi="宋体" w:cs="宋体"/>
          <w:color w:val="auto"/>
          <w:sz w:val="24"/>
          <w:highlight w:val="none"/>
        </w:rPr>
        <w:t xml:space="preserve">    我方对委托代理人的签字事项负全部责任。</w:t>
      </w:r>
    </w:p>
    <w:p w14:paraId="5BB3CDD1">
      <w:pPr>
        <w:spacing w:line="440" w:lineRule="exact"/>
        <w:ind w:firstLine="480"/>
        <w:contextualSpacing/>
        <w:rPr>
          <w:rFonts w:ascii="宋体" w:hAnsi="宋体" w:cs="宋体"/>
          <w:color w:val="auto"/>
          <w:sz w:val="24"/>
          <w:highlight w:val="none"/>
        </w:rPr>
      </w:pPr>
      <w:r>
        <w:rPr>
          <w:rFonts w:hint="eastAsia" w:ascii="宋体" w:hAnsi="宋体" w:cs="宋体"/>
          <w:color w:val="auto"/>
          <w:sz w:val="24"/>
          <w:highlight w:val="none"/>
          <w:u w:val="single"/>
        </w:rPr>
        <w:t>本授权书自签署之日起生效，在撤销授权的书面通知以前，本授权书一直有效。委托代理人在授权书有效期内签署的所有文件不因授权的撤销而失效。</w:t>
      </w:r>
    </w:p>
    <w:p w14:paraId="27BC14AD">
      <w:pPr>
        <w:spacing w:line="440" w:lineRule="exact"/>
        <w:ind w:firstLine="480"/>
        <w:contextualSpacing/>
        <w:rPr>
          <w:rFonts w:ascii="宋体" w:hAnsi="宋体" w:cs="宋体"/>
          <w:color w:val="auto"/>
          <w:sz w:val="24"/>
          <w:highlight w:val="none"/>
        </w:rPr>
      </w:pPr>
      <w:r>
        <w:rPr>
          <w:rFonts w:hint="eastAsia" w:ascii="宋体" w:hAnsi="宋体" w:cs="宋体"/>
          <w:color w:val="auto"/>
          <w:sz w:val="24"/>
          <w:highlight w:val="none"/>
        </w:rPr>
        <w:t>委托代理人无转委托权，特此委托。</w:t>
      </w:r>
    </w:p>
    <w:p w14:paraId="76224BAE">
      <w:pPr>
        <w:spacing w:line="440" w:lineRule="exact"/>
        <w:ind w:firstLine="480"/>
        <w:contextualSpacing/>
        <w:rPr>
          <w:rFonts w:ascii="宋体" w:hAnsi="宋体" w:cs="宋体"/>
          <w:color w:val="auto"/>
          <w:sz w:val="24"/>
          <w:highlight w:val="none"/>
        </w:rPr>
      </w:pPr>
      <w:r>
        <w:rPr>
          <w:rFonts w:hint="eastAsia" w:ascii="宋体" w:hAnsi="宋体" w:cs="宋体"/>
          <w:color w:val="auto"/>
          <w:sz w:val="24"/>
          <w:highlight w:val="none"/>
        </w:rPr>
        <w:t>附：法定代表人身份证明及委托代理人有效身份证正反面复印件</w:t>
      </w:r>
    </w:p>
    <w:p w14:paraId="02C30DFC">
      <w:pPr>
        <w:spacing w:line="440" w:lineRule="exact"/>
        <w:contextualSpacing/>
        <w:rPr>
          <w:rFonts w:ascii="宋体" w:hAnsi="宋体" w:cs="宋体"/>
          <w:color w:val="auto"/>
          <w:sz w:val="24"/>
          <w:highlight w:val="none"/>
        </w:rPr>
      </w:pPr>
    </w:p>
    <w:p w14:paraId="034F962A">
      <w:pPr>
        <w:spacing w:line="440" w:lineRule="exact"/>
        <w:contextualSpacing/>
        <w:rPr>
          <w:rFonts w:ascii="宋体" w:hAnsi="宋体" w:cs="宋体"/>
          <w:color w:val="auto"/>
          <w:sz w:val="24"/>
          <w:highlight w:val="none"/>
          <w:u w:val="single"/>
        </w:rPr>
      </w:pPr>
      <w:r>
        <w:rPr>
          <w:rFonts w:hint="eastAsia" w:ascii="宋体" w:hAnsi="宋体" w:cs="宋体"/>
          <w:color w:val="auto"/>
          <w:sz w:val="24"/>
          <w:highlight w:val="none"/>
        </w:rPr>
        <w:t>委托代理人（签字）：</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法定代表人（签字）：</w:t>
      </w:r>
      <w:r>
        <w:rPr>
          <w:rFonts w:hint="eastAsia" w:ascii="宋体" w:hAnsi="宋体" w:cs="宋体"/>
          <w:color w:val="auto"/>
          <w:sz w:val="24"/>
          <w:highlight w:val="none"/>
          <w:u w:val="single"/>
        </w:rPr>
        <w:t xml:space="preserve">              </w:t>
      </w:r>
    </w:p>
    <w:p w14:paraId="0B01A947">
      <w:pPr>
        <w:spacing w:line="440" w:lineRule="exact"/>
        <w:contextualSpacing/>
        <w:rPr>
          <w:rFonts w:ascii="宋体" w:hAnsi="宋体" w:cs="宋体"/>
          <w:color w:val="auto"/>
          <w:sz w:val="24"/>
          <w:highlight w:val="none"/>
        </w:rPr>
      </w:pPr>
      <w:r>
        <w:rPr>
          <w:rFonts w:hint="eastAsia" w:ascii="宋体" w:hAnsi="宋体" w:cs="宋体"/>
          <w:color w:val="auto"/>
          <w:sz w:val="24"/>
          <w:highlight w:val="none"/>
        </w:rPr>
        <w:t>委托代理人身份证号码：</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14:paraId="55DAD06B">
      <w:pPr>
        <w:spacing w:line="440" w:lineRule="exact"/>
        <w:contextualSpacing/>
        <w:jc w:val="center"/>
        <w:rPr>
          <w:rFonts w:ascii="宋体" w:hAnsi="宋体" w:cs="宋体"/>
          <w:color w:val="auto"/>
          <w:sz w:val="24"/>
          <w:highlight w:val="none"/>
          <w:u w:val="single"/>
        </w:rPr>
      </w:pPr>
      <w:r>
        <w:rPr>
          <w:rFonts w:hint="eastAsia" w:ascii="宋体" w:hAnsi="宋体" w:cs="宋体"/>
          <w:color w:val="auto"/>
          <w:sz w:val="24"/>
          <w:highlight w:val="none"/>
        </w:rPr>
        <w:t xml:space="preserve">                                                投标人（公章）：</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p>
    <w:p w14:paraId="79128375">
      <w:pPr>
        <w:spacing w:line="440" w:lineRule="exact"/>
        <w:contextualSpacing/>
        <w:jc w:val="center"/>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hAnsi="宋体" w:cs="宋体"/>
          <w:color w:val="auto"/>
          <w:sz w:val="24"/>
          <w:highlight w:val="none"/>
        </w:rPr>
        <w:t>日期：</w:t>
      </w:r>
      <w:r>
        <w:rPr>
          <w:rFonts w:hint="eastAsia" w:hAnsi="宋体" w:cs="宋体"/>
          <w:color w:val="auto"/>
          <w:sz w:val="24"/>
          <w:highlight w:val="none"/>
          <w:u w:val="single"/>
        </w:rPr>
        <w:t xml:space="preserve">      </w:t>
      </w:r>
      <w:r>
        <w:rPr>
          <w:rFonts w:hint="eastAsia" w:hAnsi="宋体" w:cs="宋体"/>
          <w:color w:val="auto"/>
          <w:sz w:val="24"/>
          <w:highlight w:val="none"/>
        </w:rPr>
        <w:t>年</w:t>
      </w:r>
      <w:r>
        <w:rPr>
          <w:rFonts w:hint="eastAsia" w:hAnsi="宋体" w:cs="宋体"/>
          <w:color w:val="auto"/>
          <w:sz w:val="24"/>
          <w:highlight w:val="none"/>
          <w:u w:val="single"/>
        </w:rPr>
        <w:t xml:space="preserve">    </w:t>
      </w:r>
      <w:r>
        <w:rPr>
          <w:rFonts w:hint="eastAsia" w:hAnsi="宋体" w:cs="宋体"/>
          <w:color w:val="auto"/>
          <w:sz w:val="24"/>
          <w:highlight w:val="none"/>
        </w:rPr>
        <w:t>月</w:t>
      </w:r>
      <w:r>
        <w:rPr>
          <w:rFonts w:hint="eastAsia" w:hAnsi="宋体" w:cs="宋体"/>
          <w:color w:val="auto"/>
          <w:sz w:val="24"/>
          <w:highlight w:val="none"/>
          <w:u w:val="single"/>
        </w:rPr>
        <w:t xml:space="preserve">     </w:t>
      </w:r>
      <w:r>
        <w:rPr>
          <w:rFonts w:hint="eastAsia" w:hAnsi="宋体" w:cs="宋体"/>
          <w:color w:val="auto"/>
          <w:sz w:val="24"/>
          <w:highlight w:val="none"/>
        </w:rPr>
        <w:t>日</w:t>
      </w:r>
    </w:p>
    <w:p w14:paraId="221B5BCF">
      <w:pPr>
        <w:spacing w:line="440" w:lineRule="exact"/>
        <w:contextualSpacing/>
        <w:rPr>
          <w:rFonts w:ascii="楷体" w:hAnsi="楷体" w:eastAsia="楷体" w:cs="宋体"/>
          <w:b/>
          <w:color w:val="auto"/>
          <w:sz w:val="24"/>
          <w:highlight w:val="none"/>
        </w:rPr>
      </w:pPr>
      <w:r>
        <w:rPr>
          <w:rFonts w:hint="eastAsia" w:ascii="楷体" w:hAnsi="楷体" w:eastAsia="楷体" w:cs="宋体"/>
          <w:b/>
          <w:color w:val="auto"/>
          <w:sz w:val="24"/>
          <w:highlight w:val="none"/>
        </w:rPr>
        <w:t>注：</w:t>
      </w:r>
    </w:p>
    <w:p w14:paraId="6390FBE8">
      <w:pPr>
        <w:spacing w:line="440" w:lineRule="exact"/>
        <w:ind w:firstLine="480" w:firstLineChars="200"/>
        <w:contextualSpacing/>
        <w:rPr>
          <w:rFonts w:ascii="楷体" w:hAnsi="楷体" w:eastAsia="楷体" w:cs="宋体"/>
          <w:color w:val="auto"/>
          <w:sz w:val="24"/>
          <w:highlight w:val="none"/>
        </w:rPr>
      </w:pPr>
      <w:r>
        <w:rPr>
          <w:rFonts w:ascii="楷体" w:hAnsi="楷体" w:eastAsia="楷体" w:cs="宋体"/>
          <w:color w:val="auto"/>
          <w:sz w:val="24"/>
          <w:highlight w:val="none"/>
        </w:rPr>
        <w:t>1.</w:t>
      </w:r>
      <w:bookmarkStart w:id="146" w:name="_Hlk65851555"/>
      <w:bookmarkStart w:id="147" w:name="_Hlk65851620"/>
      <w:r>
        <w:rPr>
          <w:rFonts w:hint="eastAsia" w:ascii="楷体" w:hAnsi="楷体" w:eastAsia="楷体" w:cs="宋体"/>
          <w:color w:val="auto"/>
          <w:sz w:val="24"/>
          <w:highlight w:val="none"/>
        </w:rPr>
        <w:t>法定代表人必须在授权委托书上亲笔签字或者盖章，</w:t>
      </w:r>
      <w:bookmarkEnd w:id="146"/>
      <w:r>
        <w:rPr>
          <w:rFonts w:hint="eastAsia" w:ascii="楷体" w:hAnsi="楷体" w:eastAsia="楷体" w:cs="宋体"/>
          <w:color w:val="auto"/>
          <w:sz w:val="24"/>
          <w:highlight w:val="none"/>
        </w:rPr>
        <w:t>委托代理人必须在授权委托书上亲笔签字，</w:t>
      </w:r>
      <w:r>
        <w:rPr>
          <w:rFonts w:hint="eastAsia" w:ascii="楷体" w:hAnsi="楷体" w:eastAsia="楷体" w:cs="宋体"/>
          <w:b/>
          <w:bCs/>
          <w:color w:val="auto"/>
          <w:sz w:val="24"/>
          <w:highlight w:val="none"/>
        </w:rPr>
        <w:t>否则按无效投标处理</w:t>
      </w:r>
      <w:r>
        <w:rPr>
          <w:rFonts w:hint="eastAsia" w:ascii="楷体" w:hAnsi="楷体" w:eastAsia="楷体" w:cs="宋体"/>
          <w:color w:val="auto"/>
          <w:sz w:val="24"/>
          <w:highlight w:val="none"/>
        </w:rPr>
        <w:t>；</w:t>
      </w:r>
      <w:bookmarkEnd w:id="147"/>
    </w:p>
    <w:p w14:paraId="525C62D4">
      <w:pPr>
        <w:spacing w:line="440" w:lineRule="exact"/>
        <w:ind w:firstLine="480" w:firstLineChars="200"/>
        <w:contextualSpacing/>
        <w:jc w:val="left"/>
        <w:rPr>
          <w:rFonts w:ascii="楷体" w:hAnsi="楷体" w:eastAsia="楷体" w:cs="宋体"/>
          <w:color w:val="auto"/>
          <w:sz w:val="24"/>
          <w:highlight w:val="none"/>
        </w:rPr>
      </w:pPr>
      <w:r>
        <w:rPr>
          <w:rFonts w:ascii="楷体" w:hAnsi="楷体" w:eastAsia="楷体" w:cs="宋体"/>
          <w:color w:val="auto"/>
          <w:sz w:val="24"/>
          <w:highlight w:val="none"/>
        </w:rPr>
        <w:t>2.法人、其他组织投标时“我方”是指“我单位”，自然人投标时“我方”是指“本人”。</w:t>
      </w:r>
    </w:p>
    <w:p w14:paraId="5E202D8A">
      <w:pPr>
        <w:snapToGrid w:val="0"/>
        <w:spacing w:before="166" w:beforeLines="50" w:after="50"/>
        <w:ind w:firstLine="566" w:firstLineChars="236"/>
        <w:jc w:val="center"/>
        <w:rPr>
          <w:rFonts w:ascii="宋体" w:hAnsi="宋体" w:cs="宋体"/>
          <w:color w:val="auto"/>
          <w:sz w:val="44"/>
          <w:szCs w:val="44"/>
          <w:highlight w:val="none"/>
        </w:rPr>
      </w:pPr>
      <w:r>
        <w:rPr>
          <w:rFonts w:hint="eastAsia" w:ascii="宋体" w:hAnsi="宋体" w:cs="宋体"/>
          <w:color w:val="auto"/>
          <w:sz w:val="24"/>
          <w:highlight w:val="none"/>
        </w:rPr>
        <w:br w:type="page"/>
      </w:r>
      <w:r>
        <w:rPr>
          <w:rFonts w:hint="eastAsia" w:ascii="宋体" w:hAnsi="宋体" w:cs="宋体"/>
          <w:color w:val="auto"/>
          <w:sz w:val="44"/>
          <w:szCs w:val="44"/>
          <w:highlight w:val="none"/>
        </w:rPr>
        <w:t>授权委托书</w:t>
      </w:r>
    </w:p>
    <w:p w14:paraId="22EC4277">
      <w:pPr>
        <w:snapToGrid w:val="0"/>
        <w:spacing w:before="166" w:beforeLines="50" w:after="50"/>
        <w:ind w:firstLine="755" w:firstLineChars="236"/>
        <w:jc w:val="center"/>
        <w:rPr>
          <w:rFonts w:ascii="宋体" w:hAnsi="宋体" w:cs="宋体"/>
          <w:color w:val="auto"/>
          <w:sz w:val="32"/>
          <w:szCs w:val="32"/>
          <w:highlight w:val="none"/>
        </w:rPr>
      </w:pPr>
      <w:r>
        <w:rPr>
          <w:rFonts w:hint="eastAsia" w:ascii="宋体" w:hAnsi="宋体" w:cs="宋体"/>
          <w:color w:val="auto"/>
          <w:sz w:val="32"/>
          <w:szCs w:val="32"/>
          <w:highlight w:val="none"/>
        </w:rPr>
        <w:t>（联合体投标格式）</w:t>
      </w:r>
    </w:p>
    <w:p w14:paraId="040EA080">
      <w:pPr>
        <w:snapToGrid w:val="0"/>
        <w:spacing w:before="166" w:beforeLines="50" w:after="50"/>
        <w:ind w:firstLine="755" w:firstLineChars="236"/>
        <w:jc w:val="center"/>
        <w:rPr>
          <w:rFonts w:ascii="宋体" w:hAnsi="宋体" w:cs="宋体"/>
          <w:color w:val="auto"/>
          <w:sz w:val="24"/>
          <w:highlight w:val="none"/>
        </w:rPr>
      </w:pPr>
      <w:r>
        <w:rPr>
          <w:rFonts w:hint="eastAsia" w:ascii="宋体" w:hAnsi="宋体" w:cs="宋体"/>
          <w:color w:val="auto"/>
          <w:sz w:val="32"/>
          <w:szCs w:val="32"/>
          <w:highlight w:val="none"/>
        </w:rPr>
        <w:t>（如有委托时）</w:t>
      </w:r>
    </w:p>
    <w:p w14:paraId="6F8AEBAF">
      <w:pPr>
        <w:spacing w:line="360" w:lineRule="auto"/>
        <w:contextualSpacing/>
        <w:jc w:val="left"/>
        <w:rPr>
          <w:rFonts w:ascii="宋体" w:hAnsi="宋体" w:cs="宋体"/>
          <w:color w:val="auto"/>
          <w:sz w:val="24"/>
          <w:highlight w:val="none"/>
        </w:rPr>
      </w:pPr>
      <w:r>
        <w:rPr>
          <w:rFonts w:hint="eastAsia" w:ascii="宋体" w:hAnsi="宋体" w:cs="宋体"/>
          <w:bCs/>
          <w:color w:val="auto"/>
          <w:sz w:val="24"/>
          <w:highlight w:val="none"/>
        </w:rPr>
        <w:t>致：</w:t>
      </w:r>
      <w:r>
        <w:rPr>
          <w:rFonts w:hint="eastAsia" w:ascii="宋体" w:hAnsi="宋体" w:cs="宋体"/>
          <w:color w:val="auto"/>
          <w:sz w:val="24"/>
          <w:highlight w:val="none"/>
          <w:u w:val="single"/>
        </w:rPr>
        <w:t>采购人名称</w:t>
      </w:r>
      <w:r>
        <w:rPr>
          <w:rFonts w:hint="eastAsia" w:ascii="宋体" w:hAnsi="宋体" w:cs="宋体"/>
          <w:color w:val="auto"/>
          <w:sz w:val="24"/>
          <w:highlight w:val="none"/>
        </w:rPr>
        <w:t>：</w:t>
      </w:r>
    </w:p>
    <w:p w14:paraId="79AB2E5A">
      <w:pPr>
        <w:spacing w:line="360" w:lineRule="auto"/>
        <w:ind w:firstLine="566" w:firstLineChars="236"/>
        <w:contextualSpacing/>
        <w:rPr>
          <w:rFonts w:ascii="宋体" w:hAnsi="宋体" w:cs="宋体"/>
          <w:color w:val="auto"/>
          <w:sz w:val="24"/>
          <w:highlight w:val="none"/>
        </w:rPr>
      </w:pPr>
      <w:r>
        <w:rPr>
          <w:rFonts w:hint="eastAsia" w:ascii="宋体" w:hAnsi="宋体" w:cs="宋体"/>
          <w:color w:val="auto"/>
          <w:sz w:val="24"/>
          <w:highlight w:val="none"/>
        </w:rPr>
        <w:t xml:space="preserve">根据 </w:t>
      </w:r>
      <w:r>
        <w:rPr>
          <w:rFonts w:hint="eastAsia" w:ascii="宋体" w:hAnsi="宋体" w:cs="宋体"/>
          <w:color w:val="auto"/>
          <w:sz w:val="24"/>
          <w:highlight w:val="none"/>
          <w:u w:val="single"/>
        </w:rPr>
        <w:t xml:space="preserve"> （牵头人名称）</w:t>
      </w:r>
      <w:r>
        <w:rPr>
          <w:rFonts w:hint="eastAsia" w:ascii="宋体" w:hAnsi="宋体" w:cs="宋体"/>
          <w:color w:val="auto"/>
          <w:sz w:val="24"/>
          <w:highlight w:val="none"/>
        </w:rPr>
        <w:t>与</w:t>
      </w:r>
      <w:r>
        <w:rPr>
          <w:rFonts w:hint="eastAsia" w:ascii="宋体" w:hAnsi="宋体" w:cs="宋体"/>
          <w:color w:val="auto"/>
          <w:sz w:val="24"/>
          <w:highlight w:val="none"/>
          <w:u w:val="single"/>
        </w:rPr>
        <w:t>（联合体其他成员名称）</w:t>
      </w:r>
      <w:r>
        <w:rPr>
          <w:rFonts w:hint="eastAsia" w:ascii="宋体" w:hAnsi="宋体" w:cs="宋体"/>
          <w:color w:val="auto"/>
          <w:sz w:val="24"/>
          <w:highlight w:val="none"/>
        </w:rPr>
        <w:t>签订的《联合体投标协议书》的内容，</w:t>
      </w:r>
      <w:r>
        <w:rPr>
          <w:rFonts w:hint="eastAsia" w:ascii="宋体" w:hAnsi="宋体" w:cs="宋体"/>
          <w:color w:val="auto"/>
          <w:sz w:val="24"/>
          <w:highlight w:val="none"/>
          <w:u w:val="single"/>
        </w:rPr>
        <w:t>（牵头人名称）</w:t>
      </w:r>
      <w:r>
        <w:rPr>
          <w:rFonts w:hint="eastAsia" w:ascii="宋体" w:hAnsi="宋体" w:cs="宋体"/>
          <w:color w:val="auto"/>
          <w:sz w:val="24"/>
          <w:highlight w:val="none"/>
        </w:rPr>
        <w:t>的法定代表人</w:t>
      </w:r>
      <w:r>
        <w:rPr>
          <w:rFonts w:hint="eastAsia" w:ascii="宋体" w:hAnsi="宋体" w:cs="宋体"/>
          <w:color w:val="auto"/>
          <w:sz w:val="24"/>
          <w:highlight w:val="none"/>
          <w:u w:val="single"/>
        </w:rPr>
        <w:t>（姓名）</w:t>
      </w:r>
      <w:r>
        <w:rPr>
          <w:rFonts w:hint="eastAsia" w:ascii="宋体" w:hAnsi="宋体" w:cs="宋体"/>
          <w:color w:val="auto"/>
          <w:sz w:val="24"/>
          <w:highlight w:val="none"/>
        </w:rPr>
        <w:t>现授权委托</w:t>
      </w:r>
      <w:r>
        <w:rPr>
          <w:rFonts w:hint="eastAsia" w:ascii="宋体" w:hAnsi="宋体" w:cs="宋体"/>
          <w:color w:val="auto"/>
          <w:sz w:val="24"/>
          <w:highlight w:val="none"/>
          <w:u w:val="single"/>
        </w:rPr>
        <w:t xml:space="preserve">              （姓名）</w:t>
      </w:r>
      <w:r>
        <w:rPr>
          <w:rFonts w:hint="eastAsia" w:ascii="宋体" w:hAnsi="宋体" w:cs="宋体"/>
          <w:color w:val="auto"/>
          <w:sz w:val="24"/>
          <w:highlight w:val="none"/>
        </w:rPr>
        <w:t>以我方的名义参加</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项目的投标活动，并代表我方全权办理针对上述项目的所有采购程序和环节的具体事务和签署相关文件。</w:t>
      </w:r>
    </w:p>
    <w:p w14:paraId="35953A58">
      <w:pPr>
        <w:spacing w:line="360" w:lineRule="auto"/>
        <w:ind w:firstLine="566" w:firstLineChars="236"/>
        <w:contextualSpacing/>
        <w:rPr>
          <w:rFonts w:ascii="宋体" w:hAnsi="宋体" w:cs="宋体"/>
          <w:color w:val="auto"/>
          <w:sz w:val="24"/>
          <w:highlight w:val="none"/>
        </w:rPr>
      </w:pPr>
      <w:r>
        <w:rPr>
          <w:rFonts w:hint="eastAsia" w:ascii="宋体" w:hAnsi="宋体" w:cs="宋体"/>
          <w:color w:val="auto"/>
          <w:sz w:val="24"/>
          <w:highlight w:val="none"/>
        </w:rPr>
        <w:t>我方对委托代理人的签字事项负全部责任。</w:t>
      </w:r>
    </w:p>
    <w:p w14:paraId="6E96D819">
      <w:pPr>
        <w:spacing w:line="360" w:lineRule="auto"/>
        <w:ind w:firstLine="566" w:firstLineChars="236"/>
        <w:contextualSpacing/>
        <w:rPr>
          <w:rFonts w:ascii="宋体" w:hAnsi="宋体" w:cs="宋体"/>
          <w:color w:val="auto"/>
          <w:sz w:val="24"/>
          <w:highlight w:val="none"/>
        </w:rPr>
      </w:pPr>
      <w:r>
        <w:rPr>
          <w:rFonts w:hint="eastAsia" w:ascii="宋体" w:hAnsi="宋体" w:cs="宋体"/>
          <w:color w:val="auto"/>
          <w:sz w:val="24"/>
          <w:highlight w:val="none"/>
        </w:rPr>
        <w:t>本授权书自签署之日起生效，在撤销授权的书面通知以前，本授权书一直有效。委托代理人在授权书有效期内签署的所有文件不因授权的撤销而失效。</w:t>
      </w:r>
    </w:p>
    <w:p w14:paraId="1632E71A">
      <w:pPr>
        <w:spacing w:line="360" w:lineRule="auto"/>
        <w:ind w:firstLine="566" w:firstLineChars="236"/>
        <w:contextualSpacing/>
        <w:rPr>
          <w:rFonts w:ascii="宋体" w:hAnsi="宋体" w:cs="宋体"/>
          <w:color w:val="auto"/>
          <w:sz w:val="24"/>
          <w:highlight w:val="none"/>
        </w:rPr>
      </w:pPr>
      <w:r>
        <w:rPr>
          <w:rFonts w:hint="eastAsia" w:ascii="宋体" w:hAnsi="宋体" w:cs="宋体"/>
          <w:color w:val="auto"/>
          <w:sz w:val="24"/>
          <w:highlight w:val="none"/>
        </w:rPr>
        <w:t>委托代理人无转委托权，特此委托。</w:t>
      </w:r>
    </w:p>
    <w:p w14:paraId="1E03708C">
      <w:pPr>
        <w:spacing w:line="360" w:lineRule="auto"/>
        <w:ind w:firstLine="566" w:firstLineChars="236"/>
        <w:contextualSpacing/>
        <w:rPr>
          <w:rFonts w:ascii="宋体" w:hAnsi="宋体" w:cs="宋体"/>
          <w:color w:val="auto"/>
          <w:sz w:val="24"/>
          <w:highlight w:val="none"/>
        </w:rPr>
      </w:pPr>
      <w:r>
        <w:rPr>
          <w:rFonts w:hint="eastAsia" w:ascii="宋体" w:hAnsi="宋体" w:cs="宋体"/>
          <w:color w:val="auto"/>
          <w:sz w:val="24"/>
          <w:highlight w:val="none"/>
        </w:rPr>
        <w:t>附：牵头人法定代表人身份证明及委托代理人有效身份证正反面复印件</w:t>
      </w:r>
    </w:p>
    <w:p w14:paraId="0ED76770">
      <w:pPr>
        <w:spacing w:line="360" w:lineRule="auto"/>
        <w:ind w:firstLine="566" w:firstLineChars="236"/>
        <w:contextualSpacing/>
        <w:rPr>
          <w:rFonts w:ascii="宋体" w:hAnsi="宋体" w:cs="宋体"/>
          <w:color w:val="auto"/>
          <w:sz w:val="24"/>
          <w:highlight w:val="none"/>
        </w:rPr>
      </w:pPr>
    </w:p>
    <w:p w14:paraId="5F4F4995">
      <w:pPr>
        <w:spacing w:line="360" w:lineRule="auto"/>
        <w:ind w:firstLine="566" w:firstLineChars="236"/>
        <w:contextualSpacing/>
        <w:rPr>
          <w:rFonts w:ascii="宋体" w:hAnsi="宋体" w:cs="宋体"/>
          <w:color w:val="auto"/>
          <w:sz w:val="24"/>
          <w:highlight w:val="none"/>
          <w:u w:val="single"/>
        </w:rPr>
      </w:pPr>
      <w:r>
        <w:rPr>
          <w:rFonts w:hint="eastAsia" w:ascii="宋体" w:hAnsi="宋体" w:cs="宋体"/>
          <w:color w:val="auto"/>
          <w:sz w:val="24"/>
          <w:highlight w:val="none"/>
        </w:rPr>
        <w:t>牵头人法定代表人（签字）：</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p>
    <w:p w14:paraId="2ADE3809">
      <w:pPr>
        <w:spacing w:line="360" w:lineRule="auto"/>
        <w:ind w:firstLine="566" w:firstLineChars="236"/>
        <w:contextualSpacing/>
        <w:rPr>
          <w:rFonts w:ascii="宋体" w:hAnsi="宋体" w:cs="宋体"/>
          <w:color w:val="auto"/>
          <w:sz w:val="24"/>
          <w:highlight w:val="none"/>
          <w:u w:val="single"/>
        </w:rPr>
      </w:pPr>
      <w:r>
        <w:rPr>
          <w:rFonts w:hint="eastAsia" w:ascii="宋体" w:hAnsi="宋体" w:cs="宋体"/>
          <w:color w:val="auto"/>
          <w:sz w:val="24"/>
          <w:highlight w:val="none"/>
        </w:rPr>
        <w:t>牵头人（公章）：</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p>
    <w:p w14:paraId="36F9638C">
      <w:pPr>
        <w:spacing w:line="360" w:lineRule="auto"/>
        <w:ind w:firstLine="566" w:firstLineChars="236"/>
        <w:contextualSpacing/>
        <w:rPr>
          <w:rFonts w:ascii="宋体" w:hAnsi="宋体" w:cs="宋体"/>
          <w:color w:val="auto"/>
          <w:sz w:val="24"/>
          <w:highlight w:val="none"/>
        </w:rPr>
      </w:pPr>
      <w:r>
        <w:rPr>
          <w:rFonts w:hint="eastAsia" w:hAnsi="宋体" w:cs="宋体"/>
          <w:color w:val="auto"/>
          <w:sz w:val="24"/>
          <w:highlight w:val="none"/>
        </w:rPr>
        <w:t>日期：</w:t>
      </w:r>
      <w:r>
        <w:rPr>
          <w:rFonts w:hAnsi="宋体" w:cs="宋体"/>
          <w:color w:val="auto"/>
          <w:sz w:val="24"/>
          <w:highlight w:val="none"/>
          <w:u w:val="single"/>
        </w:rPr>
        <w:t xml:space="preserve">      </w:t>
      </w:r>
      <w:r>
        <w:rPr>
          <w:rFonts w:hint="eastAsia" w:hAnsi="宋体" w:cs="宋体"/>
          <w:color w:val="auto"/>
          <w:sz w:val="24"/>
          <w:highlight w:val="none"/>
        </w:rPr>
        <w:t>年</w:t>
      </w:r>
      <w:r>
        <w:rPr>
          <w:rFonts w:hAnsi="宋体" w:cs="宋体"/>
          <w:color w:val="auto"/>
          <w:sz w:val="24"/>
          <w:highlight w:val="none"/>
          <w:u w:val="single"/>
        </w:rPr>
        <w:t xml:space="preserve">    </w:t>
      </w:r>
      <w:r>
        <w:rPr>
          <w:rFonts w:hint="eastAsia" w:hAnsi="宋体" w:cs="宋体"/>
          <w:color w:val="auto"/>
          <w:sz w:val="24"/>
          <w:highlight w:val="none"/>
        </w:rPr>
        <w:t>月</w:t>
      </w:r>
      <w:r>
        <w:rPr>
          <w:rFonts w:hAnsi="宋体" w:cs="宋体"/>
          <w:color w:val="auto"/>
          <w:sz w:val="24"/>
          <w:highlight w:val="none"/>
          <w:u w:val="single"/>
        </w:rPr>
        <w:t xml:space="preserve">     </w:t>
      </w:r>
      <w:r>
        <w:rPr>
          <w:rFonts w:hint="eastAsia" w:hAnsi="宋体" w:cs="宋体"/>
          <w:color w:val="auto"/>
          <w:sz w:val="24"/>
          <w:highlight w:val="none"/>
        </w:rPr>
        <w:t>日</w:t>
      </w:r>
    </w:p>
    <w:p w14:paraId="26567477">
      <w:pPr>
        <w:spacing w:line="360" w:lineRule="auto"/>
        <w:ind w:firstLine="566" w:firstLineChars="236"/>
        <w:contextualSpacing/>
        <w:rPr>
          <w:rFonts w:ascii="宋体" w:hAnsi="宋体" w:cs="宋体"/>
          <w:color w:val="auto"/>
          <w:sz w:val="24"/>
          <w:highlight w:val="none"/>
          <w:u w:val="single"/>
        </w:rPr>
      </w:pPr>
      <w:r>
        <w:rPr>
          <w:rFonts w:hint="eastAsia" w:ascii="宋体" w:hAnsi="宋体" w:cs="宋体"/>
          <w:color w:val="auto"/>
          <w:sz w:val="24"/>
          <w:highlight w:val="none"/>
        </w:rPr>
        <w:t>被授权人（签字）：</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p>
    <w:p w14:paraId="42555D1E">
      <w:pPr>
        <w:spacing w:line="360" w:lineRule="auto"/>
        <w:ind w:firstLine="566" w:firstLineChars="236"/>
        <w:contextualSpacing/>
        <w:rPr>
          <w:rFonts w:ascii="宋体" w:hAnsi="宋体" w:cs="宋体"/>
          <w:color w:val="auto"/>
          <w:sz w:val="24"/>
          <w:highlight w:val="none"/>
        </w:rPr>
      </w:pPr>
      <w:r>
        <w:rPr>
          <w:rFonts w:hint="eastAsia" w:hAnsi="宋体" w:cs="宋体"/>
          <w:color w:val="auto"/>
          <w:sz w:val="24"/>
          <w:highlight w:val="none"/>
        </w:rPr>
        <w:t>日期：</w:t>
      </w:r>
      <w:r>
        <w:rPr>
          <w:rFonts w:hAnsi="宋体" w:cs="宋体"/>
          <w:color w:val="auto"/>
          <w:sz w:val="24"/>
          <w:highlight w:val="none"/>
          <w:u w:val="single"/>
        </w:rPr>
        <w:t xml:space="preserve">      </w:t>
      </w:r>
      <w:r>
        <w:rPr>
          <w:rFonts w:hint="eastAsia" w:hAnsi="宋体" w:cs="宋体"/>
          <w:color w:val="auto"/>
          <w:sz w:val="24"/>
          <w:highlight w:val="none"/>
        </w:rPr>
        <w:t>年</w:t>
      </w:r>
      <w:r>
        <w:rPr>
          <w:rFonts w:hAnsi="宋体" w:cs="宋体"/>
          <w:color w:val="auto"/>
          <w:sz w:val="24"/>
          <w:highlight w:val="none"/>
          <w:u w:val="single"/>
        </w:rPr>
        <w:t xml:space="preserve">    </w:t>
      </w:r>
      <w:r>
        <w:rPr>
          <w:rFonts w:hint="eastAsia" w:hAnsi="宋体" w:cs="宋体"/>
          <w:color w:val="auto"/>
          <w:sz w:val="24"/>
          <w:highlight w:val="none"/>
        </w:rPr>
        <w:t>月</w:t>
      </w:r>
      <w:r>
        <w:rPr>
          <w:rFonts w:hAnsi="宋体" w:cs="宋体"/>
          <w:color w:val="auto"/>
          <w:sz w:val="24"/>
          <w:highlight w:val="none"/>
          <w:u w:val="single"/>
        </w:rPr>
        <w:t xml:space="preserve">     </w:t>
      </w:r>
      <w:r>
        <w:rPr>
          <w:rFonts w:hint="eastAsia" w:hAnsi="宋体" w:cs="宋体"/>
          <w:color w:val="auto"/>
          <w:sz w:val="24"/>
          <w:highlight w:val="none"/>
        </w:rPr>
        <w:t>日</w:t>
      </w:r>
    </w:p>
    <w:p w14:paraId="44C6CBB5">
      <w:pPr>
        <w:pStyle w:val="56"/>
        <w:rPr>
          <w:color w:val="auto"/>
          <w:highlight w:val="none"/>
        </w:rPr>
      </w:pPr>
    </w:p>
    <w:p w14:paraId="75C0C03E">
      <w:pPr>
        <w:spacing w:line="360" w:lineRule="auto"/>
        <w:contextualSpacing/>
        <w:rPr>
          <w:rFonts w:ascii="楷体" w:hAnsi="楷体" w:eastAsia="楷体" w:cs="宋体"/>
          <w:b/>
          <w:color w:val="auto"/>
          <w:sz w:val="24"/>
          <w:highlight w:val="none"/>
        </w:rPr>
      </w:pPr>
      <w:r>
        <w:rPr>
          <w:rFonts w:hint="eastAsia" w:ascii="楷体" w:hAnsi="楷体" w:eastAsia="楷体" w:cs="宋体"/>
          <w:b/>
          <w:color w:val="auto"/>
          <w:sz w:val="24"/>
          <w:highlight w:val="none"/>
        </w:rPr>
        <w:t>注：</w:t>
      </w:r>
    </w:p>
    <w:p w14:paraId="7D658B69">
      <w:pPr>
        <w:spacing w:line="360" w:lineRule="auto"/>
        <w:ind w:firstLine="480" w:firstLineChars="200"/>
        <w:contextualSpacing/>
        <w:rPr>
          <w:rFonts w:ascii="楷体" w:hAnsi="楷体" w:eastAsia="楷体" w:cs="宋体"/>
          <w:color w:val="auto"/>
          <w:sz w:val="24"/>
          <w:highlight w:val="none"/>
        </w:rPr>
      </w:pPr>
      <w:r>
        <w:rPr>
          <w:rFonts w:ascii="楷体" w:hAnsi="楷体" w:eastAsia="楷体" w:cs="宋体"/>
          <w:color w:val="auto"/>
          <w:sz w:val="24"/>
          <w:highlight w:val="none"/>
        </w:rPr>
        <w:t>1.</w:t>
      </w:r>
      <w:r>
        <w:rPr>
          <w:rFonts w:hint="eastAsia" w:ascii="楷体" w:hAnsi="楷体" w:eastAsia="楷体" w:cs="宋体"/>
          <w:color w:val="auto"/>
          <w:sz w:val="24"/>
          <w:highlight w:val="none"/>
        </w:rPr>
        <w:t>法定代表人必须在授权委托书上亲笔签字或者盖章，委托代理人必须在授权委托书上亲笔签字，</w:t>
      </w:r>
      <w:r>
        <w:rPr>
          <w:rFonts w:hint="eastAsia" w:ascii="楷体" w:hAnsi="楷体" w:eastAsia="楷体" w:cs="宋体"/>
          <w:b/>
          <w:bCs/>
          <w:color w:val="auto"/>
          <w:sz w:val="24"/>
          <w:highlight w:val="none"/>
        </w:rPr>
        <w:t>否则按无效投标处理</w:t>
      </w:r>
      <w:r>
        <w:rPr>
          <w:rFonts w:hint="eastAsia" w:ascii="楷体" w:hAnsi="楷体" w:eastAsia="楷体" w:cs="宋体"/>
          <w:color w:val="auto"/>
          <w:sz w:val="24"/>
          <w:highlight w:val="none"/>
        </w:rPr>
        <w:t>；</w:t>
      </w:r>
    </w:p>
    <w:p w14:paraId="6918D3B4">
      <w:pPr>
        <w:spacing w:line="360" w:lineRule="auto"/>
        <w:ind w:firstLine="480" w:firstLineChars="200"/>
        <w:contextualSpacing/>
        <w:jc w:val="left"/>
        <w:rPr>
          <w:rFonts w:ascii="楷体" w:hAnsi="楷体" w:eastAsia="楷体" w:cs="宋体"/>
          <w:color w:val="auto"/>
          <w:sz w:val="24"/>
          <w:highlight w:val="none"/>
        </w:rPr>
      </w:pPr>
      <w:r>
        <w:rPr>
          <w:rFonts w:ascii="楷体" w:hAnsi="楷体" w:eastAsia="楷体" w:cs="宋体"/>
          <w:color w:val="auto"/>
          <w:sz w:val="24"/>
          <w:highlight w:val="none"/>
        </w:rPr>
        <w:t>2.本授权委托书应由联合体牵头人的法定代表人按上述规定签字。</w:t>
      </w:r>
    </w:p>
    <w:p w14:paraId="2F3FCFCF">
      <w:pPr>
        <w:spacing w:line="360" w:lineRule="auto"/>
        <w:ind w:firstLine="480" w:firstLineChars="200"/>
        <w:contextualSpacing/>
        <w:jc w:val="left"/>
        <w:rPr>
          <w:rFonts w:ascii="楷体" w:hAnsi="楷体" w:eastAsia="楷体" w:cs="宋体"/>
          <w:color w:val="auto"/>
          <w:sz w:val="24"/>
          <w:highlight w:val="none"/>
        </w:rPr>
      </w:pPr>
      <w:r>
        <w:rPr>
          <w:rFonts w:ascii="楷体" w:hAnsi="楷体" w:eastAsia="楷体" w:cs="宋体"/>
          <w:color w:val="auto"/>
          <w:sz w:val="24"/>
          <w:highlight w:val="none"/>
        </w:rPr>
        <w:t>3.法人、其他组织投标时“我方”是指“我单位”，自然人投标时“我方”是指“本人”。</w:t>
      </w:r>
    </w:p>
    <w:p w14:paraId="136E3B55">
      <w:pPr>
        <w:snapToGrid w:val="0"/>
        <w:spacing w:before="50" w:after="166" w:afterLines="50" w:line="360" w:lineRule="auto"/>
        <w:ind w:firstLine="480" w:firstLineChars="200"/>
        <w:jc w:val="left"/>
        <w:rPr>
          <w:rFonts w:ascii="宋体" w:hAnsi="宋体" w:cs="宋体"/>
          <w:color w:val="auto"/>
          <w:sz w:val="24"/>
          <w:highlight w:val="none"/>
        </w:rPr>
        <w:sectPr>
          <w:footerReference r:id="rId8" w:type="first"/>
          <w:headerReference r:id="rId5" w:type="default"/>
          <w:footerReference r:id="rId6" w:type="default"/>
          <w:footerReference r:id="rId7" w:type="even"/>
          <w:pgSz w:w="11906" w:h="16838"/>
          <w:pgMar w:top="1417" w:right="1417" w:bottom="1417" w:left="1417" w:header="720" w:footer="720" w:gutter="0"/>
          <w:cols w:space="0" w:num="1"/>
          <w:docGrid w:type="lines" w:linePitch="333" w:charSpace="0"/>
        </w:sectPr>
      </w:pPr>
    </w:p>
    <w:p w14:paraId="242AFD1A">
      <w:pPr>
        <w:rPr>
          <w:rFonts w:ascii="宋体" w:hAnsi="宋体" w:cs="宋体"/>
          <w:color w:val="auto"/>
          <w:sz w:val="24"/>
          <w:highlight w:val="none"/>
        </w:rPr>
      </w:pPr>
    </w:p>
    <w:p w14:paraId="233715C8">
      <w:pPr>
        <w:rPr>
          <w:rFonts w:ascii="宋体" w:hAnsi="宋体" w:cs="宋体"/>
          <w:b/>
          <w:color w:val="auto"/>
          <w:sz w:val="24"/>
          <w:szCs w:val="20"/>
          <w:highlight w:val="none"/>
        </w:rPr>
      </w:pPr>
      <w:r>
        <w:rPr>
          <w:rFonts w:hint="eastAsia" w:ascii="宋体" w:hAnsi="宋体" w:cs="宋体"/>
          <w:b/>
          <w:color w:val="auto"/>
          <w:sz w:val="24"/>
          <w:highlight w:val="none"/>
        </w:rPr>
        <w:t>6.商务要求偏离表格式（注：按项目需求表具体项目修改）</w:t>
      </w:r>
    </w:p>
    <w:p w14:paraId="6919D41F">
      <w:pPr>
        <w:snapToGrid w:val="0"/>
        <w:spacing w:before="50"/>
        <w:jc w:val="left"/>
        <w:rPr>
          <w:rFonts w:ascii="宋体" w:hAnsi="宋体" w:cs="宋体"/>
          <w:color w:val="auto"/>
          <w:sz w:val="24"/>
          <w:highlight w:val="none"/>
        </w:rPr>
      </w:pPr>
    </w:p>
    <w:p w14:paraId="5D70A519">
      <w:pPr>
        <w:pStyle w:val="24"/>
        <w:rPr>
          <w:rFonts w:hAnsi="宋体" w:cs="宋体"/>
          <w:color w:val="auto"/>
          <w:sz w:val="24"/>
          <w:szCs w:val="24"/>
          <w:highlight w:val="none"/>
        </w:rPr>
      </w:pPr>
      <w:r>
        <w:rPr>
          <w:rFonts w:hint="eastAsia" w:hAnsi="宋体" w:cs="宋体"/>
          <w:color w:val="auto"/>
          <w:sz w:val="24"/>
          <w:szCs w:val="24"/>
          <w:highlight w:val="none"/>
        </w:rPr>
        <w:t>所投分标：</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分标</w:t>
      </w:r>
    </w:p>
    <w:p w14:paraId="77B0DD37">
      <w:pPr>
        <w:snapToGrid w:val="0"/>
        <w:spacing w:before="50"/>
        <w:jc w:val="left"/>
        <w:rPr>
          <w:rFonts w:ascii="宋体" w:hAnsi="宋体" w:cs="宋体"/>
          <w:color w:val="auto"/>
          <w:sz w:val="24"/>
          <w:highlight w:val="none"/>
          <w:u w:val="single"/>
        </w:rPr>
      </w:pPr>
    </w:p>
    <w:tbl>
      <w:tblPr>
        <w:tblStyle w:val="47"/>
        <w:tblW w:w="9678" w:type="dxa"/>
        <w:tblInd w:w="-11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91"/>
        <w:gridCol w:w="3737"/>
        <w:gridCol w:w="1971"/>
        <w:gridCol w:w="2279"/>
      </w:tblGrid>
      <w:tr w14:paraId="5C8AFB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0" w:hRule="atLeast"/>
        </w:trPr>
        <w:tc>
          <w:tcPr>
            <w:tcW w:w="1691" w:type="dxa"/>
            <w:tcBorders>
              <w:top w:val="single" w:color="auto" w:sz="4" w:space="0"/>
              <w:left w:val="single" w:color="auto" w:sz="4" w:space="0"/>
              <w:bottom w:val="single" w:color="auto" w:sz="4" w:space="0"/>
              <w:right w:val="single" w:color="auto" w:sz="4" w:space="0"/>
            </w:tcBorders>
          </w:tcPr>
          <w:p w14:paraId="4DDFE1C3">
            <w:pPr>
              <w:snapToGrid w:val="0"/>
              <w:spacing w:before="166" w:beforeLines="50"/>
              <w:jc w:val="center"/>
              <w:rPr>
                <w:rFonts w:ascii="宋体" w:hAnsi="宋体" w:cs="宋体"/>
                <w:color w:val="auto"/>
                <w:sz w:val="24"/>
                <w:highlight w:val="none"/>
              </w:rPr>
            </w:pPr>
            <w:r>
              <w:rPr>
                <w:rFonts w:hint="eastAsia" w:ascii="宋体" w:hAnsi="宋体" w:cs="宋体"/>
                <w:color w:val="auto"/>
                <w:sz w:val="24"/>
                <w:highlight w:val="none"/>
              </w:rPr>
              <w:t>项目</w:t>
            </w:r>
          </w:p>
        </w:tc>
        <w:tc>
          <w:tcPr>
            <w:tcW w:w="3737" w:type="dxa"/>
            <w:tcBorders>
              <w:top w:val="single" w:color="auto" w:sz="4" w:space="0"/>
              <w:left w:val="single" w:color="auto" w:sz="4" w:space="0"/>
              <w:bottom w:val="single" w:color="auto" w:sz="4" w:space="0"/>
              <w:right w:val="single" w:color="auto" w:sz="4" w:space="0"/>
            </w:tcBorders>
          </w:tcPr>
          <w:p w14:paraId="686F8819">
            <w:pPr>
              <w:snapToGrid w:val="0"/>
              <w:spacing w:before="166" w:beforeLines="50"/>
              <w:jc w:val="center"/>
              <w:rPr>
                <w:rFonts w:ascii="宋体" w:hAnsi="宋体" w:cs="宋体"/>
                <w:color w:val="auto"/>
                <w:sz w:val="24"/>
                <w:highlight w:val="none"/>
              </w:rPr>
            </w:pPr>
            <w:r>
              <w:rPr>
                <w:rFonts w:hint="eastAsia" w:ascii="宋体" w:hAnsi="宋体" w:cs="宋体"/>
                <w:color w:val="auto"/>
                <w:sz w:val="24"/>
                <w:highlight w:val="none"/>
              </w:rPr>
              <w:t>招标文件商务要求</w:t>
            </w:r>
          </w:p>
        </w:tc>
        <w:tc>
          <w:tcPr>
            <w:tcW w:w="1971" w:type="dxa"/>
            <w:tcBorders>
              <w:top w:val="single" w:color="auto" w:sz="4" w:space="0"/>
              <w:left w:val="single" w:color="auto" w:sz="4" w:space="0"/>
              <w:bottom w:val="single" w:color="auto" w:sz="4" w:space="0"/>
              <w:right w:val="single" w:color="auto" w:sz="4" w:space="0"/>
            </w:tcBorders>
          </w:tcPr>
          <w:p w14:paraId="232D47AD">
            <w:pPr>
              <w:snapToGrid w:val="0"/>
              <w:spacing w:before="166" w:beforeLines="50"/>
              <w:jc w:val="center"/>
              <w:rPr>
                <w:rFonts w:ascii="宋体" w:hAnsi="宋体" w:cs="宋体"/>
                <w:color w:val="auto"/>
                <w:sz w:val="24"/>
                <w:highlight w:val="none"/>
              </w:rPr>
            </w:pPr>
            <w:r>
              <w:rPr>
                <w:rFonts w:hint="eastAsia" w:ascii="宋体" w:hAnsi="宋体" w:cs="宋体"/>
                <w:color w:val="auto"/>
                <w:sz w:val="24"/>
                <w:highlight w:val="none"/>
              </w:rPr>
              <w:t>投标人的承诺</w:t>
            </w:r>
          </w:p>
        </w:tc>
        <w:tc>
          <w:tcPr>
            <w:tcW w:w="2279" w:type="dxa"/>
            <w:tcBorders>
              <w:top w:val="single" w:color="auto" w:sz="4" w:space="0"/>
              <w:left w:val="single" w:color="auto" w:sz="4" w:space="0"/>
              <w:bottom w:val="single" w:color="auto" w:sz="4" w:space="0"/>
              <w:right w:val="single" w:color="auto" w:sz="4" w:space="0"/>
            </w:tcBorders>
          </w:tcPr>
          <w:p w14:paraId="64DFEBF2">
            <w:pPr>
              <w:snapToGrid w:val="0"/>
              <w:spacing w:before="166" w:beforeLines="50"/>
              <w:jc w:val="center"/>
              <w:rPr>
                <w:rFonts w:ascii="宋体" w:hAnsi="宋体" w:cs="宋体"/>
                <w:color w:val="auto"/>
                <w:sz w:val="24"/>
                <w:highlight w:val="none"/>
              </w:rPr>
            </w:pPr>
            <w:r>
              <w:rPr>
                <w:rFonts w:hint="eastAsia" w:ascii="宋体" w:hAnsi="宋体" w:cs="宋体"/>
                <w:color w:val="auto"/>
                <w:sz w:val="24"/>
                <w:highlight w:val="none"/>
              </w:rPr>
              <w:t>偏离说明</w:t>
            </w:r>
          </w:p>
        </w:tc>
      </w:tr>
      <w:tr w14:paraId="7CB3E4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7" w:hRule="atLeast"/>
        </w:trPr>
        <w:tc>
          <w:tcPr>
            <w:tcW w:w="1691" w:type="dxa"/>
            <w:tcBorders>
              <w:top w:val="single" w:color="auto" w:sz="4" w:space="0"/>
              <w:left w:val="single" w:color="auto" w:sz="4" w:space="0"/>
              <w:bottom w:val="single" w:color="auto" w:sz="4" w:space="0"/>
              <w:right w:val="single" w:color="auto" w:sz="4" w:space="0"/>
            </w:tcBorders>
            <w:vAlign w:val="center"/>
          </w:tcPr>
          <w:p w14:paraId="7F01D99F">
            <w:pPr>
              <w:jc w:val="center"/>
              <w:rPr>
                <w:rFonts w:ascii="宋体" w:hAnsi="宋体" w:cs="宋体"/>
                <w:color w:val="auto"/>
                <w:sz w:val="24"/>
                <w:highlight w:val="none"/>
              </w:rPr>
            </w:pPr>
          </w:p>
        </w:tc>
        <w:tc>
          <w:tcPr>
            <w:tcW w:w="3737" w:type="dxa"/>
            <w:tcBorders>
              <w:top w:val="single" w:color="auto" w:sz="4" w:space="0"/>
              <w:left w:val="single" w:color="auto" w:sz="4" w:space="0"/>
              <w:bottom w:val="single" w:color="auto" w:sz="4" w:space="0"/>
              <w:right w:val="single" w:color="auto" w:sz="4" w:space="0"/>
            </w:tcBorders>
          </w:tcPr>
          <w:p w14:paraId="61AFCE8B">
            <w:pPr>
              <w:snapToGrid w:val="0"/>
              <w:spacing w:before="166" w:beforeLines="50"/>
              <w:jc w:val="center"/>
              <w:rPr>
                <w:rFonts w:ascii="宋体" w:hAnsi="宋体" w:cs="宋体"/>
                <w:color w:val="auto"/>
                <w:sz w:val="24"/>
                <w:highlight w:val="none"/>
              </w:rPr>
            </w:pPr>
          </w:p>
        </w:tc>
        <w:tc>
          <w:tcPr>
            <w:tcW w:w="1971" w:type="dxa"/>
            <w:tcBorders>
              <w:top w:val="single" w:color="auto" w:sz="4" w:space="0"/>
              <w:left w:val="single" w:color="auto" w:sz="4" w:space="0"/>
              <w:bottom w:val="single" w:color="auto" w:sz="4" w:space="0"/>
              <w:right w:val="single" w:color="auto" w:sz="4" w:space="0"/>
            </w:tcBorders>
          </w:tcPr>
          <w:p w14:paraId="01F682D8">
            <w:pPr>
              <w:snapToGrid w:val="0"/>
              <w:spacing w:before="166" w:beforeLines="50"/>
              <w:jc w:val="center"/>
              <w:rPr>
                <w:rFonts w:ascii="宋体" w:hAnsi="宋体" w:cs="宋体"/>
                <w:color w:val="auto"/>
                <w:sz w:val="24"/>
                <w:highlight w:val="none"/>
              </w:rPr>
            </w:pPr>
          </w:p>
        </w:tc>
        <w:tc>
          <w:tcPr>
            <w:tcW w:w="2279" w:type="dxa"/>
            <w:tcBorders>
              <w:top w:val="single" w:color="auto" w:sz="4" w:space="0"/>
              <w:left w:val="single" w:color="auto" w:sz="4" w:space="0"/>
              <w:bottom w:val="single" w:color="auto" w:sz="4" w:space="0"/>
              <w:right w:val="single" w:color="auto" w:sz="4" w:space="0"/>
            </w:tcBorders>
          </w:tcPr>
          <w:p w14:paraId="0F584CA0">
            <w:pPr>
              <w:snapToGrid w:val="0"/>
              <w:spacing w:before="166" w:beforeLines="50"/>
              <w:jc w:val="center"/>
              <w:rPr>
                <w:rFonts w:ascii="宋体" w:hAnsi="宋体" w:cs="宋体"/>
                <w:color w:val="auto"/>
                <w:sz w:val="24"/>
                <w:highlight w:val="none"/>
              </w:rPr>
            </w:pPr>
          </w:p>
        </w:tc>
      </w:tr>
      <w:tr w14:paraId="173150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3" w:hRule="atLeast"/>
        </w:trPr>
        <w:tc>
          <w:tcPr>
            <w:tcW w:w="1691" w:type="dxa"/>
            <w:tcBorders>
              <w:top w:val="single" w:color="auto" w:sz="4" w:space="0"/>
              <w:left w:val="single" w:color="auto" w:sz="4" w:space="0"/>
              <w:bottom w:val="single" w:color="auto" w:sz="4" w:space="0"/>
              <w:right w:val="single" w:color="auto" w:sz="4" w:space="0"/>
            </w:tcBorders>
            <w:vAlign w:val="center"/>
          </w:tcPr>
          <w:p w14:paraId="2494344D">
            <w:pPr>
              <w:jc w:val="center"/>
              <w:rPr>
                <w:rFonts w:ascii="宋体" w:hAnsi="宋体" w:cs="宋体"/>
                <w:color w:val="auto"/>
                <w:sz w:val="24"/>
                <w:highlight w:val="none"/>
              </w:rPr>
            </w:pPr>
          </w:p>
        </w:tc>
        <w:tc>
          <w:tcPr>
            <w:tcW w:w="3737" w:type="dxa"/>
            <w:tcBorders>
              <w:top w:val="single" w:color="auto" w:sz="4" w:space="0"/>
              <w:left w:val="single" w:color="auto" w:sz="4" w:space="0"/>
              <w:bottom w:val="single" w:color="auto" w:sz="4" w:space="0"/>
              <w:right w:val="single" w:color="auto" w:sz="4" w:space="0"/>
            </w:tcBorders>
          </w:tcPr>
          <w:p w14:paraId="01C2DAB2">
            <w:pPr>
              <w:snapToGrid w:val="0"/>
              <w:spacing w:before="166" w:beforeLines="50"/>
              <w:rPr>
                <w:rFonts w:ascii="宋体" w:hAnsi="宋体" w:cs="宋体"/>
                <w:color w:val="auto"/>
                <w:sz w:val="24"/>
                <w:highlight w:val="none"/>
                <w:u w:val="single"/>
              </w:rPr>
            </w:pPr>
          </w:p>
        </w:tc>
        <w:tc>
          <w:tcPr>
            <w:tcW w:w="1971" w:type="dxa"/>
            <w:tcBorders>
              <w:top w:val="single" w:color="auto" w:sz="4" w:space="0"/>
              <w:left w:val="single" w:color="auto" w:sz="4" w:space="0"/>
              <w:bottom w:val="single" w:color="auto" w:sz="4" w:space="0"/>
              <w:right w:val="single" w:color="auto" w:sz="4" w:space="0"/>
            </w:tcBorders>
          </w:tcPr>
          <w:p w14:paraId="3D186925">
            <w:pPr>
              <w:snapToGrid w:val="0"/>
              <w:spacing w:before="166" w:beforeLines="50"/>
              <w:ind w:left="43"/>
              <w:jc w:val="center"/>
              <w:rPr>
                <w:rFonts w:ascii="宋体" w:hAnsi="宋体" w:cs="宋体"/>
                <w:color w:val="auto"/>
                <w:sz w:val="24"/>
                <w:highlight w:val="none"/>
              </w:rPr>
            </w:pPr>
          </w:p>
        </w:tc>
        <w:tc>
          <w:tcPr>
            <w:tcW w:w="2279" w:type="dxa"/>
            <w:tcBorders>
              <w:top w:val="single" w:color="auto" w:sz="4" w:space="0"/>
              <w:left w:val="single" w:color="auto" w:sz="4" w:space="0"/>
              <w:bottom w:val="single" w:color="auto" w:sz="4" w:space="0"/>
              <w:right w:val="single" w:color="auto" w:sz="4" w:space="0"/>
            </w:tcBorders>
          </w:tcPr>
          <w:p w14:paraId="4A48AC4A">
            <w:pPr>
              <w:snapToGrid w:val="0"/>
              <w:spacing w:before="166" w:beforeLines="50"/>
              <w:ind w:left="43"/>
              <w:jc w:val="center"/>
              <w:rPr>
                <w:rFonts w:ascii="宋体" w:hAnsi="宋体" w:cs="宋体"/>
                <w:color w:val="auto"/>
                <w:sz w:val="24"/>
                <w:highlight w:val="none"/>
              </w:rPr>
            </w:pPr>
          </w:p>
        </w:tc>
      </w:tr>
      <w:tr w14:paraId="6D5394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7" w:hRule="atLeast"/>
        </w:trPr>
        <w:tc>
          <w:tcPr>
            <w:tcW w:w="1691" w:type="dxa"/>
            <w:tcBorders>
              <w:top w:val="single" w:color="auto" w:sz="4" w:space="0"/>
              <w:left w:val="single" w:color="auto" w:sz="4" w:space="0"/>
              <w:bottom w:val="single" w:color="auto" w:sz="4" w:space="0"/>
              <w:right w:val="single" w:color="auto" w:sz="4" w:space="0"/>
            </w:tcBorders>
          </w:tcPr>
          <w:p w14:paraId="499B7E51">
            <w:pPr>
              <w:snapToGrid w:val="0"/>
              <w:spacing w:before="166" w:beforeLines="50"/>
              <w:jc w:val="center"/>
              <w:rPr>
                <w:rFonts w:ascii="宋体" w:hAnsi="宋体" w:cs="宋体"/>
                <w:color w:val="auto"/>
                <w:sz w:val="24"/>
                <w:highlight w:val="none"/>
              </w:rPr>
            </w:pPr>
            <w:r>
              <w:rPr>
                <w:rFonts w:hint="eastAsia" w:ascii="宋体" w:hAnsi="宋体" w:cs="宋体"/>
                <w:color w:val="auto"/>
                <w:sz w:val="24"/>
                <w:highlight w:val="none"/>
              </w:rPr>
              <w:t>…</w:t>
            </w:r>
          </w:p>
        </w:tc>
        <w:tc>
          <w:tcPr>
            <w:tcW w:w="3737" w:type="dxa"/>
            <w:tcBorders>
              <w:top w:val="single" w:color="auto" w:sz="4" w:space="0"/>
              <w:left w:val="single" w:color="auto" w:sz="4" w:space="0"/>
              <w:bottom w:val="single" w:color="auto" w:sz="4" w:space="0"/>
              <w:right w:val="single" w:color="auto" w:sz="4" w:space="0"/>
            </w:tcBorders>
          </w:tcPr>
          <w:p w14:paraId="547F1F5F">
            <w:pPr>
              <w:snapToGrid w:val="0"/>
              <w:spacing w:before="166" w:beforeLines="50"/>
              <w:jc w:val="center"/>
              <w:rPr>
                <w:rFonts w:ascii="宋体" w:hAnsi="宋体" w:cs="宋体"/>
                <w:color w:val="auto"/>
                <w:sz w:val="24"/>
                <w:highlight w:val="none"/>
              </w:rPr>
            </w:pPr>
          </w:p>
        </w:tc>
        <w:tc>
          <w:tcPr>
            <w:tcW w:w="1971" w:type="dxa"/>
            <w:tcBorders>
              <w:top w:val="single" w:color="auto" w:sz="4" w:space="0"/>
              <w:left w:val="single" w:color="auto" w:sz="4" w:space="0"/>
              <w:bottom w:val="single" w:color="auto" w:sz="4" w:space="0"/>
              <w:right w:val="single" w:color="auto" w:sz="4" w:space="0"/>
            </w:tcBorders>
          </w:tcPr>
          <w:p w14:paraId="2AFC7B2C">
            <w:pPr>
              <w:snapToGrid w:val="0"/>
              <w:spacing w:before="166" w:beforeLines="50"/>
              <w:jc w:val="center"/>
              <w:rPr>
                <w:rFonts w:ascii="宋体" w:hAnsi="宋体" w:cs="宋体"/>
                <w:color w:val="auto"/>
                <w:sz w:val="24"/>
                <w:highlight w:val="none"/>
              </w:rPr>
            </w:pPr>
          </w:p>
        </w:tc>
        <w:tc>
          <w:tcPr>
            <w:tcW w:w="2279" w:type="dxa"/>
            <w:tcBorders>
              <w:top w:val="single" w:color="auto" w:sz="4" w:space="0"/>
              <w:left w:val="single" w:color="auto" w:sz="4" w:space="0"/>
              <w:bottom w:val="single" w:color="auto" w:sz="4" w:space="0"/>
              <w:right w:val="single" w:color="auto" w:sz="4" w:space="0"/>
            </w:tcBorders>
          </w:tcPr>
          <w:p w14:paraId="0ABC7306">
            <w:pPr>
              <w:snapToGrid w:val="0"/>
              <w:spacing w:before="166" w:beforeLines="50"/>
              <w:jc w:val="center"/>
              <w:rPr>
                <w:rFonts w:ascii="宋体" w:hAnsi="宋体" w:cs="宋体"/>
                <w:color w:val="auto"/>
                <w:sz w:val="24"/>
                <w:highlight w:val="none"/>
              </w:rPr>
            </w:pPr>
          </w:p>
        </w:tc>
      </w:tr>
    </w:tbl>
    <w:p w14:paraId="2AB0C025">
      <w:pPr>
        <w:pStyle w:val="18"/>
        <w:rPr>
          <w:rFonts w:ascii="楷体" w:hAnsi="楷体" w:eastAsia="楷体" w:cs="宋体"/>
          <w:color w:val="auto"/>
          <w:highlight w:val="none"/>
        </w:rPr>
      </w:pPr>
    </w:p>
    <w:p w14:paraId="0A55B88C">
      <w:pPr>
        <w:pStyle w:val="18"/>
        <w:rPr>
          <w:rFonts w:ascii="楷体" w:hAnsi="楷体" w:eastAsia="楷体" w:cs="宋体"/>
          <w:color w:val="auto"/>
          <w:highlight w:val="none"/>
        </w:rPr>
      </w:pPr>
      <w:r>
        <w:rPr>
          <w:rFonts w:hint="eastAsia" w:ascii="楷体" w:hAnsi="楷体" w:eastAsia="楷体" w:cs="宋体"/>
          <w:color w:val="auto"/>
          <w:highlight w:val="none"/>
        </w:rPr>
        <w:t>注：</w:t>
      </w:r>
    </w:p>
    <w:p w14:paraId="2CD153A6">
      <w:pPr>
        <w:pStyle w:val="19"/>
        <w:spacing w:line="520" w:lineRule="exact"/>
        <w:ind w:firstLine="480" w:firstLineChars="200"/>
        <w:rPr>
          <w:rFonts w:ascii="楷体" w:hAnsi="楷体" w:eastAsia="楷体" w:cs="宋体"/>
          <w:color w:val="auto"/>
          <w:szCs w:val="32"/>
          <w:highlight w:val="none"/>
        </w:rPr>
      </w:pPr>
      <w:r>
        <w:rPr>
          <w:rFonts w:ascii="楷体" w:hAnsi="楷体" w:eastAsia="楷体" w:cs="宋体"/>
          <w:color w:val="auto"/>
          <w:sz w:val="24"/>
          <w:szCs w:val="24"/>
          <w:highlight w:val="none"/>
        </w:rPr>
        <w:t>1.</w:t>
      </w:r>
      <w:r>
        <w:rPr>
          <w:rFonts w:hint="eastAsia" w:ascii="楷体" w:hAnsi="楷体" w:eastAsia="楷体" w:cs="宋体"/>
          <w:color w:val="auto"/>
          <w:sz w:val="24"/>
          <w:szCs w:val="24"/>
          <w:highlight w:val="none"/>
        </w:rPr>
        <w:t>说明：应对照招标文件“第二章</w:t>
      </w:r>
      <w:r>
        <w:rPr>
          <w:rFonts w:ascii="楷体" w:hAnsi="楷体" w:eastAsia="楷体" w:cs="宋体"/>
          <w:color w:val="auto"/>
          <w:sz w:val="24"/>
          <w:szCs w:val="24"/>
          <w:highlight w:val="none"/>
        </w:rPr>
        <w:t xml:space="preserve"> </w:t>
      </w:r>
      <w:r>
        <w:rPr>
          <w:rFonts w:hint="eastAsia" w:ascii="楷体" w:hAnsi="楷体" w:eastAsia="楷体" w:cs="宋体"/>
          <w:color w:val="auto"/>
          <w:sz w:val="24"/>
          <w:szCs w:val="24"/>
          <w:highlight w:val="none"/>
        </w:rPr>
        <w:t>采购需求”中的商务要求逐条作明确的投标响应，并作出偏离说明。</w:t>
      </w:r>
    </w:p>
    <w:p w14:paraId="3C38F51D">
      <w:pPr>
        <w:pStyle w:val="18"/>
        <w:ind w:firstLine="480" w:firstLineChars="200"/>
        <w:rPr>
          <w:rFonts w:ascii="楷体" w:hAnsi="楷体" w:eastAsia="楷体" w:cs="宋体"/>
          <w:b w:val="0"/>
          <w:bCs w:val="0"/>
          <w:color w:val="auto"/>
          <w:highlight w:val="none"/>
        </w:rPr>
      </w:pPr>
      <w:r>
        <w:rPr>
          <w:rFonts w:ascii="楷体" w:hAnsi="楷体" w:eastAsia="楷体" w:cs="宋体"/>
          <w:b w:val="0"/>
          <w:bCs w:val="0"/>
          <w:color w:val="auto"/>
          <w:highlight w:val="none"/>
        </w:rPr>
        <w:t>2.投标人应根据自身的承诺，对照招标文件要求在“偏离说明”中注明“</w:t>
      </w:r>
      <w:r>
        <w:rPr>
          <w:rFonts w:hint="eastAsia" w:ascii="楷体" w:hAnsi="楷体" w:eastAsia="楷体" w:cs="宋体"/>
          <w:color w:val="auto"/>
          <w:highlight w:val="none"/>
        </w:rPr>
        <w:t>正偏离</w:t>
      </w:r>
      <w:r>
        <w:rPr>
          <w:rFonts w:hint="eastAsia" w:ascii="楷体" w:hAnsi="楷体" w:eastAsia="楷体" w:cs="宋体"/>
          <w:b w:val="0"/>
          <w:bCs w:val="0"/>
          <w:color w:val="auto"/>
          <w:highlight w:val="none"/>
        </w:rPr>
        <w:t>”、“</w:t>
      </w:r>
      <w:r>
        <w:rPr>
          <w:rFonts w:hint="eastAsia" w:ascii="楷体" w:hAnsi="楷体" w:eastAsia="楷体" w:cs="宋体"/>
          <w:color w:val="auto"/>
          <w:highlight w:val="none"/>
        </w:rPr>
        <w:t>负偏离</w:t>
      </w:r>
      <w:r>
        <w:rPr>
          <w:rFonts w:hint="eastAsia" w:ascii="楷体" w:hAnsi="楷体" w:eastAsia="楷体" w:cs="宋体"/>
          <w:b w:val="0"/>
          <w:bCs w:val="0"/>
          <w:color w:val="auto"/>
          <w:highlight w:val="none"/>
        </w:rPr>
        <w:t>”或者“</w:t>
      </w:r>
      <w:r>
        <w:rPr>
          <w:rFonts w:hint="eastAsia" w:ascii="楷体" w:hAnsi="楷体" w:eastAsia="楷体" w:cs="宋体"/>
          <w:color w:val="auto"/>
          <w:highlight w:val="none"/>
        </w:rPr>
        <w:t>无偏离</w:t>
      </w:r>
      <w:r>
        <w:rPr>
          <w:rFonts w:hint="eastAsia" w:ascii="楷体" w:hAnsi="楷体" w:eastAsia="楷体" w:cs="宋体"/>
          <w:b w:val="0"/>
          <w:bCs w:val="0"/>
          <w:color w:val="auto"/>
          <w:highlight w:val="none"/>
        </w:rPr>
        <w:t>”。既不属于“</w:t>
      </w:r>
      <w:r>
        <w:rPr>
          <w:rFonts w:hint="eastAsia" w:ascii="楷体" w:hAnsi="楷体" w:eastAsia="楷体" w:cs="宋体"/>
          <w:color w:val="auto"/>
          <w:highlight w:val="none"/>
        </w:rPr>
        <w:t>正偏离</w:t>
      </w:r>
      <w:r>
        <w:rPr>
          <w:rFonts w:hint="eastAsia" w:ascii="楷体" w:hAnsi="楷体" w:eastAsia="楷体" w:cs="宋体"/>
          <w:b w:val="0"/>
          <w:bCs w:val="0"/>
          <w:color w:val="auto"/>
          <w:highlight w:val="none"/>
        </w:rPr>
        <w:t>”也不属于“</w:t>
      </w:r>
      <w:r>
        <w:rPr>
          <w:rFonts w:hint="eastAsia" w:ascii="楷体" w:hAnsi="楷体" w:eastAsia="楷体" w:cs="宋体"/>
          <w:color w:val="auto"/>
          <w:highlight w:val="none"/>
        </w:rPr>
        <w:t>负偏离</w:t>
      </w:r>
      <w:r>
        <w:rPr>
          <w:rFonts w:hint="eastAsia" w:ascii="楷体" w:hAnsi="楷体" w:eastAsia="楷体" w:cs="宋体"/>
          <w:b w:val="0"/>
          <w:bCs w:val="0"/>
          <w:color w:val="auto"/>
          <w:highlight w:val="none"/>
        </w:rPr>
        <w:t>”即为“</w:t>
      </w:r>
      <w:r>
        <w:rPr>
          <w:rFonts w:hint="eastAsia" w:ascii="楷体" w:hAnsi="楷体" w:eastAsia="楷体" w:cs="宋体"/>
          <w:color w:val="auto"/>
          <w:highlight w:val="none"/>
        </w:rPr>
        <w:t>无偏离</w:t>
      </w:r>
      <w:r>
        <w:rPr>
          <w:rFonts w:hint="eastAsia" w:ascii="楷体" w:hAnsi="楷体" w:eastAsia="楷体" w:cs="宋体"/>
          <w:b w:val="0"/>
          <w:bCs w:val="0"/>
          <w:color w:val="auto"/>
          <w:highlight w:val="none"/>
        </w:rPr>
        <w:t>”。</w:t>
      </w:r>
    </w:p>
    <w:p w14:paraId="3B2833AA">
      <w:pPr>
        <w:snapToGrid w:val="0"/>
        <w:spacing w:before="50" w:after="50"/>
        <w:rPr>
          <w:rFonts w:ascii="宋体" w:hAnsi="宋体" w:cs="宋体"/>
          <w:color w:val="auto"/>
          <w:sz w:val="24"/>
          <w:highlight w:val="none"/>
        </w:rPr>
      </w:pPr>
    </w:p>
    <w:p w14:paraId="06D8703F">
      <w:pPr>
        <w:pStyle w:val="56"/>
        <w:rPr>
          <w:color w:val="auto"/>
          <w:highlight w:val="none"/>
        </w:rPr>
      </w:pPr>
    </w:p>
    <w:p w14:paraId="5390A1C5">
      <w:pPr>
        <w:snapToGrid w:val="0"/>
        <w:spacing w:before="50" w:after="50"/>
        <w:ind w:firstLine="3360" w:firstLineChars="1400"/>
        <w:rPr>
          <w:rFonts w:ascii="宋体" w:hAnsi="宋体" w:cs="宋体"/>
          <w:color w:val="auto"/>
          <w:kern w:val="0"/>
          <w:sz w:val="24"/>
          <w:highlight w:val="none"/>
        </w:rPr>
      </w:pPr>
      <w:r>
        <w:rPr>
          <w:rFonts w:hint="eastAsia" w:ascii="宋体" w:hAnsi="宋体" w:cs="宋体"/>
          <w:color w:val="auto"/>
          <w:kern w:val="0"/>
          <w:sz w:val="24"/>
          <w:highlight w:val="none"/>
        </w:rPr>
        <w:t>法定代表人或者委托代理人（签字）：</w:t>
      </w:r>
      <w:r>
        <w:rPr>
          <w:rFonts w:hint="eastAsia" w:ascii="宋体" w:hAnsi="宋体" w:cs="宋体"/>
          <w:color w:val="auto"/>
          <w:kern w:val="0"/>
          <w:sz w:val="24"/>
          <w:highlight w:val="none"/>
          <w:u w:val="single"/>
        </w:rPr>
        <w:t xml:space="preserve"> </w:t>
      </w:r>
      <w:r>
        <w:rPr>
          <w:rFonts w:ascii="宋体" w:hAnsi="宋体" w:cs="宋体"/>
          <w:color w:val="auto"/>
          <w:kern w:val="0"/>
          <w:sz w:val="24"/>
          <w:highlight w:val="none"/>
          <w:u w:val="single"/>
        </w:rPr>
        <w:t xml:space="preserve">            </w:t>
      </w:r>
      <w:r>
        <w:rPr>
          <w:rFonts w:hint="eastAsia" w:ascii="宋体" w:hAnsi="宋体" w:cs="宋体"/>
          <w:color w:val="auto"/>
          <w:kern w:val="0"/>
          <w:sz w:val="24"/>
          <w:highlight w:val="none"/>
        </w:rPr>
        <w:t xml:space="preserve">        </w:t>
      </w:r>
    </w:p>
    <w:p w14:paraId="2B8694D2">
      <w:pPr>
        <w:snapToGrid w:val="0"/>
        <w:spacing w:before="166" w:beforeLines="50"/>
        <w:ind w:firstLine="3360" w:firstLineChars="1400"/>
        <w:rPr>
          <w:rFonts w:ascii="宋体" w:hAnsi="宋体" w:cs="宋体"/>
          <w:color w:val="auto"/>
          <w:kern w:val="0"/>
          <w:sz w:val="24"/>
          <w:highlight w:val="none"/>
        </w:rPr>
      </w:pPr>
      <w:r>
        <w:rPr>
          <w:rFonts w:hint="eastAsia" w:ascii="宋体" w:hAnsi="宋体" w:cs="宋体"/>
          <w:color w:val="auto"/>
          <w:kern w:val="0"/>
          <w:sz w:val="24"/>
          <w:highlight w:val="none"/>
        </w:rPr>
        <w:t>投标人</w:t>
      </w:r>
      <w:r>
        <w:rPr>
          <w:rFonts w:hint="eastAsia" w:ascii="黑体" w:hAnsi="黑体" w:eastAsia="黑体" w:cs="宋体"/>
          <w:color w:val="auto"/>
          <w:kern w:val="0"/>
          <w:sz w:val="24"/>
          <w:highlight w:val="none"/>
        </w:rPr>
        <w:t>（</w:t>
      </w:r>
      <w:r>
        <w:rPr>
          <w:rFonts w:hint="eastAsia" w:ascii="宋体" w:hAnsi="宋体" w:cs="宋体"/>
          <w:color w:val="auto"/>
          <w:kern w:val="0"/>
          <w:sz w:val="24"/>
          <w:highlight w:val="none"/>
        </w:rPr>
        <w:t>公章</w:t>
      </w:r>
      <w:r>
        <w:rPr>
          <w:rFonts w:hint="eastAsia" w:ascii="黑体" w:hAnsi="黑体" w:eastAsia="黑体" w:cs="宋体"/>
          <w:color w:val="auto"/>
          <w:kern w:val="0"/>
          <w:sz w:val="24"/>
          <w:highlight w:val="none"/>
        </w:rPr>
        <w:t>）</w:t>
      </w:r>
      <w:r>
        <w:rPr>
          <w:rFonts w:hint="eastAsia" w:ascii="宋体" w:hAnsi="宋体" w:cs="宋体"/>
          <w:color w:val="auto"/>
          <w:kern w:val="0"/>
          <w:sz w:val="24"/>
          <w:highlight w:val="none"/>
        </w:rPr>
        <w:t>：</w:t>
      </w:r>
      <w:r>
        <w:rPr>
          <w:rFonts w:hint="eastAsia" w:ascii="宋体" w:hAnsi="宋体" w:cs="宋体"/>
          <w:color w:val="auto"/>
          <w:kern w:val="0"/>
          <w:sz w:val="24"/>
          <w:highlight w:val="none"/>
          <w:u w:val="single"/>
        </w:rPr>
        <w:t xml:space="preserve"> </w:t>
      </w:r>
      <w:r>
        <w:rPr>
          <w:rFonts w:ascii="宋体" w:hAnsi="宋体" w:cs="宋体"/>
          <w:color w:val="auto"/>
          <w:kern w:val="0"/>
          <w:sz w:val="24"/>
          <w:highlight w:val="none"/>
          <w:u w:val="single"/>
        </w:rPr>
        <w:t xml:space="preserve">                </w:t>
      </w:r>
      <w:r>
        <w:rPr>
          <w:rFonts w:hint="eastAsia" w:ascii="宋体" w:hAnsi="宋体" w:cs="宋体"/>
          <w:color w:val="auto"/>
          <w:kern w:val="0"/>
          <w:sz w:val="24"/>
          <w:highlight w:val="none"/>
        </w:rPr>
        <w:t xml:space="preserve">               </w:t>
      </w:r>
    </w:p>
    <w:p w14:paraId="3BFF2003">
      <w:pPr>
        <w:snapToGrid w:val="0"/>
        <w:spacing w:before="166" w:beforeLines="50"/>
        <w:ind w:firstLine="3360" w:firstLineChars="1400"/>
        <w:rPr>
          <w:rFonts w:ascii="宋体" w:hAnsi="宋体" w:cs="宋体"/>
          <w:color w:val="auto"/>
          <w:kern w:val="0"/>
          <w:sz w:val="24"/>
          <w:highlight w:val="none"/>
        </w:rPr>
      </w:pPr>
      <w:r>
        <w:rPr>
          <w:rFonts w:hint="eastAsia" w:ascii="宋体" w:hAnsi="宋体" w:cs="宋体"/>
          <w:color w:val="auto"/>
          <w:kern w:val="0"/>
          <w:sz w:val="24"/>
          <w:highlight w:val="none"/>
        </w:rPr>
        <w:t xml:space="preserve">日  期：   </w:t>
      </w:r>
      <w:r>
        <w:rPr>
          <w:rFonts w:hint="eastAsia" w:ascii="黑体" w:hAnsi="黑体" w:eastAsia="黑体" w:cs="宋体"/>
          <w:b/>
          <w:color w:val="auto"/>
          <w:kern w:val="0"/>
          <w:sz w:val="24"/>
          <w:highlight w:val="none"/>
          <w:u w:val="single"/>
        </w:rPr>
        <w:t xml:space="preserve">     </w:t>
      </w:r>
      <w:r>
        <w:rPr>
          <w:rFonts w:ascii="黑体" w:hAnsi="黑体" w:eastAsia="黑体" w:cs="宋体"/>
          <w:b/>
          <w:color w:val="auto"/>
          <w:kern w:val="0"/>
          <w:sz w:val="24"/>
          <w:highlight w:val="none"/>
          <w:u w:val="single"/>
        </w:rPr>
        <w:t xml:space="preserve"> </w:t>
      </w:r>
      <w:r>
        <w:rPr>
          <w:rFonts w:hint="eastAsia" w:ascii="黑体" w:hAnsi="黑体" w:eastAsia="黑体" w:cs="宋体"/>
          <w:b/>
          <w:color w:val="auto"/>
          <w:kern w:val="0"/>
          <w:sz w:val="24"/>
          <w:highlight w:val="none"/>
          <w:u w:val="single"/>
        </w:rPr>
        <w:t xml:space="preserve"> </w:t>
      </w:r>
      <w:r>
        <w:rPr>
          <w:rFonts w:hint="eastAsia" w:cs="宋体" w:asciiTheme="minorEastAsia" w:hAnsiTheme="minorEastAsia" w:eastAsiaTheme="minorEastAsia"/>
          <w:color w:val="auto"/>
          <w:kern w:val="0"/>
          <w:sz w:val="24"/>
          <w:highlight w:val="none"/>
        </w:rPr>
        <w:t>年</w:t>
      </w:r>
      <w:r>
        <w:rPr>
          <w:rFonts w:cs="宋体" w:asciiTheme="minorEastAsia" w:hAnsiTheme="minorEastAsia" w:eastAsiaTheme="minorEastAsia"/>
          <w:color w:val="auto"/>
          <w:kern w:val="0"/>
          <w:sz w:val="24"/>
          <w:highlight w:val="none"/>
          <w:u w:val="single"/>
        </w:rPr>
        <w:t xml:space="preserve">  </w:t>
      </w:r>
      <w:r>
        <w:rPr>
          <w:rFonts w:hint="eastAsia" w:cs="宋体" w:asciiTheme="minorEastAsia" w:hAnsiTheme="minorEastAsia" w:eastAsiaTheme="minorEastAsia"/>
          <w:color w:val="auto"/>
          <w:kern w:val="0"/>
          <w:sz w:val="24"/>
          <w:highlight w:val="none"/>
        </w:rPr>
        <w:t>月</w:t>
      </w:r>
      <w:r>
        <w:rPr>
          <w:rFonts w:cs="宋体" w:asciiTheme="minorEastAsia" w:hAnsiTheme="minorEastAsia" w:eastAsiaTheme="minorEastAsia"/>
          <w:color w:val="auto"/>
          <w:kern w:val="0"/>
          <w:sz w:val="24"/>
          <w:highlight w:val="none"/>
          <w:u w:val="single"/>
        </w:rPr>
        <w:t xml:space="preserve">  </w:t>
      </w:r>
      <w:r>
        <w:rPr>
          <w:rFonts w:hint="eastAsia" w:cs="宋体" w:asciiTheme="minorEastAsia" w:hAnsiTheme="minorEastAsia" w:eastAsiaTheme="minorEastAsia"/>
          <w:color w:val="auto"/>
          <w:kern w:val="0"/>
          <w:sz w:val="24"/>
          <w:highlight w:val="none"/>
        </w:rPr>
        <w:t>日</w:t>
      </w:r>
    </w:p>
    <w:p w14:paraId="5D101C82">
      <w:pPr>
        <w:snapToGrid w:val="0"/>
        <w:spacing w:before="166" w:beforeLines="50"/>
        <w:ind w:firstLine="2640" w:firstLineChars="1100"/>
        <w:jc w:val="left"/>
        <w:rPr>
          <w:rFonts w:ascii="宋体" w:hAnsi="宋体" w:cs="宋体"/>
          <w:color w:val="auto"/>
          <w:sz w:val="24"/>
          <w:szCs w:val="20"/>
          <w:highlight w:val="none"/>
        </w:rPr>
      </w:pPr>
    </w:p>
    <w:p w14:paraId="02D6F174">
      <w:pPr>
        <w:snapToGrid w:val="0"/>
        <w:spacing w:before="166" w:beforeLines="50"/>
        <w:rPr>
          <w:rFonts w:ascii="宋体" w:hAnsi="宋体" w:cs="宋体"/>
          <w:color w:val="auto"/>
          <w:sz w:val="24"/>
          <w:szCs w:val="20"/>
          <w:highlight w:val="none"/>
        </w:rPr>
      </w:pPr>
    </w:p>
    <w:p w14:paraId="61C5544B">
      <w:pPr>
        <w:snapToGrid w:val="0"/>
        <w:spacing w:before="166" w:beforeLines="50" w:after="50"/>
        <w:jc w:val="left"/>
        <w:rPr>
          <w:rFonts w:ascii="宋体" w:hAnsi="宋体" w:cs="宋体"/>
          <w:color w:val="auto"/>
          <w:sz w:val="24"/>
          <w:szCs w:val="20"/>
          <w:highlight w:val="none"/>
        </w:rPr>
      </w:pPr>
    </w:p>
    <w:p w14:paraId="0C80C829">
      <w:pPr>
        <w:snapToGrid w:val="0"/>
        <w:spacing w:before="166" w:beforeLines="50" w:after="50"/>
        <w:jc w:val="left"/>
        <w:rPr>
          <w:rFonts w:ascii="宋体" w:hAnsi="宋体" w:cs="宋体"/>
          <w:b/>
          <w:color w:val="auto"/>
          <w:sz w:val="24"/>
          <w:highlight w:val="none"/>
        </w:rPr>
      </w:pPr>
      <w:r>
        <w:rPr>
          <w:rFonts w:hint="eastAsia" w:ascii="宋体" w:hAnsi="宋体" w:cs="宋体"/>
          <w:color w:val="auto"/>
          <w:sz w:val="24"/>
          <w:szCs w:val="20"/>
          <w:highlight w:val="none"/>
        </w:rPr>
        <w:br w:type="page"/>
      </w:r>
      <w:r>
        <w:rPr>
          <w:rFonts w:hint="eastAsia" w:ascii="宋体" w:hAnsi="宋体" w:cs="宋体"/>
          <w:b/>
          <w:color w:val="auto"/>
          <w:sz w:val="24"/>
          <w:highlight w:val="none"/>
        </w:rPr>
        <w:t>7.投标人业绩证明材料</w:t>
      </w:r>
    </w:p>
    <w:p w14:paraId="3A5C3DF4">
      <w:pPr>
        <w:pStyle w:val="34"/>
        <w:snapToGrid w:val="0"/>
        <w:ind w:left="480" w:hanging="480"/>
        <w:rPr>
          <w:rFonts w:ascii="宋体" w:hAnsi="宋体" w:cs="宋体"/>
          <w:color w:val="auto"/>
          <w:sz w:val="24"/>
          <w:highlight w:val="none"/>
        </w:rPr>
      </w:pPr>
    </w:p>
    <w:p w14:paraId="46C7AE10">
      <w:pPr>
        <w:pStyle w:val="34"/>
        <w:snapToGrid w:val="0"/>
        <w:ind w:left="480" w:hanging="480"/>
        <w:rPr>
          <w:rFonts w:ascii="宋体" w:hAnsi="宋体" w:cs="宋体"/>
          <w:color w:val="auto"/>
          <w:sz w:val="24"/>
          <w:highlight w:val="none"/>
        </w:rPr>
      </w:pPr>
      <w:r>
        <w:rPr>
          <w:rFonts w:hint="eastAsia" w:ascii="宋体" w:hAnsi="宋体" w:cs="宋体"/>
          <w:color w:val="auto"/>
          <w:sz w:val="24"/>
          <w:highlight w:val="none"/>
        </w:rPr>
        <w:t xml:space="preserve">投标人业绩情况一览表格式： </w:t>
      </w:r>
    </w:p>
    <w:tbl>
      <w:tblPr>
        <w:tblStyle w:val="47"/>
        <w:tblW w:w="921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305"/>
        <w:gridCol w:w="1913"/>
        <w:gridCol w:w="1913"/>
        <w:gridCol w:w="3087"/>
      </w:tblGrid>
      <w:tr w14:paraId="02523A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67" w:hRule="atLeast"/>
        </w:trPr>
        <w:tc>
          <w:tcPr>
            <w:tcW w:w="2305" w:type="dxa"/>
            <w:vMerge w:val="restart"/>
            <w:tcBorders>
              <w:top w:val="single" w:color="auto" w:sz="4" w:space="0"/>
              <w:left w:val="single" w:color="auto" w:sz="4" w:space="0"/>
              <w:bottom w:val="single" w:color="auto" w:sz="4" w:space="0"/>
              <w:right w:val="single" w:color="auto" w:sz="4" w:space="0"/>
            </w:tcBorders>
            <w:vAlign w:val="center"/>
          </w:tcPr>
          <w:p w14:paraId="7F4019D1">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采购人名称</w:t>
            </w:r>
          </w:p>
        </w:tc>
        <w:tc>
          <w:tcPr>
            <w:tcW w:w="1913" w:type="dxa"/>
            <w:vMerge w:val="restart"/>
            <w:tcBorders>
              <w:top w:val="single" w:color="auto" w:sz="4" w:space="0"/>
              <w:left w:val="single" w:color="auto" w:sz="4" w:space="0"/>
              <w:bottom w:val="single" w:color="auto" w:sz="4" w:space="0"/>
              <w:right w:val="single" w:color="auto" w:sz="4" w:space="0"/>
            </w:tcBorders>
            <w:vAlign w:val="center"/>
          </w:tcPr>
          <w:p w14:paraId="6DE8D146">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项目名称</w:t>
            </w:r>
          </w:p>
        </w:tc>
        <w:tc>
          <w:tcPr>
            <w:tcW w:w="1913" w:type="dxa"/>
            <w:vMerge w:val="restart"/>
            <w:tcBorders>
              <w:top w:val="single" w:color="auto" w:sz="4" w:space="0"/>
              <w:left w:val="single" w:color="auto" w:sz="4" w:space="0"/>
              <w:bottom w:val="single" w:color="auto" w:sz="4" w:space="0"/>
              <w:right w:val="single" w:color="auto" w:sz="4" w:space="0"/>
            </w:tcBorders>
            <w:vAlign w:val="center"/>
          </w:tcPr>
          <w:p w14:paraId="146CC38C">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合同金额</w:t>
            </w:r>
          </w:p>
          <w:p w14:paraId="69FF1FF4">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（人民币万元）</w:t>
            </w:r>
          </w:p>
        </w:tc>
        <w:tc>
          <w:tcPr>
            <w:tcW w:w="3087" w:type="dxa"/>
            <w:vMerge w:val="restart"/>
            <w:tcBorders>
              <w:top w:val="single" w:color="auto" w:sz="4" w:space="0"/>
              <w:left w:val="single" w:color="auto" w:sz="4" w:space="0"/>
              <w:bottom w:val="single" w:color="auto" w:sz="4" w:space="0"/>
              <w:right w:val="single" w:color="auto" w:sz="4" w:space="0"/>
            </w:tcBorders>
            <w:vAlign w:val="center"/>
          </w:tcPr>
          <w:p w14:paraId="1511E585">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采购人联系人及</w:t>
            </w:r>
          </w:p>
          <w:p w14:paraId="6EFD4C28">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联系电话</w:t>
            </w:r>
          </w:p>
        </w:tc>
      </w:tr>
      <w:tr w14:paraId="261D5B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33" w:hRule="atLeast"/>
        </w:trPr>
        <w:tc>
          <w:tcPr>
            <w:tcW w:w="2305" w:type="dxa"/>
            <w:vMerge w:val="continue"/>
            <w:tcBorders>
              <w:top w:val="single" w:color="auto" w:sz="4" w:space="0"/>
              <w:left w:val="single" w:color="auto" w:sz="4" w:space="0"/>
              <w:bottom w:val="single" w:color="auto" w:sz="4" w:space="0"/>
              <w:right w:val="single" w:color="auto" w:sz="4" w:space="0"/>
            </w:tcBorders>
            <w:vAlign w:val="center"/>
          </w:tcPr>
          <w:p w14:paraId="0EE2827C">
            <w:pPr>
              <w:jc w:val="left"/>
              <w:rPr>
                <w:rFonts w:ascii="宋体" w:hAnsi="宋体" w:cs="宋体"/>
                <w:color w:val="auto"/>
                <w:sz w:val="24"/>
                <w:highlight w:val="none"/>
              </w:rPr>
            </w:pPr>
          </w:p>
        </w:tc>
        <w:tc>
          <w:tcPr>
            <w:tcW w:w="1913" w:type="dxa"/>
            <w:vMerge w:val="continue"/>
            <w:tcBorders>
              <w:top w:val="single" w:color="auto" w:sz="4" w:space="0"/>
              <w:left w:val="single" w:color="auto" w:sz="4" w:space="0"/>
              <w:bottom w:val="single" w:color="auto" w:sz="4" w:space="0"/>
              <w:right w:val="single" w:color="auto" w:sz="4" w:space="0"/>
            </w:tcBorders>
            <w:vAlign w:val="center"/>
          </w:tcPr>
          <w:p w14:paraId="08466263">
            <w:pPr>
              <w:jc w:val="left"/>
              <w:rPr>
                <w:rFonts w:ascii="宋体" w:hAnsi="宋体" w:cs="宋体"/>
                <w:color w:val="auto"/>
                <w:sz w:val="24"/>
                <w:highlight w:val="none"/>
              </w:rPr>
            </w:pPr>
          </w:p>
        </w:tc>
        <w:tc>
          <w:tcPr>
            <w:tcW w:w="1913" w:type="dxa"/>
            <w:vMerge w:val="continue"/>
            <w:tcBorders>
              <w:top w:val="single" w:color="auto" w:sz="4" w:space="0"/>
              <w:left w:val="single" w:color="auto" w:sz="4" w:space="0"/>
              <w:bottom w:val="single" w:color="auto" w:sz="4" w:space="0"/>
              <w:right w:val="single" w:color="auto" w:sz="4" w:space="0"/>
            </w:tcBorders>
            <w:vAlign w:val="center"/>
          </w:tcPr>
          <w:p w14:paraId="15973FB0">
            <w:pPr>
              <w:jc w:val="left"/>
              <w:rPr>
                <w:rFonts w:ascii="宋体" w:hAnsi="宋体" w:cs="宋体"/>
                <w:color w:val="auto"/>
                <w:sz w:val="24"/>
                <w:highlight w:val="none"/>
              </w:rPr>
            </w:pPr>
          </w:p>
        </w:tc>
        <w:tc>
          <w:tcPr>
            <w:tcW w:w="3087" w:type="dxa"/>
            <w:vMerge w:val="continue"/>
            <w:tcBorders>
              <w:top w:val="single" w:color="auto" w:sz="4" w:space="0"/>
              <w:left w:val="single" w:color="auto" w:sz="4" w:space="0"/>
              <w:bottom w:val="single" w:color="auto" w:sz="4" w:space="0"/>
              <w:right w:val="single" w:color="auto" w:sz="4" w:space="0"/>
            </w:tcBorders>
            <w:vAlign w:val="center"/>
          </w:tcPr>
          <w:p w14:paraId="50521A57">
            <w:pPr>
              <w:jc w:val="left"/>
              <w:rPr>
                <w:rFonts w:ascii="宋体" w:hAnsi="宋体" w:cs="宋体"/>
                <w:color w:val="auto"/>
                <w:sz w:val="24"/>
                <w:highlight w:val="none"/>
              </w:rPr>
            </w:pPr>
          </w:p>
        </w:tc>
      </w:tr>
      <w:tr w14:paraId="253A1B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2" w:hRule="atLeast"/>
        </w:trPr>
        <w:tc>
          <w:tcPr>
            <w:tcW w:w="2305" w:type="dxa"/>
            <w:tcBorders>
              <w:top w:val="single" w:color="auto" w:sz="4" w:space="0"/>
              <w:left w:val="single" w:color="auto" w:sz="4" w:space="0"/>
              <w:bottom w:val="single" w:color="auto" w:sz="4" w:space="0"/>
              <w:right w:val="single" w:color="auto" w:sz="4" w:space="0"/>
            </w:tcBorders>
          </w:tcPr>
          <w:p w14:paraId="01ABE2EC">
            <w:pPr>
              <w:snapToGrid w:val="0"/>
              <w:spacing w:line="240" w:lineRule="exact"/>
              <w:jc w:val="left"/>
              <w:rPr>
                <w:rFonts w:ascii="宋体" w:hAnsi="宋体" w:cs="宋体"/>
                <w:color w:val="auto"/>
                <w:sz w:val="24"/>
                <w:highlight w:val="none"/>
              </w:rPr>
            </w:pPr>
          </w:p>
        </w:tc>
        <w:tc>
          <w:tcPr>
            <w:tcW w:w="1913" w:type="dxa"/>
            <w:tcBorders>
              <w:top w:val="single" w:color="auto" w:sz="4" w:space="0"/>
              <w:left w:val="single" w:color="auto" w:sz="4" w:space="0"/>
              <w:bottom w:val="single" w:color="auto" w:sz="4" w:space="0"/>
              <w:right w:val="single" w:color="auto" w:sz="4" w:space="0"/>
            </w:tcBorders>
          </w:tcPr>
          <w:p w14:paraId="7F63811C">
            <w:pPr>
              <w:snapToGrid w:val="0"/>
              <w:spacing w:line="240" w:lineRule="exact"/>
              <w:jc w:val="left"/>
              <w:rPr>
                <w:rFonts w:ascii="宋体" w:hAnsi="宋体" w:cs="宋体"/>
                <w:color w:val="auto"/>
                <w:sz w:val="24"/>
                <w:highlight w:val="none"/>
              </w:rPr>
            </w:pPr>
          </w:p>
        </w:tc>
        <w:tc>
          <w:tcPr>
            <w:tcW w:w="1913" w:type="dxa"/>
            <w:tcBorders>
              <w:top w:val="single" w:color="auto" w:sz="4" w:space="0"/>
              <w:left w:val="single" w:color="auto" w:sz="4" w:space="0"/>
              <w:bottom w:val="single" w:color="auto" w:sz="4" w:space="0"/>
              <w:right w:val="single" w:color="auto" w:sz="4" w:space="0"/>
            </w:tcBorders>
          </w:tcPr>
          <w:p w14:paraId="38F81F2A">
            <w:pPr>
              <w:snapToGrid w:val="0"/>
              <w:spacing w:line="240" w:lineRule="exact"/>
              <w:jc w:val="left"/>
              <w:rPr>
                <w:rFonts w:ascii="宋体" w:hAnsi="宋体" w:cs="宋体"/>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tcPr>
          <w:p w14:paraId="50E0D8A4">
            <w:pPr>
              <w:snapToGrid w:val="0"/>
              <w:spacing w:line="240" w:lineRule="exact"/>
              <w:jc w:val="left"/>
              <w:rPr>
                <w:rFonts w:ascii="宋体" w:hAnsi="宋体" w:cs="宋体"/>
                <w:color w:val="auto"/>
                <w:sz w:val="24"/>
                <w:highlight w:val="none"/>
              </w:rPr>
            </w:pPr>
          </w:p>
        </w:tc>
      </w:tr>
      <w:tr w14:paraId="11D47A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3" w:hRule="atLeast"/>
        </w:trPr>
        <w:tc>
          <w:tcPr>
            <w:tcW w:w="2305" w:type="dxa"/>
            <w:tcBorders>
              <w:top w:val="single" w:color="auto" w:sz="4" w:space="0"/>
              <w:left w:val="single" w:color="auto" w:sz="4" w:space="0"/>
              <w:bottom w:val="single" w:color="auto" w:sz="4" w:space="0"/>
              <w:right w:val="single" w:color="auto" w:sz="4" w:space="0"/>
            </w:tcBorders>
          </w:tcPr>
          <w:p w14:paraId="21555CFB">
            <w:pPr>
              <w:snapToGrid w:val="0"/>
              <w:spacing w:before="50" w:after="166" w:afterLines="50" w:line="400" w:lineRule="exact"/>
              <w:jc w:val="left"/>
              <w:rPr>
                <w:rFonts w:ascii="宋体" w:hAnsi="宋体" w:cs="宋体"/>
                <w:color w:val="auto"/>
                <w:sz w:val="24"/>
                <w:highlight w:val="none"/>
              </w:rPr>
            </w:pPr>
          </w:p>
        </w:tc>
        <w:tc>
          <w:tcPr>
            <w:tcW w:w="1913" w:type="dxa"/>
            <w:tcBorders>
              <w:top w:val="single" w:color="auto" w:sz="4" w:space="0"/>
              <w:left w:val="single" w:color="auto" w:sz="4" w:space="0"/>
              <w:bottom w:val="single" w:color="auto" w:sz="4" w:space="0"/>
              <w:right w:val="single" w:color="auto" w:sz="4" w:space="0"/>
            </w:tcBorders>
          </w:tcPr>
          <w:p w14:paraId="7F4CFC4A">
            <w:pPr>
              <w:snapToGrid w:val="0"/>
              <w:spacing w:before="50" w:after="166" w:afterLines="50" w:line="400" w:lineRule="exact"/>
              <w:jc w:val="left"/>
              <w:rPr>
                <w:rFonts w:ascii="宋体" w:hAnsi="宋体" w:cs="宋体"/>
                <w:color w:val="auto"/>
                <w:sz w:val="24"/>
                <w:highlight w:val="none"/>
              </w:rPr>
            </w:pPr>
          </w:p>
        </w:tc>
        <w:tc>
          <w:tcPr>
            <w:tcW w:w="1913" w:type="dxa"/>
            <w:tcBorders>
              <w:top w:val="single" w:color="auto" w:sz="4" w:space="0"/>
              <w:left w:val="single" w:color="auto" w:sz="4" w:space="0"/>
              <w:bottom w:val="single" w:color="auto" w:sz="4" w:space="0"/>
              <w:right w:val="single" w:color="auto" w:sz="4" w:space="0"/>
            </w:tcBorders>
          </w:tcPr>
          <w:p w14:paraId="0DFA7281">
            <w:pPr>
              <w:snapToGrid w:val="0"/>
              <w:spacing w:before="50" w:after="166" w:afterLines="50" w:line="400" w:lineRule="exact"/>
              <w:jc w:val="left"/>
              <w:rPr>
                <w:rFonts w:ascii="宋体" w:hAnsi="宋体" w:cs="宋体"/>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tcPr>
          <w:p w14:paraId="13A20AD7">
            <w:pPr>
              <w:snapToGrid w:val="0"/>
              <w:spacing w:before="50" w:after="166" w:afterLines="50" w:line="400" w:lineRule="exact"/>
              <w:jc w:val="left"/>
              <w:rPr>
                <w:rFonts w:ascii="宋体" w:hAnsi="宋体" w:cs="宋体"/>
                <w:color w:val="auto"/>
                <w:sz w:val="24"/>
                <w:highlight w:val="none"/>
              </w:rPr>
            </w:pPr>
          </w:p>
        </w:tc>
      </w:tr>
      <w:tr w14:paraId="0CD03A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1" w:hRule="atLeast"/>
        </w:trPr>
        <w:tc>
          <w:tcPr>
            <w:tcW w:w="2305" w:type="dxa"/>
            <w:tcBorders>
              <w:top w:val="single" w:color="auto" w:sz="4" w:space="0"/>
              <w:left w:val="single" w:color="auto" w:sz="4" w:space="0"/>
              <w:bottom w:val="single" w:color="auto" w:sz="4" w:space="0"/>
              <w:right w:val="single" w:color="auto" w:sz="4" w:space="0"/>
            </w:tcBorders>
          </w:tcPr>
          <w:p w14:paraId="1FB2243C">
            <w:pPr>
              <w:snapToGrid w:val="0"/>
              <w:spacing w:before="50" w:after="166" w:afterLines="50" w:line="400" w:lineRule="exact"/>
              <w:jc w:val="left"/>
              <w:rPr>
                <w:rFonts w:ascii="宋体" w:hAnsi="宋体" w:cs="宋体"/>
                <w:color w:val="auto"/>
                <w:sz w:val="24"/>
                <w:highlight w:val="none"/>
              </w:rPr>
            </w:pPr>
          </w:p>
        </w:tc>
        <w:tc>
          <w:tcPr>
            <w:tcW w:w="1913" w:type="dxa"/>
            <w:tcBorders>
              <w:top w:val="single" w:color="auto" w:sz="4" w:space="0"/>
              <w:left w:val="single" w:color="auto" w:sz="4" w:space="0"/>
              <w:bottom w:val="single" w:color="auto" w:sz="4" w:space="0"/>
              <w:right w:val="single" w:color="auto" w:sz="4" w:space="0"/>
            </w:tcBorders>
          </w:tcPr>
          <w:p w14:paraId="6C981F51">
            <w:pPr>
              <w:snapToGrid w:val="0"/>
              <w:spacing w:before="50" w:after="166" w:afterLines="50" w:line="400" w:lineRule="exact"/>
              <w:jc w:val="left"/>
              <w:rPr>
                <w:rFonts w:ascii="宋体" w:hAnsi="宋体" w:cs="宋体"/>
                <w:color w:val="auto"/>
                <w:sz w:val="24"/>
                <w:highlight w:val="none"/>
              </w:rPr>
            </w:pPr>
          </w:p>
        </w:tc>
        <w:tc>
          <w:tcPr>
            <w:tcW w:w="1913" w:type="dxa"/>
            <w:tcBorders>
              <w:top w:val="single" w:color="auto" w:sz="4" w:space="0"/>
              <w:left w:val="single" w:color="auto" w:sz="4" w:space="0"/>
              <w:bottom w:val="single" w:color="auto" w:sz="4" w:space="0"/>
              <w:right w:val="single" w:color="auto" w:sz="4" w:space="0"/>
            </w:tcBorders>
          </w:tcPr>
          <w:p w14:paraId="68F90F39">
            <w:pPr>
              <w:snapToGrid w:val="0"/>
              <w:spacing w:before="50" w:after="166" w:afterLines="50" w:line="400" w:lineRule="exact"/>
              <w:jc w:val="left"/>
              <w:rPr>
                <w:rFonts w:ascii="宋体" w:hAnsi="宋体" w:cs="宋体"/>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tcPr>
          <w:p w14:paraId="2E3DE3DA">
            <w:pPr>
              <w:snapToGrid w:val="0"/>
              <w:spacing w:before="50" w:after="166" w:afterLines="50" w:line="400" w:lineRule="exact"/>
              <w:jc w:val="left"/>
              <w:rPr>
                <w:rFonts w:ascii="宋体" w:hAnsi="宋体" w:cs="宋体"/>
                <w:color w:val="auto"/>
                <w:sz w:val="24"/>
                <w:highlight w:val="none"/>
              </w:rPr>
            </w:pPr>
          </w:p>
        </w:tc>
      </w:tr>
      <w:tr w14:paraId="1D0196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3" w:hRule="atLeast"/>
        </w:trPr>
        <w:tc>
          <w:tcPr>
            <w:tcW w:w="2305" w:type="dxa"/>
            <w:tcBorders>
              <w:top w:val="single" w:color="auto" w:sz="4" w:space="0"/>
              <w:left w:val="single" w:color="auto" w:sz="4" w:space="0"/>
              <w:bottom w:val="single" w:color="auto" w:sz="4" w:space="0"/>
              <w:right w:val="single" w:color="auto" w:sz="4" w:space="0"/>
            </w:tcBorders>
          </w:tcPr>
          <w:p w14:paraId="0932F6AA">
            <w:pPr>
              <w:snapToGrid w:val="0"/>
              <w:spacing w:before="50" w:after="166" w:afterLines="50" w:line="400" w:lineRule="exact"/>
              <w:jc w:val="left"/>
              <w:rPr>
                <w:rFonts w:ascii="宋体" w:hAnsi="宋体" w:cs="宋体"/>
                <w:color w:val="auto"/>
                <w:sz w:val="24"/>
                <w:highlight w:val="none"/>
              </w:rPr>
            </w:pPr>
          </w:p>
        </w:tc>
        <w:tc>
          <w:tcPr>
            <w:tcW w:w="1913" w:type="dxa"/>
            <w:tcBorders>
              <w:top w:val="single" w:color="auto" w:sz="4" w:space="0"/>
              <w:left w:val="single" w:color="auto" w:sz="4" w:space="0"/>
              <w:bottom w:val="single" w:color="auto" w:sz="4" w:space="0"/>
              <w:right w:val="single" w:color="auto" w:sz="4" w:space="0"/>
            </w:tcBorders>
          </w:tcPr>
          <w:p w14:paraId="0BE16FD4">
            <w:pPr>
              <w:snapToGrid w:val="0"/>
              <w:spacing w:before="50" w:after="166" w:afterLines="50" w:line="400" w:lineRule="exact"/>
              <w:jc w:val="left"/>
              <w:rPr>
                <w:rFonts w:ascii="宋体" w:hAnsi="宋体" w:cs="宋体"/>
                <w:color w:val="auto"/>
                <w:sz w:val="24"/>
                <w:highlight w:val="none"/>
              </w:rPr>
            </w:pPr>
          </w:p>
        </w:tc>
        <w:tc>
          <w:tcPr>
            <w:tcW w:w="1913" w:type="dxa"/>
            <w:tcBorders>
              <w:top w:val="single" w:color="auto" w:sz="4" w:space="0"/>
              <w:left w:val="single" w:color="auto" w:sz="4" w:space="0"/>
              <w:bottom w:val="single" w:color="auto" w:sz="4" w:space="0"/>
              <w:right w:val="single" w:color="auto" w:sz="4" w:space="0"/>
            </w:tcBorders>
          </w:tcPr>
          <w:p w14:paraId="03B3A077">
            <w:pPr>
              <w:snapToGrid w:val="0"/>
              <w:spacing w:before="50" w:after="166" w:afterLines="50" w:line="400" w:lineRule="exact"/>
              <w:jc w:val="left"/>
              <w:rPr>
                <w:rFonts w:ascii="宋体" w:hAnsi="宋体" w:cs="宋体"/>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tcPr>
          <w:p w14:paraId="7A959ACA">
            <w:pPr>
              <w:snapToGrid w:val="0"/>
              <w:spacing w:before="50" w:after="166" w:afterLines="50" w:line="400" w:lineRule="exact"/>
              <w:jc w:val="left"/>
              <w:rPr>
                <w:rFonts w:ascii="宋体" w:hAnsi="宋体" w:cs="宋体"/>
                <w:color w:val="auto"/>
                <w:sz w:val="24"/>
                <w:highlight w:val="none"/>
              </w:rPr>
            </w:pPr>
          </w:p>
        </w:tc>
      </w:tr>
      <w:tr w14:paraId="781B21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6" w:hRule="atLeast"/>
        </w:trPr>
        <w:tc>
          <w:tcPr>
            <w:tcW w:w="2305" w:type="dxa"/>
            <w:tcBorders>
              <w:top w:val="single" w:color="auto" w:sz="4" w:space="0"/>
              <w:left w:val="single" w:color="auto" w:sz="4" w:space="0"/>
              <w:bottom w:val="single" w:color="auto" w:sz="4" w:space="0"/>
              <w:right w:val="single" w:color="auto" w:sz="4" w:space="0"/>
            </w:tcBorders>
          </w:tcPr>
          <w:p w14:paraId="382691D6">
            <w:pPr>
              <w:snapToGrid w:val="0"/>
              <w:spacing w:before="50" w:after="166" w:afterLines="50" w:line="400" w:lineRule="exact"/>
              <w:jc w:val="left"/>
              <w:rPr>
                <w:rFonts w:ascii="宋体" w:hAnsi="宋体" w:cs="宋体"/>
                <w:color w:val="auto"/>
                <w:sz w:val="24"/>
                <w:highlight w:val="none"/>
              </w:rPr>
            </w:pPr>
          </w:p>
        </w:tc>
        <w:tc>
          <w:tcPr>
            <w:tcW w:w="1913" w:type="dxa"/>
            <w:tcBorders>
              <w:top w:val="single" w:color="auto" w:sz="4" w:space="0"/>
              <w:left w:val="single" w:color="auto" w:sz="4" w:space="0"/>
              <w:bottom w:val="single" w:color="auto" w:sz="4" w:space="0"/>
              <w:right w:val="single" w:color="auto" w:sz="4" w:space="0"/>
            </w:tcBorders>
          </w:tcPr>
          <w:p w14:paraId="0AB02F04">
            <w:pPr>
              <w:snapToGrid w:val="0"/>
              <w:spacing w:before="50" w:after="166" w:afterLines="50" w:line="400" w:lineRule="exact"/>
              <w:jc w:val="left"/>
              <w:rPr>
                <w:rFonts w:ascii="宋体" w:hAnsi="宋体" w:cs="宋体"/>
                <w:color w:val="auto"/>
                <w:sz w:val="24"/>
                <w:highlight w:val="none"/>
              </w:rPr>
            </w:pPr>
          </w:p>
        </w:tc>
        <w:tc>
          <w:tcPr>
            <w:tcW w:w="1913" w:type="dxa"/>
            <w:tcBorders>
              <w:top w:val="single" w:color="auto" w:sz="4" w:space="0"/>
              <w:left w:val="single" w:color="auto" w:sz="4" w:space="0"/>
              <w:bottom w:val="single" w:color="auto" w:sz="4" w:space="0"/>
              <w:right w:val="single" w:color="auto" w:sz="4" w:space="0"/>
            </w:tcBorders>
          </w:tcPr>
          <w:p w14:paraId="3F672E33">
            <w:pPr>
              <w:snapToGrid w:val="0"/>
              <w:spacing w:before="50" w:after="166" w:afterLines="50" w:line="400" w:lineRule="exact"/>
              <w:jc w:val="left"/>
              <w:rPr>
                <w:rFonts w:ascii="宋体" w:hAnsi="宋体" w:cs="宋体"/>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tcPr>
          <w:p w14:paraId="53909C32">
            <w:pPr>
              <w:snapToGrid w:val="0"/>
              <w:spacing w:before="50" w:after="166" w:afterLines="50" w:line="400" w:lineRule="exact"/>
              <w:jc w:val="left"/>
              <w:rPr>
                <w:rFonts w:ascii="宋体" w:hAnsi="宋体" w:cs="宋体"/>
                <w:color w:val="auto"/>
                <w:sz w:val="24"/>
                <w:highlight w:val="none"/>
              </w:rPr>
            </w:pPr>
          </w:p>
        </w:tc>
      </w:tr>
    </w:tbl>
    <w:p w14:paraId="21417EC2">
      <w:pPr>
        <w:pStyle w:val="15"/>
        <w:spacing w:before="0" w:after="0" w:line="360" w:lineRule="auto"/>
        <w:contextualSpacing/>
        <w:rPr>
          <w:rFonts w:ascii="宋体" w:hAnsi="宋体" w:eastAsia="宋体" w:cs="宋体"/>
          <w:color w:val="auto"/>
          <w:sz w:val="24"/>
          <w:szCs w:val="24"/>
          <w:highlight w:val="none"/>
        </w:rPr>
      </w:pPr>
    </w:p>
    <w:p w14:paraId="3259C1A9">
      <w:pPr>
        <w:pStyle w:val="15"/>
        <w:spacing w:before="0" w:after="0" w:line="360" w:lineRule="auto"/>
        <w:contextualSpacing/>
        <w:rPr>
          <w:rFonts w:ascii="楷体" w:hAnsi="楷体" w:eastAsia="楷体" w:cs="宋体"/>
          <w:color w:val="auto"/>
          <w:sz w:val="24"/>
          <w:highlight w:val="none"/>
        </w:rPr>
      </w:pPr>
      <w:r>
        <w:rPr>
          <w:rFonts w:hint="eastAsia" w:ascii="楷体" w:hAnsi="楷体" w:eastAsia="楷体" w:cs="宋体"/>
          <w:color w:val="auto"/>
          <w:sz w:val="24"/>
          <w:szCs w:val="24"/>
          <w:highlight w:val="none"/>
        </w:rPr>
        <w:t>注：</w:t>
      </w:r>
      <w:r>
        <w:rPr>
          <w:rFonts w:hint="eastAsia" w:ascii="楷体" w:hAnsi="楷体" w:eastAsia="楷体" w:cs="宋体"/>
          <w:color w:val="auto"/>
          <w:sz w:val="24"/>
          <w:highlight w:val="none"/>
        </w:rPr>
        <w:t>投标人根据评标标准具体要求附业绩证明材料。</w:t>
      </w:r>
    </w:p>
    <w:p w14:paraId="64B1F12D">
      <w:pPr>
        <w:rPr>
          <w:color w:val="auto"/>
          <w:highlight w:val="none"/>
        </w:rPr>
      </w:pPr>
    </w:p>
    <w:p w14:paraId="0889BE9F">
      <w:pPr>
        <w:snapToGrid w:val="0"/>
        <w:spacing w:before="50" w:after="50"/>
        <w:ind w:firstLine="3360" w:firstLineChars="1400"/>
        <w:rPr>
          <w:rFonts w:ascii="宋体" w:hAnsi="宋体" w:cs="宋体"/>
          <w:color w:val="auto"/>
          <w:kern w:val="0"/>
          <w:sz w:val="24"/>
          <w:highlight w:val="none"/>
        </w:rPr>
      </w:pPr>
      <w:r>
        <w:rPr>
          <w:rFonts w:hint="eastAsia" w:ascii="宋体" w:hAnsi="宋体" w:cs="宋体"/>
          <w:color w:val="auto"/>
          <w:kern w:val="0"/>
          <w:sz w:val="24"/>
          <w:highlight w:val="none"/>
        </w:rPr>
        <w:t>法定代表人或者委托代理人（签字）：</w:t>
      </w:r>
      <w:r>
        <w:rPr>
          <w:rFonts w:hint="eastAsia" w:ascii="宋体" w:hAnsi="宋体" w:cs="宋体"/>
          <w:color w:val="auto"/>
          <w:kern w:val="0"/>
          <w:sz w:val="24"/>
          <w:highlight w:val="none"/>
          <w:u w:val="single"/>
        </w:rPr>
        <w:t xml:space="preserve"> </w:t>
      </w:r>
      <w:r>
        <w:rPr>
          <w:rFonts w:ascii="宋体" w:hAnsi="宋体" w:cs="宋体"/>
          <w:color w:val="auto"/>
          <w:kern w:val="0"/>
          <w:sz w:val="24"/>
          <w:highlight w:val="none"/>
          <w:u w:val="single"/>
        </w:rPr>
        <w:t xml:space="preserve">        </w:t>
      </w:r>
      <w:r>
        <w:rPr>
          <w:rFonts w:hint="eastAsia" w:ascii="宋体" w:hAnsi="宋体" w:cs="宋体"/>
          <w:color w:val="auto"/>
          <w:kern w:val="0"/>
          <w:sz w:val="24"/>
          <w:highlight w:val="none"/>
        </w:rPr>
        <w:t xml:space="preserve">        </w:t>
      </w:r>
    </w:p>
    <w:p w14:paraId="5F02B50B">
      <w:pPr>
        <w:snapToGrid w:val="0"/>
        <w:spacing w:before="166" w:beforeLines="50"/>
        <w:ind w:firstLine="3360" w:firstLineChars="1400"/>
        <w:rPr>
          <w:rFonts w:ascii="宋体" w:hAnsi="宋体" w:cs="宋体"/>
          <w:color w:val="auto"/>
          <w:kern w:val="0"/>
          <w:sz w:val="24"/>
          <w:highlight w:val="none"/>
        </w:rPr>
      </w:pPr>
      <w:r>
        <w:rPr>
          <w:rFonts w:hint="eastAsia" w:ascii="宋体" w:hAnsi="宋体" w:cs="宋体"/>
          <w:color w:val="auto"/>
          <w:kern w:val="0"/>
          <w:sz w:val="24"/>
          <w:highlight w:val="none"/>
        </w:rPr>
        <w:t>投标人</w:t>
      </w:r>
      <w:r>
        <w:rPr>
          <w:rFonts w:hint="eastAsia" w:ascii="黑体" w:hAnsi="黑体" w:eastAsia="黑体" w:cs="宋体"/>
          <w:color w:val="auto"/>
          <w:kern w:val="0"/>
          <w:sz w:val="24"/>
          <w:highlight w:val="none"/>
        </w:rPr>
        <w:t>（</w:t>
      </w:r>
      <w:r>
        <w:rPr>
          <w:rFonts w:hint="eastAsia" w:ascii="宋体" w:hAnsi="宋体" w:cs="宋体"/>
          <w:color w:val="auto"/>
          <w:kern w:val="0"/>
          <w:sz w:val="24"/>
          <w:highlight w:val="none"/>
        </w:rPr>
        <w:t>公章</w:t>
      </w:r>
      <w:r>
        <w:rPr>
          <w:rFonts w:hint="eastAsia" w:ascii="黑体" w:hAnsi="黑体" w:eastAsia="黑体" w:cs="宋体"/>
          <w:color w:val="auto"/>
          <w:kern w:val="0"/>
          <w:sz w:val="24"/>
          <w:highlight w:val="none"/>
        </w:rPr>
        <w:t>）</w:t>
      </w:r>
      <w:r>
        <w:rPr>
          <w:rFonts w:hint="eastAsia" w:ascii="宋体" w:hAnsi="宋体" w:cs="宋体"/>
          <w:color w:val="auto"/>
          <w:kern w:val="0"/>
          <w:sz w:val="24"/>
          <w:highlight w:val="none"/>
        </w:rPr>
        <w:t>：</w:t>
      </w:r>
      <w:r>
        <w:rPr>
          <w:rFonts w:hint="eastAsia" w:ascii="宋体" w:hAnsi="宋体" w:cs="宋体"/>
          <w:color w:val="auto"/>
          <w:kern w:val="0"/>
          <w:sz w:val="24"/>
          <w:highlight w:val="none"/>
          <w:u w:val="single"/>
        </w:rPr>
        <w:t xml:space="preserve"> </w:t>
      </w:r>
      <w:r>
        <w:rPr>
          <w:rFonts w:ascii="宋体" w:hAnsi="宋体" w:cs="宋体"/>
          <w:color w:val="auto"/>
          <w:kern w:val="0"/>
          <w:sz w:val="24"/>
          <w:highlight w:val="none"/>
          <w:u w:val="single"/>
        </w:rPr>
        <w:t xml:space="preserve">                    </w:t>
      </w:r>
      <w:r>
        <w:rPr>
          <w:rFonts w:hint="eastAsia" w:ascii="宋体" w:hAnsi="宋体" w:cs="宋体"/>
          <w:color w:val="auto"/>
          <w:kern w:val="0"/>
          <w:sz w:val="24"/>
          <w:highlight w:val="none"/>
        </w:rPr>
        <w:t xml:space="preserve">               </w:t>
      </w:r>
    </w:p>
    <w:p w14:paraId="6ACA687C">
      <w:pPr>
        <w:snapToGrid w:val="0"/>
        <w:spacing w:before="166" w:beforeLines="50"/>
        <w:ind w:firstLine="3360" w:firstLineChars="1400"/>
        <w:rPr>
          <w:rFonts w:cs="宋体" w:asciiTheme="minorEastAsia" w:hAnsiTheme="minorEastAsia" w:eastAsiaTheme="minorEastAsia"/>
          <w:color w:val="auto"/>
          <w:kern w:val="0"/>
          <w:sz w:val="24"/>
          <w:highlight w:val="none"/>
        </w:rPr>
      </w:pPr>
      <w:r>
        <w:rPr>
          <w:rFonts w:hint="eastAsia" w:ascii="宋体" w:hAnsi="宋体" w:cs="宋体"/>
          <w:color w:val="auto"/>
          <w:kern w:val="0"/>
          <w:sz w:val="24"/>
          <w:highlight w:val="none"/>
        </w:rPr>
        <w:t xml:space="preserve">日  期：   </w:t>
      </w:r>
      <w:r>
        <w:rPr>
          <w:rFonts w:hint="eastAsia" w:ascii="黑体" w:hAnsi="黑体" w:eastAsia="黑体" w:cs="宋体"/>
          <w:b/>
          <w:color w:val="auto"/>
          <w:kern w:val="0"/>
          <w:sz w:val="24"/>
          <w:highlight w:val="none"/>
          <w:u w:val="single"/>
        </w:rPr>
        <w:t xml:space="preserve">     </w:t>
      </w:r>
      <w:r>
        <w:rPr>
          <w:rFonts w:ascii="黑体" w:hAnsi="黑体" w:eastAsia="黑体" w:cs="宋体"/>
          <w:b/>
          <w:color w:val="auto"/>
          <w:kern w:val="0"/>
          <w:sz w:val="24"/>
          <w:highlight w:val="none"/>
          <w:u w:val="single"/>
        </w:rPr>
        <w:t xml:space="preserve"> </w:t>
      </w:r>
      <w:r>
        <w:rPr>
          <w:rFonts w:hint="eastAsia" w:ascii="黑体" w:hAnsi="黑体" w:eastAsia="黑体" w:cs="宋体"/>
          <w:b/>
          <w:color w:val="auto"/>
          <w:kern w:val="0"/>
          <w:sz w:val="24"/>
          <w:highlight w:val="none"/>
          <w:u w:val="single"/>
        </w:rPr>
        <w:t xml:space="preserve"> </w:t>
      </w:r>
      <w:r>
        <w:rPr>
          <w:rFonts w:hint="eastAsia" w:cs="宋体" w:asciiTheme="minorEastAsia" w:hAnsiTheme="minorEastAsia" w:eastAsiaTheme="minorEastAsia"/>
          <w:color w:val="auto"/>
          <w:kern w:val="0"/>
          <w:sz w:val="24"/>
          <w:highlight w:val="none"/>
        </w:rPr>
        <w:t>年</w:t>
      </w:r>
      <w:r>
        <w:rPr>
          <w:rFonts w:cs="宋体" w:asciiTheme="minorEastAsia" w:hAnsiTheme="minorEastAsia" w:eastAsiaTheme="minorEastAsia"/>
          <w:color w:val="auto"/>
          <w:kern w:val="0"/>
          <w:sz w:val="24"/>
          <w:highlight w:val="none"/>
          <w:u w:val="single"/>
        </w:rPr>
        <w:t xml:space="preserve">  </w:t>
      </w:r>
      <w:r>
        <w:rPr>
          <w:rFonts w:hint="eastAsia" w:cs="宋体" w:asciiTheme="minorEastAsia" w:hAnsiTheme="minorEastAsia" w:eastAsiaTheme="minorEastAsia"/>
          <w:color w:val="auto"/>
          <w:kern w:val="0"/>
          <w:sz w:val="24"/>
          <w:highlight w:val="none"/>
        </w:rPr>
        <w:t>月</w:t>
      </w:r>
      <w:r>
        <w:rPr>
          <w:rFonts w:cs="宋体" w:asciiTheme="minorEastAsia" w:hAnsiTheme="minorEastAsia" w:eastAsiaTheme="minorEastAsia"/>
          <w:color w:val="auto"/>
          <w:kern w:val="0"/>
          <w:sz w:val="24"/>
          <w:highlight w:val="none"/>
          <w:u w:val="single"/>
        </w:rPr>
        <w:t xml:space="preserve">  </w:t>
      </w:r>
      <w:r>
        <w:rPr>
          <w:rFonts w:hint="eastAsia" w:cs="宋体" w:asciiTheme="minorEastAsia" w:hAnsiTheme="minorEastAsia" w:eastAsiaTheme="minorEastAsia"/>
          <w:color w:val="auto"/>
          <w:kern w:val="0"/>
          <w:sz w:val="24"/>
          <w:highlight w:val="none"/>
        </w:rPr>
        <w:t>日</w:t>
      </w:r>
    </w:p>
    <w:p w14:paraId="15249505">
      <w:pPr>
        <w:snapToGrid w:val="0"/>
        <w:spacing w:before="50"/>
        <w:ind w:firstLine="480" w:firstLineChars="200"/>
        <w:jc w:val="left"/>
        <w:rPr>
          <w:rFonts w:ascii="宋体" w:hAnsi="宋体" w:cs="宋体"/>
          <w:color w:val="auto"/>
          <w:sz w:val="24"/>
          <w:szCs w:val="20"/>
          <w:highlight w:val="none"/>
        </w:rPr>
      </w:pPr>
    </w:p>
    <w:p w14:paraId="0DB70B1E">
      <w:pPr>
        <w:snapToGrid w:val="0"/>
        <w:spacing w:before="50"/>
        <w:jc w:val="left"/>
        <w:rPr>
          <w:rFonts w:ascii="宋体" w:hAnsi="宋体" w:cs="宋体"/>
          <w:color w:val="auto"/>
          <w:sz w:val="24"/>
          <w:highlight w:val="none"/>
        </w:rPr>
      </w:pPr>
    </w:p>
    <w:p w14:paraId="54084F14">
      <w:pPr>
        <w:snapToGrid w:val="0"/>
        <w:spacing w:before="166" w:beforeLines="50"/>
        <w:rPr>
          <w:rFonts w:ascii="宋体" w:hAnsi="宋体" w:cs="宋体"/>
          <w:color w:val="auto"/>
          <w:sz w:val="24"/>
          <w:szCs w:val="20"/>
          <w:highlight w:val="none"/>
        </w:rPr>
        <w:sectPr>
          <w:pgSz w:w="11906" w:h="16838"/>
          <w:pgMar w:top="1417" w:right="1417" w:bottom="1417" w:left="1417" w:header="720" w:footer="720" w:gutter="0"/>
          <w:cols w:space="0" w:num="1"/>
          <w:docGrid w:type="lines" w:linePitch="333" w:charSpace="0"/>
        </w:sectPr>
      </w:pPr>
    </w:p>
    <w:p w14:paraId="4590227D">
      <w:pPr>
        <w:rPr>
          <w:rFonts w:ascii="宋体" w:hAnsi="宋体" w:cs="宋体"/>
          <w:b/>
          <w:color w:val="auto"/>
          <w:sz w:val="28"/>
          <w:szCs w:val="28"/>
          <w:highlight w:val="none"/>
        </w:rPr>
      </w:pPr>
      <w:r>
        <w:rPr>
          <w:rFonts w:hint="eastAsia" w:ascii="宋体" w:hAnsi="宋体" w:cs="宋体"/>
          <w:b/>
          <w:color w:val="auto"/>
          <w:sz w:val="28"/>
          <w:szCs w:val="28"/>
          <w:highlight w:val="none"/>
        </w:rPr>
        <w:t>四、技术文件格式</w:t>
      </w:r>
    </w:p>
    <w:p w14:paraId="6C3519E0">
      <w:pPr>
        <w:snapToGrid w:val="0"/>
        <w:spacing w:before="166" w:beforeLines="50" w:after="50"/>
        <w:ind w:left="142"/>
        <w:jc w:val="left"/>
        <w:rPr>
          <w:rFonts w:ascii="宋体" w:hAnsi="宋体" w:cs="宋体"/>
          <w:b/>
          <w:color w:val="auto"/>
          <w:sz w:val="24"/>
          <w:highlight w:val="none"/>
        </w:rPr>
      </w:pPr>
      <w:r>
        <w:rPr>
          <w:rFonts w:hint="eastAsia" w:ascii="宋体" w:hAnsi="宋体" w:cs="宋体"/>
          <w:b/>
          <w:color w:val="auto"/>
          <w:sz w:val="24"/>
          <w:highlight w:val="none"/>
        </w:rPr>
        <w:t xml:space="preserve">1. 技术文件封面格式： </w:t>
      </w:r>
    </w:p>
    <w:p w14:paraId="2F1DF871">
      <w:pPr>
        <w:snapToGrid w:val="0"/>
        <w:spacing w:before="166" w:beforeLines="50" w:after="50"/>
        <w:rPr>
          <w:rFonts w:ascii="宋体" w:hAnsi="宋体" w:cs="宋体"/>
          <w:b/>
          <w:bCs/>
          <w:color w:val="auto"/>
          <w:sz w:val="32"/>
          <w:szCs w:val="20"/>
          <w:highlight w:val="none"/>
        </w:rPr>
      </w:pPr>
      <w:r>
        <w:rPr>
          <w:rFonts w:hint="eastAsia" w:ascii="宋体" w:hAnsi="宋体" w:cs="宋体"/>
          <w:color w:val="auto"/>
          <w:sz w:val="24"/>
          <w:highlight w:val="none"/>
        </w:rPr>
        <w:t xml:space="preserve">                                                   </w:t>
      </w:r>
    </w:p>
    <w:p w14:paraId="21FCE7E9">
      <w:pPr>
        <w:snapToGrid w:val="0"/>
        <w:spacing w:before="166" w:beforeLines="50" w:after="50"/>
        <w:rPr>
          <w:rFonts w:ascii="宋体" w:hAnsi="宋体" w:cs="宋体"/>
          <w:color w:val="auto"/>
          <w:sz w:val="24"/>
          <w:szCs w:val="20"/>
          <w:highlight w:val="none"/>
        </w:rPr>
      </w:pPr>
    </w:p>
    <w:p w14:paraId="407BD6E9">
      <w:pPr>
        <w:snapToGrid w:val="0"/>
        <w:spacing w:before="166" w:beforeLines="50" w:after="50"/>
        <w:rPr>
          <w:rFonts w:ascii="宋体" w:hAnsi="宋体" w:cs="宋体"/>
          <w:color w:val="auto"/>
          <w:sz w:val="24"/>
          <w:szCs w:val="20"/>
          <w:highlight w:val="none"/>
        </w:rPr>
      </w:pPr>
    </w:p>
    <w:p w14:paraId="22C5EF6B">
      <w:pPr>
        <w:snapToGrid w:val="0"/>
        <w:spacing w:before="166" w:beforeLines="50" w:after="50"/>
        <w:jc w:val="center"/>
        <w:rPr>
          <w:rFonts w:ascii="宋体" w:hAnsi="宋体" w:cs="宋体"/>
          <w:color w:val="auto"/>
          <w:sz w:val="84"/>
          <w:szCs w:val="84"/>
          <w:highlight w:val="none"/>
        </w:rPr>
      </w:pPr>
      <w:r>
        <w:rPr>
          <w:rFonts w:hint="eastAsia" w:ascii="宋体" w:hAnsi="宋体" w:cs="宋体"/>
          <w:color w:val="auto"/>
          <w:sz w:val="84"/>
          <w:szCs w:val="84"/>
          <w:highlight w:val="none"/>
        </w:rPr>
        <w:t>投  标  文  件</w:t>
      </w:r>
    </w:p>
    <w:p w14:paraId="7BA6E462">
      <w:pPr>
        <w:snapToGrid w:val="0"/>
        <w:spacing w:before="166" w:beforeLines="50" w:after="50"/>
        <w:rPr>
          <w:rFonts w:ascii="宋体" w:hAnsi="宋体" w:cs="宋体"/>
          <w:color w:val="auto"/>
          <w:sz w:val="24"/>
          <w:szCs w:val="20"/>
          <w:highlight w:val="none"/>
        </w:rPr>
      </w:pPr>
    </w:p>
    <w:p w14:paraId="44438B50">
      <w:pPr>
        <w:snapToGrid w:val="0"/>
        <w:spacing w:before="166" w:beforeLines="50" w:after="50"/>
        <w:rPr>
          <w:rFonts w:ascii="宋体" w:hAnsi="宋体" w:cs="宋体"/>
          <w:color w:val="auto"/>
          <w:sz w:val="24"/>
          <w:szCs w:val="20"/>
          <w:highlight w:val="none"/>
        </w:rPr>
      </w:pPr>
    </w:p>
    <w:p w14:paraId="41EE8D9C">
      <w:pPr>
        <w:snapToGrid w:val="0"/>
        <w:spacing w:before="166" w:beforeLines="50" w:after="50"/>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技  术  文  件</w:t>
      </w:r>
    </w:p>
    <w:p w14:paraId="59525154">
      <w:pPr>
        <w:snapToGrid w:val="0"/>
        <w:spacing w:before="166" w:beforeLines="50" w:after="50"/>
        <w:rPr>
          <w:rFonts w:ascii="宋体" w:hAnsi="宋体" w:cs="宋体"/>
          <w:bCs/>
          <w:color w:val="auto"/>
          <w:sz w:val="24"/>
          <w:szCs w:val="20"/>
          <w:highlight w:val="none"/>
        </w:rPr>
      </w:pPr>
    </w:p>
    <w:p w14:paraId="0D72CFC1">
      <w:pPr>
        <w:snapToGrid w:val="0"/>
        <w:spacing w:before="166" w:beforeLines="50" w:after="50"/>
        <w:rPr>
          <w:rFonts w:ascii="宋体" w:hAnsi="宋体" w:cs="宋体"/>
          <w:bCs/>
          <w:color w:val="auto"/>
          <w:sz w:val="24"/>
          <w:szCs w:val="20"/>
          <w:highlight w:val="none"/>
        </w:rPr>
      </w:pPr>
    </w:p>
    <w:p w14:paraId="5BBA6EAD">
      <w:pPr>
        <w:snapToGrid w:val="0"/>
        <w:spacing w:before="166" w:beforeLines="50" w:after="50" w:line="400" w:lineRule="exact"/>
        <w:ind w:firstLine="360" w:firstLineChars="150"/>
        <w:rPr>
          <w:rFonts w:ascii="宋体" w:hAnsi="宋体" w:cs="宋体"/>
          <w:bCs/>
          <w:color w:val="auto"/>
          <w:sz w:val="24"/>
          <w:highlight w:val="none"/>
        </w:rPr>
      </w:pPr>
      <w:r>
        <w:rPr>
          <w:rFonts w:hint="eastAsia" w:ascii="宋体" w:hAnsi="宋体" w:cs="宋体"/>
          <w:bCs/>
          <w:color w:val="auto"/>
          <w:sz w:val="24"/>
          <w:highlight w:val="none"/>
        </w:rPr>
        <w:t xml:space="preserve">项目名称： </w:t>
      </w:r>
    </w:p>
    <w:p w14:paraId="7E86F61C">
      <w:pPr>
        <w:snapToGrid w:val="0"/>
        <w:spacing w:before="166" w:beforeLines="50" w:after="50" w:line="400" w:lineRule="exact"/>
        <w:ind w:firstLine="360" w:firstLineChars="150"/>
        <w:rPr>
          <w:rFonts w:ascii="宋体" w:hAnsi="宋体" w:cs="宋体"/>
          <w:bCs/>
          <w:color w:val="auto"/>
          <w:sz w:val="24"/>
          <w:szCs w:val="20"/>
          <w:highlight w:val="none"/>
        </w:rPr>
      </w:pPr>
    </w:p>
    <w:p w14:paraId="494F6994">
      <w:pPr>
        <w:snapToGrid w:val="0"/>
        <w:spacing w:before="166" w:beforeLines="50" w:after="50" w:line="400" w:lineRule="exact"/>
        <w:ind w:firstLine="360" w:firstLineChars="150"/>
        <w:rPr>
          <w:rFonts w:ascii="宋体" w:hAnsi="宋体" w:cs="宋体"/>
          <w:bCs/>
          <w:color w:val="auto"/>
          <w:sz w:val="24"/>
          <w:highlight w:val="none"/>
        </w:rPr>
      </w:pPr>
      <w:r>
        <w:rPr>
          <w:rFonts w:hint="eastAsia" w:ascii="宋体" w:hAnsi="宋体" w:cs="宋体"/>
          <w:bCs/>
          <w:color w:val="auto"/>
          <w:sz w:val="24"/>
          <w:highlight w:val="none"/>
        </w:rPr>
        <w:t xml:space="preserve">项目编号： </w:t>
      </w:r>
    </w:p>
    <w:p w14:paraId="1B9628E0">
      <w:pPr>
        <w:snapToGrid w:val="0"/>
        <w:spacing w:before="166" w:beforeLines="50" w:after="50" w:line="400" w:lineRule="exact"/>
        <w:ind w:firstLine="360" w:firstLineChars="150"/>
        <w:rPr>
          <w:rFonts w:ascii="宋体" w:hAnsi="宋体" w:cs="宋体"/>
          <w:bCs/>
          <w:color w:val="auto"/>
          <w:sz w:val="24"/>
          <w:highlight w:val="none"/>
        </w:rPr>
      </w:pPr>
    </w:p>
    <w:p w14:paraId="3F235D82">
      <w:pPr>
        <w:snapToGrid w:val="0"/>
        <w:spacing w:before="166" w:beforeLines="50" w:after="50" w:line="400" w:lineRule="exact"/>
        <w:ind w:firstLine="360" w:firstLineChars="150"/>
        <w:rPr>
          <w:rFonts w:ascii="宋体" w:hAnsi="宋体" w:cs="宋体"/>
          <w:bCs/>
          <w:color w:val="auto"/>
          <w:sz w:val="24"/>
          <w:highlight w:val="none"/>
        </w:rPr>
      </w:pPr>
      <w:r>
        <w:rPr>
          <w:rFonts w:hint="eastAsia" w:ascii="宋体" w:hAnsi="宋体" w:cs="宋体"/>
          <w:bCs/>
          <w:color w:val="auto"/>
          <w:sz w:val="24"/>
          <w:highlight w:val="none"/>
        </w:rPr>
        <w:t>所投分标：</w:t>
      </w:r>
    </w:p>
    <w:p w14:paraId="39DF76CF">
      <w:pPr>
        <w:snapToGrid w:val="0"/>
        <w:spacing w:before="166" w:beforeLines="50" w:after="50" w:line="400" w:lineRule="exact"/>
        <w:ind w:firstLine="360" w:firstLineChars="150"/>
        <w:rPr>
          <w:rFonts w:ascii="宋体" w:hAnsi="宋体" w:cs="宋体"/>
          <w:bCs/>
          <w:color w:val="auto"/>
          <w:sz w:val="24"/>
          <w:highlight w:val="none"/>
        </w:rPr>
      </w:pPr>
    </w:p>
    <w:p w14:paraId="3FAD4296">
      <w:pPr>
        <w:snapToGrid w:val="0"/>
        <w:spacing w:before="166" w:beforeLines="50" w:after="50" w:line="400" w:lineRule="exact"/>
        <w:ind w:firstLine="360" w:firstLineChars="150"/>
        <w:rPr>
          <w:rFonts w:ascii="宋体" w:hAnsi="宋体" w:cs="宋体"/>
          <w:bCs/>
          <w:color w:val="auto"/>
          <w:sz w:val="24"/>
          <w:highlight w:val="none"/>
        </w:rPr>
      </w:pPr>
      <w:r>
        <w:rPr>
          <w:rFonts w:hint="eastAsia" w:ascii="宋体" w:hAnsi="宋体" w:cs="宋体"/>
          <w:bCs/>
          <w:color w:val="auto"/>
          <w:sz w:val="24"/>
          <w:highlight w:val="none"/>
        </w:rPr>
        <w:t>投标人名称：</w:t>
      </w:r>
    </w:p>
    <w:p w14:paraId="19535BEA">
      <w:pPr>
        <w:snapToGrid w:val="0"/>
        <w:spacing w:before="166" w:beforeLines="50" w:after="50" w:line="400" w:lineRule="exact"/>
        <w:ind w:firstLine="360" w:firstLineChars="150"/>
        <w:rPr>
          <w:rFonts w:ascii="宋体" w:hAnsi="宋体" w:cs="宋体"/>
          <w:bCs/>
          <w:color w:val="auto"/>
          <w:sz w:val="24"/>
          <w:highlight w:val="none"/>
        </w:rPr>
      </w:pPr>
    </w:p>
    <w:p w14:paraId="602F9719">
      <w:pPr>
        <w:snapToGrid w:val="0"/>
        <w:spacing w:before="166" w:beforeLines="50" w:after="50" w:line="400" w:lineRule="exact"/>
        <w:ind w:firstLine="360" w:firstLineChars="150"/>
        <w:rPr>
          <w:rFonts w:ascii="宋体" w:hAnsi="宋体" w:cs="宋体"/>
          <w:bCs/>
          <w:color w:val="auto"/>
          <w:sz w:val="24"/>
          <w:highlight w:val="none"/>
        </w:rPr>
      </w:pPr>
      <w:r>
        <w:rPr>
          <w:rFonts w:hint="eastAsia" w:ascii="宋体" w:hAnsi="宋体" w:cs="宋体"/>
          <w:bCs/>
          <w:color w:val="auto"/>
          <w:sz w:val="24"/>
          <w:highlight w:val="none"/>
        </w:rPr>
        <w:t>投标人地址：</w:t>
      </w:r>
    </w:p>
    <w:p w14:paraId="6F29C33A">
      <w:pPr>
        <w:snapToGrid w:val="0"/>
        <w:spacing w:before="166" w:beforeLines="50" w:after="50" w:line="400" w:lineRule="exact"/>
        <w:ind w:firstLine="360" w:firstLineChars="150"/>
        <w:rPr>
          <w:rFonts w:ascii="宋体" w:hAnsi="宋体" w:cs="宋体"/>
          <w:bCs/>
          <w:color w:val="auto"/>
          <w:sz w:val="24"/>
          <w:highlight w:val="none"/>
        </w:rPr>
      </w:pPr>
    </w:p>
    <w:p w14:paraId="09F9D7A5">
      <w:pPr>
        <w:snapToGrid w:val="0"/>
        <w:spacing w:before="166" w:beforeLines="50" w:after="50"/>
        <w:ind w:firstLine="645"/>
        <w:jc w:val="center"/>
        <w:rPr>
          <w:rFonts w:ascii="宋体" w:hAnsi="宋体" w:cs="宋体"/>
          <w:color w:val="auto"/>
          <w:sz w:val="24"/>
          <w:highlight w:val="none"/>
        </w:rPr>
      </w:pPr>
      <w:r>
        <w:rPr>
          <w:rFonts w:hint="eastAsia" w:ascii="宋体" w:hAnsi="宋体" w:cs="宋体"/>
          <w:color w:val="auto"/>
          <w:sz w:val="24"/>
          <w:highlight w:val="none"/>
        </w:rPr>
        <w:t xml:space="preserve">               </w:t>
      </w:r>
    </w:p>
    <w:p w14:paraId="245CDBF0">
      <w:pPr>
        <w:snapToGrid w:val="0"/>
        <w:spacing w:before="166" w:beforeLines="50" w:after="50"/>
        <w:ind w:firstLine="645"/>
        <w:jc w:val="center"/>
        <w:rPr>
          <w:rFonts w:ascii="宋体" w:hAnsi="宋体" w:cs="宋体"/>
          <w:color w:val="auto"/>
          <w:sz w:val="24"/>
          <w:highlight w:val="none"/>
        </w:rPr>
      </w:pPr>
    </w:p>
    <w:p w14:paraId="00F7CD6E">
      <w:pPr>
        <w:snapToGrid w:val="0"/>
        <w:spacing w:before="166" w:beforeLines="50" w:after="50"/>
        <w:ind w:firstLine="645"/>
        <w:jc w:val="center"/>
        <w:rPr>
          <w:rFonts w:ascii="宋体" w:hAnsi="宋体" w:cs="宋体"/>
          <w:color w:val="auto"/>
          <w:sz w:val="24"/>
          <w:highlight w:val="none"/>
        </w:rPr>
      </w:pPr>
      <w:r>
        <w:rPr>
          <w:rFonts w:hint="eastAsia" w:ascii="宋体" w:hAnsi="宋体" w:cs="宋体"/>
          <w:color w:val="auto"/>
          <w:sz w:val="24"/>
          <w:highlight w:val="none"/>
        </w:rPr>
        <w:t>年    月    日</w:t>
      </w:r>
    </w:p>
    <w:p w14:paraId="1ABAD83C">
      <w:pPr>
        <w:snapToGrid w:val="0"/>
        <w:spacing w:before="166" w:beforeLines="50" w:after="50"/>
        <w:ind w:left="142"/>
        <w:jc w:val="left"/>
        <w:rPr>
          <w:rFonts w:ascii="宋体" w:hAnsi="宋体" w:cs="宋体"/>
          <w:b/>
          <w:bCs/>
          <w:color w:val="auto"/>
          <w:sz w:val="24"/>
          <w:highlight w:val="none"/>
        </w:rPr>
      </w:pPr>
      <w:r>
        <w:rPr>
          <w:rFonts w:hint="eastAsia" w:ascii="宋体" w:hAnsi="宋体" w:cs="宋体"/>
          <w:b/>
          <w:bCs/>
          <w:color w:val="auto"/>
          <w:sz w:val="24"/>
          <w:highlight w:val="none"/>
        </w:rPr>
        <w:t>2.技术文件目录</w:t>
      </w:r>
    </w:p>
    <w:p w14:paraId="09FF0F96">
      <w:pPr>
        <w:snapToGrid w:val="0"/>
        <w:spacing w:before="50" w:after="166" w:afterLines="50"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根据招标文件规定及投标人提供的材料自行编写目录。</w:t>
      </w:r>
    </w:p>
    <w:p w14:paraId="135E0AE4">
      <w:pPr>
        <w:snapToGrid w:val="0"/>
        <w:spacing w:before="166" w:beforeLines="50" w:after="50"/>
        <w:ind w:left="142"/>
        <w:jc w:val="left"/>
        <w:rPr>
          <w:rFonts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3. 设备性能配置清单格式</w:t>
      </w:r>
    </w:p>
    <w:p w14:paraId="72C84B05">
      <w:pPr>
        <w:snapToGrid w:val="0"/>
        <w:spacing w:before="166" w:beforeLines="50" w:after="50"/>
        <w:ind w:left="142"/>
        <w:jc w:val="left"/>
        <w:rPr>
          <w:rFonts w:ascii="宋体" w:hAnsi="宋体" w:cs="宋体"/>
          <w:b/>
          <w:color w:val="auto"/>
          <w:sz w:val="24"/>
          <w:highlight w:val="none"/>
        </w:rPr>
      </w:pPr>
    </w:p>
    <w:p w14:paraId="5BE1FE83">
      <w:pPr>
        <w:snapToGrid w:val="0"/>
        <w:spacing w:before="166" w:beforeLines="50" w:after="50"/>
        <w:ind w:left="142"/>
        <w:jc w:val="center"/>
        <w:rPr>
          <w:rFonts w:ascii="宋体" w:hAnsi="宋体" w:cs="宋体"/>
          <w:b/>
          <w:color w:val="auto"/>
          <w:sz w:val="32"/>
          <w:szCs w:val="32"/>
          <w:highlight w:val="none"/>
        </w:rPr>
      </w:pPr>
      <w:r>
        <w:rPr>
          <w:rFonts w:hint="eastAsia" w:ascii="宋体" w:hAnsi="宋体" w:cs="宋体"/>
          <w:b/>
          <w:color w:val="auto"/>
          <w:sz w:val="32"/>
          <w:szCs w:val="32"/>
          <w:highlight w:val="none"/>
        </w:rPr>
        <w:t>设备性能配置清单</w:t>
      </w:r>
    </w:p>
    <w:p w14:paraId="3D5463ED">
      <w:pPr>
        <w:pStyle w:val="24"/>
        <w:rPr>
          <w:rFonts w:hAnsi="宋体" w:cs="宋体"/>
          <w:color w:val="auto"/>
          <w:sz w:val="24"/>
          <w:szCs w:val="24"/>
          <w:highlight w:val="none"/>
        </w:rPr>
      </w:pPr>
      <w:r>
        <w:rPr>
          <w:rFonts w:hint="eastAsia" w:hAnsi="宋体" w:cs="宋体"/>
          <w:color w:val="auto"/>
          <w:sz w:val="24"/>
          <w:szCs w:val="24"/>
          <w:highlight w:val="none"/>
        </w:rPr>
        <w:t>所投分标：</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分标</w:t>
      </w:r>
    </w:p>
    <w:tbl>
      <w:tblPr>
        <w:tblStyle w:val="47"/>
        <w:tblW w:w="995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6"/>
        <w:gridCol w:w="1190"/>
        <w:gridCol w:w="855"/>
        <w:gridCol w:w="1707"/>
        <w:gridCol w:w="1190"/>
        <w:gridCol w:w="704"/>
        <w:gridCol w:w="733"/>
        <w:gridCol w:w="894"/>
        <w:gridCol w:w="1977"/>
      </w:tblGrid>
      <w:tr w14:paraId="5F2490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706" w:type="dxa"/>
            <w:tcBorders>
              <w:top w:val="single" w:color="auto" w:sz="4" w:space="0"/>
              <w:left w:val="single" w:color="auto" w:sz="4" w:space="0"/>
              <w:bottom w:val="single" w:color="auto" w:sz="4" w:space="0"/>
              <w:right w:val="single" w:color="auto" w:sz="4" w:space="0"/>
            </w:tcBorders>
            <w:vAlign w:val="center"/>
          </w:tcPr>
          <w:p w14:paraId="1CEB79ED">
            <w:pPr>
              <w:snapToGrid w:val="0"/>
              <w:spacing w:before="50" w:after="50"/>
              <w:jc w:val="center"/>
              <w:rPr>
                <w:rFonts w:ascii="宋体" w:hAnsi="宋体" w:cs="宋体"/>
                <w:color w:val="auto"/>
                <w:sz w:val="24"/>
                <w:highlight w:val="none"/>
              </w:rPr>
            </w:pPr>
            <w:r>
              <w:rPr>
                <w:rFonts w:hint="eastAsia" w:ascii="宋体" w:hAnsi="宋体" w:cs="宋体"/>
                <w:color w:val="auto"/>
                <w:sz w:val="24"/>
                <w:highlight w:val="none"/>
              </w:rPr>
              <w:t>序号</w:t>
            </w:r>
          </w:p>
        </w:tc>
        <w:tc>
          <w:tcPr>
            <w:tcW w:w="1190" w:type="dxa"/>
            <w:tcBorders>
              <w:top w:val="single" w:color="auto" w:sz="4" w:space="0"/>
              <w:left w:val="single" w:color="auto" w:sz="4" w:space="0"/>
              <w:bottom w:val="single" w:color="auto" w:sz="4" w:space="0"/>
              <w:right w:val="single" w:color="auto" w:sz="4" w:space="0"/>
            </w:tcBorders>
            <w:vAlign w:val="center"/>
          </w:tcPr>
          <w:p w14:paraId="522512F0">
            <w:pPr>
              <w:snapToGrid w:val="0"/>
              <w:spacing w:before="50" w:after="50"/>
              <w:jc w:val="center"/>
              <w:rPr>
                <w:rFonts w:ascii="宋体" w:hAnsi="宋体" w:cs="宋体"/>
                <w:color w:val="auto"/>
                <w:sz w:val="24"/>
                <w:highlight w:val="none"/>
              </w:rPr>
            </w:pPr>
            <w:r>
              <w:rPr>
                <w:rFonts w:hint="eastAsia" w:ascii="宋体" w:hAnsi="宋体" w:cs="宋体"/>
                <w:color w:val="auto"/>
                <w:sz w:val="24"/>
                <w:highlight w:val="none"/>
              </w:rPr>
              <w:t>货物名称</w:t>
            </w:r>
          </w:p>
        </w:tc>
        <w:tc>
          <w:tcPr>
            <w:tcW w:w="855" w:type="dxa"/>
            <w:tcBorders>
              <w:top w:val="single" w:color="auto" w:sz="4" w:space="0"/>
              <w:left w:val="single" w:color="auto" w:sz="4" w:space="0"/>
              <w:bottom w:val="single" w:color="auto" w:sz="4" w:space="0"/>
              <w:right w:val="single" w:color="auto" w:sz="4" w:space="0"/>
            </w:tcBorders>
            <w:vAlign w:val="center"/>
          </w:tcPr>
          <w:p w14:paraId="58DB6C5D">
            <w:pPr>
              <w:snapToGrid w:val="0"/>
              <w:spacing w:before="50" w:after="50"/>
              <w:jc w:val="center"/>
              <w:rPr>
                <w:rFonts w:ascii="宋体" w:hAnsi="宋体" w:cs="宋体"/>
                <w:color w:val="auto"/>
                <w:sz w:val="24"/>
                <w:highlight w:val="none"/>
              </w:rPr>
            </w:pPr>
            <w:r>
              <w:rPr>
                <w:rFonts w:hint="eastAsia" w:ascii="宋体" w:hAnsi="宋体" w:cs="宋体"/>
                <w:color w:val="auto"/>
                <w:sz w:val="24"/>
                <w:highlight w:val="none"/>
              </w:rPr>
              <w:t>品牌</w:t>
            </w:r>
          </w:p>
        </w:tc>
        <w:tc>
          <w:tcPr>
            <w:tcW w:w="1707" w:type="dxa"/>
            <w:tcBorders>
              <w:top w:val="single" w:color="auto" w:sz="4" w:space="0"/>
              <w:left w:val="single" w:color="auto" w:sz="4" w:space="0"/>
              <w:bottom w:val="single" w:color="auto" w:sz="4" w:space="0"/>
              <w:right w:val="single" w:color="auto" w:sz="4" w:space="0"/>
            </w:tcBorders>
            <w:vAlign w:val="center"/>
          </w:tcPr>
          <w:p w14:paraId="71E5A5A5">
            <w:pPr>
              <w:snapToGrid w:val="0"/>
              <w:spacing w:before="50" w:after="50"/>
              <w:jc w:val="center"/>
              <w:rPr>
                <w:rFonts w:ascii="宋体" w:hAnsi="宋体" w:cs="宋体"/>
                <w:color w:val="auto"/>
                <w:sz w:val="24"/>
                <w:highlight w:val="none"/>
              </w:rPr>
            </w:pPr>
            <w:r>
              <w:rPr>
                <w:rFonts w:hint="eastAsia" w:ascii="宋体" w:hAnsi="宋体" w:cs="宋体"/>
                <w:color w:val="auto"/>
                <w:sz w:val="24"/>
                <w:highlight w:val="none"/>
              </w:rPr>
              <w:t>型号</w:t>
            </w:r>
          </w:p>
        </w:tc>
        <w:tc>
          <w:tcPr>
            <w:tcW w:w="1190" w:type="dxa"/>
            <w:tcBorders>
              <w:top w:val="single" w:color="auto" w:sz="4" w:space="0"/>
              <w:left w:val="single" w:color="auto" w:sz="4" w:space="0"/>
              <w:bottom w:val="single" w:color="auto" w:sz="4" w:space="0"/>
              <w:right w:val="single" w:color="auto" w:sz="4" w:space="0"/>
            </w:tcBorders>
            <w:vAlign w:val="center"/>
          </w:tcPr>
          <w:p w14:paraId="2F605ACB">
            <w:pPr>
              <w:snapToGrid w:val="0"/>
              <w:spacing w:before="50" w:after="50"/>
              <w:jc w:val="center"/>
              <w:rPr>
                <w:rFonts w:ascii="宋体" w:hAnsi="宋体" w:cs="宋体"/>
                <w:color w:val="auto"/>
                <w:sz w:val="24"/>
                <w:highlight w:val="none"/>
              </w:rPr>
            </w:pPr>
            <w:r>
              <w:rPr>
                <w:rFonts w:hint="eastAsia" w:ascii="宋体" w:hAnsi="宋体" w:cs="宋体"/>
                <w:color w:val="auto"/>
                <w:sz w:val="24"/>
                <w:highlight w:val="none"/>
              </w:rPr>
              <w:t>生产厂家</w:t>
            </w:r>
          </w:p>
        </w:tc>
        <w:tc>
          <w:tcPr>
            <w:tcW w:w="704" w:type="dxa"/>
            <w:tcBorders>
              <w:top w:val="single" w:color="auto" w:sz="4" w:space="0"/>
              <w:left w:val="single" w:color="auto" w:sz="4" w:space="0"/>
              <w:bottom w:val="single" w:color="auto" w:sz="4" w:space="0"/>
              <w:right w:val="single" w:color="auto" w:sz="4" w:space="0"/>
            </w:tcBorders>
            <w:vAlign w:val="center"/>
          </w:tcPr>
          <w:p w14:paraId="60680773">
            <w:pPr>
              <w:snapToGrid w:val="0"/>
              <w:spacing w:before="50" w:after="50"/>
              <w:jc w:val="center"/>
              <w:rPr>
                <w:rFonts w:ascii="宋体" w:hAnsi="宋体" w:cs="宋体"/>
                <w:color w:val="auto"/>
                <w:sz w:val="24"/>
                <w:highlight w:val="none"/>
              </w:rPr>
            </w:pPr>
            <w:r>
              <w:rPr>
                <w:rFonts w:hint="eastAsia" w:ascii="宋体" w:hAnsi="宋体" w:cs="宋体"/>
                <w:color w:val="auto"/>
                <w:sz w:val="24"/>
                <w:highlight w:val="none"/>
              </w:rPr>
              <w:t>产地</w:t>
            </w:r>
          </w:p>
        </w:tc>
        <w:tc>
          <w:tcPr>
            <w:tcW w:w="733" w:type="dxa"/>
            <w:tcBorders>
              <w:top w:val="single" w:color="auto" w:sz="4" w:space="0"/>
              <w:left w:val="single" w:color="auto" w:sz="4" w:space="0"/>
              <w:bottom w:val="single" w:color="auto" w:sz="4" w:space="0"/>
              <w:right w:val="single" w:color="auto" w:sz="4" w:space="0"/>
            </w:tcBorders>
            <w:vAlign w:val="center"/>
          </w:tcPr>
          <w:p w14:paraId="27377033">
            <w:pPr>
              <w:snapToGrid w:val="0"/>
              <w:spacing w:before="50" w:after="50"/>
              <w:jc w:val="center"/>
              <w:rPr>
                <w:rFonts w:ascii="宋体" w:hAnsi="宋体" w:cs="宋体"/>
                <w:color w:val="auto"/>
                <w:sz w:val="24"/>
                <w:highlight w:val="none"/>
              </w:rPr>
            </w:pPr>
            <w:r>
              <w:rPr>
                <w:rFonts w:hint="eastAsia" w:ascii="宋体" w:hAnsi="宋体" w:cs="宋体"/>
                <w:color w:val="auto"/>
                <w:sz w:val="24"/>
                <w:highlight w:val="none"/>
              </w:rPr>
              <w:t>数量</w:t>
            </w:r>
          </w:p>
        </w:tc>
        <w:tc>
          <w:tcPr>
            <w:tcW w:w="894" w:type="dxa"/>
            <w:tcBorders>
              <w:top w:val="single" w:color="auto" w:sz="4" w:space="0"/>
              <w:left w:val="single" w:color="auto" w:sz="4" w:space="0"/>
              <w:bottom w:val="single" w:color="auto" w:sz="4" w:space="0"/>
              <w:right w:val="single" w:color="auto" w:sz="4" w:space="0"/>
            </w:tcBorders>
            <w:vAlign w:val="center"/>
          </w:tcPr>
          <w:p w14:paraId="6476C349">
            <w:pPr>
              <w:snapToGrid w:val="0"/>
              <w:spacing w:before="50" w:after="50"/>
              <w:jc w:val="center"/>
              <w:rPr>
                <w:rFonts w:ascii="宋体" w:hAnsi="宋体" w:cs="宋体"/>
                <w:color w:val="auto"/>
                <w:sz w:val="24"/>
                <w:highlight w:val="none"/>
              </w:rPr>
            </w:pPr>
            <w:r>
              <w:rPr>
                <w:rFonts w:hint="eastAsia" w:ascii="宋体" w:hAnsi="宋体" w:cs="宋体"/>
                <w:color w:val="auto"/>
                <w:sz w:val="24"/>
                <w:highlight w:val="none"/>
              </w:rPr>
              <w:t>单位</w:t>
            </w:r>
          </w:p>
        </w:tc>
        <w:tc>
          <w:tcPr>
            <w:tcW w:w="1977" w:type="dxa"/>
            <w:tcBorders>
              <w:top w:val="single" w:color="auto" w:sz="4" w:space="0"/>
              <w:left w:val="single" w:color="auto" w:sz="4" w:space="0"/>
              <w:bottom w:val="single" w:color="auto" w:sz="4" w:space="0"/>
              <w:right w:val="single" w:color="auto" w:sz="4" w:space="0"/>
            </w:tcBorders>
            <w:vAlign w:val="center"/>
          </w:tcPr>
          <w:p w14:paraId="1977F4E4">
            <w:pPr>
              <w:snapToGrid w:val="0"/>
              <w:spacing w:before="50" w:after="50"/>
              <w:jc w:val="center"/>
              <w:rPr>
                <w:rFonts w:ascii="宋体" w:hAnsi="宋体" w:cs="宋体"/>
                <w:color w:val="auto"/>
                <w:sz w:val="24"/>
                <w:highlight w:val="none"/>
              </w:rPr>
            </w:pPr>
            <w:r>
              <w:rPr>
                <w:rFonts w:hint="eastAsia" w:ascii="宋体" w:hAnsi="宋体" w:cs="宋体"/>
                <w:color w:val="auto"/>
                <w:sz w:val="24"/>
                <w:highlight w:val="none"/>
              </w:rPr>
              <w:t>参数性能、指标及配置</w:t>
            </w:r>
          </w:p>
        </w:tc>
      </w:tr>
      <w:tr w14:paraId="689A0B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706" w:type="dxa"/>
            <w:tcBorders>
              <w:top w:val="single" w:color="auto" w:sz="4" w:space="0"/>
              <w:left w:val="single" w:color="auto" w:sz="4" w:space="0"/>
              <w:bottom w:val="single" w:color="auto" w:sz="4" w:space="0"/>
              <w:right w:val="single" w:color="auto" w:sz="4" w:space="0"/>
            </w:tcBorders>
            <w:vAlign w:val="center"/>
          </w:tcPr>
          <w:p w14:paraId="79EA2B6C">
            <w:pPr>
              <w:snapToGrid w:val="0"/>
              <w:spacing w:before="50" w:after="50"/>
              <w:jc w:val="center"/>
              <w:rPr>
                <w:rFonts w:ascii="宋体" w:hAnsi="宋体" w:cs="宋体"/>
                <w:color w:val="auto"/>
                <w:sz w:val="24"/>
                <w:highlight w:val="none"/>
              </w:rPr>
            </w:pPr>
          </w:p>
        </w:tc>
        <w:tc>
          <w:tcPr>
            <w:tcW w:w="1190" w:type="dxa"/>
            <w:tcBorders>
              <w:top w:val="single" w:color="auto" w:sz="4" w:space="0"/>
              <w:left w:val="single" w:color="auto" w:sz="4" w:space="0"/>
              <w:bottom w:val="single" w:color="auto" w:sz="4" w:space="0"/>
              <w:right w:val="single" w:color="auto" w:sz="4" w:space="0"/>
            </w:tcBorders>
            <w:vAlign w:val="center"/>
          </w:tcPr>
          <w:p w14:paraId="312F539E">
            <w:pPr>
              <w:snapToGrid w:val="0"/>
              <w:spacing w:before="50" w:after="50"/>
              <w:jc w:val="center"/>
              <w:rPr>
                <w:rFonts w:ascii="宋体" w:hAnsi="宋体" w:cs="宋体"/>
                <w:color w:val="auto"/>
                <w:sz w:val="24"/>
                <w:highlight w:val="none"/>
              </w:rPr>
            </w:pPr>
          </w:p>
        </w:tc>
        <w:tc>
          <w:tcPr>
            <w:tcW w:w="855" w:type="dxa"/>
            <w:tcBorders>
              <w:top w:val="single" w:color="auto" w:sz="4" w:space="0"/>
              <w:left w:val="single" w:color="auto" w:sz="4" w:space="0"/>
              <w:bottom w:val="single" w:color="auto" w:sz="4" w:space="0"/>
              <w:right w:val="single" w:color="auto" w:sz="4" w:space="0"/>
            </w:tcBorders>
            <w:vAlign w:val="center"/>
          </w:tcPr>
          <w:p w14:paraId="509AA77A">
            <w:pPr>
              <w:snapToGrid w:val="0"/>
              <w:spacing w:before="50" w:after="50"/>
              <w:jc w:val="center"/>
              <w:rPr>
                <w:rFonts w:ascii="宋体" w:hAnsi="宋体" w:cs="宋体"/>
                <w:color w:val="auto"/>
                <w:sz w:val="24"/>
                <w:highlight w:val="none"/>
              </w:rPr>
            </w:pPr>
          </w:p>
        </w:tc>
        <w:tc>
          <w:tcPr>
            <w:tcW w:w="1707" w:type="dxa"/>
            <w:tcBorders>
              <w:top w:val="single" w:color="auto" w:sz="4" w:space="0"/>
              <w:left w:val="single" w:color="auto" w:sz="4" w:space="0"/>
              <w:bottom w:val="single" w:color="auto" w:sz="4" w:space="0"/>
              <w:right w:val="single" w:color="auto" w:sz="4" w:space="0"/>
            </w:tcBorders>
          </w:tcPr>
          <w:p w14:paraId="3B3D3AA7">
            <w:pPr>
              <w:snapToGrid w:val="0"/>
              <w:spacing w:before="50" w:after="50"/>
              <w:jc w:val="center"/>
              <w:rPr>
                <w:rFonts w:ascii="宋体" w:hAnsi="宋体" w:cs="宋体"/>
                <w:color w:val="auto"/>
                <w:sz w:val="24"/>
                <w:highlight w:val="none"/>
              </w:rPr>
            </w:pPr>
          </w:p>
        </w:tc>
        <w:tc>
          <w:tcPr>
            <w:tcW w:w="1190" w:type="dxa"/>
            <w:tcBorders>
              <w:top w:val="single" w:color="auto" w:sz="4" w:space="0"/>
              <w:left w:val="single" w:color="auto" w:sz="4" w:space="0"/>
              <w:bottom w:val="single" w:color="auto" w:sz="4" w:space="0"/>
              <w:right w:val="single" w:color="auto" w:sz="4" w:space="0"/>
            </w:tcBorders>
            <w:vAlign w:val="center"/>
          </w:tcPr>
          <w:p w14:paraId="21DCDB0B">
            <w:pPr>
              <w:snapToGrid w:val="0"/>
              <w:spacing w:before="50" w:after="50"/>
              <w:jc w:val="center"/>
              <w:rPr>
                <w:rFonts w:ascii="宋体" w:hAnsi="宋体" w:cs="宋体"/>
                <w:color w:val="auto"/>
                <w:sz w:val="24"/>
                <w:highlight w:val="none"/>
              </w:rPr>
            </w:pPr>
          </w:p>
        </w:tc>
        <w:tc>
          <w:tcPr>
            <w:tcW w:w="704" w:type="dxa"/>
            <w:tcBorders>
              <w:top w:val="single" w:color="auto" w:sz="4" w:space="0"/>
              <w:left w:val="single" w:color="auto" w:sz="4" w:space="0"/>
              <w:bottom w:val="single" w:color="auto" w:sz="4" w:space="0"/>
              <w:right w:val="single" w:color="auto" w:sz="4" w:space="0"/>
            </w:tcBorders>
            <w:vAlign w:val="center"/>
          </w:tcPr>
          <w:p w14:paraId="73D4F5E1">
            <w:pPr>
              <w:snapToGrid w:val="0"/>
              <w:spacing w:before="50" w:after="50"/>
              <w:jc w:val="center"/>
              <w:rPr>
                <w:rFonts w:ascii="宋体" w:hAnsi="宋体" w:cs="宋体"/>
                <w:color w:val="auto"/>
                <w:sz w:val="24"/>
                <w:highlight w:val="none"/>
              </w:rPr>
            </w:pPr>
          </w:p>
        </w:tc>
        <w:tc>
          <w:tcPr>
            <w:tcW w:w="733" w:type="dxa"/>
            <w:tcBorders>
              <w:top w:val="single" w:color="auto" w:sz="4" w:space="0"/>
              <w:left w:val="single" w:color="auto" w:sz="4" w:space="0"/>
              <w:bottom w:val="single" w:color="auto" w:sz="4" w:space="0"/>
              <w:right w:val="single" w:color="auto" w:sz="4" w:space="0"/>
            </w:tcBorders>
          </w:tcPr>
          <w:p w14:paraId="2AFE938F">
            <w:pPr>
              <w:snapToGrid w:val="0"/>
              <w:spacing w:before="50" w:after="50"/>
              <w:jc w:val="center"/>
              <w:rPr>
                <w:rFonts w:ascii="宋体" w:hAnsi="宋体" w:cs="宋体"/>
                <w:color w:val="auto"/>
                <w:sz w:val="24"/>
                <w:highlight w:val="none"/>
              </w:rPr>
            </w:pPr>
          </w:p>
        </w:tc>
        <w:tc>
          <w:tcPr>
            <w:tcW w:w="894" w:type="dxa"/>
            <w:tcBorders>
              <w:top w:val="single" w:color="auto" w:sz="4" w:space="0"/>
              <w:left w:val="single" w:color="auto" w:sz="4" w:space="0"/>
              <w:bottom w:val="single" w:color="auto" w:sz="4" w:space="0"/>
              <w:right w:val="single" w:color="auto" w:sz="4" w:space="0"/>
            </w:tcBorders>
          </w:tcPr>
          <w:p w14:paraId="5EABB04F">
            <w:pPr>
              <w:snapToGrid w:val="0"/>
              <w:spacing w:before="50" w:after="50"/>
              <w:jc w:val="center"/>
              <w:rPr>
                <w:rFonts w:ascii="宋体" w:hAnsi="宋体" w:cs="宋体"/>
                <w:color w:val="auto"/>
                <w:sz w:val="24"/>
                <w:highlight w:val="none"/>
              </w:rPr>
            </w:pPr>
          </w:p>
        </w:tc>
        <w:tc>
          <w:tcPr>
            <w:tcW w:w="1977" w:type="dxa"/>
            <w:tcBorders>
              <w:top w:val="single" w:color="auto" w:sz="4" w:space="0"/>
              <w:left w:val="single" w:color="auto" w:sz="4" w:space="0"/>
              <w:bottom w:val="single" w:color="auto" w:sz="4" w:space="0"/>
              <w:right w:val="single" w:color="auto" w:sz="4" w:space="0"/>
            </w:tcBorders>
            <w:vAlign w:val="center"/>
          </w:tcPr>
          <w:p w14:paraId="7B854098">
            <w:pPr>
              <w:snapToGrid w:val="0"/>
              <w:spacing w:before="50" w:after="50"/>
              <w:jc w:val="center"/>
              <w:rPr>
                <w:rFonts w:ascii="宋体" w:hAnsi="宋体" w:cs="宋体"/>
                <w:color w:val="auto"/>
                <w:sz w:val="24"/>
                <w:highlight w:val="none"/>
              </w:rPr>
            </w:pPr>
          </w:p>
        </w:tc>
      </w:tr>
      <w:tr w14:paraId="288FEB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706" w:type="dxa"/>
            <w:tcBorders>
              <w:top w:val="single" w:color="auto" w:sz="4" w:space="0"/>
              <w:left w:val="single" w:color="auto" w:sz="4" w:space="0"/>
              <w:bottom w:val="single" w:color="auto" w:sz="4" w:space="0"/>
              <w:right w:val="single" w:color="auto" w:sz="4" w:space="0"/>
            </w:tcBorders>
            <w:vAlign w:val="center"/>
          </w:tcPr>
          <w:p w14:paraId="4B0A030B">
            <w:pPr>
              <w:snapToGrid w:val="0"/>
              <w:spacing w:before="50" w:after="50"/>
              <w:jc w:val="center"/>
              <w:rPr>
                <w:rFonts w:ascii="宋体" w:hAnsi="宋体" w:cs="宋体"/>
                <w:color w:val="auto"/>
                <w:sz w:val="24"/>
                <w:highlight w:val="none"/>
              </w:rPr>
            </w:pPr>
          </w:p>
        </w:tc>
        <w:tc>
          <w:tcPr>
            <w:tcW w:w="1190" w:type="dxa"/>
            <w:tcBorders>
              <w:top w:val="single" w:color="auto" w:sz="4" w:space="0"/>
              <w:left w:val="single" w:color="auto" w:sz="4" w:space="0"/>
              <w:bottom w:val="single" w:color="auto" w:sz="4" w:space="0"/>
              <w:right w:val="single" w:color="auto" w:sz="4" w:space="0"/>
            </w:tcBorders>
            <w:vAlign w:val="center"/>
          </w:tcPr>
          <w:p w14:paraId="231F65EF">
            <w:pPr>
              <w:snapToGrid w:val="0"/>
              <w:spacing w:before="50" w:after="50"/>
              <w:jc w:val="center"/>
              <w:rPr>
                <w:rFonts w:ascii="宋体" w:hAnsi="宋体" w:cs="宋体"/>
                <w:color w:val="auto"/>
                <w:sz w:val="24"/>
                <w:highlight w:val="none"/>
              </w:rPr>
            </w:pPr>
          </w:p>
        </w:tc>
        <w:tc>
          <w:tcPr>
            <w:tcW w:w="855" w:type="dxa"/>
            <w:tcBorders>
              <w:top w:val="single" w:color="auto" w:sz="4" w:space="0"/>
              <w:left w:val="single" w:color="auto" w:sz="4" w:space="0"/>
              <w:bottom w:val="single" w:color="auto" w:sz="4" w:space="0"/>
              <w:right w:val="single" w:color="auto" w:sz="4" w:space="0"/>
            </w:tcBorders>
            <w:vAlign w:val="center"/>
          </w:tcPr>
          <w:p w14:paraId="58A08698">
            <w:pPr>
              <w:snapToGrid w:val="0"/>
              <w:spacing w:before="50" w:after="50"/>
              <w:jc w:val="center"/>
              <w:rPr>
                <w:rFonts w:ascii="宋体" w:hAnsi="宋体" w:cs="宋体"/>
                <w:color w:val="auto"/>
                <w:sz w:val="24"/>
                <w:highlight w:val="none"/>
              </w:rPr>
            </w:pPr>
          </w:p>
        </w:tc>
        <w:tc>
          <w:tcPr>
            <w:tcW w:w="1707" w:type="dxa"/>
            <w:tcBorders>
              <w:top w:val="single" w:color="auto" w:sz="4" w:space="0"/>
              <w:left w:val="single" w:color="auto" w:sz="4" w:space="0"/>
              <w:bottom w:val="single" w:color="auto" w:sz="4" w:space="0"/>
              <w:right w:val="single" w:color="auto" w:sz="4" w:space="0"/>
            </w:tcBorders>
          </w:tcPr>
          <w:p w14:paraId="6F3C6009">
            <w:pPr>
              <w:snapToGrid w:val="0"/>
              <w:spacing w:before="50" w:after="50"/>
              <w:jc w:val="center"/>
              <w:rPr>
                <w:rFonts w:ascii="宋体" w:hAnsi="宋体" w:cs="宋体"/>
                <w:color w:val="auto"/>
                <w:sz w:val="24"/>
                <w:highlight w:val="none"/>
              </w:rPr>
            </w:pPr>
          </w:p>
        </w:tc>
        <w:tc>
          <w:tcPr>
            <w:tcW w:w="1190" w:type="dxa"/>
            <w:tcBorders>
              <w:top w:val="single" w:color="auto" w:sz="4" w:space="0"/>
              <w:left w:val="single" w:color="auto" w:sz="4" w:space="0"/>
              <w:bottom w:val="single" w:color="auto" w:sz="4" w:space="0"/>
              <w:right w:val="single" w:color="auto" w:sz="4" w:space="0"/>
            </w:tcBorders>
            <w:vAlign w:val="center"/>
          </w:tcPr>
          <w:p w14:paraId="0157C8E3">
            <w:pPr>
              <w:snapToGrid w:val="0"/>
              <w:spacing w:before="50" w:after="50"/>
              <w:jc w:val="center"/>
              <w:rPr>
                <w:rFonts w:ascii="宋体" w:hAnsi="宋体" w:cs="宋体"/>
                <w:color w:val="auto"/>
                <w:sz w:val="24"/>
                <w:highlight w:val="none"/>
              </w:rPr>
            </w:pPr>
          </w:p>
        </w:tc>
        <w:tc>
          <w:tcPr>
            <w:tcW w:w="704" w:type="dxa"/>
            <w:tcBorders>
              <w:top w:val="single" w:color="auto" w:sz="4" w:space="0"/>
              <w:left w:val="single" w:color="auto" w:sz="4" w:space="0"/>
              <w:bottom w:val="single" w:color="auto" w:sz="4" w:space="0"/>
              <w:right w:val="single" w:color="auto" w:sz="4" w:space="0"/>
            </w:tcBorders>
            <w:vAlign w:val="center"/>
          </w:tcPr>
          <w:p w14:paraId="57B5D176">
            <w:pPr>
              <w:snapToGrid w:val="0"/>
              <w:spacing w:before="50" w:after="50"/>
              <w:jc w:val="center"/>
              <w:rPr>
                <w:rFonts w:ascii="宋体" w:hAnsi="宋体" w:cs="宋体"/>
                <w:color w:val="auto"/>
                <w:sz w:val="24"/>
                <w:highlight w:val="none"/>
              </w:rPr>
            </w:pPr>
          </w:p>
        </w:tc>
        <w:tc>
          <w:tcPr>
            <w:tcW w:w="733" w:type="dxa"/>
            <w:tcBorders>
              <w:top w:val="single" w:color="auto" w:sz="4" w:space="0"/>
              <w:left w:val="single" w:color="auto" w:sz="4" w:space="0"/>
              <w:bottom w:val="single" w:color="auto" w:sz="4" w:space="0"/>
              <w:right w:val="single" w:color="auto" w:sz="4" w:space="0"/>
            </w:tcBorders>
          </w:tcPr>
          <w:p w14:paraId="3735574E">
            <w:pPr>
              <w:snapToGrid w:val="0"/>
              <w:spacing w:before="50" w:after="50"/>
              <w:jc w:val="center"/>
              <w:rPr>
                <w:rFonts w:ascii="宋体" w:hAnsi="宋体" w:cs="宋体"/>
                <w:color w:val="auto"/>
                <w:sz w:val="24"/>
                <w:highlight w:val="none"/>
              </w:rPr>
            </w:pPr>
          </w:p>
        </w:tc>
        <w:tc>
          <w:tcPr>
            <w:tcW w:w="894" w:type="dxa"/>
            <w:tcBorders>
              <w:top w:val="single" w:color="auto" w:sz="4" w:space="0"/>
              <w:left w:val="single" w:color="auto" w:sz="4" w:space="0"/>
              <w:bottom w:val="single" w:color="auto" w:sz="4" w:space="0"/>
              <w:right w:val="single" w:color="auto" w:sz="4" w:space="0"/>
            </w:tcBorders>
          </w:tcPr>
          <w:p w14:paraId="35CBAA52">
            <w:pPr>
              <w:snapToGrid w:val="0"/>
              <w:spacing w:before="50" w:after="50"/>
              <w:jc w:val="center"/>
              <w:rPr>
                <w:rFonts w:ascii="宋体" w:hAnsi="宋体" w:cs="宋体"/>
                <w:color w:val="auto"/>
                <w:sz w:val="24"/>
                <w:highlight w:val="none"/>
              </w:rPr>
            </w:pPr>
          </w:p>
        </w:tc>
        <w:tc>
          <w:tcPr>
            <w:tcW w:w="1977" w:type="dxa"/>
            <w:tcBorders>
              <w:top w:val="single" w:color="auto" w:sz="4" w:space="0"/>
              <w:left w:val="single" w:color="auto" w:sz="4" w:space="0"/>
              <w:bottom w:val="single" w:color="auto" w:sz="4" w:space="0"/>
              <w:right w:val="single" w:color="auto" w:sz="4" w:space="0"/>
            </w:tcBorders>
            <w:vAlign w:val="center"/>
          </w:tcPr>
          <w:p w14:paraId="5E39DEE3">
            <w:pPr>
              <w:snapToGrid w:val="0"/>
              <w:spacing w:before="50" w:after="50"/>
              <w:jc w:val="center"/>
              <w:rPr>
                <w:rFonts w:ascii="宋体" w:hAnsi="宋体" w:cs="宋体"/>
                <w:color w:val="auto"/>
                <w:sz w:val="24"/>
                <w:highlight w:val="none"/>
              </w:rPr>
            </w:pPr>
          </w:p>
        </w:tc>
      </w:tr>
      <w:tr w14:paraId="0CD904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706" w:type="dxa"/>
            <w:tcBorders>
              <w:top w:val="single" w:color="auto" w:sz="4" w:space="0"/>
              <w:left w:val="single" w:color="auto" w:sz="4" w:space="0"/>
              <w:bottom w:val="single" w:color="auto" w:sz="4" w:space="0"/>
              <w:right w:val="single" w:color="auto" w:sz="4" w:space="0"/>
            </w:tcBorders>
            <w:vAlign w:val="center"/>
          </w:tcPr>
          <w:p w14:paraId="0A97F8E7">
            <w:pPr>
              <w:snapToGrid w:val="0"/>
              <w:spacing w:before="50" w:after="50"/>
              <w:jc w:val="center"/>
              <w:rPr>
                <w:rFonts w:ascii="宋体" w:hAnsi="宋体" w:cs="宋体"/>
                <w:color w:val="auto"/>
                <w:sz w:val="24"/>
                <w:highlight w:val="none"/>
              </w:rPr>
            </w:pPr>
          </w:p>
        </w:tc>
        <w:tc>
          <w:tcPr>
            <w:tcW w:w="1190" w:type="dxa"/>
            <w:tcBorders>
              <w:top w:val="single" w:color="auto" w:sz="4" w:space="0"/>
              <w:left w:val="single" w:color="auto" w:sz="4" w:space="0"/>
              <w:bottom w:val="single" w:color="auto" w:sz="4" w:space="0"/>
              <w:right w:val="single" w:color="auto" w:sz="4" w:space="0"/>
            </w:tcBorders>
            <w:vAlign w:val="center"/>
          </w:tcPr>
          <w:p w14:paraId="7E218333">
            <w:pPr>
              <w:snapToGrid w:val="0"/>
              <w:spacing w:before="50" w:after="50"/>
              <w:jc w:val="center"/>
              <w:rPr>
                <w:rFonts w:ascii="宋体" w:hAnsi="宋体" w:cs="宋体"/>
                <w:color w:val="auto"/>
                <w:sz w:val="24"/>
                <w:highlight w:val="none"/>
              </w:rPr>
            </w:pPr>
          </w:p>
        </w:tc>
        <w:tc>
          <w:tcPr>
            <w:tcW w:w="855" w:type="dxa"/>
            <w:tcBorders>
              <w:top w:val="single" w:color="auto" w:sz="4" w:space="0"/>
              <w:left w:val="single" w:color="auto" w:sz="4" w:space="0"/>
              <w:bottom w:val="single" w:color="auto" w:sz="4" w:space="0"/>
              <w:right w:val="single" w:color="auto" w:sz="4" w:space="0"/>
            </w:tcBorders>
            <w:vAlign w:val="center"/>
          </w:tcPr>
          <w:p w14:paraId="3F9FCB26">
            <w:pPr>
              <w:snapToGrid w:val="0"/>
              <w:spacing w:before="50" w:after="50"/>
              <w:jc w:val="center"/>
              <w:rPr>
                <w:rFonts w:ascii="宋体" w:hAnsi="宋体" w:cs="宋体"/>
                <w:color w:val="auto"/>
                <w:sz w:val="24"/>
                <w:highlight w:val="none"/>
              </w:rPr>
            </w:pPr>
          </w:p>
        </w:tc>
        <w:tc>
          <w:tcPr>
            <w:tcW w:w="1707" w:type="dxa"/>
            <w:tcBorders>
              <w:top w:val="single" w:color="auto" w:sz="4" w:space="0"/>
              <w:left w:val="single" w:color="auto" w:sz="4" w:space="0"/>
              <w:bottom w:val="single" w:color="auto" w:sz="4" w:space="0"/>
              <w:right w:val="single" w:color="auto" w:sz="4" w:space="0"/>
            </w:tcBorders>
          </w:tcPr>
          <w:p w14:paraId="11B86E67">
            <w:pPr>
              <w:snapToGrid w:val="0"/>
              <w:spacing w:before="50" w:after="50"/>
              <w:jc w:val="center"/>
              <w:rPr>
                <w:rFonts w:ascii="宋体" w:hAnsi="宋体" w:cs="宋体"/>
                <w:color w:val="auto"/>
                <w:sz w:val="24"/>
                <w:highlight w:val="none"/>
              </w:rPr>
            </w:pPr>
          </w:p>
        </w:tc>
        <w:tc>
          <w:tcPr>
            <w:tcW w:w="1190" w:type="dxa"/>
            <w:tcBorders>
              <w:top w:val="single" w:color="auto" w:sz="4" w:space="0"/>
              <w:left w:val="single" w:color="auto" w:sz="4" w:space="0"/>
              <w:bottom w:val="single" w:color="auto" w:sz="4" w:space="0"/>
              <w:right w:val="single" w:color="auto" w:sz="4" w:space="0"/>
            </w:tcBorders>
            <w:vAlign w:val="center"/>
          </w:tcPr>
          <w:p w14:paraId="2C060022">
            <w:pPr>
              <w:snapToGrid w:val="0"/>
              <w:spacing w:before="50" w:after="50"/>
              <w:jc w:val="center"/>
              <w:rPr>
                <w:rFonts w:ascii="宋体" w:hAnsi="宋体" w:cs="宋体"/>
                <w:color w:val="auto"/>
                <w:sz w:val="24"/>
                <w:highlight w:val="none"/>
              </w:rPr>
            </w:pPr>
          </w:p>
        </w:tc>
        <w:tc>
          <w:tcPr>
            <w:tcW w:w="704" w:type="dxa"/>
            <w:tcBorders>
              <w:top w:val="single" w:color="auto" w:sz="4" w:space="0"/>
              <w:left w:val="single" w:color="auto" w:sz="4" w:space="0"/>
              <w:bottom w:val="single" w:color="auto" w:sz="4" w:space="0"/>
              <w:right w:val="single" w:color="auto" w:sz="4" w:space="0"/>
            </w:tcBorders>
            <w:vAlign w:val="center"/>
          </w:tcPr>
          <w:p w14:paraId="5779879D">
            <w:pPr>
              <w:snapToGrid w:val="0"/>
              <w:spacing w:before="50" w:after="50"/>
              <w:jc w:val="center"/>
              <w:rPr>
                <w:rFonts w:ascii="宋体" w:hAnsi="宋体" w:cs="宋体"/>
                <w:color w:val="auto"/>
                <w:sz w:val="24"/>
                <w:highlight w:val="none"/>
              </w:rPr>
            </w:pPr>
          </w:p>
        </w:tc>
        <w:tc>
          <w:tcPr>
            <w:tcW w:w="733" w:type="dxa"/>
            <w:tcBorders>
              <w:top w:val="single" w:color="auto" w:sz="4" w:space="0"/>
              <w:left w:val="single" w:color="auto" w:sz="4" w:space="0"/>
              <w:bottom w:val="single" w:color="auto" w:sz="4" w:space="0"/>
              <w:right w:val="single" w:color="auto" w:sz="4" w:space="0"/>
            </w:tcBorders>
          </w:tcPr>
          <w:p w14:paraId="74190765">
            <w:pPr>
              <w:snapToGrid w:val="0"/>
              <w:spacing w:before="50" w:after="50"/>
              <w:jc w:val="center"/>
              <w:rPr>
                <w:rFonts w:ascii="宋体" w:hAnsi="宋体" w:cs="宋体"/>
                <w:color w:val="auto"/>
                <w:sz w:val="24"/>
                <w:highlight w:val="none"/>
              </w:rPr>
            </w:pPr>
          </w:p>
        </w:tc>
        <w:tc>
          <w:tcPr>
            <w:tcW w:w="894" w:type="dxa"/>
            <w:tcBorders>
              <w:top w:val="single" w:color="auto" w:sz="4" w:space="0"/>
              <w:left w:val="single" w:color="auto" w:sz="4" w:space="0"/>
              <w:bottom w:val="single" w:color="auto" w:sz="4" w:space="0"/>
              <w:right w:val="single" w:color="auto" w:sz="4" w:space="0"/>
            </w:tcBorders>
          </w:tcPr>
          <w:p w14:paraId="6D70F84E">
            <w:pPr>
              <w:snapToGrid w:val="0"/>
              <w:spacing w:before="50" w:after="50"/>
              <w:jc w:val="center"/>
              <w:rPr>
                <w:rFonts w:ascii="宋体" w:hAnsi="宋体" w:cs="宋体"/>
                <w:color w:val="auto"/>
                <w:sz w:val="24"/>
                <w:highlight w:val="none"/>
              </w:rPr>
            </w:pPr>
          </w:p>
        </w:tc>
        <w:tc>
          <w:tcPr>
            <w:tcW w:w="1977" w:type="dxa"/>
            <w:tcBorders>
              <w:top w:val="single" w:color="auto" w:sz="4" w:space="0"/>
              <w:left w:val="single" w:color="auto" w:sz="4" w:space="0"/>
              <w:bottom w:val="single" w:color="auto" w:sz="4" w:space="0"/>
              <w:right w:val="single" w:color="auto" w:sz="4" w:space="0"/>
            </w:tcBorders>
            <w:vAlign w:val="center"/>
          </w:tcPr>
          <w:p w14:paraId="11A187CB">
            <w:pPr>
              <w:snapToGrid w:val="0"/>
              <w:spacing w:before="50" w:after="50"/>
              <w:jc w:val="center"/>
              <w:rPr>
                <w:rFonts w:ascii="宋体" w:hAnsi="宋体" w:cs="宋体"/>
                <w:color w:val="auto"/>
                <w:sz w:val="24"/>
                <w:highlight w:val="none"/>
              </w:rPr>
            </w:pPr>
          </w:p>
        </w:tc>
      </w:tr>
    </w:tbl>
    <w:p w14:paraId="2F3A0F2A">
      <w:pPr>
        <w:spacing w:line="360" w:lineRule="auto"/>
        <w:contextualSpacing/>
        <w:rPr>
          <w:rFonts w:ascii="宋体" w:hAnsi="宋体" w:cs="宋体"/>
          <w:color w:val="auto"/>
          <w:sz w:val="24"/>
          <w:highlight w:val="none"/>
        </w:rPr>
      </w:pPr>
    </w:p>
    <w:p w14:paraId="3F1966DF">
      <w:pPr>
        <w:spacing w:line="360" w:lineRule="auto"/>
        <w:contextualSpacing/>
        <w:rPr>
          <w:rFonts w:ascii="楷体" w:hAnsi="楷体" w:eastAsia="楷体" w:cs="宋体"/>
          <w:b/>
          <w:color w:val="auto"/>
          <w:sz w:val="24"/>
          <w:highlight w:val="none"/>
        </w:rPr>
      </w:pPr>
      <w:r>
        <w:rPr>
          <w:rFonts w:hint="eastAsia" w:ascii="楷体" w:hAnsi="楷体" w:eastAsia="楷体" w:cs="宋体"/>
          <w:b/>
          <w:color w:val="auto"/>
          <w:sz w:val="24"/>
          <w:highlight w:val="none"/>
        </w:rPr>
        <w:t>备注：</w:t>
      </w:r>
    </w:p>
    <w:p w14:paraId="3F520405">
      <w:pPr>
        <w:spacing w:line="360" w:lineRule="auto"/>
        <w:ind w:firstLine="480" w:firstLineChars="200"/>
        <w:contextualSpacing/>
        <w:rPr>
          <w:rFonts w:ascii="楷体" w:hAnsi="楷体" w:eastAsia="楷体" w:cs="宋体"/>
          <w:b/>
          <w:color w:val="auto"/>
          <w:sz w:val="24"/>
          <w:highlight w:val="none"/>
        </w:rPr>
      </w:pPr>
      <w:r>
        <w:rPr>
          <w:rFonts w:hint="eastAsia" w:ascii="楷体" w:hAnsi="楷体" w:eastAsia="楷体" w:cs="宋体"/>
          <w:color w:val="auto"/>
          <w:sz w:val="24"/>
          <w:highlight w:val="none"/>
        </w:rPr>
        <w:t>以上设备性能配置清单中“货物名称、数量及单位、品牌、规格型号、制造商、原产地、参数性能、指标及配置”必须如实填写完整，定制产品在型号栏中填写“定制”。填写有缺漏</w:t>
      </w:r>
      <w:r>
        <w:rPr>
          <w:rFonts w:hint="eastAsia" w:ascii="楷体" w:hAnsi="楷体" w:eastAsia="楷体" w:cs="宋体"/>
          <w:bCs/>
          <w:color w:val="auto"/>
          <w:sz w:val="24"/>
          <w:highlight w:val="none"/>
        </w:rPr>
        <w:t>的，</w:t>
      </w:r>
      <w:r>
        <w:rPr>
          <w:rFonts w:hint="eastAsia" w:ascii="楷体" w:hAnsi="楷体" w:eastAsia="楷体" w:cs="宋体"/>
          <w:b/>
          <w:color w:val="auto"/>
          <w:sz w:val="24"/>
          <w:highlight w:val="none"/>
        </w:rPr>
        <w:t>作无效投标处理。</w:t>
      </w:r>
      <w:r>
        <w:rPr>
          <w:rFonts w:hint="eastAsia" w:ascii="楷体" w:hAnsi="楷体" w:eastAsia="楷体" w:cs="宋体"/>
          <w:color w:val="auto"/>
          <w:sz w:val="24"/>
          <w:highlight w:val="none"/>
        </w:rPr>
        <w:t>货物名称、数量、单位、品牌等必须与“开标一览表”一致，</w:t>
      </w:r>
      <w:r>
        <w:rPr>
          <w:rFonts w:hint="eastAsia" w:ascii="楷体" w:hAnsi="楷体" w:eastAsia="楷体" w:cs="宋体"/>
          <w:b/>
          <w:color w:val="auto"/>
          <w:sz w:val="24"/>
          <w:highlight w:val="none"/>
        </w:rPr>
        <w:t>否则按无效投标处理。</w:t>
      </w:r>
    </w:p>
    <w:p w14:paraId="320CABBA">
      <w:pPr>
        <w:spacing w:line="360" w:lineRule="auto"/>
        <w:ind w:firstLine="480" w:firstLineChars="200"/>
        <w:contextualSpacing/>
        <w:rPr>
          <w:rFonts w:ascii="宋体" w:hAnsi="宋体" w:cs="宋体"/>
          <w:color w:val="auto"/>
          <w:sz w:val="24"/>
          <w:highlight w:val="none"/>
        </w:rPr>
      </w:pPr>
    </w:p>
    <w:p w14:paraId="4196AB1F">
      <w:pPr>
        <w:snapToGrid w:val="0"/>
        <w:spacing w:before="50" w:after="50"/>
        <w:ind w:firstLine="3360" w:firstLineChars="1400"/>
        <w:rPr>
          <w:rFonts w:ascii="宋体" w:hAnsi="宋体" w:cs="宋体"/>
          <w:color w:val="auto"/>
          <w:kern w:val="0"/>
          <w:sz w:val="24"/>
          <w:highlight w:val="none"/>
        </w:rPr>
      </w:pPr>
      <w:r>
        <w:rPr>
          <w:rFonts w:hint="eastAsia" w:ascii="宋体" w:hAnsi="宋体" w:cs="宋体"/>
          <w:color w:val="auto"/>
          <w:kern w:val="0"/>
          <w:sz w:val="24"/>
          <w:highlight w:val="none"/>
        </w:rPr>
        <w:t>法定代表人或者委托代理人（签字）：</w:t>
      </w:r>
      <w:r>
        <w:rPr>
          <w:rFonts w:hint="eastAsia" w:ascii="宋体" w:hAnsi="宋体" w:cs="宋体"/>
          <w:color w:val="auto"/>
          <w:kern w:val="0"/>
          <w:sz w:val="24"/>
          <w:highlight w:val="none"/>
          <w:u w:val="single"/>
        </w:rPr>
        <w:t xml:space="preserve"> </w:t>
      </w:r>
      <w:r>
        <w:rPr>
          <w:rFonts w:ascii="宋体" w:hAnsi="宋体" w:cs="宋体"/>
          <w:color w:val="auto"/>
          <w:kern w:val="0"/>
          <w:sz w:val="24"/>
          <w:highlight w:val="none"/>
          <w:u w:val="single"/>
        </w:rPr>
        <w:t xml:space="preserve">            </w:t>
      </w:r>
      <w:r>
        <w:rPr>
          <w:rFonts w:hint="eastAsia" w:ascii="宋体" w:hAnsi="宋体" w:cs="宋体"/>
          <w:color w:val="auto"/>
          <w:kern w:val="0"/>
          <w:sz w:val="24"/>
          <w:highlight w:val="none"/>
        </w:rPr>
        <w:t xml:space="preserve">        </w:t>
      </w:r>
    </w:p>
    <w:p w14:paraId="543A2728">
      <w:pPr>
        <w:snapToGrid w:val="0"/>
        <w:spacing w:before="166" w:beforeLines="50"/>
        <w:ind w:firstLine="3360" w:firstLineChars="1400"/>
        <w:rPr>
          <w:rFonts w:ascii="宋体" w:hAnsi="宋体" w:cs="宋体"/>
          <w:color w:val="auto"/>
          <w:kern w:val="0"/>
          <w:sz w:val="24"/>
          <w:highlight w:val="none"/>
        </w:rPr>
      </w:pPr>
      <w:r>
        <w:rPr>
          <w:rFonts w:hint="eastAsia" w:ascii="宋体" w:hAnsi="宋体" w:cs="宋体"/>
          <w:color w:val="auto"/>
          <w:kern w:val="0"/>
          <w:sz w:val="24"/>
          <w:highlight w:val="none"/>
        </w:rPr>
        <w:t>投标人</w:t>
      </w:r>
      <w:r>
        <w:rPr>
          <w:rFonts w:hint="eastAsia" w:ascii="黑体" w:hAnsi="黑体" w:eastAsia="黑体" w:cs="宋体"/>
          <w:color w:val="auto"/>
          <w:kern w:val="0"/>
          <w:sz w:val="24"/>
          <w:highlight w:val="none"/>
        </w:rPr>
        <w:t>（</w:t>
      </w:r>
      <w:r>
        <w:rPr>
          <w:rFonts w:hint="eastAsia" w:ascii="宋体" w:hAnsi="宋体" w:cs="宋体"/>
          <w:color w:val="auto"/>
          <w:kern w:val="0"/>
          <w:sz w:val="24"/>
          <w:highlight w:val="none"/>
        </w:rPr>
        <w:t>公章</w:t>
      </w:r>
      <w:r>
        <w:rPr>
          <w:rFonts w:hint="eastAsia" w:ascii="黑体" w:hAnsi="黑体" w:eastAsia="黑体" w:cs="宋体"/>
          <w:color w:val="auto"/>
          <w:kern w:val="0"/>
          <w:sz w:val="24"/>
          <w:highlight w:val="none"/>
        </w:rPr>
        <w:t>）</w:t>
      </w:r>
      <w:r>
        <w:rPr>
          <w:rFonts w:hint="eastAsia" w:ascii="宋体" w:hAnsi="宋体" w:cs="宋体"/>
          <w:color w:val="auto"/>
          <w:kern w:val="0"/>
          <w:sz w:val="24"/>
          <w:highlight w:val="none"/>
        </w:rPr>
        <w:t>：</w:t>
      </w:r>
      <w:r>
        <w:rPr>
          <w:rFonts w:hint="eastAsia" w:ascii="宋体" w:hAnsi="宋体" w:cs="宋体"/>
          <w:color w:val="auto"/>
          <w:kern w:val="0"/>
          <w:sz w:val="24"/>
          <w:highlight w:val="none"/>
          <w:u w:val="single"/>
        </w:rPr>
        <w:t xml:space="preserve"> </w:t>
      </w:r>
      <w:r>
        <w:rPr>
          <w:rFonts w:ascii="宋体" w:hAnsi="宋体" w:cs="宋体"/>
          <w:color w:val="auto"/>
          <w:kern w:val="0"/>
          <w:sz w:val="24"/>
          <w:highlight w:val="none"/>
          <w:u w:val="single"/>
        </w:rPr>
        <w:t xml:space="preserve">                   </w:t>
      </w:r>
      <w:r>
        <w:rPr>
          <w:rFonts w:hint="eastAsia" w:ascii="宋体" w:hAnsi="宋体" w:cs="宋体"/>
          <w:color w:val="auto"/>
          <w:kern w:val="0"/>
          <w:sz w:val="24"/>
          <w:highlight w:val="none"/>
        </w:rPr>
        <w:t xml:space="preserve">               </w:t>
      </w:r>
    </w:p>
    <w:p w14:paraId="7309D5A9">
      <w:pPr>
        <w:snapToGrid w:val="0"/>
        <w:spacing w:before="166" w:beforeLines="50"/>
        <w:ind w:firstLine="3360" w:firstLineChars="1400"/>
        <w:rPr>
          <w:rFonts w:cs="宋体" w:asciiTheme="minorEastAsia" w:hAnsiTheme="minorEastAsia" w:eastAsiaTheme="minorEastAsia"/>
          <w:color w:val="auto"/>
          <w:kern w:val="0"/>
          <w:sz w:val="24"/>
          <w:highlight w:val="none"/>
        </w:rPr>
      </w:pPr>
      <w:r>
        <w:rPr>
          <w:rFonts w:hint="eastAsia" w:ascii="宋体" w:hAnsi="宋体" w:cs="宋体"/>
          <w:color w:val="auto"/>
          <w:kern w:val="0"/>
          <w:sz w:val="24"/>
          <w:highlight w:val="none"/>
        </w:rPr>
        <w:t xml:space="preserve">日  期：   </w:t>
      </w:r>
      <w:r>
        <w:rPr>
          <w:rFonts w:hint="eastAsia" w:ascii="黑体" w:hAnsi="黑体" w:eastAsia="黑体" w:cs="宋体"/>
          <w:b/>
          <w:color w:val="auto"/>
          <w:kern w:val="0"/>
          <w:sz w:val="24"/>
          <w:highlight w:val="none"/>
          <w:u w:val="single"/>
        </w:rPr>
        <w:t xml:space="preserve">     </w:t>
      </w:r>
      <w:r>
        <w:rPr>
          <w:rFonts w:ascii="黑体" w:hAnsi="黑体" w:eastAsia="黑体" w:cs="宋体"/>
          <w:b/>
          <w:color w:val="auto"/>
          <w:kern w:val="0"/>
          <w:sz w:val="24"/>
          <w:highlight w:val="none"/>
          <w:u w:val="single"/>
        </w:rPr>
        <w:t xml:space="preserve"> </w:t>
      </w:r>
      <w:r>
        <w:rPr>
          <w:rFonts w:hint="eastAsia" w:ascii="黑体" w:hAnsi="黑体" w:eastAsia="黑体" w:cs="宋体"/>
          <w:b/>
          <w:color w:val="auto"/>
          <w:kern w:val="0"/>
          <w:sz w:val="24"/>
          <w:highlight w:val="none"/>
          <w:u w:val="single"/>
        </w:rPr>
        <w:t xml:space="preserve"> </w:t>
      </w:r>
      <w:r>
        <w:rPr>
          <w:rFonts w:hint="eastAsia" w:cs="宋体" w:asciiTheme="minorEastAsia" w:hAnsiTheme="minorEastAsia" w:eastAsiaTheme="minorEastAsia"/>
          <w:color w:val="auto"/>
          <w:kern w:val="0"/>
          <w:sz w:val="24"/>
          <w:highlight w:val="none"/>
        </w:rPr>
        <w:t>年</w:t>
      </w:r>
      <w:r>
        <w:rPr>
          <w:rFonts w:cs="宋体" w:asciiTheme="minorEastAsia" w:hAnsiTheme="minorEastAsia" w:eastAsiaTheme="minorEastAsia"/>
          <w:color w:val="auto"/>
          <w:kern w:val="0"/>
          <w:sz w:val="24"/>
          <w:highlight w:val="none"/>
          <w:u w:val="single"/>
        </w:rPr>
        <w:t xml:space="preserve">  </w:t>
      </w:r>
      <w:r>
        <w:rPr>
          <w:rFonts w:hint="eastAsia" w:cs="宋体" w:asciiTheme="minorEastAsia" w:hAnsiTheme="minorEastAsia" w:eastAsiaTheme="minorEastAsia"/>
          <w:color w:val="auto"/>
          <w:kern w:val="0"/>
          <w:sz w:val="24"/>
          <w:highlight w:val="none"/>
        </w:rPr>
        <w:t>月</w:t>
      </w:r>
      <w:r>
        <w:rPr>
          <w:rFonts w:cs="宋体" w:asciiTheme="minorEastAsia" w:hAnsiTheme="minorEastAsia" w:eastAsiaTheme="minorEastAsia"/>
          <w:color w:val="auto"/>
          <w:kern w:val="0"/>
          <w:sz w:val="24"/>
          <w:highlight w:val="none"/>
          <w:u w:val="single"/>
        </w:rPr>
        <w:t xml:space="preserve">  </w:t>
      </w:r>
      <w:r>
        <w:rPr>
          <w:rFonts w:hint="eastAsia" w:cs="宋体" w:asciiTheme="minorEastAsia" w:hAnsiTheme="minorEastAsia" w:eastAsiaTheme="minorEastAsia"/>
          <w:color w:val="auto"/>
          <w:kern w:val="0"/>
          <w:sz w:val="24"/>
          <w:highlight w:val="none"/>
        </w:rPr>
        <w:t>日</w:t>
      </w:r>
    </w:p>
    <w:p w14:paraId="17D20246">
      <w:pPr>
        <w:snapToGrid w:val="0"/>
        <w:spacing w:before="50" w:after="166" w:afterLines="50"/>
        <w:jc w:val="left"/>
        <w:rPr>
          <w:rFonts w:ascii="宋体" w:hAnsi="宋体" w:cs="宋体"/>
          <w:color w:val="auto"/>
          <w:sz w:val="24"/>
          <w:szCs w:val="20"/>
          <w:highlight w:val="none"/>
        </w:rPr>
      </w:pPr>
    </w:p>
    <w:p w14:paraId="2C1FFE61">
      <w:pPr>
        <w:snapToGrid w:val="0"/>
        <w:spacing w:before="50" w:after="166" w:afterLines="50"/>
        <w:jc w:val="left"/>
        <w:rPr>
          <w:rFonts w:ascii="宋体" w:hAnsi="宋体" w:cs="宋体"/>
          <w:color w:val="auto"/>
          <w:sz w:val="24"/>
          <w:szCs w:val="20"/>
          <w:highlight w:val="none"/>
        </w:rPr>
      </w:pPr>
    </w:p>
    <w:p w14:paraId="178C7C36">
      <w:pPr>
        <w:snapToGrid w:val="0"/>
        <w:spacing w:before="166" w:beforeLines="50" w:after="50"/>
        <w:ind w:left="142"/>
        <w:jc w:val="left"/>
        <w:rPr>
          <w:rFonts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4. 技术要求偏离表格式</w:t>
      </w:r>
    </w:p>
    <w:p w14:paraId="4F4454F2">
      <w:pPr>
        <w:snapToGrid w:val="0"/>
        <w:spacing w:before="166" w:beforeLines="50" w:after="50"/>
        <w:ind w:left="142"/>
        <w:jc w:val="left"/>
        <w:rPr>
          <w:rFonts w:ascii="宋体" w:hAnsi="宋体" w:cs="宋体"/>
          <w:b/>
          <w:color w:val="auto"/>
          <w:sz w:val="24"/>
          <w:highlight w:val="none"/>
        </w:rPr>
      </w:pPr>
    </w:p>
    <w:p w14:paraId="196766DA">
      <w:pPr>
        <w:snapToGrid w:val="0"/>
        <w:spacing w:before="166" w:beforeLines="50" w:after="50"/>
        <w:ind w:left="142"/>
        <w:jc w:val="center"/>
        <w:rPr>
          <w:rFonts w:ascii="宋体" w:hAnsi="宋体" w:cs="宋体"/>
          <w:b/>
          <w:color w:val="auto"/>
          <w:sz w:val="32"/>
          <w:szCs w:val="32"/>
          <w:highlight w:val="none"/>
        </w:rPr>
      </w:pPr>
      <w:r>
        <w:rPr>
          <w:rFonts w:hint="eastAsia" w:ascii="宋体" w:hAnsi="宋体" w:cs="宋体"/>
          <w:b/>
          <w:color w:val="auto"/>
          <w:sz w:val="32"/>
          <w:szCs w:val="32"/>
          <w:highlight w:val="none"/>
        </w:rPr>
        <w:t>技术要求偏离表</w:t>
      </w:r>
    </w:p>
    <w:p w14:paraId="3F5BC81A">
      <w:pPr>
        <w:pStyle w:val="24"/>
        <w:rPr>
          <w:rFonts w:hAnsi="宋体" w:cs="宋体"/>
          <w:color w:val="auto"/>
          <w:sz w:val="24"/>
          <w:szCs w:val="24"/>
          <w:highlight w:val="none"/>
        </w:rPr>
      </w:pPr>
      <w:r>
        <w:rPr>
          <w:rFonts w:hint="eastAsia" w:hAnsi="宋体" w:cs="宋体"/>
          <w:color w:val="auto"/>
          <w:sz w:val="24"/>
          <w:szCs w:val="24"/>
          <w:highlight w:val="none"/>
        </w:rPr>
        <w:t>所投分标：</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分标</w:t>
      </w:r>
    </w:p>
    <w:tbl>
      <w:tblPr>
        <w:tblStyle w:val="47"/>
        <w:tblW w:w="89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2143"/>
        <w:gridCol w:w="1834"/>
        <w:gridCol w:w="2181"/>
        <w:gridCol w:w="1934"/>
      </w:tblGrid>
      <w:tr w14:paraId="2650C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852" w:type="dxa"/>
            <w:vAlign w:val="center"/>
          </w:tcPr>
          <w:p w14:paraId="395F6842">
            <w:pPr>
              <w:pStyle w:val="24"/>
              <w:spacing w:line="400" w:lineRule="exact"/>
              <w:jc w:val="center"/>
              <w:rPr>
                <w:rFonts w:hAnsi="宋体" w:cs="宋体"/>
                <w:color w:val="auto"/>
                <w:kern w:val="2"/>
                <w:sz w:val="24"/>
                <w:szCs w:val="24"/>
                <w:highlight w:val="none"/>
              </w:rPr>
            </w:pPr>
            <w:r>
              <w:rPr>
                <w:rFonts w:hint="eastAsia" w:hAnsi="宋体" w:cs="宋体"/>
                <w:color w:val="auto"/>
                <w:kern w:val="2"/>
                <w:sz w:val="24"/>
                <w:szCs w:val="24"/>
                <w:highlight w:val="none"/>
              </w:rPr>
              <w:t>序号</w:t>
            </w:r>
          </w:p>
        </w:tc>
        <w:tc>
          <w:tcPr>
            <w:tcW w:w="2143" w:type="dxa"/>
            <w:vAlign w:val="center"/>
          </w:tcPr>
          <w:p w14:paraId="647DDFA5">
            <w:pPr>
              <w:pStyle w:val="24"/>
              <w:spacing w:line="400" w:lineRule="exact"/>
              <w:jc w:val="center"/>
              <w:rPr>
                <w:rFonts w:hAnsi="宋体" w:cs="宋体"/>
                <w:color w:val="auto"/>
                <w:kern w:val="2"/>
                <w:sz w:val="24"/>
                <w:szCs w:val="24"/>
                <w:highlight w:val="none"/>
              </w:rPr>
            </w:pPr>
            <w:r>
              <w:rPr>
                <w:rFonts w:hint="eastAsia" w:hAnsi="宋体" w:cs="宋体"/>
                <w:color w:val="auto"/>
                <w:kern w:val="2"/>
                <w:sz w:val="24"/>
                <w:szCs w:val="24"/>
                <w:highlight w:val="none"/>
              </w:rPr>
              <w:t>货物名称</w:t>
            </w:r>
          </w:p>
        </w:tc>
        <w:tc>
          <w:tcPr>
            <w:tcW w:w="1834" w:type="dxa"/>
            <w:vAlign w:val="center"/>
          </w:tcPr>
          <w:p w14:paraId="1FE5117D">
            <w:pPr>
              <w:pStyle w:val="24"/>
              <w:spacing w:line="400" w:lineRule="exact"/>
              <w:jc w:val="center"/>
              <w:rPr>
                <w:rFonts w:hAnsi="宋体" w:cs="宋体"/>
                <w:color w:val="auto"/>
                <w:kern w:val="2"/>
                <w:sz w:val="24"/>
                <w:szCs w:val="24"/>
                <w:highlight w:val="none"/>
              </w:rPr>
            </w:pPr>
            <w:r>
              <w:rPr>
                <w:rFonts w:hint="eastAsia" w:hAnsi="宋体" w:cs="宋体"/>
                <w:color w:val="auto"/>
                <w:kern w:val="2"/>
                <w:sz w:val="24"/>
                <w:szCs w:val="24"/>
                <w:highlight w:val="none"/>
              </w:rPr>
              <w:t>技术要求</w:t>
            </w:r>
          </w:p>
        </w:tc>
        <w:tc>
          <w:tcPr>
            <w:tcW w:w="2181" w:type="dxa"/>
            <w:vAlign w:val="center"/>
          </w:tcPr>
          <w:p w14:paraId="2638758F">
            <w:pPr>
              <w:pStyle w:val="24"/>
              <w:spacing w:line="400" w:lineRule="exact"/>
              <w:jc w:val="center"/>
              <w:rPr>
                <w:rFonts w:hAnsi="宋体" w:cs="宋体"/>
                <w:color w:val="auto"/>
                <w:kern w:val="2"/>
                <w:sz w:val="24"/>
                <w:szCs w:val="24"/>
                <w:highlight w:val="none"/>
              </w:rPr>
            </w:pPr>
            <w:r>
              <w:rPr>
                <w:rFonts w:hint="eastAsia" w:hAnsi="宋体" w:cs="宋体"/>
                <w:color w:val="auto"/>
                <w:kern w:val="2"/>
                <w:sz w:val="24"/>
                <w:szCs w:val="24"/>
                <w:highlight w:val="none"/>
              </w:rPr>
              <w:t>投标响应</w:t>
            </w:r>
          </w:p>
        </w:tc>
        <w:tc>
          <w:tcPr>
            <w:tcW w:w="1934" w:type="dxa"/>
            <w:vAlign w:val="center"/>
          </w:tcPr>
          <w:p w14:paraId="32C12079">
            <w:pPr>
              <w:pStyle w:val="24"/>
              <w:spacing w:line="400" w:lineRule="exact"/>
              <w:jc w:val="center"/>
              <w:rPr>
                <w:rFonts w:hAnsi="宋体" w:cs="宋体"/>
                <w:color w:val="auto"/>
                <w:kern w:val="2"/>
                <w:sz w:val="24"/>
                <w:szCs w:val="24"/>
                <w:highlight w:val="none"/>
              </w:rPr>
            </w:pPr>
            <w:r>
              <w:rPr>
                <w:rFonts w:hint="eastAsia" w:hAnsi="宋体" w:cs="宋体"/>
                <w:color w:val="auto"/>
                <w:kern w:val="2"/>
                <w:sz w:val="24"/>
                <w:szCs w:val="24"/>
                <w:highlight w:val="none"/>
              </w:rPr>
              <w:t>偏离说明</w:t>
            </w:r>
          </w:p>
        </w:tc>
      </w:tr>
      <w:tr w14:paraId="3F891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11FAA48C">
            <w:pPr>
              <w:pStyle w:val="24"/>
              <w:spacing w:line="600" w:lineRule="exact"/>
              <w:jc w:val="center"/>
              <w:rPr>
                <w:rFonts w:hAnsi="宋体" w:cs="宋体"/>
                <w:color w:val="auto"/>
                <w:kern w:val="2"/>
                <w:sz w:val="24"/>
                <w:szCs w:val="24"/>
                <w:highlight w:val="none"/>
              </w:rPr>
            </w:pPr>
          </w:p>
        </w:tc>
        <w:tc>
          <w:tcPr>
            <w:tcW w:w="2143" w:type="dxa"/>
            <w:vAlign w:val="center"/>
          </w:tcPr>
          <w:p w14:paraId="1CDA1786">
            <w:pPr>
              <w:pStyle w:val="24"/>
              <w:spacing w:line="600" w:lineRule="exact"/>
              <w:jc w:val="center"/>
              <w:rPr>
                <w:rFonts w:hAnsi="宋体" w:cs="宋体"/>
                <w:color w:val="auto"/>
                <w:kern w:val="2"/>
                <w:sz w:val="24"/>
                <w:szCs w:val="24"/>
                <w:highlight w:val="none"/>
              </w:rPr>
            </w:pPr>
          </w:p>
        </w:tc>
        <w:tc>
          <w:tcPr>
            <w:tcW w:w="1834" w:type="dxa"/>
            <w:vAlign w:val="center"/>
          </w:tcPr>
          <w:p w14:paraId="6DEB3470">
            <w:pPr>
              <w:pStyle w:val="24"/>
              <w:spacing w:line="600" w:lineRule="exact"/>
              <w:jc w:val="center"/>
              <w:rPr>
                <w:rFonts w:hAnsi="宋体" w:cs="宋体"/>
                <w:color w:val="auto"/>
                <w:kern w:val="2"/>
                <w:sz w:val="24"/>
                <w:szCs w:val="24"/>
                <w:highlight w:val="none"/>
              </w:rPr>
            </w:pPr>
          </w:p>
        </w:tc>
        <w:tc>
          <w:tcPr>
            <w:tcW w:w="2181" w:type="dxa"/>
            <w:vAlign w:val="center"/>
          </w:tcPr>
          <w:p w14:paraId="2C5987B3">
            <w:pPr>
              <w:pStyle w:val="24"/>
              <w:spacing w:line="600" w:lineRule="exact"/>
              <w:jc w:val="center"/>
              <w:rPr>
                <w:rFonts w:hAnsi="宋体" w:cs="宋体"/>
                <w:color w:val="auto"/>
                <w:kern w:val="2"/>
                <w:sz w:val="24"/>
                <w:szCs w:val="24"/>
                <w:highlight w:val="none"/>
              </w:rPr>
            </w:pPr>
          </w:p>
        </w:tc>
        <w:tc>
          <w:tcPr>
            <w:tcW w:w="1934" w:type="dxa"/>
            <w:vAlign w:val="center"/>
          </w:tcPr>
          <w:p w14:paraId="029A2680">
            <w:pPr>
              <w:pStyle w:val="24"/>
              <w:spacing w:line="600" w:lineRule="exact"/>
              <w:jc w:val="center"/>
              <w:rPr>
                <w:rFonts w:hAnsi="宋体" w:cs="宋体"/>
                <w:color w:val="auto"/>
                <w:kern w:val="2"/>
                <w:sz w:val="24"/>
                <w:szCs w:val="24"/>
                <w:highlight w:val="none"/>
              </w:rPr>
            </w:pPr>
          </w:p>
        </w:tc>
      </w:tr>
      <w:tr w14:paraId="7310E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7280A3E1">
            <w:pPr>
              <w:pStyle w:val="24"/>
              <w:spacing w:line="600" w:lineRule="exact"/>
              <w:rPr>
                <w:rFonts w:hAnsi="宋体" w:cs="宋体"/>
                <w:color w:val="auto"/>
                <w:kern w:val="2"/>
                <w:sz w:val="24"/>
                <w:szCs w:val="24"/>
                <w:highlight w:val="none"/>
              </w:rPr>
            </w:pPr>
          </w:p>
        </w:tc>
        <w:tc>
          <w:tcPr>
            <w:tcW w:w="2143" w:type="dxa"/>
          </w:tcPr>
          <w:p w14:paraId="0E0398A9">
            <w:pPr>
              <w:pStyle w:val="24"/>
              <w:spacing w:line="600" w:lineRule="exact"/>
              <w:rPr>
                <w:rFonts w:hAnsi="宋体" w:cs="宋体"/>
                <w:color w:val="auto"/>
                <w:kern w:val="2"/>
                <w:sz w:val="24"/>
                <w:szCs w:val="24"/>
                <w:highlight w:val="none"/>
              </w:rPr>
            </w:pPr>
          </w:p>
        </w:tc>
        <w:tc>
          <w:tcPr>
            <w:tcW w:w="1834" w:type="dxa"/>
          </w:tcPr>
          <w:p w14:paraId="7B90D9D0">
            <w:pPr>
              <w:pStyle w:val="24"/>
              <w:spacing w:line="600" w:lineRule="exact"/>
              <w:rPr>
                <w:rFonts w:hAnsi="宋体" w:cs="宋体"/>
                <w:color w:val="auto"/>
                <w:kern w:val="2"/>
                <w:sz w:val="24"/>
                <w:szCs w:val="24"/>
                <w:highlight w:val="none"/>
              </w:rPr>
            </w:pPr>
          </w:p>
        </w:tc>
        <w:tc>
          <w:tcPr>
            <w:tcW w:w="2181" w:type="dxa"/>
          </w:tcPr>
          <w:p w14:paraId="74B8635D">
            <w:pPr>
              <w:pStyle w:val="24"/>
              <w:spacing w:line="600" w:lineRule="exact"/>
              <w:rPr>
                <w:rFonts w:hAnsi="宋体" w:cs="宋体"/>
                <w:color w:val="auto"/>
                <w:kern w:val="2"/>
                <w:sz w:val="24"/>
                <w:szCs w:val="24"/>
                <w:highlight w:val="none"/>
              </w:rPr>
            </w:pPr>
          </w:p>
        </w:tc>
        <w:tc>
          <w:tcPr>
            <w:tcW w:w="1934" w:type="dxa"/>
          </w:tcPr>
          <w:p w14:paraId="06108A73">
            <w:pPr>
              <w:pStyle w:val="24"/>
              <w:spacing w:line="600" w:lineRule="exact"/>
              <w:rPr>
                <w:rFonts w:hAnsi="宋体" w:cs="宋体"/>
                <w:color w:val="auto"/>
                <w:kern w:val="2"/>
                <w:sz w:val="24"/>
                <w:szCs w:val="24"/>
                <w:highlight w:val="none"/>
              </w:rPr>
            </w:pPr>
          </w:p>
        </w:tc>
      </w:tr>
      <w:tr w14:paraId="38BD8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23FE9A38">
            <w:pPr>
              <w:pStyle w:val="24"/>
              <w:spacing w:line="600" w:lineRule="exact"/>
              <w:rPr>
                <w:rFonts w:hAnsi="宋体" w:cs="宋体"/>
                <w:color w:val="auto"/>
                <w:kern w:val="2"/>
                <w:sz w:val="24"/>
                <w:szCs w:val="24"/>
                <w:highlight w:val="none"/>
              </w:rPr>
            </w:pPr>
          </w:p>
        </w:tc>
        <w:tc>
          <w:tcPr>
            <w:tcW w:w="2143" w:type="dxa"/>
          </w:tcPr>
          <w:p w14:paraId="2154C7E0">
            <w:pPr>
              <w:pStyle w:val="24"/>
              <w:spacing w:line="600" w:lineRule="exact"/>
              <w:rPr>
                <w:rFonts w:hAnsi="宋体" w:cs="宋体"/>
                <w:color w:val="auto"/>
                <w:kern w:val="2"/>
                <w:sz w:val="24"/>
                <w:szCs w:val="24"/>
                <w:highlight w:val="none"/>
              </w:rPr>
            </w:pPr>
          </w:p>
        </w:tc>
        <w:tc>
          <w:tcPr>
            <w:tcW w:w="1834" w:type="dxa"/>
          </w:tcPr>
          <w:p w14:paraId="470B7091">
            <w:pPr>
              <w:pStyle w:val="24"/>
              <w:spacing w:line="600" w:lineRule="exact"/>
              <w:rPr>
                <w:rFonts w:hAnsi="宋体" w:cs="宋体"/>
                <w:color w:val="auto"/>
                <w:kern w:val="2"/>
                <w:sz w:val="24"/>
                <w:szCs w:val="24"/>
                <w:highlight w:val="none"/>
              </w:rPr>
            </w:pPr>
          </w:p>
        </w:tc>
        <w:tc>
          <w:tcPr>
            <w:tcW w:w="2181" w:type="dxa"/>
          </w:tcPr>
          <w:p w14:paraId="01A7F7E4">
            <w:pPr>
              <w:pStyle w:val="24"/>
              <w:spacing w:line="600" w:lineRule="exact"/>
              <w:rPr>
                <w:rFonts w:hAnsi="宋体" w:cs="宋体"/>
                <w:color w:val="auto"/>
                <w:kern w:val="2"/>
                <w:sz w:val="24"/>
                <w:szCs w:val="24"/>
                <w:highlight w:val="none"/>
              </w:rPr>
            </w:pPr>
          </w:p>
        </w:tc>
        <w:tc>
          <w:tcPr>
            <w:tcW w:w="1934" w:type="dxa"/>
          </w:tcPr>
          <w:p w14:paraId="5DDFE96E">
            <w:pPr>
              <w:pStyle w:val="24"/>
              <w:spacing w:line="600" w:lineRule="exact"/>
              <w:rPr>
                <w:rFonts w:hAnsi="宋体" w:cs="宋体"/>
                <w:color w:val="auto"/>
                <w:kern w:val="2"/>
                <w:sz w:val="24"/>
                <w:szCs w:val="24"/>
                <w:highlight w:val="none"/>
              </w:rPr>
            </w:pPr>
          </w:p>
        </w:tc>
      </w:tr>
      <w:tr w14:paraId="1D029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5A728FAB">
            <w:pPr>
              <w:pStyle w:val="24"/>
              <w:spacing w:line="600" w:lineRule="exact"/>
              <w:rPr>
                <w:rFonts w:hAnsi="宋体" w:cs="宋体"/>
                <w:color w:val="auto"/>
                <w:kern w:val="2"/>
                <w:sz w:val="24"/>
                <w:szCs w:val="24"/>
                <w:highlight w:val="none"/>
              </w:rPr>
            </w:pPr>
          </w:p>
        </w:tc>
        <w:tc>
          <w:tcPr>
            <w:tcW w:w="2143" w:type="dxa"/>
          </w:tcPr>
          <w:p w14:paraId="50A58433">
            <w:pPr>
              <w:pStyle w:val="24"/>
              <w:spacing w:line="600" w:lineRule="exact"/>
              <w:rPr>
                <w:rFonts w:hAnsi="宋体" w:cs="宋体"/>
                <w:color w:val="auto"/>
                <w:kern w:val="2"/>
                <w:sz w:val="24"/>
                <w:szCs w:val="24"/>
                <w:highlight w:val="none"/>
              </w:rPr>
            </w:pPr>
          </w:p>
        </w:tc>
        <w:tc>
          <w:tcPr>
            <w:tcW w:w="1834" w:type="dxa"/>
          </w:tcPr>
          <w:p w14:paraId="732BF3EB">
            <w:pPr>
              <w:pStyle w:val="24"/>
              <w:spacing w:line="600" w:lineRule="exact"/>
              <w:rPr>
                <w:rFonts w:hAnsi="宋体" w:cs="宋体"/>
                <w:color w:val="auto"/>
                <w:kern w:val="2"/>
                <w:sz w:val="24"/>
                <w:szCs w:val="24"/>
                <w:highlight w:val="none"/>
              </w:rPr>
            </w:pPr>
          </w:p>
        </w:tc>
        <w:tc>
          <w:tcPr>
            <w:tcW w:w="2181" w:type="dxa"/>
          </w:tcPr>
          <w:p w14:paraId="185E59BD">
            <w:pPr>
              <w:pStyle w:val="24"/>
              <w:spacing w:line="600" w:lineRule="exact"/>
              <w:rPr>
                <w:rFonts w:hAnsi="宋体" w:cs="宋体"/>
                <w:color w:val="auto"/>
                <w:kern w:val="2"/>
                <w:sz w:val="24"/>
                <w:szCs w:val="24"/>
                <w:highlight w:val="none"/>
              </w:rPr>
            </w:pPr>
          </w:p>
        </w:tc>
        <w:tc>
          <w:tcPr>
            <w:tcW w:w="1934" w:type="dxa"/>
          </w:tcPr>
          <w:p w14:paraId="0469055B">
            <w:pPr>
              <w:pStyle w:val="24"/>
              <w:spacing w:line="600" w:lineRule="exact"/>
              <w:rPr>
                <w:rFonts w:hAnsi="宋体" w:cs="宋体"/>
                <w:color w:val="auto"/>
                <w:kern w:val="2"/>
                <w:sz w:val="24"/>
                <w:szCs w:val="24"/>
                <w:highlight w:val="none"/>
              </w:rPr>
            </w:pPr>
          </w:p>
        </w:tc>
      </w:tr>
      <w:tr w14:paraId="5C8D5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2DC2BA98">
            <w:pPr>
              <w:pStyle w:val="24"/>
              <w:spacing w:line="600" w:lineRule="exact"/>
              <w:rPr>
                <w:rFonts w:hAnsi="宋体" w:cs="宋体"/>
                <w:color w:val="auto"/>
                <w:kern w:val="2"/>
                <w:sz w:val="24"/>
                <w:szCs w:val="24"/>
                <w:highlight w:val="none"/>
              </w:rPr>
            </w:pPr>
          </w:p>
        </w:tc>
        <w:tc>
          <w:tcPr>
            <w:tcW w:w="2143" w:type="dxa"/>
          </w:tcPr>
          <w:p w14:paraId="74B04773">
            <w:pPr>
              <w:pStyle w:val="24"/>
              <w:spacing w:line="600" w:lineRule="exact"/>
              <w:rPr>
                <w:rFonts w:hAnsi="宋体" w:cs="宋体"/>
                <w:color w:val="auto"/>
                <w:kern w:val="2"/>
                <w:sz w:val="24"/>
                <w:szCs w:val="24"/>
                <w:highlight w:val="none"/>
              </w:rPr>
            </w:pPr>
          </w:p>
        </w:tc>
        <w:tc>
          <w:tcPr>
            <w:tcW w:w="1834" w:type="dxa"/>
          </w:tcPr>
          <w:p w14:paraId="6F8E2960">
            <w:pPr>
              <w:pStyle w:val="24"/>
              <w:spacing w:line="600" w:lineRule="exact"/>
              <w:rPr>
                <w:rFonts w:hAnsi="宋体" w:cs="宋体"/>
                <w:color w:val="auto"/>
                <w:kern w:val="2"/>
                <w:sz w:val="24"/>
                <w:szCs w:val="24"/>
                <w:highlight w:val="none"/>
              </w:rPr>
            </w:pPr>
          </w:p>
        </w:tc>
        <w:tc>
          <w:tcPr>
            <w:tcW w:w="2181" w:type="dxa"/>
          </w:tcPr>
          <w:p w14:paraId="60483D7F">
            <w:pPr>
              <w:pStyle w:val="24"/>
              <w:spacing w:line="600" w:lineRule="exact"/>
              <w:rPr>
                <w:rFonts w:hAnsi="宋体" w:cs="宋体"/>
                <w:color w:val="auto"/>
                <w:kern w:val="2"/>
                <w:sz w:val="24"/>
                <w:szCs w:val="24"/>
                <w:highlight w:val="none"/>
              </w:rPr>
            </w:pPr>
          </w:p>
        </w:tc>
        <w:tc>
          <w:tcPr>
            <w:tcW w:w="1934" w:type="dxa"/>
          </w:tcPr>
          <w:p w14:paraId="793F9D77">
            <w:pPr>
              <w:pStyle w:val="24"/>
              <w:spacing w:line="600" w:lineRule="exact"/>
              <w:rPr>
                <w:rFonts w:hAnsi="宋体" w:cs="宋体"/>
                <w:color w:val="auto"/>
                <w:kern w:val="2"/>
                <w:sz w:val="24"/>
                <w:szCs w:val="24"/>
                <w:highlight w:val="none"/>
              </w:rPr>
            </w:pPr>
          </w:p>
        </w:tc>
      </w:tr>
      <w:tr w14:paraId="27A28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0E5ABD7E">
            <w:pPr>
              <w:pStyle w:val="24"/>
              <w:spacing w:line="600" w:lineRule="exact"/>
              <w:rPr>
                <w:rFonts w:hAnsi="宋体" w:cs="宋体"/>
                <w:color w:val="auto"/>
                <w:kern w:val="2"/>
                <w:sz w:val="24"/>
                <w:szCs w:val="24"/>
                <w:highlight w:val="none"/>
              </w:rPr>
            </w:pPr>
          </w:p>
        </w:tc>
        <w:tc>
          <w:tcPr>
            <w:tcW w:w="2143" w:type="dxa"/>
          </w:tcPr>
          <w:p w14:paraId="10CFD51D">
            <w:pPr>
              <w:pStyle w:val="24"/>
              <w:spacing w:line="600" w:lineRule="exact"/>
              <w:rPr>
                <w:rFonts w:hAnsi="宋体" w:cs="宋体"/>
                <w:color w:val="auto"/>
                <w:kern w:val="2"/>
                <w:sz w:val="24"/>
                <w:szCs w:val="24"/>
                <w:highlight w:val="none"/>
              </w:rPr>
            </w:pPr>
          </w:p>
        </w:tc>
        <w:tc>
          <w:tcPr>
            <w:tcW w:w="1834" w:type="dxa"/>
          </w:tcPr>
          <w:p w14:paraId="148694A1">
            <w:pPr>
              <w:pStyle w:val="24"/>
              <w:spacing w:line="600" w:lineRule="exact"/>
              <w:rPr>
                <w:rFonts w:hAnsi="宋体" w:cs="宋体"/>
                <w:color w:val="auto"/>
                <w:kern w:val="2"/>
                <w:sz w:val="24"/>
                <w:szCs w:val="24"/>
                <w:highlight w:val="none"/>
              </w:rPr>
            </w:pPr>
          </w:p>
        </w:tc>
        <w:tc>
          <w:tcPr>
            <w:tcW w:w="2181" w:type="dxa"/>
          </w:tcPr>
          <w:p w14:paraId="00B7AF5E">
            <w:pPr>
              <w:pStyle w:val="24"/>
              <w:spacing w:line="600" w:lineRule="exact"/>
              <w:rPr>
                <w:rFonts w:hAnsi="宋体" w:cs="宋体"/>
                <w:color w:val="auto"/>
                <w:kern w:val="2"/>
                <w:sz w:val="24"/>
                <w:szCs w:val="24"/>
                <w:highlight w:val="none"/>
              </w:rPr>
            </w:pPr>
          </w:p>
        </w:tc>
        <w:tc>
          <w:tcPr>
            <w:tcW w:w="1934" w:type="dxa"/>
          </w:tcPr>
          <w:p w14:paraId="17E8A652">
            <w:pPr>
              <w:pStyle w:val="24"/>
              <w:spacing w:line="600" w:lineRule="exact"/>
              <w:rPr>
                <w:rFonts w:hAnsi="宋体" w:cs="宋体"/>
                <w:color w:val="auto"/>
                <w:kern w:val="2"/>
                <w:sz w:val="24"/>
                <w:szCs w:val="24"/>
                <w:highlight w:val="none"/>
              </w:rPr>
            </w:pPr>
          </w:p>
        </w:tc>
      </w:tr>
    </w:tbl>
    <w:p w14:paraId="5C67B884">
      <w:pPr>
        <w:pStyle w:val="18"/>
        <w:rPr>
          <w:rFonts w:ascii="楷体" w:hAnsi="楷体" w:eastAsia="楷体" w:cs="宋体"/>
          <w:color w:val="auto"/>
          <w:highlight w:val="none"/>
        </w:rPr>
      </w:pPr>
      <w:r>
        <w:rPr>
          <w:rFonts w:hint="eastAsia" w:ascii="楷体" w:hAnsi="楷体" w:eastAsia="楷体" w:cs="宋体"/>
          <w:color w:val="auto"/>
          <w:highlight w:val="none"/>
        </w:rPr>
        <w:t>注：</w:t>
      </w:r>
    </w:p>
    <w:p w14:paraId="26491D09">
      <w:pPr>
        <w:pStyle w:val="19"/>
        <w:spacing w:line="360" w:lineRule="auto"/>
        <w:ind w:firstLine="480" w:firstLineChars="200"/>
        <w:rPr>
          <w:rFonts w:ascii="楷体" w:hAnsi="楷体" w:eastAsia="楷体" w:cs="宋体"/>
          <w:color w:val="auto"/>
          <w:szCs w:val="32"/>
          <w:highlight w:val="none"/>
        </w:rPr>
      </w:pPr>
      <w:r>
        <w:rPr>
          <w:rFonts w:ascii="楷体" w:hAnsi="楷体" w:eastAsia="楷体" w:cs="宋体"/>
          <w:color w:val="auto"/>
          <w:sz w:val="24"/>
          <w:szCs w:val="24"/>
          <w:highlight w:val="none"/>
        </w:rPr>
        <w:t>1.</w:t>
      </w:r>
      <w:r>
        <w:rPr>
          <w:rFonts w:hint="eastAsia" w:ascii="楷体" w:hAnsi="楷体" w:eastAsia="楷体" w:cs="宋体"/>
          <w:color w:val="auto"/>
          <w:sz w:val="24"/>
          <w:szCs w:val="24"/>
          <w:highlight w:val="none"/>
        </w:rPr>
        <w:t>说明：应对照招标文件“第二章</w:t>
      </w:r>
      <w:r>
        <w:rPr>
          <w:rFonts w:ascii="楷体" w:hAnsi="楷体" w:eastAsia="楷体" w:cs="宋体"/>
          <w:color w:val="auto"/>
          <w:sz w:val="24"/>
          <w:szCs w:val="24"/>
          <w:highlight w:val="none"/>
        </w:rPr>
        <w:t xml:space="preserve"> </w:t>
      </w:r>
      <w:r>
        <w:rPr>
          <w:rFonts w:hint="eastAsia" w:ascii="楷体" w:hAnsi="楷体" w:eastAsia="楷体" w:cs="宋体"/>
          <w:color w:val="auto"/>
          <w:sz w:val="24"/>
          <w:szCs w:val="24"/>
          <w:highlight w:val="none"/>
        </w:rPr>
        <w:t>采购需求”中的“技术要求”逐条作明确的投标响应，并作出偏离说明。</w:t>
      </w:r>
    </w:p>
    <w:p w14:paraId="632C0FFC">
      <w:pPr>
        <w:pStyle w:val="18"/>
        <w:spacing w:line="360" w:lineRule="auto"/>
        <w:ind w:firstLine="480" w:firstLineChars="200"/>
        <w:rPr>
          <w:rFonts w:ascii="楷体" w:hAnsi="楷体" w:eastAsia="楷体" w:cs="宋体"/>
          <w:b w:val="0"/>
          <w:bCs w:val="0"/>
          <w:color w:val="auto"/>
          <w:highlight w:val="none"/>
        </w:rPr>
      </w:pPr>
      <w:r>
        <w:rPr>
          <w:rFonts w:ascii="楷体" w:hAnsi="楷体" w:eastAsia="楷体" w:cs="宋体"/>
          <w:b w:val="0"/>
          <w:bCs w:val="0"/>
          <w:color w:val="auto"/>
          <w:highlight w:val="none"/>
        </w:rPr>
        <w:t>2.投标人根据投标货物的性能指标，对照招标文件技术要求，在“偏离说明”中注明“</w:t>
      </w:r>
      <w:r>
        <w:rPr>
          <w:rFonts w:hint="eastAsia" w:ascii="楷体" w:hAnsi="楷体" w:eastAsia="楷体" w:cs="宋体"/>
          <w:color w:val="auto"/>
          <w:highlight w:val="none"/>
        </w:rPr>
        <w:t>正偏离</w:t>
      </w:r>
      <w:r>
        <w:rPr>
          <w:rFonts w:hint="eastAsia" w:ascii="楷体" w:hAnsi="楷体" w:eastAsia="楷体" w:cs="宋体"/>
          <w:b w:val="0"/>
          <w:bCs w:val="0"/>
          <w:color w:val="auto"/>
          <w:highlight w:val="none"/>
        </w:rPr>
        <w:t>”、“</w:t>
      </w:r>
      <w:r>
        <w:rPr>
          <w:rFonts w:hint="eastAsia" w:ascii="楷体" w:hAnsi="楷体" w:eastAsia="楷体" w:cs="宋体"/>
          <w:color w:val="auto"/>
          <w:highlight w:val="none"/>
        </w:rPr>
        <w:t>负偏离</w:t>
      </w:r>
      <w:r>
        <w:rPr>
          <w:rFonts w:hint="eastAsia" w:ascii="楷体" w:hAnsi="楷体" w:eastAsia="楷体" w:cs="宋体"/>
          <w:b w:val="0"/>
          <w:bCs w:val="0"/>
          <w:color w:val="auto"/>
          <w:highlight w:val="none"/>
        </w:rPr>
        <w:t>”或者“</w:t>
      </w:r>
      <w:r>
        <w:rPr>
          <w:rFonts w:hint="eastAsia" w:ascii="楷体" w:hAnsi="楷体" w:eastAsia="楷体" w:cs="宋体"/>
          <w:color w:val="auto"/>
          <w:highlight w:val="none"/>
        </w:rPr>
        <w:t>无偏离</w:t>
      </w:r>
      <w:r>
        <w:rPr>
          <w:rFonts w:hint="eastAsia" w:ascii="楷体" w:hAnsi="楷体" w:eastAsia="楷体" w:cs="宋体"/>
          <w:b w:val="0"/>
          <w:bCs w:val="0"/>
          <w:color w:val="auto"/>
          <w:highlight w:val="none"/>
        </w:rPr>
        <w:t>”。既不属于“</w:t>
      </w:r>
      <w:r>
        <w:rPr>
          <w:rFonts w:hint="eastAsia" w:ascii="楷体" w:hAnsi="楷体" w:eastAsia="楷体" w:cs="宋体"/>
          <w:color w:val="auto"/>
          <w:highlight w:val="none"/>
        </w:rPr>
        <w:t>正偏离</w:t>
      </w:r>
      <w:r>
        <w:rPr>
          <w:rFonts w:hint="eastAsia" w:ascii="楷体" w:hAnsi="楷体" w:eastAsia="楷体" w:cs="宋体"/>
          <w:b w:val="0"/>
          <w:bCs w:val="0"/>
          <w:color w:val="auto"/>
          <w:highlight w:val="none"/>
        </w:rPr>
        <w:t>”也不属于“</w:t>
      </w:r>
      <w:r>
        <w:rPr>
          <w:rFonts w:hint="eastAsia" w:ascii="楷体" w:hAnsi="楷体" w:eastAsia="楷体" w:cs="宋体"/>
          <w:color w:val="auto"/>
          <w:highlight w:val="none"/>
        </w:rPr>
        <w:t>负偏离</w:t>
      </w:r>
      <w:r>
        <w:rPr>
          <w:rFonts w:hint="eastAsia" w:ascii="楷体" w:hAnsi="楷体" w:eastAsia="楷体" w:cs="宋体"/>
          <w:b w:val="0"/>
          <w:bCs w:val="0"/>
          <w:color w:val="auto"/>
          <w:highlight w:val="none"/>
        </w:rPr>
        <w:t>”即为“</w:t>
      </w:r>
      <w:r>
        <w:rPr>
          <w:rFonts w:hint="eastAsia" w:ascii="楷体" w:hAnsi="楷体" w:eastAsia="楷体" w:cs="宋体"/>
          <w:color w:val="auto"/>
          <w:highlight w:val="none"/>
        </w:rPr>
        <w:t>无偏离</w:t>
      </w:r>
      <w:r>
        <w:rPr>
          <w:rFonts w:hint="eastAsia" w:ascii="楷体" w:hAnsi="楷体" w:eastAsia="楷体" w:cs="宋体"/>
          <w:b w:val="0"/>
          <w:bCs w:val="0"/>
          <w:color w:val="auto"/>
          <w:highlight w:val="none"/>
        </w:rPr>
        <w:t>”。</w:t>
      </w:r>
    </w:p>
    <w:p w14:paraId="045B64D4">
      <w:pPr>
        <w:pStyle w:val="19"/>
        <w:spacing w:line="360" w:lineRule="auto"/>
        <w:ind w:firstLine="480" w:firstLineChars="200"/>
        <w:rPr>
          <w:rFonts w:ascii="楷体" w:hAnsi="楷体" w:eastAsia="楷体" w:cs="宋体"/>
          <w:color w:val="auto"/>
          <w:sz w:val="24"/>
          <w:szCs w:val="24"/>
          <w:highlight w:val="none"/>
        </w:rPr>
      </w:pPr>
      <w:r>
        <w:rPr>
          <w:rFonts w:ascii="楷体" w:hAnsi="楷体" w:eastAsia="楷体" w:cs="宋体"/>
          <w:color w:val="auto"/>
          <w:sz w:val="24"/>
          <w:szCs w:val="24"/>
          <w:highlight w:val="none"/>
        </w:rPr>
        <w:t>3.投标人认为其投标响应有正偏离的，请在技术要求偏离表中列明，且在投标文件中提供投标产品的彩页或国家认可的有资质的第三方检测机构出具的检测报告复印件或产品生产厂家出具的技术参数说明证明作为佐证，以上佐证材料均需加盖生产厂家或代理商（</w:t>
      </w:r>
      <w:r>
        <w:rPr>
          <w:rFonts w:hint="eastAsia" w:ascii="楷体" w:hAnsi="楷体" w:eastAsia="楷体" w:cs="宋体"/>
          <w:color w:val="auto"/>
          <w:sz w:val="24"/>
          <w:szCs w:val="24"/>
          <w:highlight w:val="none"/>
        </w:rPr>
        <w:t>附生产厂家授权资料）公章。</w:t>
      </w:r>
    </w:p>
    <w:p w14:paraId="79ACF981">
      <w:pPr>
        <w:pStyle w:val="19"/>
        <w:spacing w:line="360" w:lineRule="auto"/>
        <w:ind w:firstLine="480" w:firstLineChars="200"/>
        <w:rPr>
          <w:rFonts w:ascii="楷体" w:hAnsi="楷体" w:eastAsia="楷体" w:cs="宋体"/>
          <w:color w:val="auto"/>
          <w:sz w:val="24"/>
          <w:szCs w:val="24"/>
          <w:highlight w:val="none"/>
        </w:rPr>
      </w:pPr>
      <w:r>
        <w:rPr>
          <w:rFonts w:ascii="楷体" w:hAnsi="楷体" w:eastAsia="楷体" w:cs="宋体"/>
          <w:color w:val="auto"/>
          <w:sz w:val="24"/>
          <w:szCs w:val="24"/>
          <w:highlight w:val="none"/>
        </w:rPr>
        <w:t>4.</w:t>
      </w:r>
      <w:r>
        <w:rPr>
          <w:rFonts w:hint="eastAsia" w:ascii="楷体" w:hAnsi="楷体" w:eastAsia="楷体" w:cs="宋体"/>
          <w:color w:val="auto"/>
          <w:sz w:val="24"/>
          <w:szCs w:val="24"/>
          <w:highlight w:val="none"/>
        </w:rPr>
        <w:t>如技术要求偏离表中的投标响应与佐证材料不一致的，以佐证材料为准。</w:t>
      </w:r>
    </w:p>
    <w:p w14:paraId="60782164">
      <w:pPr>
        <w:snapToGrid w:val="0"/>
        <w:spacing w:before="50" w:after="50" w:line="360" w:lineRule="auto"/>
        <w:rPr>
          <w:rFonts w:ascii="宋体" w:hAnsi="宋体" w:cs="宋体"/>
          <w:color w:val="auto"/>
          <w:sz w:val="24"/>
          <w:highlight w:val="none"/>
        </w:rPr>
      </w:pPr>
    </w:p>
    <w:p w14:paraId="0865C47A">
      <w:pPr>
        <w:snapToGrid w:val="0"/>
        <w:spacing w:before="50" w:after="50"/>
        <w:ind w:firstLine="3360" w:firstLineChars="1400"/>
        <w:rPr>
          <w:rFonts w:ascii="宋体" w:hAnsi="宋体" w:cs="宋体"/>
          <w:color w:val="auto"/>
          <w:kern w:val="0"/>
          <w:sz w:val="24"/>
          <w:highlight w:val="none"/>
        </w:rPr>
      </w:pPr>
      <w:r>
        <w:rPr>
          <w:rFonts w:hint="eastAsia" w:ascii="宋体" w:hAnsi="宋体" w:cs="宋体"/>
          <w:color w:val="auto"/>
          <w:kern w:val="0"/>
          <w:sz w:val="24"/>
          <w:highlight w:val="none"/>
        </w:rPr>
        <w:t>法定代表人或者委托代理人（签字）：</w:t>
      </w:r>
      <w:r>
        <w:rPr>
          <w:rFonts w:hint="eastAsia" w:ascii="宋体" w:hAnsi="宋体" w:cs="宋体"/>
          <w:color w:val="auto"/>
          <w:kern w:val="0"/>
          <w:sz w:val="24"/>
          <w:highlight w:val="none"/>
          <w:u w:val="single"/>
        </w:rPr>
        <w:t xml:space="preserve"> </w:t>
      </w:r>
      <w:r>
        <w:rPr>
          <w:rFonts w:ascii="宋体" w:hAnsi="宋体" w:cs="宋体"/>
          <w:color w:val="auto"/>
          <w:kern w:val="0"/>
          <w:sz w:val="24"/>
          <w:highlight w:val="none"/>
          <w:u w:val="single"/>
        </w:rPr>
        <w:t xml:space="preserve">                </w:t>
      </w:r>
      <w:r>
        <w:rPr>
          <w:rFonts w:hint="eastAsia" w:ascii="宋体" w:hAnsi="宋体" w:cs="宋体"/>
          <w:color w:val="auto"/>
          <w:kern w:val="0"/>
          <w:sz w:val="24"/>
          <w:highlight w:val="none"/>
        </w:rPr>
        <w:t xml:space="preserve">        </w:t>
      </w:r>
    </w:p>
    <w:p w14:paraId="613D8013">
      <w:pPr>
        <w:snapToGrid w:val="0"/>
        <w:spacing w:before="166" w:beforeLines="50"/>
        <w:ind w:firstLine="3360" w:firstLineChars="1400"/>
        <w:rPr>
          <w:rFonts w:ascii="宋体" w:hAnsi="宋体" w:cs="宋体"/>
          <w:color w:val="auto"/>
          <w:kern w:val="0"/>
          <w:sz w:val="24"/>
          <w:highlight w:val="none"/>
        </w:rPr>
      </w:pPr>
      <w:r>
        <w:rPr>
          <w:rFonts w:hint="eastAsia" w:ascii="宋体" w:hAnsi="宋体" w:cs="宋体"/>
          <w:color w:val="auto"/>
          <w:kern w:val="0"/>
          <w:sz w:val="24"/>
          <w:highlight w:val="none"/>
        </w:rPr>
        <w:t>投标人</w:t>
      </w:r>
      <w:r>
        <w:rPr>
          <w:rFonts w:hint="eastAsia" w:ascii="黑体" w:hAnsi="黑体" w:eastAsia="黑体" w:cs="宋体"/>
          <w:color w:val="auto"/>
          <w:kern w:val="0"/>
          <w:sz w:val="24"/>
          <w:highlight w:val="none"/>
        </w:rPr>
        <w:t>（</w:t>
      </w:r>
      <w:r>
        <w:rPr>
          <w:rFonts w:hint="eastAsia" w:ascii="宋体" w:hAnsi="宋体" w:cs="宋体"/>
          <w:color w:val="auto"/>
          <w:kern w:val="0"/>
          <w:sz w:val="24"/>
          <w:highlight w:val="none"/>
        </w:rPr>
        <w:t>公章</w:t>
      </w:r>
      <w:r>
        <w:rPr>
          <w:rFonts w:hint="eastAsia" w:ascii="黑体" w:hAnsi="黑体" w:eastAsia="黑体" w:cs="宋体"/>
          <w:color w:val="auto"/>
          <w:kern w:val="0"/>
          <w:sz w:val="24"/>
          <w:highlight w:val="none"/>
        </w:rPr>
        <w:t>）</w:t>
      </w:r>
      <w:r>
        <w:rPr>
          <w:rFonts w:hint="eastAsia" w:ascii="宋体" w:hAnsi="宋体" w:cs="宋体"/>
          <w:color w:val="auto"/>
          <w:kern w:val="0"/>
          <w:sz w:val="24"/>
          <w:highlight w:val="none"/>
        </w:rPr>
        <w:t>：</w:t>
      </w:r>
      <w:r>
        <w:rPr>
          <w:rFonts w:hint="eastAsia" w:ascii="宋体" w:hAnsi="宋体" w:cs="宋体"/>
          <w:color w:val="auto"/>
          <w:kern w:val="0"/>
          <w:sz w:val="24"/>
          <w:highlight w:val="none"/>
          <w:u w:val="single"/>
        </w:rPr>
        <w:t xml:space="preserve"> </w:t>
      </w:r>
      <w:r>
        <w:rPr>
          <w:rFonts w:ascii="宋体" w:hAnsi="宋体" w:cs="宋体"/>
          <w:color w:val="auto"/>
          <w:kern w:val="0"/>
          <w:sz w:val="24"/>
          <w:highlight w:val="none"/>
          <w:u w:val="single"/>
        </w:rPr>
        <w:t xml:space="preserve">             </w:t>
      </w:r>
      <w:r>
        <w:rPr>
          <w:rFonts w:hint="eastAsia" w:ascii="宋体" w:hAnsi="宋体" w:cs="宋体"/>
          <w:color w:val="auto"/>
          <w:kern w:val="0"/>
          <w:sz w:val="24"/>
          <w:highlight w:val="none"/>
        </w:rPr>
        <w:t xml:space="preserve">               </w:t>
      </w:r>
    </w:p>
    <w:p w14:paraId="353DD2B0">
      <w:pPr>
        <w:snapToGrid w:val="0"/>
        <w:spacing w:before="166" w:beforeLines="50"/>
        <w:ind w:firstLine="3360" w:firstLineChars="1400"/>
        <w:rPr>
          <w:rFonts w:ascii="宋体" w:hAnsi="宋体" w:cs="宋体"/>
          <w:color w:val="auto"/>
          <w:kern w:val="0"/>
          <w:sz w:val="24"/>
          <w:highlight w:val="none"/>
        </w:rPr>
      </w:pPr>
      <w:r>
        <w:rPr>
          <w:rFonts w:hint="eastAsia" w:ascii="宋体" w:hAnsi="宋体" w:cs="宋体"/>
          <w:color w:val="auto"/>
          <w:kern w:val="0"/>
          <w:sz w:val="24"/>
          <w:highlight w:val="none"/>
        </w:rPr>
        <w:t xml:space="preserve">日  期：   </w:t>
      </w:r>
      <w:r>
        <w:rPr>
          <w:rFonts w:hint="eastAsia" w:ascii="黑体" w:hAnsi="黑体" w:eastAsia="黑体" w:cs="宋体"/>
          <w:b/>
          <w:color w:val="auto"/>
          <w:kern w:val="0"/>
          <w:sz w:val="24"/>
          <w:highlight w:val="none"/>
          <w:u w:val="single"/>
        </w:rPr>
        <w:t xml:space="preserve">     </w:t>
      </w:r>
      <w:r>
        <w:rPr>
          <w:rFonts w:ascii="黑体" w:hAnsi="黑体" w:eastAsia="黑体" w:cs="宋体"/>
          <w:b/>
          <w:color w:val="auto"/>
          <w:kern w:val="0"/>
          <w:sz w:val="24"/>
          <w:highlight w:val="none"/>
          <w:u w:val="single"/>
        </w:rPr>
        <w:t xml:space="preserve"> </w:t>
      </w:r>
      <w:r>
        <w:rPr>
          <w:rFonts w:hint="eastAsia" w:ascii="黑体" w:hAnsi="黑体" w:eastAsia="黑体" w:cs="宋体"/>
          <w:b/>
          <w:color w:val="auto"/>
          <w:kern w:val="0"/>
          <w:sz w:val="24"/>
          <w:highlight w:val="none"/>
          <w:u w:val="single"/>
        </w:rPr>
        <w:t xml:space="preserve"> </w:t>
      </w:r>
      <w:r>
        <w:rPr>
          <w:rFonts w:hint="eastAsia" w:cs="宋体" w:asciiTheme="minorEastAsia" w:hAnsiTheme="minorEastAsia" w:eastAsiaTheme="minorEastAsia"/>
          <w:color w:val="auto"/>
          <w:kern w:val="0"/>
          <w:sz w:val="24"/>
          <w:highlight w:val="none"/>
        </w:rPr>
        <w:t>年</w:t>
      </w:r>
      <w:r>
        <w:rPr>
          <w:rFonts w:cs="宋体" w:asciiTheme="minorEastAsia" w:hAnsiTheme="minorEastAsia" w:eastAsiaTheme="minorEastAsia"/>
          <w:color w:val="auto"/>
          <w:kern w:val="0"/>
          <w:sz w:val="24"/>
          <w:highlight w:val="none"/>
          <w:u w:val="single"/>
        </w:rPr>
        <w:t xml:space="preserve">  </w:t>
      </w:r>
      <w:r>
        <w:rPr>
          <w:rFonts w:hint="eastAsia" w:cs="宋体" w:asciiTheme="minorEastAsia" w:hAnsiTheme="minorEastAsia" w:eastAsiaTheme="minorEastAsia"/>
          <w:color w:val="auto"/>
          <w:kern w:val="0"/>
          <w:sz w:val="24"/>
          <w:highlight w:val="none"/>
        </w:rPr>
        <w:t>月</w:t>
      </w:r>
      <w:r>
        <w:rPr>
          <w:rFonts w:cs="宋体" w:asciiTheme="minorEastAsia" w:hAnsiTheme="minorEastAsia" w:eastAsiaTheme="minorEastAsia"/>
          <w:color w:val="auto"/>
          <w:kern w:val="0"/>
          <w:sz w:val="24"/>
          <w:highlight w:val="none"/>
          <w:u w:val="single"/>
        </w:rPr>
        <w:t xml:space="preserve">  </w:t>
      </w:r>
      <w:r>
        <w:rPr>
          <w:rFonts w:hint="eastAsia" w:cs="宋体" w:asciiTheme="minorEastAsia" w:hAnsiTheme="minorEastAsia" w:eastAsiaTheme="minorEastAsia"/>
          <w:color w:val="auto"/>
          <w:kern w:val="0"/>
          <w:sz w:val="24"/>
          <w:highlight w:val="none"/>
        </w:rPr>
        <w:t>日</w:t>
      </w:r>
    </w:p>
    <w:p w14:paraId="51B7433F">
      <w:pPr>
        <w:snapToGrid w:val="0"/>
        <w:spacing w:before="166" w:beforeLines="50" w:after="50"/>
        <w:jc w:val="left"/>
        <w:rPr>
          <w:rFonts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5. 项目实施人员一览表格式</w:t>
      </w:r>
    </w:p>
    <w:p w14:paraId="6795FB9C">
      <w:pPr>
        <w:snapToGrid w:val="0"/>
        <w:spacing w:before="166" w:beforeLines="50" w:after="50"/>
        <w:ind w:left="142"/>
        <w:jc w:val="left"/>
        <w:rPr>
          <w:rFonts w:ascii="宋体" w:hAnsi="宋体" w:cs="宋体"/>
          <w:b/>
          <w:color w:val="auto"/>
          <w:sz w:val="24"/>
          <w:highlight w:val="none"/>
        </w:rPr>
      </w:pPr>
    </w:p>
    <w:p w14:paraId="230DBDF4">
      <w:pPr>
        <w:snapToGrid w:val="0"/>
        <w:spacing w:before="166" w:beforeLines="50" w:after="50"/>
        <w:ind w:left="142"/>
        <w:jc w:val="center"/>
        <w:rPr>
          <w:rFonts w:ascii="宋体" w:hAnsi="宋体" w:cs="宋体"/>
          <w:b/>
          <w:color w:val="auto"/>
          <w:sz w:val="32"/>
          <w:szCs w:val="32"/>
          <w:highlight w:val="none"/>
        </w:rPr>
      </w:pPr>
      <w:r>
        <w:rPr>
          <w:rFonts w:hint="eastAsia" w:ascii="宋体" w:hAnsi="宋体" w:cs="宋体"/>
          <w:b/>
          <w:color w:val="auto"/>
          <w:sz w:val="32"/>
          <w:szCs w:val="32"/>
          <w:highlight w:val="none"/>
        </w:rPr>
        <w:t>项目实施人员一览表</w:t>
      </w:r>
    </w:p>
    <w:p w14:paraId="3C68267E">
      <w:pPr>
        <w:pStyle w:val="24"/>
        <w:rPr>
          <w:rFonts w:hAnsi="宋体" w:cs="宋体"/>
          <w:color w:val="auto"/>
          <w:sz w:val="24"/>
          <w:szCs w:val="24"/>
          <w:highlight w:val="none"/>
        </w:rPr>
      </w:pPr>
      <w:r>
        <w:rPr>
          <w:rFonts w:hint="eastAsia" w:hAnsi="宋体" w:cs="宋体"/>
          <w:color w:val="auto"/>
          <w:sz w:val="24"/>
          <w:szCs w:val="24"/>
          <w:highlight w:val="none"/>
        </w:rPr>
        <w:t>所投分标：</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分标</w:t>
      </w:r>
    </w:p>
    <w:tbl>
      <w:tblPr>
        <w:tblStyle w:val="47"/>
        <w:tblW w:w="94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820"/>
        <w:gridCol w:w="1969"/>
        <w:gridCol w:w="1644"/>
        <w:gridCol w:w="1965"/>
        <w:gridCol w:w="2133"/>
      </w:tblGrid>
      <w:tr w14:paraId="075E3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trPr>
        <w:tc>
          <w:tcPr>
            <w:tcW w:w="945" w:type="dxa"/>
            <w:vAlign w:val="center"/>
          </w:tcPr>
          <w:p w14:paraId="3761E43A">
            <w:pPr>
              <w:snapToGrid w:val="0"/>
              <w:spacing w:before="50" w:after="166" w:afterLines="50"/>
              <w:jc w:val="center"/>
              <w:rPr>
                <w:rFonts w:ascii="宋体" w:hAnsi="宋体" w:cs="宋体"/>
                <w:color w:val="auto"/>
                <w:sz w:val="24"/>
                <w:szCs w:val="20"/>
                <w:highlight w:val="none"/>
              </w:rPr>
            </w:pPr>
            <w:r>
              <w:rPr>
                <w:rFonts w:hint="eastAsia" w:ascii="宋体" w:hAnsi="宋体" w:cs="宋体"/>
                <w:color w:val="auto"/>
                <w:sz w:val="24"/>
                <w:szCs w:val="20"/>
                <w:highlight w:val="none"/>
              </w:rPr>
              <w:t>姓名</w:t>
            </w:r>
          </w:p>
        </w:tc>
        <w:tc>
          <w:tcPr>
            <w:tcW w:w="820" w:type="dxa"/>
            <w:vAlign w:val="center"/>
          </w:tcPr>
          <w:p w14:paraId="4DC19374">
            <w:pPr>
              <w:snapToGrid w:val="0"/>
              <w:spacing w:before="50" w:after="166" w:afterLines="50"/>
              <w:jc w:val="center"/>
              <w:rPr>
                <w:rFonts w:ascii="宋体" w:hAnsi="宋体" w:cs="宋体"/>
                <w:color w:val="auto"/>
                <w:sz w:val="24"/>
                <w:szCs w:val="20"/>
                <w:highlight w:val="none"/>
              </w:rPr>
            </w:pPr>
            <w:r>
              <w:rPr>
                <w:rFonts w:hint="eastAsia" w:ascii="宋体" w:hAnsi="宋体" w:cs="宋体"/>
                <w:color w:val="auto"/>
                <w:sz w:val="24"/>
                <w:szCs w:val="20"/>
                <w:highlight w:val="none"/>
              </w:rPr>
              <w:t>职务</w:t>
            </w:r>
          </w:p>
        </w:tc>
        <w:tc>
          <w:tcPr>
            <w:tcW w:w="1969" w:type="dxa"/>
            <w:vAlign w:val="center"/>
          </w:tcPr>
          <w:p w14:paraId="4121DD80">
            <w:pPr>
              <w:snapToGrid w:val="0"/>
              <w:spacing w:before="50" w:after="166" w:afterLines="50"/>
              <w:jc w:val="center"/>
              <w:rPr>
                <w:rFonts w:ascii="宋体" w:hAnsi="宋体" w:cs="宋体"/>
                <w:color w:val="auto"/>
                <w:sz w:val="24"/>
                <w:szCs w:val="20"/>
                <w:highlight w:val="none"/>
              </w:rPr>
            </w:pPr>
            <w:r>
              <w:rPr>
                <w:rFonts w:hint="eastAsia" w:ascii="宋体" w:hAnsi="宋体" w:cs="宋体"/>
                <w:color w:val="auto"/>
                <w:sz w:val="24"/>
                <w:szCs w:val="20"/>
                <w:highlight w:val="none"/>
              </w:rPr>
              <w:t>专业技术资格（职称）或者职业资格或者执业资格证或者其他证书</w:t>
            </w:r>
          </w:p>
        </w:tc>
        <w:tc>
          <w:tcPr>
            <w:tcW w:w="1644" w:type="dxa"/>
            <w:vAlign w:val="center"/>
          </w:tcPr>
          <w:p w14:paraId="1E55C487">
            <w:pPr>
              <w:snapToGrid w:val="0"/>
              <w:spacing w:before="50" w:after="166" w:afterLines="50"/>
              <w:jc w:val="center"/>
              <w:rPr>
                <w:rFonts w:ascii="宋体" w:hAnsi="宋体" w:cs="宋体"/>
                <w:color w:val="auto"/>
                <w:sz w:val="24"/>
                <w:szCs w:val="20"/>
                <w:highlight w:val="none"/>
              </w:rPr>
            </w:pPr>
            <w:r>
              <w:rPr>
                <w:rFonts w:hint="eastAsia" w:ascii="宋体" w:hAnsi="宋体" w:cs="宋体"/>
                <w:color w:val="auto"/>
                <w:sz w:val="24"/>
                <w:szCs w:val="20"/>
                <w:highlight w:val="none"/>
              </w:rPr>
              <w:t>证书编号</w:t>
            </w:r>
          </w:p>
        </w:tc>
        <w:tc>
          <w:tcPr>
            <w:tcW w:w="1965" w:type="dxa"/>
            <w:vAlign w:val="center"/>
          </w:tcPr>
          <w:p w14:paraId="2E47C9CC">
            <w:pPr>
              <w:snapToGrid w:val="0"/>
              <w:spacing w:before="50" w:after="166" w:afterLines="50"/>
              <w:jc w:val="center"/>
              <w:rPr>
                <w:rFonts w:ascii="宋体" w:hAnsi="宋体" w:cs="宋体"/>
                <w:color w:val="auto"/>
                <w:sz w:val="24"/>
                <w:szCs w:val="20"/>
                <w:highlight w:val="none"/>
              </w:rPr>
            </w:pPr>
            <w:r>
              <w:rPr>
                <w:rFonts w:hint="eastAsia" w:ascii="宋体" w:hAnsi="宋体" w:cs="宋体"/>
                <w:color w:val="auto"/>
                <w:sz w:val="24"/>
                <w:szCs w:val="20"/>
                <w:highlight w:val="none"/>
              </w:rPr>
              <w:t>参加本单位</w:t>
            </w:r>
          </w:p>
          <w:p w14:paraId="25A264A0">
            <w:pPr>
              <w:snapToGrid w:val="0"/>
              <w:spacing w:before="50" w:after="166" w:afterLines="50"/>
              <w:jc w:val="center"/>
              <w:rPr>
                <w:rFonts w:ascii="宋体" w:hAnsi="宋体" w:cs="宋体"/>
                <w:color w:val="auto"/>
                <w:sz w:val="24"/>
                <w:szCs w:val="20"/>
                <w:highlight w:val="none"/>
              </w:rPr>
            </w:pPr>
            <w:r>
              <w:rPr>
                <w:rFonts w:hint="eastAsia" w:ascii="宋体" w:hAnsi="宋体" w:cs="宋体"/>
                <w:color w:val="auto"/>
                <w:sz w:val="24"/>
                <w:szCs w:val="20"/>
                <w:highlight w:val="none"/>
              </w:rPr>
              <w:t>工作时间</w:t>
            </w:r>
          </w:p>
        </w:tc>
        <w:tc>
          <w:tcPr>
            <w:tcW w:w="2133" w:type="dxa"/>
            <w:vAlign w:val="center"/>
          </w:tcPr>
          <w:p w14:paraId="131F9162">
            <w:pPr>
              <w:snapToGrid w:val="0"/>
              <w:spacing w:before="50" w:after="166" w:afterLines="50"/>
              <w:jc w:val="center"/>
              <w:rPr>
                <w:rFonts w:ascii="宋体" w:hAnsi="宋体" w:cs="宋体"/>
                <w:color w:val="auto"/>
                <w:sz w:val="24"/>
                <w:szCs w:val="20"/>
                <w:highlight w:val="none"/>
              </w:rPr>
            </w:pPr>
            <w:r>
              <w:rPr>
                <w:rFonts w:hint="eastAsia" w:ascii="宋体" w:hAnsi="宋体" w:cs="宋体"/>
                <w:color w:val="auto"/>
                <w:sz w:val="24"/>
                <w:szCs w:val="20"/>
                <w:highlight w:val="none"/>
              </w:rPr>
              <w:t>劳动合同编号</w:t>
            </w:r>
          </w:p>
        </w:tc>
      </w:tr>
      <w:tr w14:paraId="51129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945" w:type="dxa"/>
            <w:vAlign w:val="center"/>
          </w:tcPr>
          <w:p w14:paraId="2E453175">
            <w:pPr>
              <w:snapToGrid w:val="0"/>
              <w:spacing w:before="50" w:after="166" w:afterLines="50"/>
              <w:jc w:val="center"/>
              <w:rPr>
                <w:rFonts w:ascii="宋体" w:hAnsi="宋体" w:cs="宋体"/>
                <w:color w:val="auto"/>
                <w:sz w:val="24"/>
                <w:szCs w:val="20"/>
                <w:highlight w:val="none"/>
              </w:rPr>
            </w:pPr>
          </w:p>
        </w:tc>
        <w:tc>
          <w:tcPr>
            <w:tcW w:w="820" w:type="dxa"/>
            <w:vAlign w:val="center"/>
          </w:tcPr>
          <w:p w14:paraId="3C998D81">
            <w:pPr>
              <w:snapToGrid w:val="0"/>
              <w:spacing w:before="50" w:after="166" w:afterLines="50"/>
              <w:jc w:val="center"/>
              <w:rPr>
                <w:rFonts w:ascii="宋体" w:hAnsi="宋体" w:cs="宋体"/>
                <w:color w:val="auto"/>
                <w:sz w:val="24"/>
                <w:szCs w:val="20"/>
                <w:highlight w:val="none"/>
              </w:rPr>
            </w:pPr>
          </w:p>
        </w:tc>
        <w:tc>
          <w:tcPr>
            <w:tcW w:w="1969" w:type="dxa"/>
            <w:vAlign w:val="center"/>
          </w:tcPr>
          <w:p w14:paraId="44E7F7FC">
            <w:pPr>
              <w:snapToGrid w:val="0"/>
              <w:spacing w:before="50" w:after="166" w:afterLines="50"/>
              <w:jc w:val="center"/>
              <w:rPr>
                <w:rFonts w:ascii="宋体" w:hAnsi="宋体" w:cs="宋体"/>
                <w:color w:val="auto"/>
                <w:sz w:val="24"/>
                <w:szCs w:val="20"/>
                <w:highlight w:val="none"/>
              </w:rPr>
            </w:pPr>
          </w:p>
        </w:tc>
        <w:tc>
          <w:tcPr>
            <w:tcW w:w="1644" w:type="dxa"/>
            <w:vAlign w:val="center"/>
          </w:tcPr>
          <w:p w14:paraId="13E62B92">
            <w:pPr>
              <w:snapToGrid w:val="0"/>
              <w:spacing w:before="50" w:after="166" w:afterLines="50"/>
              <w:jc w:val="center"/>
              <w:rPr>
                <w:rFonts w:ascii="宋体" w:hAnsi="宋体" w:cs="宋体"/>
                <w:color w:val="auto"/>
                <w:sz w:val="24"/>
                <w:szCs w:val="20"/>
                <w:highlight w:val="none"/>
              </w:rPr>
            </w:pPr>
          </w:p>
        </w:tc>
        <w:tc>
          <w:tcPr>
            <w:tcW w:w="1965" w:type="dxa"/>
            <w:vAlign w:val="center"/>
          </w:tcPr>
          <w:p w14:paraId="11499B2A">
            <w:pPr>
              <w:snapToGrid w:val="0"/>
              <w:spacing w:before="50" w:after="166" w:afterLines="50"/>
              <w:jc w:val="center"/>
              <w:rPr>
                <w:rFonts w:ascii="宋体" w:hAnsi="宋体" w:cs="宋体"/>
                <w:color w:val="auto"/>
                <w:sz w:val="24"/>
                <w:szCs w:val="20"/>
                <w:highlight w:val="none"/>
              </w:rPr>
            </w:pPr>
          </w:p>
        </w:tc>
        <w:tc>
          <w:tcPr>
            <w:tcW w:w="2133" w:type="dxa"/>
            <w:vAlign w:val="center"/>
          </w:tcPr>
          <w:p w14:paraId="7866F67E">
            <w:pPr>
              <w:snapToGrid w:val="0"/>
              <w:spacing w:before="50" w:after="166" w:afterLines="50"/>
              <w:jc w:val="center"/>
              <w:rPr>
                <w:rFonts w:ascii="宋体" w:hAnsi="宋体" w:cs="宋体"/>
                <w:color w:val="auto"/>
                <w:sz w:val="24"/>
                <w:szCs w:val="20"/>
                <w:highlight w:val="none"/>
              </w:rPr>
            </w:pPr>
          </w:p>
        </w:tc>
      </w:tr>
      <w:tr w14:paraId="74538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945" w:type="dxa"/>
            <w:vAlign w:val="center"/>
          </w:tcPr>
          <w:p w14:paraId="6F6731C5">
            <w:pPr>
              <w:snapToGrid w:val="0"/>
              <w:spacing w:before="50" w:after="166" w:afterLines="50"/>
              <w:jc w:val="center"/>
              <w:rPr>
                <w:rFonts w:ascii="宋体" w:hAnsi="宋体" w:cs="宋体"/>
                <w:color w:val="auto"/>
                <w:sz w:val="24"/>
                <w:szCs w:val="20"/>
                <w:highlight w:val="none"/>
              </w:rPr>
            </w:pPr>
          </w:p>
        </w:tc>
        <w:tc>
          <w:tcPr>
            <w:tcW w:w="820" w:type="dxa"/>
            <w:vAlign w:val="center"/>
          </w:tcPr>
          <w:p w14:paraId="5301B661">
            <w:pPr>
              <w:snapToGrid w:val="0"/>
              <w:spacing w:before="50" w:after="166" w:afterLines="50"/>
              <w:jc w:val="center"/>
              <w:rPr>
                <w:rFonts w:ascii="宋体" w:hAnsi="宋体" w:cs="宋体"/>
                <w:color w:val="auto"/>
                <w:sz w:val="24"/>
                <w:szCs w:val="20"/>
                <w:highlight w:val="none"/>
              </w:rPr>
            </w:pPr>
          </w:p>
        </w:tc>
        <w:tc>
          <w:tcPr>
            <w:tcW w:w="1969" w:type="dxa"/>
            <w:vAlign w:val="center"/>
          </w:tcPr>
          <w:p w14:paraId="2DD15936">
            <w:pPr>
              <w:snapToGrid w:val="0"/>
              <w:spacing w:before="50" w:after="166" w:afterLines="50"/>
              <w:jc w:val="center"/>
              <w:rPr>
                <w:rFonts w:ascii="宋体" w:hAnsi="宋体" w:cs="宋体"/>
                <w:color w:val="auto"/>
                <w:sz w:val="24"/>
                <w:szCs w:val="20"/>
                <w:highlight w:val="none"/>
              </w:rPr>
            </w:pPr>
          </w:p>
        </w:tc>
        <w:tc>
          <w:tcPr>
            <w:tcW w:w="1644" w:type="dxa"/>
            <w:vAlign w:val="center"/>
          </w:tcPr>
          <w:p w14:paraId="0F01FBBA">
            <w:pPr>
              <w:snapToGrid w:val="0"/>
              <w:spacing w:before="50" w:after="166" w:afterLines="50"/>
              <w:jc w:val="center"/>
              <w:rPr>
                <w:rFonts w:ascii="宋体" w:hAnsi="宋体" w:cs="宋体"/>
                <w:color w:val="auto"/>
                <w:sz w:val="24"/>
                <w:szCs w:val="20"/>
                <w:highlight w:val="none"/>
              </w:rPr>
            </w:pPr>
          </w:p>
        </w:tc>
        <w:tc>
          <w:tcPr>
            <w:tcW w:w="1965" w:type="dxa"/>
            <w:vAlign w:val="center"/>
          </w:tcPr>
          <w:p w14:paraId="2D1066EF">
            <w:pPr>
              <w:snapToGrid w:val="0"/>
              <w:spacing w:before="50" w:after="166" w:afterLines="50"/>
              <w:jc w:val="center"/>
              <w:rPr>
                <w:rFonts w:ascii="宋体" w:hAnsi="宋体" w:cs="宋体"/>
                <w:color w:val="auto"/>
                <w:sz w:val="24"/>
                <w:szCs w:val="20"/>
                <w:highlight w:val="none"/>
              </w:rPr>
            </w:pPr>
          </w:p>
        </w:tc>
        <w:tc>
          <w:tcPr>
            <w:tcW w:w="2133" w:type="dxa"/>
            <w:vAlign w:val="center"/>
          </w:tcPr>
          <w:p w14:paraId="43AD9812">
            <w:pPr>
              <w:snapToGrid w:val="0"/>
              <w:spacing w:before="50" w:after="166" w:afterLines="50"/>
              <w:jc w:val="center"/>
              <w:rPr>
                <w:rFonts w:ascii="宋体" w:hAnsi="宋体" w:cs="宋体"/>
                <w:color w:val="auto"/>
                <w:sz w:val="24"/>
                <w:szCs w:val="20"/>
                <w:highlight w:val="none"/>
              </w:rPr>
            </w:pPr>
          </w:p>
        </w:tc>
      </w:tr>
      <w:tr w14:paraId="455B2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945" w:type="dxa"/>
            <w:vAlign w:val="center"/>
          </w:tcPr>
          <w:p w14:paraId="108DCD5F">
            <w:pPr>
              <w:snapToGrid w:val="0"/>
              <w:spacing w:before="50" w:after="166" w:afterLines="50"/>
              <w:jc w:val="center"/>
              <w:rPr>
                <w:rFonts w:ascii="宋体" w:hAnsi="宋体" w:cs="宋体"/>
                <w:color w:val="auto"/>
                <w:sz w:val="24"/>
                <w:szCs w:val="20"/>
                <w:highlight w:val="none"/>
              </w:rPr>
            </w:pPr>
          </w:p>
        </w:tc>
        <w:tc>
          <w:tcPr>
            <w:tcW w:w="820" w:type="dxa"/>
            <w:vAlign w:val="center"/>
          </w:tcPr>
          <w:p w14:paraId="08EF2BD1">
            <w:pPr>
              <w:snapToGrid w:val="0"/>
              <w:spacing w:before="50" w:after="166" w:afterLines="50"/>
              <w:jc w:val="center"/>
              <w:rPr>
                <w:rFonts w:ascii="宋体" w:hAnsi="宋体" w:cs="宋体"/>
                <w:color w:val="auto"/>
                <w:sz w:val="24"/>
                <w:szCs w:val="20"/>
                <w:highlight w:val="none"/>
              </w:rPr>
            </w:pPr>
          </w:p>
        </w:tc>
        <w:tc>
          <w:tcPr>
            <w:tcW w:w="1969" w:type="dxa"/>
            <w:vAlign w:val="center"/>
          </w:tcPr>
          <w:p w14:paraId="76978B85">
            <w:pPr>
              <w:snapToGrid w:val="0"/>
              <w:spacing w:before="50" w:after="166" w:afterLines="50"/>
              <w:jc w:val="center"/>
              <w:rPr>
                <w:rFonts w:ascii="宋体" w:hAnsi="宋体" w:cs="宋体"/>
                <w:color w:val="auto"/>
                <w:sz w:val="24"/>
                <w:szCs w:val="20"/>
                <w:highlight w:val="none"/>
              </w:rPr>
            </w:pPr>
          </w:p>
        </w:tc>
        <w:tc>
          <w:tcPr>
            <w:tcW w:w="1644" w:type="dxa"/>
            <w:vAlign w:val="center"/>
          </w:tcPr>
          <w:p w14:paraId="08161E1F">
            <w:pPr>
              <w:snapToGrid w:val="0"/>
              <w:spacing w:before="50" w:after="166" w:afterLines="50"/>
              <w:jc w:val="center"/>
              <w:rPr>
                <w:rFonts w:ascii="宋体" w:hAnsi="宋体" w:cs="宋体"/>
                <w:color w:val="auto"/>
                <w:sz w:val="24"/>
                <w:szCs w:val="20"/>
                <w:highlight w:val="none"/>
              </w:rPr>
            </w:pPr>
          </w:p>
        </w:tc>
        <w:tc>
          <w:tcPr>
            <w:tcW w:w="1965" w:type="dxa"/>
            <w:vAlign w:val="center"/>
          </w:tcPr>
          <w:p w14:paraId="3D5F48C5">
            <w:pPr>
              <w:snapToGrid w:val="0"/>
              <w:spacing w:before="50" w:after="166" w:afterLines="50"/>
              <w:jc w:val="center"/>
              <w:rPr>
                <w:rFonts w:ascii="宋体" w:hAnsi="宋体" w:cs="宋体"/>
                <w:color w:val="auto"/>
                <w:sz w:val="24"/>
                <w:szCs w:val="20"/>
                <w:highlight w:val="none"/>
              </w:rPr>
            </w:pPr>
          </w:p>
        </w:tc>
        <w:tc>
          <w:tcPr>
            <w:tcW w:w="2133" w:type="dxa"/>
            <w:vAlign w:val="center"/>
          </w:tcPr>
          <w:p w14:paraId="4B494535">
            <w:pPr>
              <w:snapToGrid w:val="0"/>
              <w:spacing w:before="50" w:after="166" w:afterLines="50"/>
              <w:jc w:val="center"/>
              <w:rPr>
                <w:rFonts w:ascii="宋体" w:hAnsi="宋体" w:cs="宋体"/>
                <w:color w:val="auto"/>
                <w:sz w:val="24"/>
                <w:szCs w:val="20"/>
                <w:highlight w:val="none"/>
              </w:rPr>
            </w:pPr>
          </w:p>
        </w:tc>
      </w:tr>
    </w:tbl>
    <w:p w14:paraId="54CE7730">
      <w:pPr>
        <w:snapToGrid w:val="0"/>
        <w:spacing w:before="50" w:after="166" w:afterLines="50"/>
        <w:jc w:val="left"/>
        <w:rPr>
          <w:rFonts w:ascii="宋体" w:hAnsi="宋体" w:cs="宋体"/>
          <w:color w:val="auto"/>
          <w:sz w:val="24"/>
          <w:szCs w:val="20"/>
          <w:highlight w:val="none"/>
        </w:rPr>
      </w:pPr>
    </w:p>
    <w:p w14:paraId="744F4BF2">
      <w:pPr>
        <w:spacing w:line="360" w:lineRule="auto"/>
        <w:contextualSpacing/>
        <w:jc w:val="left"/>
        <w:rPr>
          <w:rFonts w:ascii="楷体" w:hAnsi="楷体" w:eastAsia="楷体" w:cs="宋体"/>
          <w:color w:val="auto"/>
          <w:sz w:val="24"/>
          <w:szCs w:val="20"/>
          <w:highlight w:val="none"/>
        </w:rPr>
      </w:pPr>
      <w:r>
        <w:rPr>
          <w:rFonts w:hint="eastAsia" w:ascii="楷体" w:hAnsi="楷体" w:eastAsia="楷体" w:cs="宋体"/>
          <w:color w:val="auto"/>
          <w:sz w:val="24"/>
          <w:szCs w:val="20"/>
          <w:highlight w:val="none"/>
        </w:rPr>
        <w:t>注：</w:t>
      </w:r>
    </w:p>
    <w:p w14:paraId="6B762FF9">
      <w:pPr>
        <w:spacing w:line="360" w:lineRule="auto"/>
        <w:ind w:firstLine="480" w:firstLineChars="200"/>
        <w:contextualSpacing/>
        <w:jc w:val="left"/>
        <w:rPr>
          <w:rFonts w:ascii="楷体" w:hAnsi="楷体" w:eastAsia="楷体" w:cs="宋体"/>
          <w:color w:val="auto"/>
          <w:sz w:val="24"/>
          <w:szCs w:val="20"/>
          <w:highlight w:val="none"/>
        </w:rPr>
      </w:pPr>
      <w:r>
        <w:rPr>
          <w:rFonts w:ascii="楷体" w:hAnsi="楷体" w:eastAsia="楷体" w:cs="宋体"/>
          <w:color w:val="auto"/>
          <w:sz w:val="24"/>
          <w:szCs w:val="20"/>
          <w:highlight w:val="none"/>
        </w:rPr>
        <w:t>1.在填写时，如本表格不适合投标单位的实际情况，可根据本表格式自行制表填写。</w:t>
      </w:r>
    </w:p>
    <w:p w14:paraId="5F8B097B">
      <w:pPr>
        <w:spacing w:line="360" w:lineRule="auto"/>
        <w:ind w:firstLine="480" w:firstLineChars="200"/>
        <w:contextualSpacing/>
        <w:jc w:val="left"/>
        <w:rPr>
          <w:rFonts w:ascii="楷体" w:hAnsi="楷体" w:eastAsia="楷体" w:cs="宋体"/>
          <w:color w:val="auto"/>
          <w:sz w:val="24"/>
          <w:szCs w:val="20"/>
          <w:highlight w:val="none"/>
        </w:rPr>
      </w:pPr>
      <w:r>
        <w:rPr>
          <w:rFonts w:ascii="楷体" w:hAnsi="楷体" w:eastAsia="楷体" w:cs="宋体"/>
          <w:color w:val="auto"/>
          <w:sz w:val="24"/>
          <w:szCs w:val="20"/>
          <w:highlight w:val="none"/>
        </w:rPr>
        <w:t>2.投标人应当附本表所</w:t>
      </w:r>
      <w:r>
        <w:rPr>
          <w:rFonts w:hint="eastAsia" w:ascii="楷体" w:hAnsi="楷体" w:eastAsia="楷体" w:cs="宋体"/>
          <w:color w:val="auto"/>
          <w:sz w:val="24"/>
          <w:szCs w:val="20"/>
          <w:highlight w:val="none"/>
        </w:rPr>
        <w:t>列证书的复印件并加盖投标人公章。</w:t>
      </w:r>
    </w:p>
    <w:p w14:paraId="0C038603">
      <w:pPr>
        <w:snapToGrid w:val="0"/>
        <w:spacing w:before="50" w:after="50"/>
        <w:ind w:firstLine="3360" w:firstLineChars="1400"/>
        <w:rPr>
          <w:rFonts w:ascii="宋体" w:hAnsi="宋体" w:cs="宋体"/>
          <w:color w:val="auto"/>
          <w:kern w:val="0"/>
          <w:sz w:val="24"/>
          <w:highlight w:val="none"/>
        </w:rPr>
      </w:pPr>
      <w:r>
        <w:rPr>
          <w:rFonts w:hint="eastAsia" w:ascii="宋体" w:hAnsi="宋体" w:cs="宋体"/>
          <w:color w:val="auto"/>
          <w:kern w:val="0"/>
          <w:sz w:val="24"/>
          <w:highlight w:val="none"/>
        </w:rPr>
        <w:t>法定代表人或者委托代理人（签字）：</w:t>
      </w:r>
      <w:r>
        <w:rPr>
          <w:rFonts w:hint="eastAsia" w:ascii="宋体" w:hAnsi="宋体" w:cs="宋体"/>
          <w:color w:val="auto"/>
          <w:kern w:val="0"/>
          <w:sz w:val="24"/>
          <w:highlight w:val="none"/>
          <w:u w:val="single"/>
        </w:rPr>
        <w:t xml:space="preserve"> </w:t>
      </w:r>
      <w:r>
        <w:rPr>
          <w:rFonts w:ascii="宋体" w:hAnsi="宋体" w:cs="宋体"/>
          <w:color w:val="auto"/>
          <w:kern w:val="0"/>
          <w:sz w:val="24"/>
          <w:highlight w:val="none"/>
          <w:u w:val="single"/>
        </w:rPr>
        <w:t xml:space="preserve">             </w:t>
      </w:r>
      <w:r>
        <w:rPr>
          <w:rFonts w:hint="eastAsia" w:ascii="宋体" w:hAnsi="宋体" w:cs="宋体"/>
          <w:color w:val="auto"/>
          <w:kern w:val="0"/>
          <w:sz w:val="24"/>
          <w:highlight w:val="none"/>
        </w:rPr>
        <w:t xml:space="preserve">        </w:t>
      </w:r>
    </w:p>
    <w:p w14:paraId="1A8E1054">
      <w:pPr>
        <w:snapToGrid w:val="0"/>
        <w:spacing w:before="166" w:beforeLines="50"/>
        <w:ind w:firstLine="3360" w:firstLineChars="1400"/>
        <w:rPr>
          <w:rFonts w:ascii="宋体" w:hAnsi="宋体" w:cs="宋体"/>
          <w:color w:val="auto"/>
          <w:kern w:val="0"/>
          <w:sz w:val="24"/>
          <w:highlight w:val="none"/>
        </w:rPr>
      </w:pPr>
      <w:r>
        <w:rPr>
          <w:rFonts w:hint="eastAsia" w:ascii="宋体" w:hAnsi="宋体" w:cs="宋体"/>
          <w:color w:val="auto"/>
          <w:kern w:val="0"/>
          <w:sz w:val="24"/>
          <w:highlight w:val="none"/>
        </w:rPr>
        <w:t>投标人（公章）：</w:t>
      </w:r>
      <w:r>
        <w:rPr>
          <w:rFonts w:hint="eastAsia" w:ascii="宋体" w:hAnsi="宋体" w:cs="宋体"/>
          <w:color w:val="auto"/>
          <w:kern w:val="0"/>
          <w:sz w:val="24"/>
          <w:highlight w:val="none"/>
          <w:u w:val="single"/>
        </w:rPr>
        <w:t xml:space="preserve"> </w:t>
      </w:r>
      <w:r>
        <w:rPr>
          <w:rFonts w:ascii="宋体" w:hAnsi="宋体" w:cs="宋体"/>
          <w:color w:val="auto"/>
          <w:kern w:val="0"/>
          <w:sz w:val="24"/>
          <w:highlight w:val="none"/>
          <w:u w:val="single"/>
        </w:rPr>
        <w:t xml:space="preserve">             </w:t>
      </w:r>
      <w:r>
        <w:rPr>
          <w:rFonts w:hint="eastAsia" w:ascii="宋体" w:hAnsi="宋体" w:cs="宋体"/>
          <w:color w:val="auto"/>
          <w:kern w:val="0"/>
          <w:sz w:val="24"/>
          <w:highlight w:val="none"/>
        </w:rPr>
        <w:t xml:space="preserve">               </w:t>
      </w:r>
    </w:p>
    <w:p w14:paraId="3480FFA1">
      <w:pPr>
        <w:snapToGrid w:val="0"/>
        <w:spacing w:before="166" w:beforeLines="50"/>
        <w:ind w:firstLine="3360" w:firstLineChars="1400"/>
        <w:rPr>
          <w:rFonts w:cs="宋体" w:asciiTheme="minorEastAsia" w:hAnsiTheme="minorEastAsia" w:eastAsiaTheme="minorEastAsia"/>
          <w:color w:val="auto"/>
          <w:kern w:val="0"/>
          <w:sz w:val="24"/>
          <w:highlight w:val="none"/>
        </w:rPr>
      </w:pPr>
      <w:r>
        <w:rPr>
          <w:rFonts w:hint="eastAsia" w:ascii="宋体" w:hAnsi="宋体" w:cs="宋体"/>
          <w:color w:val="auto"/>
          <w:kern w:val="0"/>
          <w:sz w:val="24"/>
          <w:highlight w:val="none"/>
        </w:rPr>
        <w:t xml:space="preserve">日  期：   </w:t>
      </w:r>
      <w:r>
        <w:rPr>
          <w:rFonts w:hint="eastAsia" w:ascii="黑体" w:hAnsi="黑体" w:eastAsia="黑体" w:cs="宋体"/>
          <w:b/>
          <w:color w:val="auto"/>
          <w:kern w:val="0"/>
          <w:sz w:val="24"/>
          <w:highlight w:val="none"/>
          <w:u w:val="single"/>
        </w:rPr>
        <w:t xml:space="preserve">     </w:t>
      </w:r>
      <w:r>
        <w:rPr>
          <w:rFonts w:ascii="黑体" w:hAnsi="黑体" w:eastAsia="黑体" w:cs="宋体"/>
          <w:b/>
          <w:color w:val="auto"/>
          <w:kern w:val="0"/>
          <w:sz w:val="24"/>
          <w:highlight w:val="none"/>
          <w:u w:val="single"/>
        </w:rPr>
        <w:t xml:space="preserve"> </w:t>
      </w:r>
      <w:r>
        <w:rPr>
          <w:rFonts w:cs="宋体" w:asciiTheme="minorEastAsia" w:hAnsiTheme="minorEastAsia" w:eastAsiaTheme="minorEastAsia"/>
          <w:color w:val="auto"/>
          <w:kern w:val="0"/>
          <w:sz w:val="24"/>
          <w:highlight w:val="none"/>
          <w:u w:val="single"/>
        </w:rPr>
        <w:t xml:space="preserve"> </w:t>
      </w:r>
      <w:r>
        <w:rPr>
          <w:rFonts w:hint="eastAsia" w:cs="宋体" w:asciiTheme="minorEastAsia" w:hAnsiTheme="minorEastAsia" w:eastAsiaTheme="minorEastAsia"/>
          <w:color w:val="auto"/>
          <w:kern w:val="0"/>
          <w:sz w:val="24"/>
          <w:highlight w:val="none"/>
        </w:rPr>
        <w:t>年</w:t>
      </w:r>
      <w:r>
        <w:rPr>
          <w:rFonts w:cs="宋体" w:asciiTheme="minorEastAsia" w:hAnsiTheme="minorEastAsia" w:eastAsiaTheme="minorEastAsia"/>
          <w:color w:val="auto"/>
          <w:kern w:val="0"/>
          <w:sz w:val="24"/>
          <w:highlight w:val="none"/>
          <w:u w:val="single"/>
        </w:rPr>
        <w:t xml:space="preserve">  </w:t>
      </w:r>
      <w:r>
        <w:rPr>
          <w:rFonts w:hint="eastAsia" w:cs="宋体" w:asciiTheme="minorEastAsia" w:hAnsiTheme="minorEastAsia" w:eastAsiaTheme="minorEastAsia"/>
          <w:color w:val="auto"/>
          <w:kern w:val="0"/>
          <w:sz w:val="24"/>
          <w:highlight w:val="none"/>
        </w:rPr>
        <w:t>月</w:t>
      </w:r>
      <w:r>
        <w:rPr>
          <w:rFonts w:cs="宋体" w:asciiTheme="minorEastAsia" w:hAnsiTheme="minorEastAsia" w:eastAsiaTheme="minorEastAsia"/>
          <w:color w:val="auto"/>
          <w:kern w:val="0"/>
          <w:sz w:val="24"/>
          <w:highlight w:val="none"/>
          <w:u w:val="single"/>
        </w:rPr>
        <w:t xml:space="preserve">  </w:t>
      </w:r>
      <w:r>
        <w:rPr>
          <w:rFonts w:hint="eastAsia" w:cs="宋体" w:asciiTheme="minorEastAsia" w:hAnsiTheme="minorEastAsia" w:eastAsiaTheme="minorEastAsia"/>
          <w:color w:val="auto"/>
          <w:kern w:val="0"/>
          <w:sz w:val="24"/>
          <w:highlight w:val="none"/>
        </w:rPr>
        <w:t>日</w:t>
      </w:r>
    </w:p>
    <w:p w14:paraId="1DEBE91D">
      <w:pPr>
        <w:snapToGrid w:val="0"/>
        <w:spacing w:before="50" w:after="166" w:afterLines="50"/>
        <w:jc w:val="left"/>
        <w:rPr>
          <w:rFonts w:ascii="宋体" w:hAnsi="宋体" w:cs="宋体"/>
          <w:color w:val="auto"/>
          <w:sz w:val="24"/>
          <w:szCs w:val="20"/>
          <w:highlight w:val="none"/>
        </w:rPr>
      </w:pPr>
    </w:p>
    <w:p w14:paraId="28817A0D">
      <w:pPr>
        <w:snapToGrid w:val="0"/>
        <w:spacing w:before="166" w:beforeLines="50" w:after="50"/>
        <w:ind w:left="142"/>
        <w:jc w:val="left"/>
        <w:rPr>
          <w:rFonts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6. 选配件、专用耗材、售后服务优惠表格式（注：按项目需求表具体项目修改）</w:t>
      </w:r>
    </w:p>
    <w:p w14:paraId="27B9B777">
      <w:pPr>
        <w:snapToGrid w:val="0"/>
        <w:spacing w:before="166" w:beforeLines="50" w:after="50"/>
        <w:ind w:left="142"/>
        <w:jc w:val="left"/>
        <w:rPr>
          <w:rFonts w:ascii="宋体" w:hAnsi="宋体" w:cs="宋体"/>
          <w:b/>
          <w:color w:val="auto"/>
          <w:sz w:val="24"/>
          <w:highlight w:val="none"/>
        </w:rPr>
      </w:pPr>
    </w:p>
    <w:p w14:paraId="35777FE7">
      <w:pPr>
        <w:snapToGrid w:val="0"/>
        <w:spacing w:before="166" w:beforeLines="50" w:after="50"/>
        <w:ind w:left="142"/>
        <w:jc w:val="center"/>
        <w:rPr>
          <w:rFonts w:ascii="宋体" w:hAnsi="宋体" w:cs="宋体"/>
          <w:b/>
          <w:color w:val="auto"/>
          <w:sz w:val="32"/>
          <w:szCs w:val="32"/>
          <w:highlight w:val="none"/>
        </w:rPr>
      </w:pPr>
      <w:r>
        <w:rPr>
          <w:rFonts w:hint="eastAsia" w:ascii="宋体" w:hAnsi="宋体" w:cs="宋体"/>
          <w:b/>
          <w:color w:val="auto"/>
          <w:sz w:val="32"/>
          <w:szCs w:val="32"/>
          <w:highlight w:val="none"/>
        </w:rPr>
        <w:t>选配件、专用耗材、售后服务优惠表</w:t>
      </w:r>
    </w:p>
    <w:p w14:paraId="37E51C34">
      <w:pPr>
        <w:pStyle w:val="24"/>
        <w:rPr>
          <w:rFonts w:hAnsi="宋体" w:cs="宋体"/>
          <w:color w:val="auto"/>
          <w:sz w:val="24"/>
          <w:szCs w:val="24"/>
          <w:highlight w:val="none"/>
        </w:rPr>
      </w:pPr>
      <w:r>
        <w:rPr>
          <w:rFonts w:hint="eastAsia" w:hAnsi="宋体" w:cs="宋体"/>
          <w:color w:val="auto"/>
          <w:sz w:val="24"/>
          <w:szCs w:val="24"/>
          <w:highlight w:val="none"/>
        </w:rPr>
        <w:t>所投分标：</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分标</w:t>
      </w:r>
    </w:p>
    <w:tbl>
      <w:tblPr>
        <w:tblStyle w:val="47"/>
        <w:tblW w:w="865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35"/>
        <w:gridCol w:w="2700"/>
        <w:gridCol w:w="1440"/>
        <w:gridCol w:w="1440"/>
        <w:gridCol w:w="2340"/>
      </w:tblGrid>
      <w:tr w14:paraId="00E18C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01" w:hRule="atLeast"/>
        </w:trPr>
        <w:tc>
          <w:tcPr>
            <w:tcW w:w="73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B9C59D3">
            <w:pPr>
              <w:pStyle w:val="24"/>
              <w:snapToGrid w:val="0"/>
              <w:spacing w:before="295" w:after="295"/>
              <w:jc w:val="center"/>
              <w:rPr>
                <w:rFonts w:hAnsi="宋体" w:cs="宋体"/>
                <w:color w:val="auto"/>
                <w:kern w:val="2"/>
                <w:sz w:val="24"/>
                <w:szCs w:val="24"/>
                <w:highlight w:val="none"/>
              </w:rPr>
            </w:pPr>
            <w:r>
              <w:rPr>
                <w:rFonts w:hint="eastAsia" w:hAnsi="宋体" w:cs="宋体"/>
                <w:color w:val="auto"/>
                <w:kern w:val="2"/>
                <w:sz w:val="24"/>
                <w:szCs w:val="24"/>
                <w:highlight w:val="none"/>
              </w:rPr>
              <w:t>序号</w:t>
            </w:r>
          </w:p>
        </w:tc>
        <w:tc>
          <w:tcPr>
            <w:tcW w:w="2700" w:type="dxa"/>
            <w:tcBorders>
              <w:top w:val="single" w:color="auto" w:sz="4" w:space="0"/>
              <w:left w:val="single" w:color="auto" w:sz="4" w:space="0"/>
              <w:bottom w:val="single" w:color="auto" w:sz="2" w:space="0"/>
              <w:right w:val="single" w:color="auto" w:sz="4" w:space="0"/>
            </w:tcBorders>
            <w:vAlign w:val="center"/>
          </w:tcPr>
          <w:p w14:paraId="488EEB58">
            <w:pPr>
              <w:pStyle w:val="24"/>
              <w:snapToGrid w:val="0"/>
              <w:spacing w:before="295" w:after="295"/>
              <w:jc w:val="center"/>
              <w:rPr>
                <w:rFonts w:hAnsi="宋体" w:cs="宋体"/>
                <w:color w:val="auto"/>
                <w:kern w:val="2"/>
                <w:sz w:val="24"/>
                <w:szCs w:val="24"/>
                <w:highlight w:val="none"/>
              </w:rPr>
            </w:pPr>
            <w:r>
              <w:rPr>
                <w:rFonts w:hint="eastAsia" w:hAnsi="宋体" w:cs="宋体"/>
                <w:color w:val="auto"/>
                <w:kern w:val="2"/>
                <w:sz w:val="24"/>
                <w:szCs w:val="24"/>
                <w:highlight w:val="none"/>
              </w:rPr>
              <w:t>优惠内容</w:t>
            </w:r>
          </w:p>
        </w:tc>
        <w:tc>
          <w:tcPr>
            <w:tcW w:w="1440" w:type="dxa"/>
            <w:tcBorders>
              <w:top w:val="single" w:color="auto" w:sz="4" w:space="0"/>
              <w:left w:val="single" w:color="auto" w:sz="4" w:space="0"/>
              <w:bottom w:val="single" w:color="auto" w:sz="2" w:space="0"/>
              <w:right w:val="single" w:color="auto" w:sz="4" w:space="0"/>
            </w:tcBorders>
            <w:vAlign w:val="center"/>
          </w:tcPr>
          <w:p w14:paraId="5C4D3C9D">
            <w:pPr>
              <w:pStyle w:val="24"/>
              <w:snapToGrid w:val="0"/>
              <w:spacing w:before="295" w:after="295"/>
              <w:jc w:val="center"/>
              <w:rPr>
                <w:rFonts w:hAnsi="宋体" w:cs="宋体"/>
                <w:color w:val="auto"/>
                <w:kern w:val="2"/>
                <w:sz w:val="24"/>
                <w:szCs w:val="24"/>
                <w:highlight w:val="none"/>
              </w:rPr>
            </w:pPr>
            <w:r>
              <w:rPr>
                <w:rFonts w:hint="eastAsia" w:hAnsi="宋体" w:cs="宋体"/>
                <w:color w:val="auto"/>
                <w:kern w:val="2"/>
                <w:sz w:val="24"/>
                <w:szCs w:val="24"/>
                <w:highlight w:val="none"/>
              </w:rPr>
              <w:t>适用机型</w:t>
            </w:r>
          </w:p>
        </w:tc>
        <w:tc>
          <w:tcPr>
            <w:tcW w:w="1440" w:type="dxa"/>
            <w:tcBorders>
              <w:top w:val="single" w:color="auto" w:sz="4" w:space="0"/>
              <w:left w:val="single" w:color="auto" w:sz="4" w:space="0"/>
              <w:bottom w:val="single" w:color="auto" w:sz="2" w:space="0"/>
              <w:right w:val="single" w:color="auto" w:sz="4" w:space="0"/>
            </w:tcBorders>
            <w:tcMar>
              <w:top w:w="15" w:type="dxa"/>
              <w:left w:w="15" w:type="dxa"/>
              <w:bottom w:w="0" w:type="dxa"/>
              <w:right w:w="15" w:type="dxa"/>
            </w:tcMar>
            <w:vAlign w:val="center"/>
          </w:tcPr>
          <w:p w14:paraId="262AFF60">
            <w:pPr>
              <w:pStyle w:val="24"/>
              <w:snapToGrid w:val="0"/>
              <w:spacing w:before="295" w:after="295"/>
              <w:jc w:val="center"/>
              <w:rPr>
                <w:rFonts w:hAnsi="宋体" w:cs="宋体"/>
                <w:color w:val="auto"/>
                <w:kern w:val="2"/>
                <w:sz w:val="24"/>
                <w:szCs w:val="24"/>
                <w:highlight w:val="none"/>
              </w:rPr>
            </w:pPr>
            <w:r>
              <w:rPr>
                <w:rFonts w:hint="eastAsia" w:hAnsi="宋体" w:cs="宋体"/>
                <w:color w:val="auto"/>
                <w:kern w:val="2"/>
                <w:sz w:val="24"/>
                <w:szCs w:val="24"/>
                <w:highlight w:val="none"/>
              </w:rPr>
              <w:t>单价（人民币元）</w:t>
            </w:r>
          </w:p>
        </w:tc>
        <w:tc>
          <w:tcPr>
            <w:tcW w:w="2340" w:type="dxa"/>
            <w:tcBorders>
              <w:top w:val="single" w:color="auto" w:sz="4" w:space="0"/>
              <w:left w:val="single" w:color="auto" w:sz="4" w:space="0"/>
              <w:bottom w:val="single" w:color="auto" w:sz="2" w:space="0"/>
              <w:right w:val="single" w:color="auto" w:sz="4" w:space="0"/>
            </w:tcBorders>
            <w:vAlign w:val="center"/>
          </w:tcPr>
          <w:p w14:paraId="728E6138">
            <w:pPr>
              <w:pStyle w:val="24"/>
              <w:snapToGrid w:val="0"/>
              <w:spacing w:before="295" w:after="295"/>
              <w:jc w:val="center"/>
              <w:rPr>
                <w:rFonts w:hAnsi="宋体" w:cs="宋体"/>
                <w:color w:val="auto"/>
                <w:kern w:val="2"/>
                <w:sz w:val="24"/>
                <w:szCs w:val="24"/>
                <w:highlight w:val="none"/>
              </w:rPr>
            </w:pPr>
            <w:r>
              <w:rPr>
                <w:rFonts w:hint="eastAsia" w:hAnsi="宋体" w:cs="宋体"/>
                <w:color w:val="auto"/>
                <w:kern w:val="2"/>
                <w:sz w:val="24"/>
                <w:szCs w:val="24"/>
                <w:highlight w:val="none"/>
              </w:rPr>
              <w:t>比市场价优惠率</w:t>
            </w:r>
          </w:p>
        </w:tc>
      </w:tr>
      <w:tr w14:paraId="5DA48F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735"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14:paraId="7808946D">
            <w:pPr>
              <w:pStyle w:val="24"/>
              <w:snapToGrid w:val="0"/>
              <w:spacing w:before="295" w:after="295"/>
              <w:jc w:val="center"/>
              <w:rPr>
                <w:rFonts w:hAnsi="宋体" w:cs="宋体"/>
                <w:color w:val="auto"/>
                <w:kern w:val="2"/>
                <w:sz w:val="24"/>
                <w:szCs w:val="24"/>
                <w:highlight w:val="none"/>
              </w:rPr>
            </w:pPr>
            <w:r>
              <w:rPr>
                <w:rFonts w:hint="eastAsia" w:hAnsi="宋体" w:cs="宋体"/>
                <w:color w:val="auto"/>
                <w:kern w:val="2"/>
                <w:sz w:val="24"/>
                <w:szCs w:val="24"/>
                <w:highlight w:val="none"/>
              </w:rPr>
              <w:t>1</w:t>
            </w:r>
          </w:p>
        </w:tc>
        <w:tc>
          <w:tcPr>
            <w:tcW w:w="2700" w:type="dxa"/>
            <w:tcBorders>
              <w:top w:val="single" w:color="auto" w:sz="2" w:space="0"/>
              <w:left w:val="single" w:color="auto" w:sz="2" w:space="0"/>
              <w:bottom w:val="single" w:color="auto" w:sz="6" w:space="0"/>
              <w:right w:val="single" w:color="auto" w:sz="4" w:space="0"/>
            </w:tcBorders>
            <w:vAlign w:val="center"/>
          </w:tcPr>
          <w:p w14:paraId="6DCE358D">
            <w:pPr>
              <w:pStyle w:val="24"/>
              <w:snapToGrid w:val="0"/>
              <w:spacing w:before="295" w:after="295"/>
              <w:jc w:val="center"/>
              <w:rPr>
                <w:rFonts w:hAnsi="宋体" w:cs="宋体"/>
                <w:color w:val="auto"/>
                <w:kern w:val="2"/>
                <w:sz w:val="24"/>
                <w:szCs w:val="24"/>
                <w:highlight w:val="none"/>
              </w:rPr>
            </w:pPr>
          </w:p>
        </w:tc>
        <w:tc>
          <w:tcPr>
            <w:tcW w:w="1440" w:type="dxa"/>
            <w:tcBorders>
              <w:top w:val="single" w:color="auto" w:sz="2" w:space="0"/>
              <w:left w:val="single" w:color="auto" w:sz="4" w:space="0"/>
              <w:bottom w:val="single" w:color="auto" w:sz="6" w:space="0"/>
              <w:right w:val="single" w:color="auto" w:sz="6" w:space="0"/>
            </w:tcBorders>
            <w:vAlign w:val="center"/>
          </w:tcPr>
          <w:p w14:paraId="68A01A76">
            <w:pPr>
              <w:pStyle w:val="24"/>
              <w:snapToGrid w:val="0"/>
              <w:spacing w:before="295" w:after="295"/>
              <w:jc w:val="center"/>
              <w:rPr>
                <w:rFonts w:hAnsi="宋体" w:cs="宋体"/>
                <w:color w:val="auto"/>
                <w:kern w:val="2"/>
                <w:sz w:val="24"/>
                <w:szCs w:val="24"/>
                <w:highlight w:val="none"/>
              </w:rPr>
            </w:pPr>
          </w:p>
        </w:tc>
        <w:tc>
          <w:tcPr>
            <w:tcW w:w="1440" w:type="dxa"/>
            <w:tcBorders>
              <w:top w:val="single" w:color="auto" w:sz="2" w:space="0"/>
              <w:left w:val="single" w:color="auto" w:sz="6" w:space="0"/>
              <w:bottom w:val="single" w:color="auto" w:sz="6" w:space="0"/>
              <w:right w:val="single" w:color="auto" w:sz="6" w:space="0"/>
            </w:tcBorders>
            <w:tcMar>
              <w:top w:w="15" w:type="dxa"/>
              <w:left w:w="15" w:type="dxa"/>
              <w:bottom w:w="0" w:type="dxa"/>
              <w:right w:w="15" w:type="dxa"/>
            </w:tcMar>
            <w:vAlign w:val="center"/>
          </w:tcPr>
          <w:p w14:paraId="17FD9E10">
            <w:pPr>
              <w:pStyle w:val="24"/>
              <w:snapToGrid w:val="0"/>
              <w:spacing w:before="295" w:after="295"/>
              <w:jc w:val="center"/>
              <w:rPr>
                <w:rFonts w:hAnsi="宋体" w:cs="宋体"/>
                <w:color w:val="auto"/>
                <w:kern w:val="2"/>
                <w:sz w:val="24"/>
                <w:szCs w:val="24"/>
                <w:highlight w:val="none"/>
              </w:rPr>
            </w:pPr>
          </w:p>
        </w:tc>
        <w:tc>
          <w:tcPr>
            <w:tcW w:w="2340" w:type="dxa"/>
            <w:tcBorders>
              <w:top w:val="single" w:color="auto" w:sz="2" w:space="0"/>
              <w:left w:val="single" w:color="auto" w:sz="6" w:space="0"/>
              <w:bottom w:val="single" w:color="auto" w:sz="6" w:space="0"/>
              <w:right w:val="single" w:color="auto" w:sz="2" w:space="0"/>
            </w:tcBorders>
            <w:vAlign w:val="center"/>
          </w:tcPr>
          <w:p w14:paraId="721C9179">
            <w:pPr>
              <w:pStyle w:val="24"/>
              <w:snapToGrid w:val="0"/>
              <w:spacing w:before="295" w:after="295"/>
              <w:jc w:val="center"/>
              <w:rPr>
                <w:rFonts w:hAnsi="宋体" w:cs="宋体"/>
                <w:color w:val="auto"/>
                <w:kern w:val="2"/>
                <w:sz w:val="24"/>
                <w:szCs w:val="24"/>
                <w:highlight w:val="none"/>
              </w:rPr>
            </w:pPr>
            <w:r>
              <w:rPr>
                <w:rFonts w:hint="eastAsia" w:hAnsi="宋体" w:cs="宋体"/>
                <w:color w:val="auto"/>
                <w:kern w:val="2"/>
                <w:sz w:val="24"/>
                <w:szCs w:val="24"/>
                <w:highlight w:val="none"/>
              </w:rPr>
              <w:t xml:space="preserve"> </w:t>
            </w:r>
            <w:r>
              <w:rPr>
                <w:rFonts w:hint="eastAsia" w:hAnsi="宋体" w:cs="宋体"/>
                <w:color w:val="auto"/>
                <w:kern w:val="2"/>
                <w:sz w:val="24"/>
                <w:szCs w:val="24"/>
                <w:highlight w:val="none"/>
                <w:u w:val="single"/>
              </w:rPr>
              <w:t xml:space="preserve">           </w:t>
            </w:r>
            <w:r>
              <w:rPr>
                <w:rFonts w:hint="eastAsia" w:hAnsi="宋体" w:cs="宋体"/>
                <w:color w:val="auto"/>
                <w:kern w:val="2"/>
                <w:sz w:val="24"/>
                <w:szCs w:val="24"/>
                <w:highlight w:val="none"/>
              </w:rPr>
              <w:t>%</w:t>
            </w:r>
          </w:p>
        </w:tc>
      </w:tr>
      <w:tr w14:paraId="7ED899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735"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14:paraId="47D49695">
            <w:pPr>
              <w:pStyle w:val="24"/>
              <w:snapToGrid w:val="0"/>
              <w:spacing w:before="295" w:after="295"/>
              <w:jc w:val="center"/>
              <w:rPr>
                <w:rFonts w:hAnsi="宋体" w:cs="宋体"/>
                <w:color w:val="auto"/>
                <w:kern w:val="2"/>
                <w:sz w:val="24"/>
                <w:szCs w:val="24"/>
                <w:highlight w:val="none"/>
              </w:rPr>
            </w:pPr>
            <w:r>
              <w:rPr>
                <w:rFonts w:hint="eastAsia" w:hAnsi="宋体" w:cs="宋体"/>
                <w:color w:val="auto"/>
                <w:kern w:val="2"/>
                <w:sz w:val="24"/>
                <w:szCs w:val="24"/>
                <w:highlight w:val="none"/>
              </w:rPr>
              <w:t>2</w:t>
            </w:r>
          </w:p>
        </w:tc>
        <w:tc>
          <w:tcPr>
            <w:tcW w:w="2700" w:type="dxa"/>
            <w:tcBorders>
              <w:top w:val="single" w:color="auto" w:sz="6" w:space="0"/>
              <w:left w:val="single" w:color="auto" w:sz="2" w:space="0"/>
              <w:bottom w:val="single" w:color="auto" w:sz="6" w:space="0"/>
              <w:right w:val="single" w:color="auto" w:sz="4" w:space="0"/>
            </w:tcBorders>
            <w:vAlign w:val="center"/>
          </w:tcPr>
          <w:p w14:paraId="257E6B1C">
            <w:pPr>
              <w:pStyle w:val="24"/>
              <w:snapToGrid w:val="0"/>
              <w:spacing w:before="295" w:after="295"/>
              <w:jc w:val="center"/>
              <w:rPr>
                <w:rFonts w:hAnsi="宋体" w:cs="宋体"/>
                <w:color w:val="auto"/>
                <w:kern w:val="2"/>
                <w:sz w:val="24"/>
                <w:szCs w:val="24"/>
                <w:highlight w:val="none"/>
              </w:rPr>
            </w:pPr>
          </w:p>
        </w:tc>
        <w:tc>
          <w:tcPr>
            <w:tcW w:w="1440" w:type="dxa"/>
            <w:tcBorders>
              <w:top w:val="single" w:color="auto" w:sz="6" w:space="0"/>
              <w:left w:val="single" w:color="auto" w:sz="4" w:space="0"/>
              <w:bottom w:val="single" w:color="auto" w:sz="6" w:space="0"/>
              <w:right w:val="single" w:color="auto" w:sz="6" w:space="0"/>
            </w:tcBorders>
            <w:vAlign w:val="center"/>
          </w:tcPr>
          <w:p w14:paraId="7A607213">
            <w:pPr>
              <w:pStyle w:val="24"/>
              <w:snapToGrid w:val="0"/>
              <w:spacing w:before="295" w:after="295"/>
              <w:jc w:val="center"/>
              <w:rPr>
                <w:rFonts w:hAnsi="宋体" w:cs="宋体"/>
                <w:color w:val="auto"/>
                <w:kern w:val="2"/>
                <w:sz w:val="24"/>
                <w:szCs w:val="24"/>
                <w:highlight w:val="none"/>
              </w:rPr>
            </w:pPr>
          </w:p>
        </w:tc>
        <w:tc>
          <w:tcPr>
            <w:tcW w:w="1440"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14:paraId="74A68C05">
            <w:pPr>
              <w:pStyle w:val="24"/>
              <w:snapToGrid w:val="0"/>
              <w:spacing w:before="295" w:after="295"/>
              <w:jc w:val="center"/>
              <w:rPr>
                <w:rFonts w:hAnsi="宋体" w:cs="宋体"/>
                <w:color w:val="auto"/>
                <w:kern w:val="2"/>
                <w:sz w:val="24"/>
                <w:szCs w:val="24"/>
                <w:highlight w:val="none"/>
              </w:rPr>
            </w:pPr>
          </w:p>
        </w:tc>
        <w:tc>
          <w:tcPr>
            <w:tcW w:w="2340" w:type="dxa"/>
            <w:tcBorders>
              <w:top w:val="single" w:color="auto" w:sz="6" w:space="0"/>
              <w:left w:val="single" w:color="auto" w:sz="6" w:space="0"/>
              <w:bottom w:val="single" w:color="auto" w:sz="6" w:space="0"/>
              <w:right w:val="single" w:color="auto" w:sz="2" w:space="0"/>
            </w:tcBorders>
            <w:vAlign w:val="center"/>
          </w:tcPr>
          <w:p w14:paraId="07D6C7A5">
            <w:pPr>
              <w:pStyle w:val="24"/>
              <w:snapToGrid w:val="0"/>
              <w:spacing w:before="295" w:after="295"/>
              <w:jc w:val="center"/>
              <w:rPr>
                <w:rFonts w:hAnsi="宋体" w:cs="宋体"/>
                <w:color w:val="auto"/>
                <w:kern w:val="2"/>
                <w:sz w:val="24"/>
                <w:szCs w:val="24"/>
                <w:highlight w:val="none"/>
              </w:rPr>
            </w:pPr>
            <w:r>
              <w:rPr>
                <w:rFonts w:hint="eastAsia" w:hAnsi="宋体" w:cs="宋体"/>
                <w:color w:val="auto"/>
                <w:kern w:val="2"/>
                <w:sz w:val="24"/>
                <w:szCs w:val="24"/>
                <w:highlight w:val="none"/>
              </w:rPr>
              <w:t xml:space="preserve"> </w:t>
            </w:r>
            <w:r>
              <w:rPr>
                <w:rFonts w:hint="eastAsia" w:hAnsi="宋体" w:cs="宋体"/>
                <w:color w:val="auto"/>
                <w:kern w:val="2"/>
                <w:sz w:val="24"/>
                <w:szCs w:val="24"/>
                <w:highlight w:val="none"/>
                <w:u w:val="single"/>
              </w:rPr>
              <w:t xml:space="preserve">           </w:t>
            </w:r>
            <w:r>
              <w:rPr>
                <w:rFonts w:hint="eastAsia" w:hAnsi="宋体" w:cs="宋体"/>
                <w:color w:val="auto"/>
                <w:kern w:val="2"/>
                <w:sz w:val="24"/>
                <w:szCs w:val="24"/>
                <w:highlight w:val="none"/>
              </w:rPr>
              <w:t>%</w:t>
            </w:r>
          </w:p>
        </w:tc>
      </w:tr>
      <w:tr w14:paraId="6DFC46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735"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14:paraId="7C970335">
            <w:pPr>
              <w:pStyle w:val="24"/>
              <w:snapToGrid w:val="0"/>
              <w:spacing w:before="295" w:after="295"/>
              <w:jc w:val="center"/>
              <w:rPr>
                <w:rFonts w:hAnsi="宋体" w:cs="宋体"/>
                <w:color w:val="auto"/>
                <w:kern w:val="2"/>
                <w:sz w:val="24"/>
                <w:szCs w:val="24"/>
                <w:highlight w:val="none"/>
              </w:rPr>
            </w:pPr>
            <w:r>
              <w:rPr>
                <w:rFonts w:hint="eastAsia" w:hAnsi="宋体" w:cs="宋体"/>
                <w:color w:val="auto"/>
                <w:kern w:val="2"/>
                <w:sz w:val="24"/>
                <w:szCs w:val="24"/>
                <w:highlight w:val="none"/>
              </w:rPr>
              <w:t>3</w:t>
            </w:r>
          </w:p>
        </w:tc>
        <w:tc>
          <w:tcPr>
            <w:tcW w:w="2700" w:type="dxa"/>
            <w:tcBorders>
              <w:top w:val="single" w:color="auto" w:sz="6" w:space="0"/>
              <w:left w:val="single" w:color="auto" w:sz="2" w:space="0"/>
              <w:bottom w:val="single" w:color="auto" w:sz="6" w:space="0"/>
              <w:right w:val="single" w:color="auto" w:sz="4" w:space="0"/>
            </w:tcBorders>
            <w:vAlign w:val="center"/>
          </w:tcPr>
          <w:p w14:paraId="2245CF92">
            <w:pPr>
              <w:pStyle w:val="24"/>
              <w:snapToGrid w:val="0"/>
              <w:spacing w:before="295" w:after="295"/>
              <w:jc w:val="center"/>
              <w:rPr>
                <w:rFonts w:hAnsi="宋体" w:cs="宋体"/>
                <w:color w:val="auto"/>
                <w:kern w:val="2"/>
                <w:sz w:val="24"/>
                <w:szCs w:val="24"/>
                <w:highlight w:val="none"/>
              </w:rPr>
            </w:pPr>
          </w:p>
        </w:tc>
        <w:tc>
          <w:tcPr>
            <w:tcW w:w="1440" w:type="dxa"/>
            <w:tcBorders>
              <w:top w:val="single" w:color="auto" w:sz="6" w:space="0"/>
              <w:left w:val="single" w:color="auto" w:sz="4" w:space="0"/>
              <w:bottom w:val="single" w:color="auto" w:sz="6" w:space="0"/>
              <w:right w:val="single" w:color="auto" w:sz="6" w:space="0"/>
            </w:tcBorders>
            <w:vAlign w:val="center"/>
          </w:tcPr>
          <w:p w14:paraId="6557F7D0">
            <w:pPr>
              <w:pStyle w:val="24"/>
              <w:snapToGrid w:val="0"/>
              <w:spacing w:before="295" w:after="295"/>
              <w:jc w:val="center"/>
              <w:rPr>
                <w:rFonts w:hAnsi="宋体" w:cs="宋体"/>
                <w:color w:val="auto"/>
                <w:kern w:val="2"/>
                <w:sz w:val="24"/>
                <w:szCs w:val="24"/>
                <w:highlight w:val="none"/>
              </w:rPr>
            </w:pPr>
          </w:p>
        </w:tc>
        <w:tc>
          <w:tcPr>
            <w:tcW w:w="1440"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14:paraId="7AA32984">
            <w:pPr>
              <w:pStyle w:val="24"/>
              <w:snapToGrid w:val="0"/>
              <w:spacing w:before="295" w:after="295"/>
              <w:jc w:val="center"/>
              <w:rPr>
                <w:rFonts w:hAnsi="宋体" w:cs="宋体"/>
                <w:color w:val="auto"/>
                <w:kern w:val="2"/>
                <w:sz w:val="24"/>
                <w:szCs w:val="24"/>
                <w:highlight w:val="none"/>
              </w:rPr>
            </w:pPr>
          </w:p>
        </w:tc>
        <w:tc>
          <w:tcPr>
            <w:tcW w:w="2340" w:type="dxa"/>
            <w:tcBorders>
              <w:top w:val="single" w:color="auto" w:sz="6" w:space="0"/>
              <w:left w:val="single" w:color="auto" w:sz="6" w:space="0"/>
              <w:bottom w:val="single" w:color="auto" w:sz="6" w:space="0"/>
              <w:right w:val="single" w:color="auto" w:sz="2" w:space="0"/>
            </w:tcBorders>
            <w:vAlign w:val="center"/>
          </w:tcPr>
          <w:p w14:paraId="5B4DD011">
            <w:pPr>
              <w:pStyle w:val="24"/>
              <w:snapToGrid w:val="0"/>
              <w:spacing w:before="295" w:after="295"/>
              <w:jc w:val="center"/>
              <w:rPr>
                <w:rFonts w:hAnsi="宋体" w:cs="宋体"/>
                <w:color w:val="auto"/>
                <w:kern w:val="2"/>
                <w:sz w:val="24"/>
                <w:szCs w:val="24"/>
                <w:highlight w:val="none"/>
              </w:rPr>
            </w:pPr>
            <w:r>
              <w:rPr>
                <w:rFonts w:hint="eastAsia" w:hAnsi="宋体" w:cs="宋体"/>
                <w:color w:val="auto"/>
                <w:kern w:val="2"/>
                <w:sz w:val="24"/>
                <w:szCs w:val="24"/>
                <w:highlight w:val="none"/>
              </w:rPr>
              <w:t xml:space="preserve"> </w:t>
            </w:r>
            <w:r>
              <w:rPr>
                <w:rFonts w:hint="eastAsia" w:hAnsi="宋体" w:cs="宋体"/>
                <w:color w:val="auto"/>
                <w:kern w:val="2"/>
                <w:sz w:val="24"/>
                <w:szCs w:val="24"/>
                <w:highlight w:val="none"/>
                <w:u w:val="single"/>
              </w:rPr>
              <w:t xml:space="preserve">           </w:t>
            </w:r>
            <w:r>
              <w:rPr>
                <w:rFonts w:hint="eastAsia" w:hAnsi="宋体" w:cs="宋体"/>
                <w:color w:val="auto"/>
                <w:kern w:val="2"/>
                <w:sz w:val="24"/>
                <w:szCs w:val="24"/>
                <w:highlight w:val="none"/>
              </w:rPr>
              <w:t>%</w:t>
            </w:r>
          </w:p>
        </w:tc>
      </w:tr>
    </w:tbl>
    <w:p w14:paraId="23984774">
      <w:pPr>
        <w:spacing w:line="360" w:lineRule="auto"/>
        <w:contextualSpacing/>
        <w:rPr>
          <w:rFonts w:ascii="宋体" w:hAnsi="宋体" w:cs="宋体"/>
          <w:color w:val="auto"/>
          <w:sz w:val="24"/>
          <w:highlight w:val="none"/>
        </w:rPr>
      </w:pPr>
    </w:p>
    <w:p w14:paraId="635CAA53">
      <w:pPr>
        <w:snapToGrid w:val="0"/>
        <w:spacing w:before="50" w:after="50"/>
        <w:ind w:firstLine="3360" w:firstLineChars="1400"/>
        <w:rPr>
          <w:rFonts w:ascii="宋体" w:hAnsi="宋体" w:cs="宋体"/>
          <w:color w:val="auto"/>
          <w:kern w:val="0"/>
          <w:sz w:val="24"/>
          <w:highlight w:val="none"/>
        </w:rPr>
      </w:pPr>
      <w:r>
        <w:rPr>
          <w:rFonts w:hint="eastAsia" w:ascii="宋体" w:hAnsi="宋体" w:cs="宋体"/>
          <w:color w:val="auto"/>
          <w:kern w:val="0"/>
          <w:sz w:val="24"/>
          <w:highlight w:val="none"/>
        </w:rPr>
        <w:t>法定代表人或者委托代理人（签字）：</w:t>
      </w:r>
      <w:r>
        <w:rPr>
          <w:rFonts w:hint="eastAsia" w:ascii="宋体" w:hAnsi="宋体" w:cs="宋体"/>
          <w:color w:val="auto"/>
          <w:kern w:val="0"/>
          <w:sz w:val="24"/>
          <w:highlight w:val="none"/>
          <w:u w:val="single"/>
        </w:rPr>
        <w:t xml:space="preserve"> </w:t>
      </w:r>
      <w:r>
        <w:rPr>
          <w:rFonts w:ascii="宋体" w:hAnsi="宋体" w:cs="宋体"/>
          <w:color w:val="auto"/>
          <w:kern w:val="0"/>
          <w:sz w:val="24"/>
          <w:highlight w:val="none"/>
          <w:u w:val="single"/>
        </w:rPr>
        <w:t xml:space="preserve">                 </w:t>
      </w:r>
      <w:r>
        <w:rPr>
          <w:rFonts w:hint="eastAsia" w:ascii="宋体" w:hAnsi="宋体" w:cs="宋体"/>
          <w:color w:val="auto"/>
          <w:kern w:val="0"/>
          <w:sz w:val="24"/>
          <w:highlight w:val="none"/>
        </w:rPr>
        <w:t xml:space="preserve">        </w:t>
      </w:r>
    </w:p>
    <w:p w14:paraId="54291FEA">
      <w:pPr>
        <w:snapToGrid w:val="0"/>
        <w:spacing w:before="166" w:beforeLines="50"/>
        <w:ind w:firstLine="3360" w:firstLineChars="1400"/>
        <w:rPr>
          <w:rFonts w:ascii="宋体" w:hAnsi="宋体" w:cs="宋体"/>
          <w:color w:val="auto"/>
          <w:kern w:val="0"/>
          <w:sz w:val="24"/>
          <w:highlight w:val="none"/>
        </w:rPr>
      </w:pPr>
      <w:r>
        <w:rPr>
          <w:rFonts w:hint="eastAsia" w:ascii="宋体" w:hAnsi="宋体" w:cs="宋体"/>
          <w:color w:val="auto"/>
          <w:kern w:val="0"/>
          <w:sz w:val="24"/>
          <w:highlight w:val="none"/>
        </w:rPr>
        <w:t>投标人</w:t>
      </w:r>
      <w:r>
        <w:rPr>
          <w:rFonts w:hint="eastAsia" w:ascii="黑体" w:hAnsi="黑体" w:eastAsia="黑体" w:cs="宋体"/>
          <w:color w:val="auto"/>
          <w:kern w:val="0"/>
          <w:sz w:val="24"/>
          <w:highlight w:val="none"/>
        </w:rPr>
        <w:t>（</w:t>
      </w:r>
      <w:r>
        <w:rPr>
          <w:rFonts w:hint="eastAsia" w:ascii="宋体" w:hAnsi="宋体" w:cs="宋体"/>
          <w:color w:val="auto"/>
          <w:kern w:val="0"/>
          <w:sz w:val="24"/>
          <w:highlight w:val="none"/>
        </w:rPr>
        <w:t>公章</w:t>
      </w:r>
      <w:r>
        <w:rPr>
          <w:rFonts w:hint="eastAsia" w:ascii="黑体" w:hAnsi="黑体" w:eastAsia="黑体" w:cs="宋体"/>
          <w:color w:val="auto"/>
          <w:kern w:val="0"/>
          <w:sz w:val="24"/>
          <w:highlight w:val="none"/>
        </w:rPr>
        <w:t>）</w:t>
      </w:r>
      <w:r>
        <w:rPr>
          <w:rFonts w:hint="eastAsia" w:ascii="宋体" w:hAnsi="宋体" w:cs="宋体"/>
          <w:color w:val="auto"/>
          <w:kern w:val="0"/>
          <w:sz w:val="24"/>
          <w:highlight w:val="none"/>
        </w:rPr>
        <w:t>：</w:t>
      </w:r>
      <w:r>
        <w:rPr>
          <w:rFonts w:hint="eastAsia" w:ascii="宋体" w:hAnsi="宋体" w:cs="宋体"/>
          <w:color w:val="auto"/>
          <w:kern w:val="0"/>
          <w:sz w:val="24"/>
          <w:highlight w:val="none"/>
          <w:u w:val="single"/>
        </w:rPr>
        <w:t xml:space="preserve"> </w:t>
      </w:r>
      <w:r>
        <w:rPr>
          <w:rFonts w:ascii="宋体" w:hAnsi="宋体" w:cs="宋体"/>
          <w:color w:val="auto"/>
          <w:kern w:val="0"/>
          <w:sz w:val="24"/>
          <w:highlight w:val="none"/>
          <w:u w:val="single"/>
        </w:rPr>
        <w:t xml:space="preserve">                </w:t>
      </w:r>
      <w:r>
        <w:rPr>
          <w:rFonts w:hint="eastAsia" w:ascii="宋体" w:hAnsi="宋体" w:cs="宋体"/>
          <w:color w:val="auto"/>
          <w:kern w:val="0"/>
          <w:sz w:val="24"/>
          <w:highlight w:val="none"/>
        </w:rPr>
        <w:t xml:space="preserve">               </w:t>
      </w:r>
    </w:p>
    <w:p w14:paraId="608E3D74">
      <w:pPr>
        <w:snapToGrid w:val="0"/>
        <w:spacing w:before="166" w:beforeLines="50"/>
        <w:ind w:firstLine="3360" w:firstLineChars="1400"/>
        <w:rPr>
          <w:rFonts w:ascii="宋体" w:hAnsi="宋体" w:cs="宋体"/>
          <w:color w:val="auto"/>
          <w:kern w:val="0"/>
          <w:sz w:val="24"/>
          <w:highlight w:val="none"/>
        </w:rPr>
      </w:pPr>
      <w:r>
        <w:rPr>
          <w:rFonts w:hint="eastAsia" w:ascii="宋体" w:hAnsi="宋体" w:cs="宋体"/>
          <w:color w:val="auto"/>
          <w:kern w:val="0"/>
          <w:sz w:val="24"/>
          <w:highlight w:val="none"/>
        </w:rPr>
        <w:t xml:space="preserve">日  期：   </w:t>
      </w:r>
      <w:r>
        <w:rPr>
          <w:rFonts w:hint="eastAsia" w:ascii="黑体" w:hAnsi="黑体" w:eastAsia="黑体" w:cs="宋体"/>
          <w:b/>
          <w:color w:val="auto"/>
          <w:kern w:val="0"/>
          <w:sz w:val="24"/>
          <w:highlight w:val="none"/>
          <w:u w:val="single"/>
        </w:rPr>
        <w:t xml:space="preserve">     </w:t>
      </w:r>
      <w:r>
        <w:rPr>
          <w:rFonts w:ascii="黑体" w:hAnsi="黑体" w:eastAsia="黑体" w:cs="宋体"/>
          <w:b/>
          <w:color w:val="auto"/>
          <w:kern w:val="0"/>
          <w:sz w:val="24"/>
          <w:highlight w:val="none"/>
          <w:u w:val="single"/>
        </w:rPr>
        <w:t xml:space="preserve"> </w:t>
      </w:r>
      <w:r>
        <w:rPr>
          <w:rFonts w:hint="eastAsia" w:ascii="黑体" w:hAnsi="黑体" w:eastAsia="黑体" w:cs="宋体"/>
          <w:b/>
          <w:color w:val="auto"/>
          <w:kern w:val="0"/>
          <w:sz w:val="24"/>
          <w:highlight w:val="none"/>
          <w:u w:val="single"/>
        </w:rPr>
        <w:t xml:space="preserve"> </w:t>
      </w:r>
      <w:r>
        <w:rPr>
          <w:rFonts w:hint="eastAsia" w:cs="宋体" w:asciiTheme="minorEastAsia" w:hAnsiTheme="minorEastAsia" w:eastAsiaTheme="minorEastAsia"/>
          <w:color w:val="auto"/>
          <w:kern w:val="0"/>
          <w:sz w:val="24"/>
          <w:highlight w:val="none"/>
        </w:rPr>
        <w:t>年</w:t>
      </w:r>
      <w:r>
        <w:rPr>
          <w:rFonts w:cs="宋体" w:asciiTheme="minorEastAsia" w:hAnsiTheme="minorEastAsia" w:eastAsiaTheme="minorEastAsia"/>
          <w:color w:val="auto"/>
          <w:kern w:val="0"/>
          <w:sz w:val="24"/>
          <w:highlight w:val="none"/>
          <w:u w:val="single"/>
        </w:rPr>
        <w:t xml:space="preserve">  </w:t>
      </w:r>
      <w:r>
        <w:rPr>
          <w:rFonts w:hint="eastAsia" w:cs="宋体" w:asciiTheme="minorEastAsia" w:hAnsiTheme="minorEastAsia" w:eastAsiaTheme="minorEastAsia"/>
          <w:color w:val="auto"/>
          <w:kern w:val="0"/>
          <w:sz w:val="24"/>
          <w:highlight w:val="none"/>
        </w:rPr>
        <w:t>月</w:t>
      </w:r>
      <w:r>
        <w:rPr>
          <w:rFonts w:cs="宋体" w:asciiTheme="minorEastAsia" w:hAnsiTheme="minorEastAsia" w:eastAsiaTheme="minorEastAsia"/>
          <w:color w:val="auto"/>
          <w:kern w:val="0"/>
          <w:sz w:val="24"/>
          <w:highlight w:val="none"/>
          <w:u w:val="single"/>
        </w:rPr>
        <w:t xml:space="preserve">  </w:t>
      </w:r>
      <w:r>
        <w:rPr>
          <w:rFonts w:hint="eastAsia" w:cs="宋体" w:asciiTheme="minorEastAsia" w:hAnsiTheme="minorEastAsia" w:eastAsiaTheme="minorEastAsia"/>
          <w:color w:val="auto"/>
          <w:kern w:val="0"/>
          <w:sz w:val="24"/>
          <w:highlight w:val="none"/>
        </w:rPr>
        <w:t>日</w:t>
      </w:r>
    </w:p>
    <w:p w14:paraId="49D10EDF">
      <w:pPr>
        <w:snapToGrid w:val="0"/>
        <w:spacing w:before="50" w:after="166" w:afterLines="50"/>
        <w:jc w:val="left"/>
        <w:rPr>
          <w:rFonts w:ascii="宋体" w:hAnsi="宋体" w:cs="宋体"/>
          <w:color w:val="auto"/>
          <w:sz w:val="24"/>
          <w:szCs w:val="20"/>
          <w:highlight w:val="none"/>
        </w:rPr>
      </w:pPr>
    </w:p>
    <w:p w14:paraId="23697DA6">
      <w:pPr>
        <w:rPr>
          <w:rFonts w:ascii="宋体" w:hAnsi="宋体" w:cs="宋体"/>
          <w:b/>
          <w:color w:val="auto"/>
          <w:sz w:val="28"/>
          <w:szCs w:val="28"/>
          <w:highlight w:val="none"/>
        </w:rPr>
      </w:pPr>
      <w:r>
        <w:rPr>
          <w:rFonts w:hint="eastAsia" w:ascii="宋体" w:hAnsi="宋体" w:cs="宋体"/>
          <w:b/>
          <w:bCs/>
          <w:color w:val="auto"/>
          <w:sz w:val="24"/>
          <w:highlight w:val="none"/>
        </w:rPr>
        <w:br w:type="page"/>
      </w:r>
      <w:r>
        <w:rPr>
          <w:rFonts w:hint="eastAsia" w:ascii="宋体" w:hAnsi="宋体" w:cs="宋体"/>
          <w:b/>
          <w:color w:val="auto"/>
          <w:sz w:val="28"/>
          <w:szCs w:val="28"/>
          <w:highlight w:val="none"/>
        </w:rPr>
        <w:t>五、其他文书、文件格式</w:t>
      </w:r>
    </w:p>
    <w:p w14:paraId="6F66F503">
      <w:pPr>
        <w:snapToGrid w:val="0"/>
        <w:spacing w:before="166" w:beforeLines="50" w:after="50"/>
        <w:ind w:left="142"/>
        <w:jc w:val="left"/>
        <w:rPr>
          <w:rFonts w:ascii="宋体" w:hAnsi="宋体" w:cs="宋体"/>
          <w:b/>
          <w:color w:val="auto"/>
          <w:spacing w:val="20"/>
          <w:sz w:val="24"/>
          <w:highlight w:val="none"/>
        </w:rPr>
      </w:pPr>
      <w:r>
        <w:rPr>
          <w:rFonts w:hint="eastAsia" w:ascii="宋体" w:hAnsi="宋体" w:cs="宋体"/>
          <w:b/>
          <w:color w:val="auto"/>
          <w:spacing w:val="20"/>
          <w:sz w:val="24"/>
          <w:highlight w:val="none"/>
        </w:rPr>
        <w:t>1.联合投标协议书格式</w:t>
      </w:r>
    </w:p>
    <w:p w14:paraId="1E3CDE42">
      <w:pPr>
        <w:pStyle w:val="6"/>
        <w:overflowPunct w:val="0"/>
        <w:jc w:val="center"/>
        <w:rPr>
          <w:rFonts w:ascii="宋体" w:hAnsi="宋体" w:cs="宋体"/>
          <w:b/>
          <w:color w:val="auto"/>
          <w:sz w:val="44"/>
          <w:szCs w:val="44"/>
          <w:highlight w:val="none"/>
        </w:rPr>
      </w:pPr>
      <w:r>
        <w:rPr>
          <w:rFonts w:hint="eastAsia" w:ascii="宋体" w:hAnsi="宋体" w:cs="宋体"/>
          <w:b/>
          <w:color w:val="auto"/>
          <w:sz w:val="44"/>
          <w:szCs w:val="44"/>
          <w:highlight w:val="none"/>
        </w:rPr>
        <w:t>联合体协议书</w:t>
      </w:r>
    </w:p>
    <w:p w14:paraId="7FB21325">
      <w:pPr>
        <w:pStyle w:val="6"/>
        <w:overflowPunct w:val="0"/>
        <w:rPr>
          <w:rFonts w:ascii="宋体" w:hAnsi="宋体" w:cs="宋体"/>
          <w:color w:val="auto"/>
          <w:sz w:val="24"/>
          <w:highlight w:val="none"/>
        </w:rPr>
      </w:pPr>
    </w:p>
    <w:p w14:paraId="5DF06CB3">
      <w:pPr>
        <w:pStyle w:val="6"/>
        <w:overflowPunct w:val="0"/>
        <w:spacing w:line="360" w:lineRule="auto"/>
        <w:contextualSpacing/>
        <w:rPr>
          <w:rFonts w:ascii="宋体" w:hAnsi="宋体" w:cs="宋体"/>
          <w:color w:val="auto"/>
          <w:sz w:val="24"/>
          <w:highlight w:val="none"/>
        </w:rPr>
      </w:pP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rPr>
        <w:tab/>
      </w:r>
      <w:r>
        <w:rPr>
          <w:rFonts w:hint="eastAsia" w:ascii="宋体" w:hAnsi="宋体" w:cs="宋体"/>
          <w:color w:val="auto"/>
          <w:sz w:val="24"/>
          <w:highlight w:val="none"/>
        </w:rPr>
        <w:t>（所有成员单位名称）自愿组成</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rPr>
        <w:tab/>
      </w:r>
      <w:r>
        <w:rPr>
          <w:rFonts w:hint="eastAsia" w:ascii="宋体" w:hAnsi="宋体" w:cs="宋体"/>
          <w:color w:val="auto"/>
          <w:sz w:val="24"/>
          <w:highlight w:val="none"/>
        </w:rPr>
        <w:t>（联合体名称）联合体，共同参加</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rPr>
        <w:tab/>
      </w:r>
      <w:r>
        <w:rPr>
          <w:rFonts w:hint="eastAsia" w:ascii="宋体" w:hAnsi="宋体" w:cs="宋体"/>
          <w:color w:val="auto"/>
          <w:sz w:val="24"/>
          <w:highlight w:val="none"/>
          <w:u w:val="single"/>
        </w:rPr>
        <w:t>（项</w:t>
      </w:r>
      <w:r>
        <w:rPr>
          <w:rFonts w:hint="eastAsia" w:ascii="宋体" w:hAnsi="宋体" w:cs="宋体"/>
          <w:color w:val="auto"/>
          <w:sz w:val="24"/>
          <w:highlight w:val="none"/>
        </w:rPr>
        <w:t>目名称）采购招标项目投标。现就联合体投标事宜订立如下协议。</w:t>
      </w:r>
    </w:p>
    <w:p w14:paraId="65EF21DB">
      <w:pPr>
        <w:pStyle w:val="6"/>
        <w:overflowPunct w:val="0"/>
        <w:spacing w:line="360" w:lineRule="auto"/>
        <w:ind w:firstLineChars="175"/>
        <w:contextualSpacing/>
        <w:rPr>
          <w:rFonts w:ascii="宋体" w:hAnsi="宋体" w:cs="宋体"/>
          <w:color w:val="auto"/>
          <w:sz w:val="24"/>
          <w:highlight w:val="none"/>
        </w:rPr>
      </w:pPr>
      <w:r>
        <w:rPr>
          <w:rFonts w:hint="eastAsia" w:ascii="宋体" w:hAnsi="宋体" w:cs="宋体"/>
          <w:color w:val="auto"/>
          <w:sz w:val="24"/>
          <w:highlight w:val="none"/>
        </w:rPr>
        <w:t xml:space="preserve">1.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rPr>
        <w:tab/>
      </w:r>
      <w:r>
        <w:rPr>
          <w:rFonts w:hint="eastAsia" w:ascii="宋体" w:hAnsi="宋体" w:cs="宋体"/>
          <w:color w:val="auto"/>
          <w:sz w:val="24"/>
          <w:highlight w:val="none"/>
        </w:rPr>
        <w:t>（某成员单位名称）为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rPr>
        <w:tab/>
      </w:r>
      <w:r>
        <w:rPr>
          <w:rFonts w:hint="eastAsia" w:ascii="宋体" w:hAnsi="宋体" w:cs="宋体"/>
          <w:color w:val="auto"/>
          <w:sz w:val="24"/>
          <w:highlight w:val="none"/>
        </w:rPr>
        <w:t>（联合体名称）牵头人。</w:t>
      </w:r>
    </w:p>
    <w:p w14:paraId="09A4005C">
      <w:pPr>
        <w:pStyle w:val="6"/>
        <w:overflowPunct w:val="0"/>
        <w:spacing w:line="360" w:lineRule="auto"/>
        <w:ind w:firstLineChars="175"/>
        <w:contextualSpacing/>
        <w:rPr>
          <w:rFonts w:ascii="宋体" w:hAnsi="宋体" w:cs="宋体"/>
          <w:color w:val="auto"/>
          <w:sz w:val="24"/>
          <w:highlight w:val="none"/>
        </w:rPr>
      </w:pPr>
      <w:r>
        <w:rPr>
          <w:rFonts w:hint="eastAsia" w:ascii="宋体" w:hAnsi="宋体" w:cs="宋体"/>
          <w:color w:val="auto"/>
          <w:sz w:val="24"/>
          <w:highlight w:val="none"/>
        </w:rPr>
        <w:t>2.联合体各成员授权牵头人代表联合体参加投标活动，签署文件及对文件的盖章，提交和接收相关的资料、 信息及指示，进行合同谈判活动，负责合同实施阶段的组织和协调工作，以及处理与本招标项 目有关的一切事宜。</w:t>
      </w:r>
    </w:p>
    <w:p w14:paraId="18C1CF07">
      <w:pPr>
        <w:pStyle w:val="6"/>
        <w:overflowPunct w:val="0"/>
        <w:spacing w:line="360" w:lineRule="auto"/>
        <w:ind w:firstLineChars="175"/>
        <w:contextualSpacing/>
        <w:rPr>
          <w:rFonts w:ascii="宋体" w:hAnsi="宋体" w:cs="宋体"/>
          <w:color w:val="auto"/>
          <w:sz w:val="24"/>
          <w:highlight w:val="none"/>
        </w:rPr>
      </w:pPr>
      <w:r>
        <w:rPr>
          <w:rFonts w:hint="eastAsia" w:ascii="宋体" w:hAnsi="宋体" w:cs="宋体"/>
          <w:color w:val="auto"/>
          <w:sz w:val="24"/>
          <w:highlight w:val="none"/>
        </w:rPr>
        <w:t>3.联合体牵头人在本项目中签署和盖章的一切文件和处理的一切事宜，联合体各成员均予以承认。 联合体各成员将严格按照招标文件、投标文件和合同的要求全面履行义务，并向甲方承担连带责任。</w:t>
      </w:r>
    </w:p>
    <w:p w14:paraId="79566C78">
      <w:pPr>
        <w:pStyle w:val="6"/>
        <w:overflowPunct w:val="0"/>
        <w:spacing w:line="360" w:lineRule="auto"/>
        <w:ind w:firstLineChars="175"/>
        <w:contextualSpacing/>
        <w:rPr>
          <w:rFonts w:ascii="宋体" w:hAnsi="宋体" w:cs="宋体"/>
          <w:color w:val="auto"/>
          <w:sz w:val="24"/>
          <w:highlight w:val="none"/>
        </w:rPr>
      </w:pPr>
      <w:r>
        <w:rPr>
          <w:rFonts w:hint="eastAsia" w:ascii="宋体" w:hAnsi="宋体" w:cs="宋体"/>
          <w:color w:val="auto"/>
          <w:sz w:val="24"/>
          <w:highlight w:val="none"/>
        </w:rPr>
        <w:t>4.联合体各成员单位内部的职责分工如下：</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rPr>
        <w:tab/>
      </w:r>
      <w:r>
        <w:rPr>
          <w:rFonts w:hint="eastAsia" w:ascii="宋体" w:hAnsi="宋体" w:cs="宋体"/>
          <w:color w:val="auto"/>
          <w:sz w:val="24"/>
          <w:highlight w:val="none"/>
        </w:rPr>
        <w:t>。</w:t>
      </w:r>
    </w:p>
    <w:p w14:paraId="18865879">
      <w:pPr>
        <w:pStyle w:val="6"/>
        <w:overflowPunct w:val="0"/>
        <w:spacing w:line="360" w:lineRule="auto"/>
        <w:ind w:firstLineChars="175"/>
        <w:contextualSpacing/>
        <w:rPr>
          <w:rFonts w:ascii="宋体" w:hAnsi="宋体" w:cs="宋体"/>
          <w:color w:val="auto"/>
          <w:sz w:val="24"/>
          <w:highlight w:val="none"/>
        </w:rPr>
      </w:pPr>
      <w:r>
        <w:rPr>
          <w:rFonts w:hint="eastAsia" w:ascii="宋体" w:hAnsi="宋体" w:cs="宋体"/>
          <w:color w:val="auto"/>
          <w:sz w:val="24"/>
          <w:highlight w:val="none"/>
        </w:rPr>
        <w:t>5.本协议书自所有成员单位法定代表人或者其委托代理人签字或者盖公章之日起生效，合同履行完毕后自动失效。</w:t>
      </w:r>
    </w:p>
    <w:p w14:paraId="5B28AAFB">
      <w:pPr>
        <w:pStyle w:val="6"/>
        <w:overflowPunct w:val="0"/>
        <w:spacing w:line="360" w:lineRule="auto"/>
        <w:ind w:firstLineChars="175"/>
        <w:contextualSpacing/>
        <w:rPr>
          <w:rFonts w:ascii="宋体" w:hAnsi="宋体" w:cs="宋体"/>
          <w:color w:val="auto"/>
          <w:sz w:val="24"/>
          <w:highlight w:val="none"/>
        </w:rPr>
      </w:pPr>
      <w:r>
        <w:rPr>
          <w:rFonts w:hint="eastAsia" w:ascii="宋体" w:hAnsi="宋体" w:cs="宋体"/>
          <w:color w:val="auto"/>
          <w:sz w:val="24"/>
          <w:highlight w:val="none"/>
        </w:rPr>
        <w:t>6.本协议书一式</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rPr>
        <w:tab/>
      </w:r>
      <w:r>
        <w:rPr>
          <w:rFonts w:hint="eastAsia" w:ascii="宋体" w:hAnsi="宋体" w:cs="宋体"/>
          <w:color w:val="auto"/>
          <w:sz w:val="24"/>
          <w:highlight w:val="none"/>
        </w:rPr>
        <w:t>份，联合体成员和甲方各执壹份。</w:t>
      </w:r>
    </w:p>
    <w:p w14:paraId="7FF2B3C6">
      <w:pPr>
        <w:pStyle w:val="6"/>
        <w:overflowPunct w:val="0"/>
        <w:spacing w:line="360" w:lineRule="auto"/>
        <w:ind w:firstLineChars="175"/>
        <w:contextualSpacing/>
        <w:rPr>
          <w:rFonts w:ascii="宋体" w:hAnsi="宋体" w:cs="宋体"/>
          <w:color w:val="auto"/>
          <w:sz w:val="24"/>
          <w:highlight w:val="none"/>
        </w:rPr>
      </w:pPr>
      <w:r>
        <w:rPr>
          <w:rFonts w:hint="eastAsia" w:ascii="宋体" w:hAnsi="宋体" w:cs="宋体"/>
          <w:color w:val="auto"/>
          <w:sz w:val="24"/>
          <w:highlight w:val="none"/>
        </w:rPr>
        <w:t>注：本协议书由法定代表人签字的，应附法定代表人身份证明；由委托代理人签字的，应附授权委托书。</w:t>
      </w:r>
    </w:p>
    <w:p w14:paraId="53A4FD65">
      <w:pPr>
        <w:pStyle w:val="6"/>
        <w:overflowPunct w:val="0"/>
        <w:spacing w:line="360" w:lineRule="auto"/>
        <w:ind w:firstLineChars="175"/>
        <w:contextualSpacing/>
        <w:rPr>
          <w:rFonts w:ascii="宋体" w:hAnsi="宋体" w:cs="宋体"/>
          <w:color w:val="auto"/>
          <w:sz w:val="24"/>
          <w:highlight w:val="none"/>
        </w:rPr>
      </w:pPr>
    </w:p>
    <w:p w14:paraId="11C04542">
      <w:pPr>
        <w:pStyle w:val="6"/>
        <w:overflowPunct w:val="0"/>
        <w:spacing w:line="360" w:lineRule="auto"/>
        <w:ind w:firstLineChars="175"/>
        <w:contextualSpacing/>
        <w:rPr>
          <w:rFonts w:ascii="宋体" w:hAnsi="宋体" w:cs="宋体"/>
          <w:color w:val="auto"/>
          <w:sz w:val="24"/>
          <w:highlight w:val="none"/>
          <w:u w:val="single"/>
        </w:rPr>
      </w:pPr>
      <w:r>
        <w:rPr>
          <w:rFonts w:hint="eastAsia" w:ascii="宋体" w:hAnsi="宋体" w:cs="宋体"/>
          <w:color w:val="auto"/>
          <w:sz w:val="24"/>
          <w:highlight w:val="none"/>
        </w:rPr>
        <w:t>联合体牵头人名称（公章）：</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p>
    <w:p w14:paraId="5CDF6C48">
      <w:pPr>
        <w:pStyle w:val="6"/>
        <w:overflowPunct w:val="0"/>
        <w:spacing w:line="360" w:lineRule="auto"/>
        <w:ind w:firstLineChars="175"/>
        <w:contextualSpacing/>
        <w:rPr>
          <w:rFonts w:ascii="宋体" w:hAnsi="宋体" w:cs="宋体"/>
          <w:color w:val="auto"/>
          <w:sz w:val="24"/>
          <w:highlight w:val="none"/>
        </w:rPr>
      </w:pPr>
      <w:r>
        <w:rPr>
          <w:rFonts w:hint="eastAsia" w:ascii="宋体" w:hAnsi="宋体" w:cs="宋体"/>
          <w:color w:val="auto"/>
          <w:sz w:val="24"/>
          <w:highlight w:val="none"/>
        </w:rPr>
        <w:t>法定代表人或者其委托代理人（签字）：</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 xml:space="preserve"> </w:t>
      </w:r>
      <w:r>
        <w:rPr>
          <w:rFonts w:hint="eastAsia" w:ascii="宋体" w:hAnsi="宋体" w:cs="宋体"/>
          <w:color w:val="auto"/>
          <w:sz w:val="24"/>
          <w:highlight w:val="none"/>
        </w:rPr>
        <w:tab/>
      </w:r>
    </w:p>
    <w:p w14:paraId="58586881">
      <w:pPr>
        <w:pStyle w:val="6"/>
        <w:overflowPunct w:val="0"/>
        <w:spacing w:line="360" w:lineRule="auto"/>
        <w:ind w:firstLineChars="175"/>
        <w:contextualSpacing/>
        <w:rPr>
          <w:rFonts w:ascii="宋体" w:hAnsi="宋体" w:cs="宋体"/>
          <w:color w:val="auto"/>
          <w:sz w:val="24"/>
          <w:highlight w:val="none"/>
          <w:u w:val="single"/>
        </w:rPr>
      </w:pPr>
      <w:r>
        <w:rPr>
          <w:rFonts w:hint="eastAsia" w:ascii="宋体" w:hAnsi="宋体" w:cs="宋体"/>
          <w:color w:val="auto"/>
          <w:sz w:val="24"/>
          <w:highlight w:val="none"/>
        </w:rPr>
        <w:t>联合体成员名称（公章）：</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p>
    <w:p w14:paraId="15190C21">
      <w:pPr>
        <w:pStyle w:val="6"/>
        <w:overflowPunct w:val="0"/>
        <w:spacing w:line="360" w:lineRule="auto"/>
        <w:ind w:firstLineChars="175"/>
        <w:contextualSpacing/>
        <w:rPr>
          <w:rFonts w:ascii="宋体" w:hAnsi="宋体" w:cs="宋体"/>
          <w:color w:val="auto"/>
          <w:sz w:val="24"/>
          <w:highlight w:val="none"/>
        </w:rPr>
      </w:pPr>
      <w:r>
        <w:rPr>
          <w:rFonts w:hint="eastAsia" w:ascii="宋体" w:hAnsi="宋体" w:cs="宋体"/>
          <w:color w:val="auto"/>
          <w:sz w:val="24"/>
          <w:highlight w:val="none"/>
        </w:rPr>
        <w:t>法定代表人或者其委托代理人（签字）：</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 xml:space="preserve"> </w:t>
      </w:r>
      <w:r>
        <w:rPr>
          <w:rFonts w:ascii="宋体" w:hAnsi="宋体" w:cs="宋体"/>
          <w:color w:val="auto"/>
          <w:sz w:val="24"/>
          <w:highlight w:val="none"/>
        </w:rPr>
        <w:t xml:space="preserve">                </w:t>
      </w:r>
      <w:r>
        <w:rPr>
          <w:rFonts w:hint="eastAsia" w:ascii="宋体" w:hAnsi="宋体" w:cs="宋体"/>
          <w:color w:val="auto"/>
          <w:sz w:val="24"/>
          <w:highlight w:val="none"/>
        </w:rPr>
        <w:t xml:space="preserve"> </w:t>
      </w:r>
      <w:r>
        <w:rPr>
          <w:rFonts w:hint="eastAsia" w:ascii="宋体" w:hAnsi="宋体" w:cs="宋体"/>
          <w:color w:val="auto"/>
          <w:sz w:val="24"/>
          <w:highlight w:val="none"/>
        </w:rPr>
        <w:tab/>
      </w:r>
    </w:p>
    <w:p w14:paraId="7DB90F84">
      <w:pPr>
        <w:pStyle w:val="6"/>
        <w:overflowPunct w:val="0"/>
        <w:spacing w:line="360" w:lineRule="auto"/>
        <w:ind w:firstLineChars="175"/>
        <w:contextualSpacing/>
        <w:rPr>
          <w:rFonts w:ascii="宋体" w:hAnsi="宋体" w:cs="宋体"/>
          <w:color w:val="auto"/>
          <w:sz w:val="24"/>
          <w:highlight w:val="none"/>
        </w:rPr>
      </w:pPr>
      <w:r>
        <w:rPr>
          <w:rFonts w:hint="eastAsia" w:ascii="宋体" w:hAnsi="宋体" w:cs="宋体"/>
          <w:color w:val="auto"/>
          <w:sz w:val="24"/>
          <w:highlight w:val="none"/>
        </w:rPr>
        <w:t>…</w:t>
      </w:r>
    </w:p>
    <w:p w14:paraId="4D5A407C">
      <w:pPr>
        <w:pStyle w:val="6"/>
        <w:overflowPunct w:val="0"/>
        <w:spacing w:line="360" w:lineRule="auto"/>
        <w:ind w:right="720" w:firstLineChars="175"/>
        <w:contextualSpacing/>
        <w:jc w:val="right"/>
        <w:rPr>
          <w:rFonts w:ascii="宋体" w:hAnsi="宋体" w:cs="宋体"/>
          <w:b/>
          <w:color w:val="auto"/>
          <w:sz w:val="24"/>
          <w:highlight w:val="none"/>
        </w:rPr>
      </w:pPr>
      <w:r>
        <w:rPr>
          <w:rFonts w:hint="eastAsia" w:ascii="宋体" w:hAnsi="宋体" w:cs="宋体"/>
          <w:color w:val="auto"/>
          <w:sz w:val="24"/>
          <w:highlight w:val="none"/>
        </w:rPr>
        <w:t>日期：</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rPr>
        <w:tab/>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ab/>
      </w:r>
      <w:r>
        <w:rPr>
          <w:rFonts w:hint="eastAsia" w:ascii="宋体" w:hAnsi="宋体" w:cs="宋体"/>
          <w:color w:val="auto"/>
          <w:sz w:val="24"/>
          <w:highlight w:val="none"/>
        </w:rPr>
        <w:t>日</w:t>
      </w:r>
    </w:p>
    <w:p w14:paraId="72E1294C">
      <w:pPr>
        <w:snapToGrid w:val="0"/>
        <w:spacing w:before="166" w:beforeLines="50" w:after="50"/>
        <w:jc w:val="left"/>
        <w:rPr>
          <w:rFonts w:ascii="宋体" w:hAnsi="宋体" w:cs="宋体"/>
          <w:color w:val="auto"/>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 xml:space="preserve"> 2.中小企业声明函格式</w:t>
      </w:r>
    </w:p>
    <w:p w14:paraId="1669F458">
      <w:pPr>
        <w:rPr>
          <w:rFonts w:ascii="宋体" w:hAnsi="宋体" w:cs="宋体"/>
          <w:color w:val="auto"/>
          <w:highlight w:val="none"/>
        </w:rPr>
      </w:pPr>
    </w:p>
    <w:p w14:paraId="10BCDCA5">
      <w:pPr>
        <w:jc w:val="center"/>
        <w:rPr>
          <w:rFonts w:ascii="宋体" w:hAnsi="宋体" w:cs="宋体"/>
          <w:color w:val="auto"/>
          <w:sz w:val="44"/>
          <w:szCs w:val="44"/>
          <w:highlight w:val="none"/>
        </w:rPr>
      </w:pPr>
      <w:r>
        <w:rPr>
          <w:rFonts w:hint="eastAsia" w:ascii="宋体" w:hAnsi="宋体" w:cs="宋体"/>
          <w:color w:val="auto"/>
          <w:sz w:val="44"/>
          <w:szCs w:val="44"/>
          <w:highlight w:val="none"/>
        </w:rPr>
        <w:t>中小企业声明函（货物，1分标适用）</w:t>
      </w:r>
    </w:p>
    <w:p w14:paraId="4B945FF4">
      <w:pPr>
        <w:spacing w:before="2" w:line="500" w:lineRule="exact"/>
        <w:rPr>
          <w:rFonts w:ascii="宋体" w:hAnsi="宋体" w:cs="宋体"/>
          <w:b/>
          <w:bCs/>
          <w:color w:val="auto"/>
          <w:sz w:val="27"/>
          <w:szCs w:val="27"/>
          <w:highlight w:val="none"/>
        </w:rPr>
      </w:pPr>
    </w:p>
    <w:p w14:paraId="2A1A1CB8">
      <w:pPr>
        <w:pStyle w:val="2"/>
        <w:spacing w:line="360" w:lineRule="auto"/>
        <w:ind w:left="-426" w:leftChars="-203" w:right="142" w:firstLine="480" w:firstLineChars="200"/>
        <w:contextualSpacing/>
        <w:rPr>
          <w:rFonts w:ascii="宋体" w:hAnsi="宋体" w:cs="宋体"/>
          <w:color w:val="auto"/>
          <w:kern w:val="24"/>
          <w:highlight w:val="none"/>
        </w:rPr>
      </w:pPr>
      <w:r>
        <w:rPr>
          <w:rFonts w:hint="eastAsia" w:ascii="宋体" w:hAnsi="宋体" w:cs="宋体"/>
          <w:color w:val="auto"/>
          <w:kern w:val="24"/>
          <w:highlight w:val="none"/>
        </w:rPr>
        <w:t>本公司（联合体）郑重声明，根据《政府采购促进中小企业发展管理办法》（财库﹝2020﹞46号）的规定，本公司（联合体）参加</w:t>
      </w:r>
      <w:r>
        <w:rPr>
          <w:rFonts w:hint="eastAsia" w:ascii="宋体" w:hAnsi="宋体" w:cs="宋体"/>
          <w:color w:val="auto"/>
          <w:kern w:val="24"/>
          <w:highlight w:val="none"/>
          <w:u w:val="single"/>
        </w:rPr>
        <w:t>（单位名称）</w:t>
      </w:r>
      <w:r>
        <w:rPr>
          <w:rFonts w:hint="eastAsia" w:ascii="宋体" w:hAnsi="宋体" w:cs="宋体"/>
          <w:color w:val="auto"/>
          <w:kern w:val="24"/>
          <w:highlight w:val="none"/>
        </w:rPr>
        <w:t>的</w:t>
      </w:r>
      <w:r>
        <w:rPr>
          <w:rFonts w:hint="eastAsia" w:ascii="宋体" w:hAnsi="宋体" w:cs="宋体"/>
          <w:color w:val="auto"/>
          <w:kern w:val="24"/>
          <w:highlight w:val="none"/>
          <w:u w:val="single"/>
        </w:rPr>
        <w:t>（项目名称）</w:t>
      </w:r>
      <w:r>
        <w:rPr>
          <w:rFonts w:hint="eastAsia" w:ascii="宋体" w:hAnsi="宋体" w:cs="宋体"/>
          <w:color w:val="auto"/>
          <w:kern w:val="24"/>
          <w:highlight w:val="none"/>
        </w:rPr>
        <w:t>采购活动，提供的货物全部由符合政策要求的中小企业制造。相关企业（含联合体中的中小企业、签订分包意向协议的中小企业）的具体情况如下：</w:t>
      </w:r>
    </w:p>
    <w:p w14:paraId="4C3FCF44">
      <w:pPr>
        <w:tabs>
          <w:tab w:val="left" w:pos="1384"/>
          <w:tab w:val="left" w:pos="4562"/>
          <w:tab w:val="left" w:pos="6803"/>
        </w:tabs>
        <w:spacing w:line="360" w:lineRule="auto"/>
        <w:ind w:left="-426" w:right="-58" w:firstLine="655"/>
        <w:contextualSpacing/>
        <w:rPr>
          <w:rFonts w:ascii="宋体" w:hAnsi="宋体" w:cs="宋体"/>
          <w:color w:val="auto"/>
          <w:kern w:val="24"/>
          <w:sz w:val="24"/>
          <w:highlight w:val="none"/>
        </w:rPr>
      </w:pPr>
      <w:r>
        <w:rPr>
          <w:rFonts w:hint="eastAsia" w:ascii="宋体" w:hAnsi="宋体" w:cs="宋体"/>
          <w:color w:val="auto"/>
          <w:kern w:val="24"/>
          <w:sz w:val="24"/>
          <w:highlight w:val="none"/>
        </w:rPr>
        <w:t>1.</w:t>
      </w:r>
      <w:r>
        <w:rPr>
          <w:rFonts w:hint="eastAsia" w:ascii="宋体" w:hAnsi="宋体" w:cs="宋体"/>
          <w:color w:val="auto"/>
          <w:kern w:val="24"/>
          <w:sz w:val="24"/>
          <w:highlight w:val="none"/>
          <w:u w:val="single"/>
        </w:rPr>
        <w:t>（标的名称）</w:t>
      </w:r>
      <w:r>
        <w:rPr>
          <w:rFonts w:hint="eastAsia" w:ascii="宋体" w:hAnsi="宋体" w:cs="宋体"/>
          <w:color w:val="auto"/>
          <w:kern w:val="24"/>
          <w:sz w:val="24"/>
          <w:highlight w:val="none"/>
        </w:rPr>
        <w:t>，属于</w:t>
      </w:r>
      <w:r>
        <w:rPr>
          <w:rFonts w:hint="eastAsia" w:ascii="宋体" w:hAnsi="宋体" w:cs="宋体"/>
          <w:color w:val="auto"/>
          <w:kern w:val="24"/>
          <w:sz w:val="24"/>
          <w:highlight w:val="none"/>
          <w:u w:val="single"/>
        </w:rPr>
        <w:t>（采购文件中明确的所属行业）</w:t>
      </w:r>
      <w:r>
        <w:rPr>
          <w:rFonts w:hint="eastAsia" w:ascii="宋体" w:hAnsi="宋体" w:cs="宋体"/>
          <w:color w:val="auto"/>
          <w:kern w:val="24"/>
          <w:sz w:val="24"/>
          <w:highlight w:val="none"/>
        </w:rPr>
        <w:t>行业；制造商为</w:t>
      </w:r>
      <w:r>
        <w:rPr>
          <w:rFonts w:hint="eastAsia" w:ascii="宋体" w:hAnsi="宋体" w:cs="宋体"/>
          <w:color w:val="auto"/>
          <w:kern w:val="24"/>
          <w:sz w:val="24"/>
          <w:highlight w:val="none"/>
          <w:u w:val="single"/>
        </w:rPr>
        <w:t>（企业名称）</w:t>
      </w:r>
      <w:r>
        <w:rPr>
          <w:rFonts w:hint="eastAsia" w:ascii="宋体" w:hAnsi="宋体" w:cs="宋体"/>
          <w:color w:val="auto"/>
          <w:kern w:val="24"/>
          <w:sz w:val="24"/>
          <w:highlight w:val="none"/>
        </w:rPr>
        <w:t>，从业人员</w:t>
      </w:r>
      <w:r>
        <w:rPr>
          <w:rFonts w:hint="eastAsia" w:ascii="宋体" w:hAnsi="宋体" w:cs="宋体"/>
          <w:color w:val="auto"/>
          <w:kern w:val="24"/>
          <w:sz w:val="24"/>
          <w:highlight w:val="none"/>
          <w:u w:val="single"/>
        </w:rPr>
        <w:t xml:space="preserve">      </w:t>
      </w:r>
      <w:r>
        <w:rPr>
          <w:rFonts w:hint="eastAsia" w:ascii="宋体" w:hAnsi="宋体" w:cs="宋体"/>
          <w:color w:val="auto"/>
          <w:kern w:val="24"/>
          <w:sz w:val="24"/>
          <w:highlight w:val="none"/>
        </w:rPr>
        <w:t>人，营业收入为</w:t>
      </w:r>
      <w:r>
        <w:rPr>
          <w:rFonts w:hint="eastAsia" w:ascii="宋体" w:hAnsi="宋体" w:cs="宋体"/>
          <w:color w:val="auto"/>
          <w:kern w:val="24"/>
          <w:sz w:val="24"/>
          <w:highlight w:val="none"/>
          <w:u w:val="single"/>
        </w:rPr>
        <w:t xml:space="preserve">      </w:t>
      </w:r>
      <w:r>
        <w:rPr>
          <w:rFonts w:hint="eastAsia" w:ascii="宋体" w:hAnsi="宋体" w:cs="宋体"/>
          <w:color w:val="auto"/>
          <w:kern w:val="24"/>
          <w:sz w:val="24"/>
          <w:highlight w:val="none"/>
        </w:rPr>
        <w:t>万元，资产总额为</w:t>
      </w:r>
      <w:r>
        <w:rPr>
          <w:rFonts w:hint="eastAsia" w:ascii="宋体" w:hAnsi="宋体" w:cs="宋体"/>
          <w:color w:val="auto"/>
          <w:kern w:val="24"/>
          <w:sz w:val="24"/>
          <w:highlight w:val="none"/>
          <w:u w:val="single"/>
        </w:rPr>
        <w:t xml:space="preserve">      </w:t>
      </w:r>
      <w:r>
        <w:rPr>
          <w:rFonts w:hint="eastAsia" w:ascii="宋体" w:hAnsi="宋体" w:cs="宋体"/>
          <w:color w:val="auto"/>
          <w:kern w:val="24"/>
          <w:sz w:val="24"/>
          <w:highlight w:val="none"/>
        </w:rPr>
        <w:t>万元，属于</w:t>
      </w:r>
      <w:r>
        <w:rPr>
          <w:rFonts w:hint="eastAsia" w:ascii="宋体" w:hAnsi="宋体" w:cs="宋体"/>
          <w:color w:val="auto"/>
          <w:kern w:val="24"/>
          <w:sz w:val="24"/>
          <w:highlight w:val="none"/>
          <w:u w:val="single"/>
        </w:rPr>
        <w:t>（中型企业、小型企业、微型企业）</w:t>
      </w:r>
      <w:r>
        <w:rPr>
          <w:rFonts w:hint="eastAsia" w:ascii="宋体" w:hAnsi="宋体" w:cs="宋体"/>
          <w:color w:val="auto"/>
          <w:kern w:val="24"/>
          <w:sz w:val="24"/>
          <w:highlight w:val="none"/>
        </w:rPr>
        <w:t>；</w:t>
      </w:r>
    </w:p>
    <w:p w14:paraId="0DE2ADE6">
      <w:pPr>
        <w:tabs>
          <w:tab w:val="left" w:pos="1065"/>
          <w:tab w:val="left" w:pos="6477"/>
        </w:tabs>
        <w:spacing w:line="360" w:lineRule="auto"/>
        <w:ind w:left="-426" w:right="-58" w:firstLine="655"/>
        <w:contextualSpacing/>
        <w:rPr>
          <w:rFonts w:ascii="宋体" w:hAnsi="宋体" w:cs="宋体"/>
          <w:color w:val="auto"/>
          <w:kern w:val="24"/>
          <w:sz w:val="24"/>
          <w:highlight w:val="none"/>
        </w:rPr>
      </w:pPr>
      <w:r>
        <w:rPr>
          <w:rFonts w:hint="eastAsia" w:ascii="宋体" w:hAnsi="宋体" w:cs="宋体"/>
          <w:color w:val="auto"/>
          <w:kern w:val="24"/>
          <w:sz w:val="24"/>
          <w:highlight w:val="none"/>
        </w:rPr>
        <w:t>2.</w:t>
      </w:r>
      <w:r>
        <w:rPr>
          <w:rFonts w:hint="eastAsia" w:ascii="宋体" w:hAnsi="宋体" w:cs="宋体"/>
          <w:color w:val="auto"/>
          <w:kern w:val="24"/>
          <w:sz w:val="24"/>
          <w:highlight w:val="none"/>
          <w:u w:val="single"/>
        </w:rPr>
        <w:t>（标的名称）</w:t>
      </w:r>
      <w:r>
        <w:rPr>
          <w:rFonts w:hint="eastAsia" w:ascii="宋体" w:hAnsi="宋体" w:cs="宋体"/>
          <w:color w:val="auto"/>
          <w:kern w:val="24"/>
          <w:sz w:val="24"/>
          <w:highlight w:val="none"/>
        </w:rPr>
        <w:t>，属于</w:t>
      </w:r>
      <w:r>
        <w:rPr>
          <w:rFonts w:hint="eastAsia" w:ascii="宋体" w:hAnsi="宋体" w:cs="宋体"/>
          <w:color w:val="auto"/>
          <w:kern w:val="24"/>
          <w:sz w:val="24"/>
          <w:highlight w:val="none"/>
          <w:u w:val="single"/>
        </w:rPr>
        <w:t>（采购文件中明确的所属行业）</w:t>
      </w:r>
      <w:r>
        <w:rPr>
          <w:rFonts w:hint="eastAsia" w:ascii="宋体" w:hAnsi="宋体" w:cs="宋体"/>
          <w:color w:val="auto"/>
          <w:kern w:val="24"/>
          <w:sz w:val="24"/>
          <w:highlight w:val="none"/>
        </w:rPr>
        <w:t>行业；制造商为</w:t>
      </w:r>
      <w:r>
        <w:rPr>
          <w:rFonts w:hint="eastAsia" w:ascii="宋体" w:hAnsi="宋体" w:cs="宋体"/>
          <w:color w:val="auto"/>
          <w:kern w:val="24"/>
          <w:sz w:val="24"/>
          <w:highlight w:val="none"/>
          <w:u w:val="single"/>
        </w:rPr>
        <w:t>（企业名称）</w:t>
      </w:r>
      <w:r>
        <w:rPr>
          <w:rFonts w:hint="eastAsia" w:ascii="宋体" w:hAnsi="宋体" w:cs="宋体"/>
          <w:color w:val="auto"/>
          <w:kern w:val="24"/>
          <w:sz w:val="24"/>
          <w:highlight w:val="none"/>
        </w:rPr>
        <w:t>，从业人员</w:t>
      </w:r>
      <w:r>
        <w:rPr>
          <w:rFonts w:hint="eastAsia" w:ascii="宋体" w:hAnsi="宋体" w:cs="宋体"/>
          <w:color w:val="auto"/>
          <w:kern w:val="24"/>
          <w:sz w:val="24"/>
          <w:highlight w:val="none"/>
          <w:u w:val="single"/>
        </w:rPr>
        <w:t xml:space="preserve">      </w:t>
      </w:r>
      <w:r>
        <w:rPr>
          <w:rFonts w:hint="eastAsia" w:ascii="宋体" w:hAnsi="宋体" w:cs="宋体"/>
          <w:color w:val="auto"/>
          <w:kern w:val="24"/>
          <w:sz w:val="24"/>
          <w:highlight w:val="none"/>
        </w:rPr>
        <w:t>人，营业收入为</w:t>
      </w:r>
      <w:r>
        <w:rPr>
          <w:rFonts w:hint="eastAsia" w:ascii="宋体" w:hAnsi="宋体" w:cs="宋体"/>
          <w:color w:val="auto"/>
          <w:kern w:val="24"/>
          <w:sz w:val="24"/>
          <w:highlight w:val="none"/>
          <w:u w:val="single"/>
        </w:rPr>
        <w:t xml:space="preserve">      </w:t>
      </w:r>
      <w:r>
        <w:rPr>
          <w:rFonts w:hint="eastAsia" w:ascii="宋体" w:hAnsi="宋体" w:cs="宋体"/>
          <w:color w:val="auto"/>
          <w:kern w:val="24"/>
          <w:sz w:val="24"/>
          <w:highlight w:val="none"/>
        </w:rPr>
        <w:t>万元，资产总额为</w:t>
      </w:r>
      <w:r>
        <w:rPr>
          <w:rFonts w:hint="eastAsia" w:ascii="宋体" w:hAnsi="宋体" w:cs="宋体"/>
          <w:color w:val="auto"/>
          <w:kern w:val="24"/>
          <w:sz w:val="24"/>
          <w:highlight w:val="none"/>
          <w:u w:val="single"/>
        </w:rPr>
        <w:t xml:space="preserve">      </w:t>
      </w:r>
      <w:r>
        <w:rPr>
          <w:rFonts w:hint="eastAsia" w:ascii="宋体" w:hAnsi="宋体" w:cs="宋体"/>
          <w:color w:val="auto"/>
          <w:kern w:val="24"/>
          <w:sz w:val="24"/>
          <w:highlight w:val="none"/>
        </w:rPr>
        <w:t>万元，属于</w:t>
      </w:r>
      <w:r>
        <w:rPr>
          <w:rFonts w:hint="eastAsia" w:ascii="宋体" w:hAnsi="宋体" w:cs="宋体"/>
          <w:color w:val="auto"/>
          <w:kern w:val="24"/>
          <w:sz w:val="24"/>
          <w:highlight w:val="none"/>
          <w:u w:val="single"/>
        </w:rPr>
        <w:t>（中型企业、小型企业、微型企业）</w:t>
      </w:r>
      <w:r>
        <w:rPr>
          <w:rFonts w:hint="eastAsia" w:ascii="宋体" w:hAnsi="宋体" w:cs="宋体"/>
          <w:color w:val="auto"/>
          <w:kern w:val="24"/>
          <w:sz w:val="24"/>
          <w:highlight w:val="none"/>
        </w:rPr>
        <w:t>；</w:t>
      </w:r>
    </w:p>
    <w:p w14:paraId="188475BD">
      <w:pPr>
        <w:pStyle w:val="2"/>
        <w:spacing w:line="360" w:lineRule="auto"/>
        <w:ind w:left="142" w:right="142"/>
        <w:contextualSpacing/>
        <w:rPr>
          <w:rFonts w:ascii="宋体" w:hAnsi="宋体" w:cs="宋体"/>
          <w:color w:val="auto"/>
          <w:kern w:val="24"/>
          <w:highlight w:val="none"/>
        </w:rPr>
      </w:pPr>
      <w:r>
        <w:rPr>
          <w:rFonts w:hint="eastAsia" w:ascii="宋体" w:hAnsi="宋体" w:cs="宋体"/>
          <w:color w:val="auto"/>
          <w:kern w:val="24"/>
          <w:highlight w:val="none"/>
        </w:rPr>
        <w:t xml:space="preserve">…… </w:t>
      </w:r>
    </w:p>
    <w:p w14:paraId="57D5FCD8">
      <w:pPr>
        <w:pStyle w:val="2"/>
        <w:spacing w:line="360" w:lineRule="auto"/>
        <w:ind w:left="-405" w:leftChars="-193" w:right="142" w:firstLine="453" w:firstLineChars="189"/>
        <w:contextualSpacing/>
        <w:rPr>
          <w:rFonts w:ascii="宋体" w:hAnsi="宋体" w:cs="宋体"/>
          <w:color w:val="auto"/>
          <w:kern w:val="24"/>
          <w:highlight w:val="none"/>
        </w:rPr>
      </w:pPr>
      <w:r>
        <w:rPr>
          <w:rFonts w:hint="eastAsia" w:ascii="宋体" w:hAnsi="宋体" w:cs="宋体"/>
          <w:color w:val="auto"/>
          <w:kern w:val="24"/>
          <w:highlight w:val="none"/>
        </w:rPr>
        <w:t>以上企业，不属于大企业的分支机构，不存在控股股东为大企业的情形，也不存在与大企业的负责人为同一人的情形。</w:t>
      </w:r>
    </w:p>
    <w:p w14:paraId="67440B84">
      <w:pPr>
        <w:pStyle w:val="2"/>
        <w:spacing w:line="360" w:lineRule="auto"/>
        <w:ind w:left="-426" w:right="142" w:firstLine="567"/>
        <w:contextualSpacing/>
        <w:rPr>
          <w:rFonts w:ascii="宋体" w:hAnsi="宋体" w:cs="宋体"/>
          <w:color w:val="auto"/>
          <w:kern w:val="24"/>
          <w:highlight w:val="none"/>
        </w:rPr>
      </w:pPr>
      <w:r>
        <w:rPr>
          <w:rFonts w:hint="eastAsia" w:ascii="宋体" w:hAnsi="宋体" w:cs="宋体"/>
          <w:color w:val="auto"/>
          <w:kern w:val="24"/>
          <w:highlight w:val="none"/>
        </w:rPr>
        <w:t>本企业对上述声明内容的真实性负责。如有虚假，将依法承担相应责任。</w:t>
      </w:r>
    </w:p>
    <w:p w14:paraId="592F242B">
      <w:pPr>
        <w:pStyle w:val="2"/>
        <w:spacing w:line="360" w:lineRule="auto"/>
        <w:ind w:left="3960" w:right="1808"/>
        <w:contextualSpacing/>
        <w:rPr>
          <w:rFonts w:ascii="宋体" w:hAnsi="宋体" w:cs="宋体"/>
          <w:color w:val="auto"/>
          <w:kern w:val="24"/>
          <w:highlight w:val="none"/>
        </w:rPr>
      </w:pPr>
    </w:p>
    <w:p w14:paraId="7CDAF6C7">
      <w:pPr>
        <w:pStyle w:val="2"/>
        <w:spacing w:line="360" w:lineRule="auto"/>
        <w:ind w:left="3960" w:right="1808"/>
        <w:contextualSpacing/>
        <w:rPr>
          <w:rFonts w:ascii="宋体" w:hAnsi="宋体" w:cs="宋体"/>
          <w:color w:val="auto"/>
          <w:kern w:val="24"/>
          <w:highlight w:val="none"/>
        </w:rPr>
      </w:pPr>
      <w:r>
        <w:rPr>
          <w:rFonts w:hint="eastAsia" w:ascii="宋体" w:hAnsi="宋体" w:cs="宋体"/>
          <w:color w:val="auto"/>
          <w:kern w:val="24"/>
          <w:highlight w:val="none"/>
        </w:rPr>
        <w:t>企业名称（公章）：</w:t>
      </w:r>
      <w:r>
        <w:rPr>
          <w:rFonts w:hint="eastAsia" w:ascii="宋体" w:hAnsi="宋体" w:cs="宋体"/>
          <w:color w:val="auto"/>
          <w:kern w:val="24"/>
          <w:highlight w:val="none"/>
          <w:u w:val="single"/>
        </w:rPr>
        <w:t xml:space="preserve"> </w:t>
      </w:r>
      <w:r>
        <w:rPr>
          <w:rFonts w:ascii="宋体" w:hAnsi="宋体" w:cs="宋体"/>
          <w:color w:val="auto"/>
          <w:kern w:val="24"/>
          <w:highlight w:val="none"/>
          <w:u w:val="single"/>
        </w:rPr>
        <w:t xml:space="preserve">         </w:t>
      </w:r>
      <w:r>
        <w:rPr>
          <w:rFonts w:hint="eastAsia" w:ascii="宋体" w:hAnsi="宋体" w:cs="宋体"/>
          <w:color w:val="auto"/>
          <w:kern w:val="24"/>
          <w:highlight w:val="none"/>
        </w:rPr>
        <w:t xml:space="preserve"> </w:t>
      </w:r>
    </w:p>
    <w:p w14:paraId="4537DFA1">
      <w:pPr>
        <w:pStyle w:val="2"/>
        <w:spacing w:line="360" w:lineRule="auto"/>
        <w:ind w:left="3960" w:right="1808"/>
        <w:contextualSpacing/>
        <w:rPr>
          <w:rFonts w:ascii="宋体" w:hAnsi="宋体" w:cs="宋体"/>
          <w:color w:val="auto"/>
          <w:kern w:val="24"/>
          <w:highlight w:val="none"/>
        </w:rPr>
      </w:pPr>
      <w:r>
        <w:rPr>
          <w:rFonts w:hint="eastAsia" w:ascii="宋体" w:hAnsi="宋体" w:cs="宋体"/>
          <w:color w:val="auto"/>
          <w:spacing w:val="20"/>
          <w:highlight w:val="none"/>
        </w:rPr>
        <w:t>日 期：</w:t>
      </w:r>
      <w:r>
        <w:rPr>
          <w:rFonts w:hint="eastAsia" w:ascii="宋体" w:hAnsi="宋体" w:cs="宋体"/>
          <w:color w:val="auto"/>
          <w:spacing w:val="20"/>
          <w:highlight w:val="none"/>
          <w:u w:val="single"/>
        </w:rPr>
        <w:t xml:space="preserve"> </w:t>
      </w:r>
      <w:r>
        <w:rPr>
          <w:rFonts w:ascii="宋体" w:hAnsi="宋体" w:cs="宋体"/>
          <w:color w:val="auto"/>
          <w:spacing w:val="20"/>
          <w:highlight w:val="none"/>
          <w:u w:val="single"/>
        </w:rPr>
        <w:t xml:space="preserve">  </w:t>
      </w:r>
      <w:r>
        <w:rPr>
          <w:rFonts w:hint="eastAsia" w:ascii="宋体" w:hAnsi="宋体" w:cs="宋体"/>
          <w:color w:val="auto"/>
          <w:spacing w:val="20"/>
          <w:highlight w:val="none"/>
          <w:u w:val="single"/>
        </w:rPr>
        <w:t xml:space="preserve">  </w:t>
      </w:r>
      <w:r>
        <w:rPr>
          <w:rFonts w:hint="eastAsia" w:ascii="宋体" w:hAnsi="宋体" w:cs="宋体"/>
          <w:color w:val="auto"/>
          <w:spacing w:val="20"/>
          <w:highlight w:val="none"/>
        </w:rPr>
        <w:t>年</w:t>
      </w:r>
      <w:r>
        <w:rPr>
          <w:rFonts w:hint="eastAsia" w:ascii="宋体" w:hAnsi="宋体" w:cs="宋体"/>
          <w:color w:val="auto"/>
          <w:spacing w:val="20"/>
          <w:highlight w:val="none"/>
          <w:u w:val="single"/>
        </w:rPr>
        <w:t xml:space="preserve">  </w:t>
      </w:r>
      <w:r>
        <w:rPr>
          <w:rFonts w:hint="eastAsia" w:ascii="宋体" w:hAnsi="宋体" w:cs="宋体"/>
          <w:color w:val="auto"/>
          <w:spacing w:val="20"/>
          <w:highlight w:val="none"/>
        </w:rPr>
        <w:t>月</w:t>
      </w:r>
      <w:r>
        <w:rPr>
          <w:rFonts w:hint="eastAsia" w:ascii="宋体" w:hAnsi="宋体" w:cs="宋体"/>
          <w:color w:val="auto"/>
          <w:spacing w:val="20"/>
          <w:highlight w:val="none"/>
          <w:u w:val="single"/>
        </w:rPr>
        <w:t xml:space="preserve">  </w:t>
      </w:r>
      <w:r>
        <w:rPr>
          <w:rFonts w:hint="eastAsia" w:ascii="宋体" w:hAnsi="宋体" w:cs="宋体"/>
          <w:color w:val="auto"/>
          <w:spacing w:val="20"/>
          <w:highlight w:val="none"/>
        </w:rPr>
        <w:t>日</w:t>
      </w:r>
    </w:p>
    <w:p w14:paraId="0C3CD7F6">
      <w:pPr>
        <w:pStyle w:val="2"/>
        <w:spacing w:line="360" w:lineRule="auto"/>
        <w:ind w:left="3960" w:right="1808"/>
        <w:contextualSpacing/>
        <w:rPr>
          <w:rFonts w:ascii="宋体" w:hAnsi="宋体" w:cs="宋体"/>
          <w:color w:val="auto"/>
          <w:kern w:val="24"/>
          <w:highlight w:val="none"/>
        </w:rPr>
      </w:pPr>
    </w:p>
    <w:p w14:paraId="3567AD3A">
      <w:pPr>
        <w:pStyle w:val="2"/>
        <w:spacing w:line="360" w:lineRule="auto"/>
        <w:ind w:left="-426" w:right="142" w:firstLine="567"/>
        <w:contextualSpacing/>
        <w:rPr>
          <w:rFonts w:ascii="楷体" w:hAnsi="楷体" w:eastAsia="楷体" w:cs="宋体"/>
          <w:b/>
          <w:color w:val="auto"/>
          <w:kern w:val="24"/>
          <w:highlight w:val="none"/>
        </w:rPr>
      </w:pPr>
      <w:r>
        <w:rPr>
          <w:rFonts w:hint="eastAsia" w:ascii="楷体" w:hAnsi="楷体" w:eastAsia="楷体" w:cs="宋体"/>
          <w:b/>
          <w:color w:val="auto"/>
          <w:kern w:val="24"/>
          <w:highlight w:val="none"/>
        </w:rPr>
        <w:t>注：</w:t>
      </w:r>
    </w:p>
    <w:p w14:paraId="329C039A">
      <w:pPr>
        <w:pStyle w:val="2"/>
        <w:spacing w:line="360" w:lineRule="auto"/>
        <w:ind w:left="-426" w:right="142" w:firstLine="567"/>
        <w:contextualSpacing/>
        <w:rPr>
          <w:rFonts w:ascii="楷体" w:hAnsi="楷体" w:eastAsia="楷体" w:cs="宋体"/>
          <w:color w:val="auto"/>
          <w:kern w:val="24"/>
          <w:highlight w:val="none"/>
        </w:rPr>
      </w:pPr>
      <w:r>
        <w:rPr>
          <w:rFonts w:hint="eastAsia" w:ascii="楷体" w:hAnsi="楷体" w:eastAsia="楷体" w:cs="宋体"/>
          <w:color w:val="auto"/>
          <w:kern w:val="24"/>
          <w:highlight w:val="none"/>
        </w:rPr>
        <w:t>享受《政府采购促进中小企业发展管理办法》（财库〔</w:t>
      </w:r>
      <w:r>
        <w:rPr>
          <w:rFonts w:ascii="楷体" w:hAnsi="楷体" w:eastAsia="楷体" w:cs="宋体"/>
          <w:color w:val="auto"/>
          <w:kern w:val="24"/>
          <w:highlight w:val="none"/>
        </w:rPr>
        <w:t>2020〕46号）规定的中小企业扶持政策的，采购人、采购代理机构应当随中标结果公开</w:t>
      </w:r>
      <w:r>
        <w:rPr>
          <w:rFonts w:hint="eastAsia" w:ascii="楷体" w:hAnsi="楷体" w:eastAsia="楷体" w:cs="宋体"/>
          <w:color w:val="auto"/>
          <w:kern w:val="24"/>
          <w:highlight w:val="none"/>
        </w:rPr>
        <w:t>中标人</w:t>
      </w:r>
      <w:r>
        <w:rPr>
          <w:rFonts w:ascii="楷体" w:hAnsi="楷体" w:eastAsia="楷体" w:cs="宋体"/>
          <w:color w:val="auto"/>
          <w:kern w:val="24"/>
          <w:highlight w:val="none"/>
        </w:rPr>
        <w:t>的《中小企业声明函》。从业人员、营业收入、资产总额填报上一年度数据，无上</w:t>
      </w:r>
      <w:r>
        <w:rPr>
          <w:rFonts w:hint="eastAsia" w:ascii="楷体" w:hAnsi="楷体" w:eastAsia="楷体" w:cs="宋体"/>
          <w:color w:val="auto"/>
          <w:kern w:val="24"/>
          <w:highlight w:val="none"/>
        </w:rPr>
        <w:t>一年度数据的新成立企业可不填报。</w:t>
      </w:r>
    </w:p>
    <w:p w14:paraId="6BFDAE32">
      <w:pPr>
        <w:jc w:val="center"/>
        <w:rPr>
          <w:rFonts w:ascii="宋体" w:hAnsi="宋体" w:cs="宋体"/>
          <w:color w:val="auto"/>
          <w:sz w:val="44"/>
          <w:szCs w:val="44"/>
          <w:highlight w:val="none"/>
        </w:rPr>
      </w:pPr>
      <w:bookmarkStart w:id="148" w:name="_Toc71365926"/>
      <w:r>
        <w:rPr>
          <w:rFonts w:hint="eastAsia" w:ascii="宋体" w:hAnsi="宋体" w:cs="宋体"/>
          <w:color w:val="auto"/>
          <w:sz w:val="44"/>
          <w:szCs w:val="44"/>
          <w:highlight w:val="none"/>
        </w:rPr>
        <w:t>中小企业声明函（服务，2分标适用）</w:t>
      </w:r>
      <w:bookmarkEnd w:id="148"/>
    </w:p>
    <w:p w14:paraId="73F0FB74">
      <w:pPr>
        <w:spacing w:before="2" w:line="500" w:lineRule="exact"/>
        <w:ind w:firstLine="708" w:firstLineChars="294"/>
        <w:rPr>
          <w:rFonts w:ascii="宋体" w:hAnsi="宋体" w:cs="宋体"/>
          <w:b/>
          <w:bCs/>
          <w:color w:val="auto"/>
          <w:sz w:val="24"/>
          <w:highlight w:val="none"/>
        </w:rPr>
      </w:pPr>
    </w:p>
    <w:p w14:paraId="786EDB39">
      <w:pPr>
        <w:spacing w:after="120" w:line="500" w:lineRule="exact"/>
        <w:ind w:right="142" w:firstLine="705" w:firstLineChars="294"/>
        <w:rPr>
          <w:rFonts w:ascii="宋体" w:hAnsi="宋体" w:cs="宋体"/>
          <w:color w:val="auto"/>
          <w:sz w:val="24"/>
          <w:highlight w:val="none"/>
        </w:rPr>
      </w:pPr>
      <w:r>
        <w:rPr>
          <w:rFonts w:hint="eastAsia" w:ascii="宋体" w:hAnsi="宋体" w:cs="宋体"/>
          <w:color w:val="auto"/>
          <w:sz w:val="24"/>
          <w:highlight w:val="none"/>
        </w:rPr>
        <w:t>本公司（联合体）郑重声明，根据《政府采购促进中小企业发展管理办法》（财库﹝2020﹞46号）的规定，本公司（联合体）参加</w:t>
      </w:r>
      <w:r>
        <w:rPr>
          <w:rFonts w:hint="eastAsia" w:ascii="宋体" w:hAnsi="宋体" w:cs="宋体"/>
          <w:color w:val="auto"/>
          <w:sz w:val="24"/>
          <w:highlight w:val="none"/>
          <w:u w:val="single"/>
        </w:rPr>
        <w:t>（单位名称）</w:t>
      </w:r>
      <w:r>
        <w:rPr>
          <w:rFonts w:hint="eastAsia" w:ascii="宋体" w:hAnsi="宋体" w:cs="宋体"/>
          <w:color w:val="auto"/>
          <w:sz w:val="24"/>
          <w:highlight w:val="none"/>
        </w:rPr>
        <w:t>的</w:t>
      </w:r>
      <w:r>
        <w:rPr>
          <w:rFonts w:hint="eastAsia" w:ascii="宋体" w:hAnsi="宋体" w:cs="宋体"/>
          <w:color w:val="auto"/>
          <w:sz w:val="24"/>
          <w:highlight w:val="none"/>
          <w:u w:val="single"/>
        </w:rPr>
        <w:t>（项目名称）</w:t>
      </w:r>
      <w:r>
        <w:rPr>
          <w:rFonts w:hint="eastAsia" w:ascii="宋体" w:hAnsi="宋体" w:cs="宋体"/>
          <w:color w:val="auto"/>
          <w:sz w:val="24"/>
          <w:highlight w:val="none"/>
        </w:rPr>
        <w:t>采购活动，服务全部由符合政策要求的中小企业承接。相关企业（含联合体中的中小企业、签订分包意向协议的中小企业）的具体情况如下：</w:t>
      </w:r>
    </w:p>
    <w:p w14:paraId="6ACEBD3A">
      <w:pPr>
        <w:tabs>
          <w:tab w:val="left" w:pos="1384"/>
          <w:tab w:val="left" w:pos="4562"/>
          <w:tab w:val="left" w:pos="6803"/>
        </w:tabs>
        <w:spacing w:before="13" w:line="500" w:lineRule="exact"/>
        <w:ind w:right="142" w:firstLine="772" w:firstLineChars="322"/>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u w:val="single"/>
        </w:rPr>
        <w:t>（标的名称）</w:t>
      </w:r>
      <w:r>
        <w:rPr>
          <w:rFonts w:hint="eastAsia" w:ascii="宋体" w:hAnsi="宋体" w:cs="宋体"/>
          <w:color w:val="auto"/>
          <w:sz w:val="24"/>
          <w:highlight w:val="none"/>
        </w:rPr>
        <w:t>，属于</w:t>
      </w:r>
      <w:r>
        <w:rPr>
          <w:rFonts w:hint="eastAsia" w:ascii="宋体" w:hAnsi="宋体" w:cs="宋体"/>
          <w:color w:val="auto"/>
          <w:sz w:val="24"/>
          <w:highlight w:val="none"/>
          <w:u w:val="single"/>
        </w:rPr>
        <w:t>（采购文件中明确的所属行业）</w:t>
      </w:r>
      <w:r>
        <w:rPr>
          <w:rFonts w:hint="eastAsia" w:ascii="宋体" w:hAnsi="宋体" w:cs="宋体"/>
          <w:color w:val="auto"/>
          <w:sz w:val="24"/>
          <w:highlight w:val="none"/>
        </w:rPr>
        <w:t>；承接企业为</w:t>
      </w:r>
      <w:r>
        <w:rPr>
          <w:rFonts w:hint="eastAsia" w:ascii="宋体" w:hAnsi="宋体" w:cs="宋体"/>
          <w:color w:val="auto"/>
          <w:sz w:val="24"/>
          <w:highlight w:val="none"/>
          <w:u w:val="single"/>
        </w:rPr>
        <w:t>（企业名称）</w:t>
      </w:r>
      <w:r>
        <w:rPr>
          <w:rFonts w:hint="eastAsia" w:ascii="宋体" w:hAnsi="宋体" w:cs="宋体"/>
          <w:color w:val="auto"/>
          <w:sz w:val="24"/>
          <w:highlight w:val="none"/>
        </w:rPr>
        <w:t>，从业人员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w:t>
      </w:r>
    </w:p>
    <w:p w14:paraId="1C99D4D8">
      <w:pPr>
        <w:tabs>
          <w:tab w:val="left" w:pos="1065"/>
          <w:tab w:val="left" w:pos="4262"/>
          <w:tab w:val="left" w:pos="6477"/>
        </w:tabs>
        <w:spacing w:before="20" w:line="500" w:lineRule="exact"/>
        <w:ind w:right="84" w:firstLine="772" w:firstLineChars="322"/>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u w:val="single"/>
        </w:rPr>
        <w:t>（标的名称）</w:t>
      </w:r>
      <w:r>
        <w:rPr>
          <w:rFonts w:hint="eastAsia" w:ascii="宋体" w:hAnsi="宋体" w:cs="宋体"/>
          <w:color w:val="auto"/>
          <w:sz w:val="24"/>
          <w:highlight w:val="none"/>
        </w:rPr>
        <w:t>，属于</w:t>
      </w:r>
      <w:r>
        <w:rPr>
          <w:rFonts w:hint="eastAsia" w:ascii="宋体" w:hAnsi="宋体" w:cs="宋体"/>
          <w:color w:val="auto"/>
          <w:sz w:val="24"/>
          <w:highlight w:val="none"/>
          <w:u w:val="single"/>
        </w:rPr>
        <w:t>（采购文件中明确的所属行业）</w:t>
      </w:r>
      <w:r>
        <w:rPr>
          <w:rFonts w:hint="eastAsia" w:ascii="宋体" w:hAnsi="宋体" w:cs="宋体"/>
          <w:color w:val="auto"/>
          <w:sz w:val="24"/>
          <w:highlight w:val="none"/>
        </w:rPr>
        <w:t>；承接企业为</w:t>
      </w:r>
      <w:r>
        <w:rPr>
          <w:rFonts w:hint="eastAsia" w:ascii="宋体" w:hAnsi="宋体" w:cs="宋体"/>
          <w:color w:val="auto"/>
          <w:sz w:val="24"/>
          <w:highlight w:val="none"/>
          <w:u w:val="single"/>
        </w:rPr>
        <w:t>（企业名称）</w:t>
      </w:r>
      <w:r>
        <w:rPr>
          <w:rFonts w:hint="eastAsia" w:ascii="宋体" w:hAnsi="宋体" w:cs="宋体"/>
          <w:color w:val="auto"/>
          <w:sz w:val="24"/>
          <w:highlight w:val="none"/>
        </w:rPr>
        <w:t>，从业人员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w:t>
      </w:r>
    </w:p>
    <w:p w14:paraId="07F57FB3">
      <w:pPr>
        <w:spacing w:before="34" w:after="120" w:line="500" w:lineRule="exact"/>
        <w:ind w:right="142" w:firstLine="705" w:firstLineChars="294"/>
        <w:rPr>
          <w:rFonts w:ascii="宋体" w:hAnsi="宋体" w:cs="宋体"/>
          <w:color w:val="auto"/>
          <w:sz w:val="24"/>
          <w:highlight w:val="none"/>
        </w:rPr>
      </w:pPr>
      <w:r>
        <w:rPr>
          <w:rFonts w:hint="eastAsia" w:ascii="宋体" w:hAnsi="宋体" w:cs="宋体"/>
          <w:color w:val="auto"/>
          <w:sz w:val="24"/>
          <w:highlight w:val="none"/>
        </w:rPr>
        <w:t xml:space="preserve">…… </w:t>
      </w:r>
    </w:p>
    <w:p w14:paraId="6FD3D1EC">
      <w:pPr>
        <w:spacing w:before="34" w:after="120" w:line="500" w:lineRule="exact"/>
        <w:ind w:right="142" w:firstLine="705" w:firstLineChars="294"/>
        <w:rPr>
          <w:rFonts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14:paraId="542CB8DF">
      <w:pPr>
        <w:spacing w:before="25" w:after="120" w:line="500" w:lineRule="exact"/>
        <w:ind w:right="142" w:firstLine="705" w:firstLineChars="294"/>
        <w:rPr>
          <w:rFonts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14:paraId="2B2A1766">
      <w:pPr>
        <w:spacing w:before="56" w:after="120" w:line="500" w:lineRule="exact"/>
        <w:ind w:right="1808" w:firstLine="705" w:firstLineChars="294"/>
        <w:rPr>
          <w:rFonts w:ascii="宋体" w:hAnsi="宋体" w:cs="宋体"/>
          <w:color w:val="auto"/>
          <w:sz w:val="24"/>
          <w:highlight w:val="none"/>
        </w:rPr>
      </w:pPr>
    </w:p>
    <w:p w14:paraId="048544D6">
      <w:pPr>
        <w:pStyle w:val="2"/>
        <w:spacing w:line="360" w:lineRule="auto"/>
        <w:ind w:left="3960" w:right="1808"/>
        <w:contextualSpacing/>
        <w:rPr>
          <w:rFonts w:ascii="宋体" w:hAnsi="宋体" w:cs="宋体"/>
          <w:color w:val="auto"/>
          <w:kern w:val="24"/>
          <w:highlight w:val="none"/>
        </w:rPr>
      </w:pPr>
      <w:r>
        <w:rPr>
          <w:rFonts w:hint="eastAsia" w:ascii="宋体" w:hAnsi="宋体" w:cs="宋体"/>
          <w:color w:val="auto"/>
          <w:kern w:val="24"/>
          <w:highlight w:val="none"/>
        </w:rPr>
        <w:t>企业名称（公章）：</w:t>
      </w:r>
      <w:r>
        <w:rPr>
          <w:rFonts w:hint="eastAsia" w:ascii="宋体" w:hAnsi="宋体" w:cs="宋体"/>
          <w:color w:val="auto"/>
          <w:kern w:val="24"/>
          <w:highlight w:val="none"/>
          <w:u w:val="single"/>
        </w:rPr>
        <w:t xml:space="preserve"> </w:t>
      </w:r>
      <w:r>
        <w:rPr>
          <w:rFonts w:ascii="宋体" w:hAnsi="宋体" w:cs="宋体"/>
          <w:color w:val="auto"/>
          <w:kern w:val="24"/>
          <w:highlight w:val="none"/>
          <w:u w:val="single"/>
        </w:rPr>
        <w:t xml:space="preserve">         </w:t>
      </w:r>
      <w:r>
        <w:rPr>
          <w:rFonts w:hint="eastAsia" w:ascii="宋体" w:hAnsi="宋体" w:cs="宋体"/>
          <w:color w:val="auto"/>
          <w:kern w:val="24"/>
          <w:highlight w:val="none"/>
        </w:rPr>
        <w:t xml:space="preserve"> </w:t>
      </w:r>
    </w:p>
    <w:p w14:paraId="461E3AE2">
      <w:pPr>
        <w:pStyle w:val="2"/>
        <w:spacing w:line="360" w:lineRule="auto"/>
        <w:ind w:left="3960" w:right="1808"/>
        <w:contextualSpacing/>
        <w:rPr>
          <w:rFonts w:ascii="宋体" w:hAnsi="宋体" w:cs="宋体"/>
          <w:color w:val="auto"/>
          <w:kern w:val="24"/>
          <w:highlight w:val="none"/>
        </w:rPr>
      </w:pPr>
      <w:r>
        <w:rPr>
          <w:rFonts w:hint="eastAsia" w:ascii="宋体" w:hAnsi="宋体" w:cs="宋体"/>
          <w:color w:val="auto"/>
          <w:spacing w:val="20"/>
          <w:highlight w:val="none"/>
        </w:rPr>
        <w:t>日 期：</w:t>
      </w:r>
      <w:r>
        <w:rPr>
          <w:rFonts w:hint="eastAsia" w:ascii="宋体" w:hAnsi="宋体" w:cs="宋体"/>
          <w:color w:val="auto"/>
          <w:spacing w:val="20"/>
          <w:highlight w:val="none"/>
          <w:u w:val="single"/>
        </w:rPr>
        <w:t xml:space="preserve"> </w:t>
      </w:r>
      <w:r>
        <w:rPr>
          <w:rFonts w:ascii="宋体" w:hAnsi="宋体" w:cs="宋体"/>
          <w:color w:val="auto"/>
          <w:spacing w:val="20"/>
          <w:highlight w:val="none"/>
          <w:u w:val="single"/>
        </w:rPr>
        <w:t xml:space="preserve">  </w:t>
      </w:r>
      <w:r>
        <w:rPr>
          <w:rFonts w:hint="eastAsia" w:ascii="宋体" w:hAnsi="宋体" w:cs="宋体"/>
          <w:color w:val="auto"/>
          <w:spacing w:val="20"/>
          <w:highlight w:val="none"/>
          <w:u w:val="single"/>
        </w:rPr>
        <w:t xml:space="preserve">  </w:t>
      </w:r>
      <w:r>
        <w:rPr>
          <w:rFonts w:hint="eastAsia" w:ascii="宋体" w:hAnsi="宋体" w:cs="宋体"/>
          <w:color w:val="auto"/>
          <w:spacing w:val="20"/>
          <w:highlight w:val="none"/>
        </w:rPr>
        <w:t>年</w:t>
      </w:r>
      <w:r>
        <w:rPr>
          <w:rFonts w:hint="eastAsia" w:ascii="宋体" w:hAnsi="宋体" w:cs="宋体"/>
          <w:color w:val="auto"/>
          <w:spacing w:val="20"/>
          <w:highlight w:val="none"/>
          <w:u w:val="single"/>
        </w:rPr>
        <w:t xml:space="preserve">  </w:t>
      </w:r>
      <w:r>
        <w:rPr>
          <w:rFonts w:hint="eastAsia" w:ascii="宋体" w:hAnsi="宋体" w:cs="宋体"/>
          <w:color w:val="auto"/>
          <w:spacing w:val="20"/>
          <w:highlight w:val="none"/>
        </w:rPr>
        <w:t>月</w:t>
      </w:r>
      <w:r>
        <w:rPr>
          <w:rFonts w:hint="eastAsia" w:ascii="宋体" w:hAnsi="宋体" w:cs="宋体"/>
          <w:color w:val="auto"/>
          <w:spacing w:val="20"/>
          <w:highlight w:val="none"/>
          <w:u w:val="single"/>
        </w:rPr>
        <w:t xml:space="preserve">  </w:t>
      </w:r>
      <w:r>
        <w:rPr>
          <w:rFonts w:hint="eastAsia" w:ascii="宋体" w:hAnsi="宋体" w:cs="宋体"/>
          <w:color w:val="auto"/>
          <w:spacing w:val="20"/>
          <w:highlight w:val="none"/>
        </w:rPr>
        <w:t>日</w:t>
      </w:r>
    </w:p>
    <w:p w14:paraId="1CC80AF0">
      <w:pPr>
        <w:spacing w:line="520" w:lineRule="exact"/>
        <w:jc w:val="left"/>
        <w:rPr>
          <w:rFonts w:ascii="宋体" w:hAnsi="宋体" w:cs="宋体"/>
          <w:color w:val="auto"/>
          <w:sz w:val="24"/>
          <w:highlight w:val="none"/>
        </w:rPr>
      </w:pPr>
      <w:r>
        <w:rPr>
          <w:rFonts w:hint="eastAsia" w:ascii="宋体" w:hAnsi="宋体" w:cs="宋体"/>
          <w:color w:val="auto"/>
          <w:sz w:val="24"/>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3EAC63C5">
      <w:pPr>
        <w:spacing w:line="360" w:lineRule="auto"/>
        <w:rPr>
          <w:rFonts w:ascii="宋体" w:hAnsi="宋体" w:cs="宋体"/>
          <w:color w:val="auto"/>
          <w:szCs w:val="21"/>
          <w:highlight w:val="none"/>
        </w:rPr>
      </w:pPr>
    </w:p>
    <w:p w14:paraId="7556521D">
      <w:pPr>
        <w:rPr>
          <w:rFonts w:ascii="宋体" w:hAnsi="宋体" w:cs="宋体"/>
          <w:b/>
          <w:color w:val="auto"/>
          <w:sz w:val="24"/>
          <w:highlight w:val="none"/>
        </w:rPr>
      </w:pPr>
      <w:r>
        <w:rPr>
          <w:rFonts w:hint="eastAsia" w:ascii="宋体" w:hAnsi="宋体" w:cs="宋体"/>
          <w:b/>
          <w:color w:val="auto"/>
          <w:sz w:val="24"/>
          <w:highlight w:val="none"/>
        </w:rPr>
        <w:br w:type="page"/>
      </w:r>
    </w:p>
    <w:p w14:paraId="6D448598">
      <w:pPr>
        <w:snapToGrid w:val="0"/>
        <w:spacing w:before="166" w:beforeLines="50" w:after="50"/>
        <w:ind w:left="142"/>
        <w:jc w:val="left"/>
        <w:rPr>
          <w:rFonts w:ascii="宋体" w:hAnsi="宋体" w:cs="宋体"/>
          <w:b/>
          <w:color w:val="auto"/>
          <w:sz w:val="24"/>
          <w:highlight w:val="none"/>
        </w:rPr>
      </w:pPr>
      <w:r>
        <w:rPr>
          <w:rFonts w:hint="eastAsia" w:ascii="宋体" w:hAnsi="宋体" w:cs="宋体"/>
          <w:b/>
          <w:color w:val="auto"/>
          <w:sz w:val="24"/>
          <w:highlight w:val="none"/>
        </w:rPr>
        <w:t>3.残疾人福利性单位声明函格式</w:t>
      </w:r>
    </w:p>
    <w:p w14:paraId="2ED41524">
      <w:pPr>
        <w:spacing w:line="588" w:lineRule="exact"/>
        <w:jc w:val="center"/>
        <w:rPr>
          <w:rFonts w:ascii="宋体" w:hAnsi="宋体" w:cs="宋体"/>
          <w:b/>
          <w:color w:val="auto"/>
          <w:spacing w:val="6"/>
          <w:sz w:val="32"/>
          <w:szCs w:val="32"/>
          <w:highlight w:val="none"/>
        </w:rPr>
      </w:pPr>
    </w:p>
    <w:p w14:paraId="57D4AEC3">
      <w:pPr>
        <w:spacing w:line="588" w:lineRule="exact"/>
        <w:jc w:val="center"/>
        <w:rPr>
          <w:rFonts w:ascii="宋体" w:hAnsi="宋体" w:cs="宋体"/>
          <w:bCs/>
          <w:color w:val="auto"/>
          <w:spacing w:val="6"/>
          <w:sz w:val="44"/>
          <w:szCs w:val="44"/>
          <w:highlight w:val="none"/>
        </w:rPr>
      </w:pPr>
      <w:r>
        <w:rPr>
          <w:rFonts w:hint="eastAsia" w:ascii="宋体" w:hAnsi="宋体" w:cs="宋体"/>
          <w:bCs/>
          <w:color w:val="auto"/>
          <w:spacing w:val="6"/>
          <w:sz w:val="44"/>
          <w:szCs w:val="44"/>
          <w:highlight w:val="none"/>
        </w:rPr>
        <w:t>残疾人福利性单位声明函</w:t>
      </w:r>
    </w:p>
    <w:p w14:paraId="591FA56A">
      <w:pPr>
        <w:spacing w:line="360" w:lineRule="auto"/>
        <w:contextualSpacing/>
        <w:rPr>
          <w:rFonts w:ascii="宋体" w:hAnsi="宋体" w:cs="宋体"/>
          <w:bCs/>
          <w:color w:val="auto"/>
          <w:spacing w:val="6"/>
          <w:sz w:val="30"/>
          <w:szCs w:val="30"/>
          <w:highlight w:val="none"/>
        </w:rPr>
      </w:pPr>
    </w:p>
    <w:p w14:paraId="60328BF9">
      <w:pPr>
        <w:spacing w:line="360" w:lineRule="auto"/>
        <w:ind w:firstLine="504" w:firstLineChars="200"/>
        <w:contextualSpacing/>
        <w:rPr>
          <w:rFonts w:ascii="宋体" w:hAnsi="宋体" w:cs="宋体"/>
          <w:color w:val="auto"/>
          <w:spacing w:val="6"/>
          <w:sz w:val="24"/>
          <w:highlight w:val="none"/>
        </w:rPr>
      </w:pPr>
      <w:r>
        <w:rPr>
          <w:rFonts w:hint="eastAsia" w:ascii="宋体" w:hAnsi="宋体" w:cs="宋体"/>
          <w:color w:val="auto"/>
          <w:spacing w:val="6"/>
          <w:sz w:val="24"/>
          <w:highlight w:val="none"/>
        </w:rPr>
        <w:t>本单位郑重声明，根据《财政部 民政部 中国残疾人联合会关于促进残疾人就业政府采购政策的通知》（财库</w:t>
      </w:r>
      <w:r>
        <w:rPr>
          <w:rFonts w:hint="eastAsia" w:ascii="宋体" w:hAnsi="宋体" w:cs="宋体"/>
          <w:color w:val="auto"/>
          <w:sz w:val="24"/>
          <w:highlight w:val="none"/>
        </w:rPr>
        <w:t>〔2017〕 141</w:t>
      </w:r>
      <w:r>
        <w:rPr>
          <w:rFonts w:hint="eastAsia" w:ascii="宋体" w:hAnsi="宋体" w:cs="宋体"/>
          <w:color w:val="auto"/>
          <w:spacing w:val="6"/>
          <w:sz w:val="24"/>
          <w:highlight w:val="none"/>
        </w:rPr>
        <w:t>号）的规定，本单位为符合条件的残疾人福利性单位，且本单位参加______单位的______项目采购活动提供本单位制造的货物（由本单位承担工程/提供服务），或者提供其他残</w:t>
      </w:r>
      <w:r>
        <w:rPr>
          <w:rFonts w:hint="eastAsia" w:ascii="宋体" w:hAnsi="宋体" w:cs="宋体"/>
          <w:color w:val="auto"/>
          <w:spacing w:val="-6"/>
          <w:sz w:val="24"/>
          <w:highlight w:val="none"/>
        </w:rPr>
        <w:t>疾人福利性单位制造的货物（不包括使用非残疾人福利性单位注册商标的货物）。</w:t>
      </w:r>
    </w:p>
    <w:p w14:paraId="49A08FB0">
      <w:pPr>
        <w:spacing w:line="360" w:lineRule="auto"/>
        <w:ind w:firstLine="504" w:firstLineChars="200"/>
        <w:contextualSpacing/>
        <w:rPr>
          <w:rFonts w:ascii="宋体" w:hAnsi="宋体" w:cs="宋体"/>
          <w:color w:val="auto"/>
          <w:spacing w:val="6"/>
          <w:sz w:val="24"/>
          <w:highlight w:val="none"/>
        </w:rPr>
      </w:pPr>
      <w:r>
        <w:rPr>
          <w:rFonts w:hint="eastAsia" w:ascii="宋体" w:hAnsi="宋体" w:cs="宋体"/>
          <w:color w:val="auto"/>
          <w:spacing w:val="6"/>
          <w:sz w:val="24"/>
          <w:highlight w:val="none"/>
        </w:rPr>
        <w:t>本单位对上述声明的真实性负责。如有虚假，将依法承担相应责任。</w:t>
      </w:r>
    </w:p>
    <w:p w14:paraId="474C6ABB">
      <w:pPr>
        <w:spacing w:line="360" w:lineRule="auto"/>
        <w:ind w:firstLine="504" w:firstLineChars="200"/>
        <w:contextualSpacing/>
        <w:rPr>
          <w:rFonts w:ascii="宋体" w:hAnsi="宋体" w:cs="宋体"/>
          <w:color w:val="auto"/>
          <w:spacing w:val="6"/>
          <w:sz w:val="24"/>
          <w:highlight w:val="none"/>
        </w:rPr>
      </w:pPr>
    </w:p>
    <w:p w14:paraId="00751393">
      <w:pPr>
        <w:spacing w:line="360" w:lineRule="auto"/>
        <w:ind w:firstLine="504" w:firstLineChars="200"/>
        <w:contextualSpacing/>
        <w:rPr>
          <w:rFonts w:ascii="宋体" w:hAnsi="宋体" w:cs="宋体"/>
          <w:color w:val="auto"/>
          <w:spacing w:val="6"/>
          <w:sz w:val="24"/>
          <w:highlight w:val="none"/>
        </w:rPr>
      </w:pPr>
    </w:p>
    <w:p w14:paraId="3B042348">
      <w:pPr>
        <w:tabs>
          <w:tab w:val="left" w:pos="4860"/>
        </w:tabs>
        <w:spacing w:line="360" w:lineRule="auto"/>
        <w:ind w:right="1560" w:firstLine="504" w:firstLineChars="200"/>
        <w:contextualSpacing/>
        <w:jc w:val="center"/>
        <w:rPr>
          <w:rFonts w:ascii="宋体" w:hAnsi="宋体" w:cs="宋体"/>
          <w:color w:val="auto"/>
          <w:spacing w:val="6"/>
          <w:sz w:val="24"/>
          <w:highlight w:val="none"/>
          <w:u w:val="single"/>
        </w:rPr>
      </w:pPr>
      <w:r>
        <w:rPr>
          <w:rFonts w:hint="eastAsia" w:ascii="宋体" w:hAnsi="宋体" w:cs="宋体"/>
          <w:color w:val="auto"/>
          <w:spacing w:val="6"/>
          <w:sz w:val="24"/>
          <w:highlight w:val="none"/>
        </w:rPr>
        <w:t>单位名称（公章）：</w:t>
      </w:r>
      <w:r>
        <w:rPr>
          <w:rFonts w:hint="eastAsia" w:ascii="宋体" w:hAnsi="宋体" w:cs="宋体"/>
          <w:color w:val="auto"/>
          <w:spacing w:val="6"/>
          <w:sz w:val="24"/>
          <w:highlight w:val="none"/>
          <w:u w:val="single"/>
        </w:rPr>
        <w:t xml:space="preserve"> </w:t>
      </w:r>
      <w:r>
        <w:rPr>
          <w:rFonts w:ascii="宋体" w:hAnsi="宋体" w:cs="宋体"/>
          <w:color w:val="auto"/>
          <w:spacing w:val="6"/>
          <w:sz w:val="24"/>
          <w:highlight w:val="none"/>
          <w:u w:val="single"/>
        </w:rPr>
        <w:t xml:space="preserve">              </w:t>
      </w:r>
    </w:p>
    <w:p w14:paraId="523B12D9">
      <w:pPr>
        <w:spacing w:line="360" w:lineRule="auto"/>
        <w:contextualSpacing/>
        <w:rPr>
          <w:rFonts w:ascii="宋体" w:hAnsi="宋体" w:cs="宋体"/>
          <w:color w:val="auto"/>
          <w:sz w:val="24"/>
          <w:highlight w:val="none"/>
        </w:rPr>
      </w:pPr>
      <w:r>
        <w:rPr>
          <w:rFonts w:hint="eastAsia" w:ascii="宋体" w:hAnsi="宋体" w:cs="宋体"/>
          <w:color w:val="auto"/>
          <w:spacing w:val="20"/>
          <w:sz w:val="24"/>
          <w:highlight w:val="none"/>
        </w:rPr>
        <w:t xml:space="preserve"> </w:t>
      </w:r>
      <w:r>
        <w:rPr>
          <w:rFonts w:ascii="宋体" w:hAnsi="宋体" w:cs="宋体"/>
          <w:color w:val="auto"/>
          <w:spacing w:val="20"/>
          <w:sz w:val="24"/>
          <w:highlight w:val="none"/>
        </w:rPr>
        <w:t xml:space="preserve">                 </w:t>
      </w:r>
      <w:r>
        <w:rPr>
          <w:rFonts w:hint="eastAsia" w:ascii="宋体" w:hAnsi="宋体" w:cs="宋体"/>
          <w:color w:val="auto"/>
          <w:spacing w:val="20"/>
          <w:sz w:val="24"/>
          <w:highlight w:val="none"/>
        </w:rPr>
        <w:t>日 期：</w:t>
      </w:r>
      <w:r>
        <w:rPr>
          <w:rFonts w:hint="eastAsia" w:ascii="黑体" w:hAnsi="黑体" w:eastAsia="黑体" w:cs="宋体"/>
          <w:b/>
          <w:color w:val="auto"/>
          <w:spacing w:val="20"/>
          <w:sz w:val="24"/>
          <w:highlight w:val="none"/>
          <w:u w:val="single"/>
        </w:rPr>
        <w:t xml:space="preserve"> </w:t>
      </w:r>
      <w:r>
        <w:rPr>
          <w:rFonts w:ascii="黑体" w:hAnsi="黑体" w:eastAsia="黑体" w:cs="宋体"/>
          <w:b/>
          <w:color w:val="auto"/>
          <w:spacing w:val="20"/>
          <w:sz w:val="24"/>
          <w:highlight w:val="none"/>
          <w:u w:val="single"/>
        </w:rPr>
        <w:t xml:space="preserve">  </w:t>
      </w:r>
      <w:r>
        <w:rPr>
          <w:rFonts w:hint="eastAsia" w:ascii="黑体" w:hAnsi="黑体" w:eastAsia="黑体" w:cs="宋体"/>
          <w:b/>
          <w:color w:val="auto"/>
          <w:spacing w:val="20"/>
          <w:sz w:val="24"/>
          <w:highlight w:val="none"/>
          <w:u w:val="single"/>
        </w:rPr>
        <w:t xml:space="preserve">  </w:t>
      </w:r>
      <w:r>
        <w:rPr>
          <w:rFonts w:hint="eastAsia" w:ascii="黑体" w:hAnsi="黑体" w:eastAsia="黑体" w:cs="宋体"/>
          <w:color w:val="auto"/>
          <w:spacing w:val="20"/>
          <w:sz w:val="24"/>
          <w:highlight w:val="none"/>
        </w:rPr>
        <w:t>年</w:t>
      </w:r>
      <w:r>
        <w:rPr>
          <w:rFonts w:ascii="黑体" w:hAnsi="黑体" w:eastAsia="黑体" w:cs="宋体"/>
          <w:color w:val="auto"/>
          <w:spacing w:val="20"/>
          <w:sz w:val="24"/>
          <w:highlight w:val="none"/>
          <w:u w:val="single"/>
        </w:rPr>
        <w:t xml:space="preserve">  </w:t>
      </w:r>
      <w:r>
        <w:rPr>
          <w:rFonts w:hint="eastAsia" w:ascii="黑体" w:hAnsi="黑体" w:eastAsia="黑体" w:cs="宋体"/>
          <w:color w:val="auto"/>
          <w:spacing w:val="20"/>
          <w:sz w:val="24"/>
          <w:highlight w:val="none"/>
        </w:rPr>
        <w:t>月</w:t>
      </w:r>
      <w:r>
        <w:rPr>
          <w:rFonts w:ascii="黑体" w:hAnsi="黑体" w:eastAsia="黑体" w:cs="宋体"/>
          <w:color w:val="auto"/>
          <w:spacing w:val="20"/>
          <w:sz w:val="24"/>
          <w:highlight w:val="none"/>
          <w:u w:val="single"/>
        </w:rPr>
        <w:t xml:space="preserve">  </w:t>
      </w:r>
      <w:r>
        <w:rPr>
          <w:rFonts w:hint="eastAsia" w:ascii="宋体" w:hAnsi="宋体" w:cs="宋体"/>
          <w:color w:val="auto"/>
          <w:spacing w:val="20"/>
          <w:sz w:val="24"/>
          <w:highlight w:val="none"/>
        </w:rPr>
        <w:t>日</w:t>
      </w:r>
    </w:p>
    <w:p w14:paraId="5CED787A">
      <w:pPr>
        <w:spacing w:line="360" w:lineRule="auto"/>
        <w:contextualSpacing/>
        <w:rPr>
          <w:rFonts w:ascii="宋体" w:hAnsi="宋体" w:cs="宋体"/>
          <w:color w:val="auto"/>
          <w:sz w:val="24"/>
          <w:highlight w:val="none"/>
        </w:rPr>
      </w:pPr>
    </w:p>
    <w:p w14:paraId="6A874F63">
      <w:pPr>
        <w:spacing w:line="360" w:lineRule="auto"/>
        <w:contextualSpacing/>
        <w:rPr>
          <w:rFonts w:ascii="宋体" w:hAnsi="宋体" w:cs="宋体"/>
          <w:color w:val="auto"/>
          <w:sz w:val="24"/>
          <w:highlight w:val="none"/>
        </w:rPr>
      </w:pPr>
    </w:p>
    <w:p w14:paraId="2BBC9EEF">
      <w:pPr>
        <w:spacing w:line="360" w:lineRule="auto"/>
        <w:contextualSpacing/>
        <w:rPr>
          <w:rFonts w:ascii="楷体" w:hAnsi="楷体" w:eastAsia="楷体" w:cs="宋体"/>
          <w:b/>
          <w:color w:val="auto"/>
          <w:sz w:val="24"/>
          <w:highlight w:val="none"/>
        </w:rPr>
      </w:pPr>
      <w:r>
        <w:rPr>
          <w:rFonts w:hint="eastAsia" w:ascii="楷体" w:hAnsi="楷体" w:eastAsia="楷体" w:cs="宋体"/>
          <w:b/>
          <w:color w:val="auto"/>
          <w:sz w:val="24"/>
          <w:highlight w:val="none"/>
        </w:rPr>
        <w:t>注：</w:t>
      </w:r>
    </w:p>
    <w:p w14:paraId="1AE90AF6">
      <w:pPr>
        <w:spacing w:line="360" w:lineRule="auto"/>
        <w:ind w:firstLine="480" w:firstLineChars="200"/>
        <w:contextualSpacing/>
        <w:rPr>
          <w:rFonts w:ascii="宋体" w:hAnsi="宋体" w:cs="宋体"/>
          <w:color w:val="auto"/>
          <w:sz w:val="24"/>
          <w:highlight w:val="none"/>
        </w:rPr>
      </w:pPr>
      <w:r>
        <w:rPr>
          <w:rFonts w:hint="eastAsia" w:ascii="楷体" w:hAnsi="楷体" w:eastAsia="楷体" w:cs="宋体"/>
          <w:color w:val="auto"/>
          <w:sz w:val="24"/>
          <w:highlight w:val="none"/>
        </w:rPr>
        <w:t>请根据自己的真实情况出具《残疾人福利性单位声明函》。依法享受中小企业优惠政策的，采购人或者采购代理机构在公告中标结果时，同时公告其《残疾人福利性单位声明函》，接受社会监督。</w:t>
      </w:r>
      <w:r>
        <w:rPr>
          <w:rFonts w:hint="eastAsia" w:ascii="宋体" w:hAnsi="宋体" w:cs="宋体"/>
          <w:color w:val="auto"/>
          <w:sz w:val="24"/>
          <w:highlight w:val="none"/>
        </w:rPr>
        <w:br w:type="page"/>
      </w:r>
      <w:r>
        <w:rPr>
          <w:rFonts w:hint="eastAsia" w:ascii="宋体" w:hAnsi="宋体" w:cs="宋体"/>
          <w:b/>
          <w:color w:val="auto"/>
          <w:sz w:val="24"/>
          <w:highlight w:val="none"/>
        </w:rPr>
        <w:t>4.质疑函格式</w:t>
      </w:r>
    </w:p>
    <w:p w14:paraId="7635F270">
      <w:pPr>
        <w:spacing w:line="360" w:lineRule="auto"/>
        <w:jc w:val="center"/>
        <w:rPr>
          <w:rFonts w:ascii="宋体" w:hAnsi="宋体" w:cs="宋体"/>
          <w:color w:val="auto"/>
          <w:sz w:val="44"/>
          <w:szCs w:val="44"/>
          <w:highlight w:val="none"/>
        </w:rPr>
      </w:pPr>
      <w:r>
        <w:rPr>
          <w:rFonts w:hint="eastAsia" w:ascii="宋体" w:hAnsi="宋体" w:cs="宋体"/>
          <w:color w:val="auto"/>
          <w:sz w:val="44"/>
          <w:szCs w:val="44"/>
          <w:highlight w:val="none"/>
        </w:rPr>
        <w:t>质疑函</w:t>
      </w:r>
    </w:p>
    <w:p w14:paraId="5D0DD301">
      <w:pPr>
        <w:pStyle w:val="24"/>
        <w:snapToGrid w:val="0"/>
        <w:spacing w:line="400" w:lineRule="exact"/>
        <w:ind w:firstLine="482" w:firstLineChars="200"/>
        <w:rPr>
          <w:rFonts w:hAnsi="宋体" w:cs="宋体"/>
          <w:b/>
          <w:bCs/>
          <w:color w:val="auto"/>
          <w:sz w:val="24"/>
          <w:szCs w:val="24"/>
          <w:highlight w:val="none"/>
        </w:rPr>
      </w:pPr>
      <w:r>
        <w:rPr>
          <w:rFonts w:hint="eastAsia" w:hAnsi="宋体" w:cs="宋体"/>
          <w:b/>
          <w:bCs/>
          <w:color w:val="auto"/>
          <w:sz w:val="24"/>
          <w:szCs w:val="24"/>
          <w:highlight w:val="none"/>
        </w:rPr>
        <w:t>一、质疑供应商基本信息：</w:t>
      </w:r>
    </w:p>
    <w:p w14:paraId="07C17B35">
      <w:pPr>
        <w:pStyle w:val="24"/>
        <w:snapToGrid w:val="0"/>
        <w:spacing w:line="400" w:lineRule="exact"/>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质疑供应商：</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 xml:space="preserve">                 </w:t>
      </w:r>
    </w:p>
    <w:p w14:paraId="1F2CF756">
      <w:pPr>
        <w:pStyle w:val="24"/>
        <w:snapToGrid w:val="0"/>
        <w:spacing w:line="400" w:lineRule="exact"/>
        <w:ind w:firstLine="480" w:firstLineChars="200"/>
        <w:rPr>
          <w:rFonts w:hAnsi="宋体" w:cs="宋体"/>
          <w:bCs/>
          <w:color w:val="auto"/>
          <w:sz w:val="24"/>
          <w:szCs w:val="24"/>
          <w:highlight w:val="none"/>
        </w:rPr>
      </w:pPr>
      <w:r>
        <w:rPr>
          <w:rFonts w:hint="eastAsia" w:hAnsi="宋体" w:cs="宋体"/>
          <w:bCs/>
          <w:color w:val="auto"/>
          <w:sz w:val="24"/>
          <w:szCs w:val="24"/>
          <w:highlight w:val="none"/>
        </w:rPr>
        <w:t>地址：</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邮编：</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 xml:space="preserve">     </w:t>
      </w:r>
    </w:p>
    <w:p w14:paraId="7B74D14C">
      <w:pPr>
        <w:pStyle w:val="24"/>
        <w:snapToGrid w:val="0"/>
        <w:spacing w:line="400" w:lineRule="exact"/>
        <w:ind w:firstLine="480" w:firstLineChars="200"/>
        <w:rPr>
          <w:rFonts w:hAnsi="宋体" w:cs="宋体"/>
          <w:bCs/>
          <w:color w:val="auto"/>
          <w:sz w:val="24"/>
          <w:szCs w:val="24"/>
          <w:highlight w:val="none"/>
        </w:rPr>
      </w:pPr>
      <w:r>
        <w:rPr>
          <w:rFonts w:hint="eastAsia" w:hAnsi="宋体" w:cs="宋体"/>
          <w:bCs/>
          <w:color w:val="auto"/>
          <w:sz w:val="24"/>
          <w:szCs w:val="24"/>
          <w:highlight w:val="none"/>
        </w:rPr>
        <w:t>联系人：</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联系电话：</w:t>
      </w:r>
      <w:r>
        <w:rPr>
          <w:rFonts w:hint="eastAsia" w:hAnsi="宋体" w:cs="宋体"/>
          <w:bCs/>
          <w:color w:val="auto"/>
          <w:sz w:val="24"/>
          <w:szCs w:val="24"/>
          <w:highlight w:val="none"/>
          <w:u w:val="single"/>
        </w:rPr>
        <w:t xml:space="preserve">                 </w:t>
      </w:r>
    </w:p>
    <w:p w14:paraId="680A06C5">
      <w:pPr>
        <w:pStyle w:val="24"/>
        <w:snapToGrid w:val="0"/>
        <w:spacing w:line="400" w:lineRule="exact"/>
        <w:ind w:firstLine="480" w:firstLineChars="200"/>
        <w:rPr>
          <w:rFonts w:hAnsi="宋体" w:cs="宋体"/>
          <w:bCs/>
          <w:color w:val="auto"/>
          <w:sz w:val="24"/>
          <w:szCs w:val="24"/>
          <w:highlight w:val="none"/>
        </w:rPr>
      </w:pPr>
      <w:r>
        <w:rPr>
          <w:rFonts w:hint="eastAsia" w:hAnsi="宋体" w:cs="宋体"/>
          <w:bCs/>
          <w:color w:val="auto"/>
          <w:sz w:val="24"/>
          <w:szCs w:val="24"/>
          <w:highlight w:val="none"/>
        </w:rPr>
        <w:t>授权代表：</w:t>
      </w:r>
      <w:r>
        <w:rPr>
          <w:rFonts w:hint="eastAsia" w:hAnsi="宋体" w:cs="宋体"/>
          <w:bCs/>
          <w:color w:val="auto"/>
          <w:sz w:val="24"/>
          <w:szCs w:val="24"/>
          <w:highlight w:val="none"/>
          <w:u w:val="single"/>
        </w:rPr>
        <w:t xml:space="preserve">                      </w:t>
      </w:r>
    </w:p>
    <w:p w14:paraId="407788F1">
      <w:pPr>
        <w:pStyle w:val="24"/>
        <w:snapToGrid w:val="0"/>
        <w:spacing w:line="400" w:lineRule="exact"/>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联系电话：</w:t>
      </w:r>
      <w:r>
        <w:rPr>
          <w:rFonts w:hint="eastAsia" w:hAnsi="宋体" w:cs="宋体"/>
          <w:bCs/>
          <w:color w:val="auto"/>
          <w:sz w:val="24"/>
          <w:szCs w:val="24"/>
          <w:highlight w:val="none"/>
          <w:u w:val="single"/>
        </w:rPr>
        <w:t xml:space="preserve">                      </w:t>
      </w:r>
    </w:p>
    <w:p w14:paraId="4C541E4B">
      <w:pPr>
        <w:pStyle w:val="24"/>
        <w:snapToGrid w:val="0"/>
        <w:spacing w:line="400" w:lineRule="exact"/>
        <w:ind w:firstLine="480" w:firstLineChars="200"/>
        <w:rPr>
          <w:rFonts w:hAnsi="宋体" w:cs="宋体"/>
          <w:bCs/>
          <w:color w:val="auto"/>
          <w:sz w:val="24"/>
          <w:szCs w:val="24"/>
          <w:highlight w:val="none"/>
        </w:rPr>
      </w:pPr>
      <w:r>
        <w:rPr>
          <w:rFonts w:hint="eastAsia" w:hAnsi="宋体" w:cs="宋体"/>
          <w:bCs/>
          <w:color w:val="auto"/>
          <w:sz w:val="24"/>
          <w:szCs w:val="24"/>
          <w:highlight w:val="none"/>
        </w:rPr>
        <w:t>地址：</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邮编：</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 xml:space="preserve">     </w:t>
      </w:r>
    </w:p>
    <w:p w14:paraId="449CAC85">
      <w:pPr>
        <w:pStyle w:val="24"/>
        <w:snapToGrid w:val="0"/>
        <w:spacing w:line="400" w:lineRule="exact"/>
        <w:ind w:firstLine="482" w:firstLineChars="200"/>
        <w:rPr>
          <w:rFonts w:hAnsi="宋体" w:cs="宋体"/>
          <w:b/>
          <w:bCs/>
          <w:color w:val="auto"/>
          <w:sz w:val="24"/>
          <w:szCs w:val="24"/>
          <w:highlight w:val="none"/>
        </w:rPr>
      </w:pPr>
      <w:r>
        <w:rPr>
          <w:rFonts w:hint="eastAsia" w:hAnsi="宋体" w:cs="宋体"/>
          <w:b/>
          <w:bCs/>
          <w:color w:val="auto"/>
          <w:sz w:val="24"/>
          <w:szCs w:val="24"/>
          <w:highlight w:val="none"/>
        </w:rPr>
        <w:t>二、质疑项目基本情况：</w:t>
      </w:r>
    </w:p>
    <w:p w14:paraId="513ED165">
      <w:pPr>
        <w:pStyle w:val="24"/>
        <w:spacing w:line="400" w:lineRule="exact"/>
        <w:ind w:left="25" w:leftChars="12" w:firstLine="472" w:firstLineChars="197"/>
        <w:rPr>
          <w:rFonts w:hAnsi="宋体" w:cs="宋体"/>
          <w:color w:val="auto"/>
          <w:sz w:val="24"/>
          <w:szCs w:val="24"/>
          <w:highlight w:val="none"/>
        </w:rPr>
      </w:pPr>
      <w:r>
        <w:rPr>
          <w:rFonts w:hint="eastAsia" w:hAnsi="宋体" w:cs="宋体"/>
          <w:bCs/>
          <w:color w:val="auto"/>
          <w:sz w:val="24"/>
          <w:szCs w:val="24"/>
          <w:highlight w:val="none"/>
        </w:rPr>
        <w:t>质疑</w:t>
      </w:r>
      <w:r>
        <w:rPr>
          <w:rFonts w:hint="eastAsia" w:hAnsi="宋体" w:cs="宋体"/>
          <w:color w:val="auto"/>
          <w:sz w:val="24"/>
          <w:szCs w:val="24"/>
          <w:highlight w:val="none"/>
        </w:rPr>
        <w:t>项目的名称：</w:t>
      </w:r>
      <w:r>
        <w:rPr>
          <w:rFonts w:hint="eastAsia" w:hAnsi="宋体" w:cs="宋体"/>
          <w:bCs/>
          <w:color w:val="auto"/>
          <w:sz w:val="24"/>
          <w:szCs w:val="24"/>
          <w:highlight w:val="none"/>
          <w:u w:val="single"/>
        </w:rPr>
        <w:t xml:space="preserve">                                     </w:t>
      </w:r>
    </w:p>
    <w:p w14:paraId="1DAB581C">
      <w:pPr>
        <w:pStyle w:val="24"/>
        <w:spacing w:line="400" w:lineRule="exact"/>
        <w:ind w:left="25" w:leftChars="12" w:firstLine="472" w:firstLineChars="197"/>
        <w:rPr>
          <w:rFonts w:hAnsi="宋体" w:cs="宋体"/>
          <w:color w:val="auto"/>
          <w:sz w:val="24"/>
          <w:szCs w:val="24"/>
          <w:highlight w:val="none"/>
        </w:rPr>
      </w:pPr>
      <w:r>
        <w:rPr>
          <w:rFonts w:hint="eastAsia" w:hAnsi="宋体" w:cs="宋体"/>
          <w:bCs/>
          <w:color w:val="auto"/>
          <w:sz w:val="24"/>
          <w:szCs w:val="24"/>
          <w:highlight w:val="none"/>
        </w:rPr>
        <w:t>质疑</w:t>
      </w:r>
      <w:r>
        <w:rPr>
          <w:rFonts w:hint="eastAsia" w:hAnsi="宋体" w:cs="宋体"/>
          <w:color w:val="auto"/>
          <w:sz w:val="24"/>
          <w:szCs w:val="24"/>
          <w:highlight w:val="none"/>
        </w:rPr>
        <w:t>项目的编号：</w:t>
      </w:r>
      <w:r>
        <w:rPr>
          <w:rFonts w:hint="eastAsia" w:hAnsi="宋体" w:cs="宋体"/>
          <w:bCs/>
          <w:color w:val="auto"/>
          <w:sz w:val="24"/>
          <w:szCs w:val="24"/>
          <w:highlight w:val="none"/>
          <w:u w:val="single"/>
        </w:rPr>
        <w:t xml:space="preserve">                                     </w:t>
      </w:r>
    </w:p>
    <w:p w14:paraId="05AB7173">
      <w:pPr>
        <w:pStyle w:val="24"/>
        <w:spacing w:line="400" w:lineRule="exact"/>
        <w:ind w:left="25" w:leftChars="12" w:firstLine="472" w:firstLineChars="197"/>
        <w:rPr>
          <w:rFonts w:hAnsi="宋体" w:cs="宋体"/>
          <w:color w:val="auto"/>
          <w:sz w:val="24"/>
          <w:szCs w:val="24"/>
          <w:highlight w:val="none"/>
        </w:rPr>
      </w:pPr>
      <w:r>
        <w:rPr>
          <w:rFonts w:hint="eastAsia" w:hAnsi="宋体" w:cs="宋体"/>
          <w:color w:val="auto"/>
          <w:sz w:val="24"/>
          <w:szCs w:val="24"/>
          <w:highlight w:val="none"/>
        </w:rPr>
        <w:t>采购人名称：</w:t>
      </w:r>
      <w:r>
        <w:rPr>
          <w:rFonts w:hint="eastAsia" w:hAnsi="宋体" w:cs="宋体"/>
          <w:bCs/>
          <w:color w:val="auto"/>
          <w:sz w:val="24"/>
          <w:szCs w:val="24"/>
          <w:highlight w:val="none"/>
          <w:u w:val="single"/>
        </w:rPr>
        <w:t xml:space="preserve">                                         </w:t>
      </w:r>
    </w:p>
    <w:p w14:paraId="2EA8C782">
      <w:pPr>
        <w:pStyle w:val="24"/>
        <w:spacing w:line="400" w:lineRule="exact"/>
        <w:ind w:left="25" w:leftChars="12" w:firstLine="472" w:firstLineChars="197"/>
        <w:rPr>
          <w:rFonts w:hAnsi="宋体" w:cs="宋体"/>
          <w:color w:val="auto"/>
          <w:sz w:val="24"/>
          <w:szCs w:val="24"/>
          <w:highlight w:val="none"/>
        </w:rPr>
      </w:pPr>
      <w:r>
        <w:rPr>
          <w:rFonts w:hint="eastAsia" w:hAnsi="宋体" w:cs="宋体"/>
          <w:color w:val="auto"/>
          <w:sz w:val="24"/>
          <w:szCs w:val="24"/>
          <w:highlight w:val="none"/>
        </w:rPr>
        <w:t>质疑事项：</w:t>
      </w:r>
    </w:p>
    <w:p w14:paraId="2D641634">
      <w:pPr>
        <w:pStyle w:val="24"/>
        <w:spacing w:line="400" w:lineRule="exact"/>
        <w:ind w:left="25" w:leftChars="12" w:firstLine="352" w:firstLineChars="147"/>
        <w:rPr>
          <w:rFonts w:hAnsi="宋体" w:cs="宋体"/>
          <w:color w:val="auto"/>
          <w:sz w:val="24"/>
          <w:szCs w:val="24"/>
          <w:highlight w:val="none"/>
        </w:rPr>
      </w:pPr>
      <w:r>
        <w:rPr>
          <w:rFonts w:hint="eastAsia" w:hAnsi="宋体" w:cs="宋体"/>
          <w:color w:val="auto"/>
          <w:sz w:val="24"/>
          <w:szCs w:val="24"/>
          <w:highlight w:val="none"/>
        </w:rPr>
        <w:t>□招标文件   招标文件获取日期：</w:t>
      </w:r>
      <w:r>
        <w:rPr>
          <w:rFonts w:hint="eastAsia" w:hAnsi="宋体" w:cs="宋体"/>
          <w:bCs/>
          <w:color w:val="auto"/>
          <w:sz w:val="24"/>
          <w:szCs w:val="24"/>
          <w:highlight w:val="none"/>
          <w:u w:val="single"/>
        </w:rPr>
        <w:t xml:space="preserve">                                   </w:t>
      </w:r>
    </w:p>
    <w:p w14:paraId="3A747347">
      <w:pPr>
        <w:pStyle w:val="24"/>
        <w:spacing w:line="400" w:lineRule="exact"/>
        <w:ind w:left="25" w:leftChars="12" w:firstLine="352" w:firstLineChars="147"/>
        <w:rPr>
          <w:rFonts w:hAnsi="宋体" w:cs="宋体"/>
          <w:color w:val="auto"/>
          <w:sz w:val="24"/>
          <w:szCs w:val="24"/>
          <w:highlight w:val="none"/>
        </w:rPr>
      </w:pPr>
      <w:r>
        <w:rPr>
          <w:rFonts w:hint="eastAsia" w:hAnsi="宋体" w:cs="宋体"/>
          <w:color w:val="auto"/>
          <w:sz w:val="24"/>
          <w:szCs w:val="24"/>
          <w:highlight w:val="none"/>
        </w:rPr>
        <w:t xml:space="preserve">□采购过程   </w:t>
      </w:r>
    </w:p>
    <w:p w14:paraId="5E9A63FA">
      <w:pPr>
        <w:pStyle w:val="24"/>
        <w:spacing w:line="400" w:lineRule="exact"/>
        <w:ind w:left="25" w:leftChars="12" w:firstLine="352" w:firstLineChars="147"/>
        <w:rPr>
          <w:rFonts w:hAnsi="宋体" w:cs="宋体"/>
          <w:bCs/>
          <w:color w:val="auto"/>
          <w:sz w:val="24"/>
          <w:szCs w:val="24"/>
          <w:highlight w:val="none"/>
          <w:u w:val="single"/>
        </w:rPr>
      </w:pPr>
      <w:r>
        <w:rPr>
          <w:rFonts w:hint="eastAsia" w:hAnsi="宋体" w:cs="宋体"/>
          <w:color w:val="auto"/>
          <w:sz w:val="24"/>
          <w:szCs w:val="24"/>
          <w:highlight w:val="none"/>
        </w:rPr>
        <w:t xml:space="preserve">□中标结果   </w:t>
      </w:r>
    </w:p>
    <w:p w14:paraId="0A73A628">
      <w:pPr>
        <w:pStyle w:val="24"/>
        <w:spacing w:line="400" w:lineRule="exact"/>
        <w:ind w:left="25" w:leftChars="12" w:firstLine="472" w:firstLineChars="196"/>
        <w:rPr>
          <w:rFonts w:hAnsi="宋体" w:cs="宋体"/>
          <w:b/>
          <w:color w:val="auto"/>
          <w:sz w:val="24"/>
          <w:szCs w:val="24"/>
          <w:highlight w:val="none"/>
        </w:rPr>
      </w:pPr>
      <w:r>
        <w:rPr>
          <w:rFonts w:hint="eastAsia" w:hAnsi="宋体" w:cs="宋体"/>
          <w:b/>
          <w:color w:val="auto"/>
          <w:sz w:val="24"/>
          <w:szCs w:val="24"/>
          <w:highlight w:val="none"/>
        </w:rPr>
        <w:t>三、质疑事项具体内容</w:t>
      </w:r>
    </w:p>
    <w:p w14:paraId="4FFF199F">
      <w:pPr>
        <w:pStyle w:val="24"/>
        <w:spacing w:line="400" w:lineRule="exact"/>
        <w:ind w:left="25" w:leftChars="12" w:firstLine="472" w:firstLineChars="197"/>
        <w:rPr>
          <w:rFonts w:hAnsi="宋体" w:cs="宋体"/>
          <w:color w:val="auto"/>
          <w:sz w:val="24"/>
          <w:szCs w:val="24"/>
          <w:highlight w:val="none"/>
        </w:rPr>
      </w:pPr>
      <w:r>
        <w:rPr>
          <w:rFonts w:hint="eastAsia" w:hAnsi="宋体" w:cs="宋体"/>
          <w:color w:val="auto"/>
          <w:sz w:val="24"/>
          <w:szCs w:val="24"/>
          <w:highlight w:val="none"/>
        </w:rPr>
        <w:t>质疑事项1：</w:t>
      </w:r>
      <w:r>
        <w:rPr>
          <w:rFonts w:hint="eastAsia" w:hAnsi="宋体" w:cs="宋体"/>
          <w:bCs/>
          <w:color w:val="auto"/>
          <w:sz w:val="24"/>
          <w:szCs w:val="24"/>
          <w:highlight w:val="none"/>
          <w:u w:val="single"/>
        </w:rPr>
        <w:t xml:space="preserve">                                                                    </w:t>
      </w:r>
    </w:p>
    <w:p w14:paraId="48532C2E">
      <w:pPr>
        <w:pStyle w:val="24"/>
        <w:spacing w:line="400" w:lineRule="exact"/>
        <w:ind w:left="25" w:leftChars="12" w:firstLine="472" w:firstLineChars="197"/>
        <w:rPr>
          <w:rFonts w:hAnsi="宋体" w:cs="宋体"/>
          <w:color w:val="auto"/>
          <w:sz w:val="24"/>
          <w:szCs w:val="24"/>
          <w:highlight w:val="none"/>
        </w:rPr>
      </w:pPr>
      <w:r>
        <w:rPr>
          <w:rFonts w:hint="eastAsia" w:hAnsi="宋体" w:cs="宋体"/>
          <w:color w:val="auto"/>
          <w:sz w:val="24"/>
          <w:szCs w:val="24"/>
          <w:highlight w:val="none"/>
        </w:rPr>
        <w:t>事实依据：</w:t>
      </w:r>
      <w:r>
        <w:rPr>
          <w:rFonts w:hint="eastAsia" w:hAnsi="宋体" w:cs="宋体"/>
          <w:bCs/>
          <w:color w:val="auto"/>
          <w:sz w:val="24"/>
          <w:szCs w:val="24"/>
          <w:highlight w:val="none"/>
          <w:u w:val="single"/>
        </w:rPr>
        <w:t xml:space="preserve">                                                                      </w:t>
      </w:r>
    </w:p>
    <w:p w14:paraId="5578847B">
      <w:pPr>
        <w:pStyle w:val="24"/>
        <w:spacing w:line="400" w:lineRule="exact"/>
        <w:ind w:left="25" w:leftChars="12" w:firstLine="472" w:firstLineChars="197"/>
        <w:rPr>
          <w:rFonts w:hAnsi="宋体" w:cs="宋体"/>
          <w:color w:val="auto"/>
          <w:sz w:val="24"/>
          <w:szCs w:val="24"/>
          <w:highlight w:val="none"/>
        </w:rPr>
      </w:pPr>
      <w:r>
        <w:rPr>
          <w:rFonts w:hint="eastAsia" w:hAnsi="宋体" w:cs="宋体"/>
          <w:color w:val="auto"/>
          <w:sz w:val="24"/>
          <w:szCs w:val="24"/>
          <w:highlight w:val="none"/>
        </w:rPr>
        <w:t>法律依据：</w:t>
      </w:r>
      <w:r>
        <w:rPr>
          <w:rFonts w:hint="eastAsia" w:hAnsi="宋体" w:cs="宋体"/>
          <w:color w:val="auto"/>
          <w:sz w:val="24"/>
          <w:szCs w:val="24"/>
          <w:highlight w:val="none"/>
          <w:u w:val="single"/>
        </w:rPr>
        <w:t xml:space="preserve">                                                        </w:t>
      </w:r>
      <w:r>
        <w:rPr>
          <w:rFonts w:hint="eastAsia" w:hAnsi="宋体" w:cs="宋体"/>
          <w:bCs/>
          <w:color w:val="auto"/>
          <w:sz w:val="24"/>
          <w:szCs w:val="24"/>
          <w:highlight w:val="none"/>
          <w:u w:val="single"/>
        </w:rPr>
        <w:t xml:space="preserve">               </w:t>
      </w:r>
    </w:p>
    <w:p w14:paraId="2AB54987">
      <w:pPr>
        <w:pStyle w:val="24"/>
        <w:spacing w:line="400" w:lineRule="exact"/>
        <w:ind w:left="25" w:leftChars="12" w:firstLine="472" w:firstLineChars="197"/>
        <w:rPr>
          <w:rFonts w:hAnsi="宋体" w:cs="宋体"/>
          <w:color w:val="auto"/>
          <w:sz w:val="24"/>
          <w:szCs w:val="24"/>
          <w:highlight w:val="none"/>
        </w:rPr>
      </w:pPr>
      <w:r>
        <w:rPr>
          <w:rFonts w:hint="eastAsia" w:hAnsi="宋体" w:cs="宋体"/>
          <w:color w:val="auto"/>
          <w:sz w:val="24"/>
          <w:szCs w:val="24"/>
          <w:highlight w:val="none"/>
        </w:rPr>
        <w:t>质疑事项2</w:t>
      </w:r>
    </w:p>
    <w:p w14:paraId="4B420051">
      <w:pPr>
        <w:pStyle w:val="24"/>
        <w:spacing w:line="400" w:lineRule="exact"/>
        <w:ind w:left="25" w:leftChars="12" w:firstLine="472" w:firstLineChars="197"/>
        <w:rPr>
          <w:rFonts w:hAnsi="宋体" w:cs="宋体"/>
          <w:color w:val="auto"/>
          <w:sz w:val="24"/>
          <w:szCs w:val="24"/>
          <w:highlight w:val="none"/>
        </w:rPr>
      </w:pPr>
      <w:r>
        <w:rPr>
          <w:rFonts w:hint="eastAsia" w:hAnsi="宋体" w:cs="宋体"/>
          <w:color w:val="auto"/>
          <w:sz w:val="24"/>
          <w:szCs w:val="24"/>
          <w:highlight w:val="none"/>
        </w:rPr>
        <w:t>……</w:t>
      </w:r>
    </w:p>
    <w:p w14:paraId="05767BBB">
      <w:pPr>
        <w:pStyle w:val="24"/>
        <w:spacing w:line="400" w:lineRule="exact"/>
        <w:ind w:left="25" w:leftChars="12" w:firstLine="472" w:firstLineChars="197"/>
        <w:rPr>
          <w:rFonts w:hAnsi="宋体" w:cs="宋体"/>
          <w:color w:val="auto"/>
          <w:sz w:val="24"/>
          <w:szCs w:val="24"/>
          <w:highlight w:val="none"/>
        </w:rPr>
      </w:pPr>
      <w:r>
        <w:rPr>
          <w:rFonts w:hint="eastAsia" w:hAnsi="宋体" w:cs="宋体"/>
          <w:color w:val="auto"/>
          <w:sz w:val="24"/>
          <w:szCs w:val="24"/>
          <w:highlight w:val="none"/>
        </w:rPr>
        <w:t>四、与质疑事项相关的质疑请求：</w:t>
      </w:r>
    </w:p>
    <w:p w14:paraId="00265141">
      <w:pPr>
        <w:pStyle w:val="24"/>
        <w:spacing w:line="400" w:lineRule="exact"/>
        <w:ind w:left="25" w:leftChars="12" w:firstLine="472" w:firstLineChars="197"/>
        <w:rPr>
          <w:rFonts w:hAnsi="宋体" w:cs="宋体"/>
          <w:color w:val="auto"/>
          <w:sz w:val="24"/>
          <w:szCs w:val="24"/>
          <w:highlight w:val="none"/>
        </w:rPr>
      </w:pPr>
      <w:r>
        <w:rPr>
          <w:rFonts w:hint="eastAsia" w:hAnsi="宋体" w:cs="宋体"/>
          <w:color w:val="auto"/>
          <w:sz w:val="24"/>
          <w:szCs w:val="24"/>
          <w:highlight w:val="none"/>
        </w:rPr>
        <w:t>请求：</w:t>
      </w:r>
      <w:r>
        <w:rPr>
          <w:rFonts w:hint="eastAsia" w:hAnsi="宋体" w:cs="宋体"/>
          <w:bCs/>
          <w:color w:val="auto"/>
          <w:sz w:val="24"/>
          <w:szCs w:val="24"/>
          <w:highlight w:val="none"/>
          <w:u w:val="single"/>
        </w:rPr>
        <w:t xml:space="preserve">                                                                </w:t>
      </w:r>
    </w:p>
    <w:p w14:paraId="3F30CA26">
      <w:pPr>
        <w:pStyle w:val="24"/>
        <w:spacing w:line="400" w:lineRule="exact"/>
        <w:ind w:left="25" w:leftChars="12" w:firstLine="352" w:firstLineChars="147"/>
        <w:rPr>
          <w:rFonts w:hAnsi="宋体" w:cs="宋体"/>
          <w:color w:val="auto"/>
          <w:sz w:val="24"/>
          <w:szCs w:val="24"/>
          <w:highlight w:val="none"/>
        </w:rPr>
      </w:pPr>
    </w:p>
    <w:p w14:paraId="3CAB7F89">
      <w:pPr>
        <w:pStyle w:val="24"/>
        <w:spacing w:line="400" w:lineRule="exact"/>
        <w:ind w:left="25" w:leftChars="12" w:firstLine="4792" w:firstLineChars="1997"/>
        <w:rPr>
          <w:rFonts w:hAnsi="宋体" w:cs="宋体"/>
          <w:color w:val="auto"/>
          <w:sz w:val="24"/>
          <w:szCs w:val="24"/>
          <w:highlight w:val="none"/>
        </w:rPr>
      </w:pPr>
      <w:r>
        <w:rPr>
          <w:rFonts w:hint="eastAsia" w:hAnsi="宋体" w:cs="宋体"/>
          <w:color w:val="auto"/>
          <w:sz w:val="24"/>
          <w:szCs w:val="24"/>
          <w:highlight w:val="none"/>
        </w:rPr>
        <w:t>签 字（签章）：</w:t>
      </w:r>
      <w:r>
        <w:rPr>
          <w:rFonts w:hint="eastAsia" w:hAnsi="宋体" w:cs="宋体"/>
          <w:color w:val="auto"/>
          <w:sz w:val="24"/>
          <w:szCs w:val="24"/>
          <w:highlight w:val="none"/>
          <w:u w:val="single"/>
        </w:rPr>
        <w:t xml:space="preserve"> </w:t>
      </w:r>
      <w:r>
        <w:rPr>
          <w:rFonts w:hAnsi="宋体" w:cs="宋体"/>
          <w:color w:val="auto"/>
          <w:sz w:val="24"/>
          <w:szCs w:val="24"/>
          <w:highlight w:val="none"/>
          <w:u w:val="single"/>
        </w:rPr>
        <w:t xml:space="preserve">              </w:t>
      </w:r>
      <w:r>
        <w:rPr>
          <w:rFonts w:hint="eastAsia" w:hAnsi="宋体" w:cs="宋体"/>
          <w:color w:val="auto"/>
          <w:sz w:val="24"/>
          <w:szCs w:val="24"/>
          <w:highlight w:val="none"/>
        </w:rPr>
        <w:t xml:space="preserve">                                 </w:t>
      </w:r>
    </w:p>
    <w:p w14:paraId="2CD67137">
      <w:pPr>
        <w:pStyle w:val="24"/>
        <w:spacing w:line="400" w:lineRule="exact"/>
        <w:ind w:left="25" w:leftChars="12" w:firstLine="4792" w:firstLineChars="1997"/>
        <w:rPr>
          <w:rFonts w:hAnsi="宋体" w:cs="宋体"/>
          <w:color w:val="auto"/>
          <w:sz w:val="24"/>
          <w:szCs w:val="24"/>
          <w:highlight w:val="none"/>
          <w:u w:val="single"/>
        </w:rPr>
      </w:pPr>
      <w:r>
        <w:rPr>
          <w:rFonts w:hint="eastAsia" w:hAnsi="宋体" w:cs="宋体"/>
          <w:color w:val="auto"/>
          <w:sz w:val="24"/>
          <w:szCs w:val="24"/>
          <w:highlight w:val="none"/>
        </w:rPr>
        <w:t>公 章：</w:t>
      </w:r>
      <w:r>
        <w:rPr>
          <w:rFonts w:hint="eastAsia" w:hAnsi="宋体" w:cs="宋体"/>
          <w:color w:val="auto"/>
          <w:sz w:val="24"/>
          <w:szCs w:val="24"/>
          <w:highlight w:val="none"/>
          <w:u w:val="single"/>
        </w:rPr>
        <w:t xml:space="preserve"> </w:t>
      </w:r>
      <w:r>
        <w:rPr>
          <w:rFonts w:hAnsi="宋体" w:cs="宋体"/>
          <w:color w:val="auto"/>
          <w:sz w:val="24"/>
          <w:szCs w:val="24"/>
          <w:highlight w:val="none"/>
          <w:u w:val="single"/>
        </w:rPr>
        <w:t xml:space="preserve">                  </w:t>
      </w:r>
    </w:p>
    <w:p w14:paraId="78AAE328">
      <w:pPr>
        <w:spacing w:line="400" w:lineRule="exact"/>
        <w:ind w:firstLine="4800" w:firstLineChars="2000"/>
        <w:contextualSpacing/>
        <w:rPr>
          <w:rFonts w:ascii="宋体" w:hAnsi="宋体" w:cs="宋体"/>
          <w:color w:val="auto"/>
          <w:sz w:val="24"/>
          <w:szCs w:val="20"/>
          <w:highlight w:val="none"/>
        </w:rPr>
      </w:pPr>
      <w:r>
        <w:rPr>
          <w:rFonts w:hint="eastAsia" w:hAnsi="宋体" w:cs="宋体"/>
          <w:color w:val="auto"/>
          <w:sz w:val="24"/>
          <w:highlight w:val="none"/>
        </w:rPr>
        <w:t>日 期：</w:t>
      </w:r>
      <w:r>
        <w:rPr>
          <w:rFonts w:hint="eastAsia" w:ascii="黑体" w:hAnsi="黑体" w:eastAsia="黑体" w:cs="宋体"/>
          <w:b/>
          <w:color w:val="auto"/>
          <w:spacing w:val="20"/>
          <w:sz w:val="24"/>
          <w:highlight w:val="none"/>
          <w:u w:val="single"/>
        </w:rPr>
        <w:t xml:space="preserve"> </w:t>
      </w:r>
      <w:r>
        <w:rPr>
          <w:rFonts w:ascii="黑体" w:hAnsi="黑体" w:eastAsia="黑体" w:cs="宋体"/>
          <w:b/>
          <w:color w:val="auto"/>
          <w:spacing w:val="20"/>
          <w:sz w:val="24"/>
          <w:highlight w:val="none"/>
          <w:u w:val="single"/>
        </w:rPr>
        <w:t xml:space="preserve">  </w:t>
      </w:r>
      <w:r>
        <w:rPr>
          <w:rFonts w:hint="eastAsia" w:ascii="黑体" w:hAnsi="黑体" w:eastAsia="黑体" w:cs="宋体"/>
          <w:b/>
          <w:color w:val="auto"/>
          <w:spacing w:val="20"/>
          <w:sz w:val="24"/>
          <w:highlight w:val="none"/>
          <w:u w:val="single"/>
        </w:rPr>
        <w:t xml:space="preserve">  </w:t>
      </w:r>
      <w:r>
        <w:rPr>
          <w:rFonts w:hint="eastAsia" w:ascii="黑体" w:hAnsi="黑体" w:eastAsia="黑体" w:cs="宋体"/>
          <w:color w:val="auto"/>
          <w:spacing w:val="20"/>
          <w:sz w:val="24"/>
          <w:highlight w:val="none"/>
        </w:rPr>
        <w:t>年</w:t>
      </w:r>
      <w:r>
        <w:rPr>
          <w:rFonts w:ascii="黑体" w:hAnsi="黑体" w:eastAsia="黑体" w:cs="宋体"/>
          <w:color w:val="auto"/>
          <w:spacing w:val="20"/>
          <w:sz w:val="24"/>
          <w:highlight w:val="none"/>
          <w:u w:val="single"/>
        </w:rPr>
        <w:t xml:space="preserve">  </w:t>
      </w:r>
      <w:r>
        <w:rPr>
          <w:rFonts w:hint="eastAsia" w:ascii="黑体" w:hAnsi="黑体" w:eastAsia="黑体" w:cs="宋体"/>
          <w:color w:val="auto"/>
          <w:spacing w:val="20"/>
          <w:sz w:val="24"/>
          <w:highlight w:val="none"/>
        </w:rPr>
        <w:t>月</w:t>
      </w:r>
      <w:r>
        <w:rPr>
          <w:rFonts w:ascii="黑体" w:hAnsi="黑体" w:eastAsia="黑体" w:cs="宋体"/>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rPr>
        <w:t>日</w:t>
      </w:r>
    </w:p>
    <w:p w14:paraId="64D713A4">
      <w:pPr>
        <w:pStyle w:val="24"/>
        <w:snapToGrid w:val="0"/>
        <w:spacing w:line="360" w:lineRule="auto"/>
        <w:rPr>
          <w:rFonts w:hAnsi="宋体" w:cs="宋体"/>
          <w:b/>
          <w:color w:val="auto"/>
          <w:sz w:val="24"/>
          <w:szCs w:val="24"/>
          <w:highlight w:val="none"/>
        </w:rPr>
      </w:pPr>
    </w:p>
    <w:p w14:paraId="08AF4DFF">
      <w:pPr>
        <w:pStyle w:val="24"/>
        <w:snapToGrid w:val="0"/>
        <w:spacing w:line="360" w:lineRule="auto"/>
        <w:rPr>
          <w:rFonts w:ascii="楷体" w:hAnsi="楷体" w:eastAsia="楷体" w:cs="宋体"/>
          <w:b/>
          <w:color w:val="auto"/>
          <w:sz w:val="24"/>
          <w:szCs w:val="24"/>
          <w:highlight w:val="none"/>
        </w:rPr>
      </w:pPr>
    </w:p>
    <w:p w14:paraId="381A9202">
      <w:pPr>
        <w:pStyle w:val="24"/>
        <w:snapToGrid w:val="0"/>
        <w:spacing w:line="360" w:lineRule="auto"/>
        <w:rPr>
          <w:rFonts w:ascii="楷体" w:hAnsi="楷体" w:eastAsia="楷体" w:cs="宋体"/>
          <w:b/>
          <w:color w:val="auto"/>
          <w:sz w:val="24"/>
          <w:szCs w:val="24"/>
          <w:highlight w:val="none"/>
        </w:rPr>
      </w:pPr>
    </w:p>
    <w:p w14:paraId="2CF420E2">
      <w:pPr>
        <w:pStyle w:val="24"/>
        <w:snapToGrid w:val="0"/>
        <w:spacing w:line="360" w:lineRule="auto"/>
        <w:rPr>
          <w:rFonts w:ascii="楷体" w:hAnsi="楷体" w:eastAsia="楷体" w:cs="宋体"/>
          <w:b/>
          <w:color w:val="auto"/>
          <w:sz w:val="24"/>
          <w:szCs w:val="24"/>
          <w:highlight w:val="none"/>
        </w:rPr>
      </w:pPr>
      <w:r>
        <w:rPr>
          <w:rFonts w:hint="eastAsia" w:ascii="楷体" w:hAnsi="楷体" w:eastAsia="楷体" w:cs="宋体"/>
          <w:b/>
          <w:color w:val="auto"/>
          <w:sz w:val="24"/>
          <w:szCs w:val="24"/>
          <w:highlight w:val="none"/>
        </w:rPr>
        <w:t>说明：</w:t>
      </w:r>
    </w:p>
    <w:p w14:paraId="495FDA4F">
      <w:pPr>
        <w:pStyle w:val="24"/>
        <w:spacing w:line="360" w:lineRule="auto"/>
        <w:ind w:left="25" w:leftChars="12" w:firstLine="354" w:firstLineChars="147"/>
        <w:rPr>
          <w:rFonts w:ascii="楷体" w:hAnsi="楷体" w:eastAsia="楷体" w:cs="宋体"/>
          <w:b/>
          <w:bCs/>
          <w:color w:val="auto"/>
          <w:sz w:val="24"/>
          <w:szCs w:val="24"/>
          <w:highlight w:val="none"/>
        </w:rPr>
      </w:pPr>
      <w:r>
        <w:rPr>
          <w:rFonts w:ascii="楷体" w:hAnsi="楷体" w:eastAsia="楷体" w:cs="宋体"/>
          <w:b/>
          <w:color w:val="auto"/>
          <w:sz w:val="24"/>
          <w:szCs w:val="24"/>
          <w:highlight w:val="none"/>
        </w:rPr>
        <w:t>1.供应商提出质疑时，应提交质疑函和必要的证明材料</w:t>
      </w:r>
      <w:r>
        <w:rPr>
          <w:rFonts w:hint="eastAsia" w:ascii="楷体" w:hAnsi="楷体" w:eastAsia="楷体" w:cs="宋体"/>
          <w:b/>
          <w:bCs/>
          <w:color w:val="auto"/>
          <w:sz w:val="24"/>
          <w:szCs w:val="24"/>
          <w:highlight w:val="none"/>
        </w:rPr>
        <w:t>。</w:t>
      </w:r>
    </w:p>
    <w:p w14:paraId="7BFB56BC">
      <w:pPr>
        <w:pStyle w:val="24"/>
        <w:spacing w:line="360" w:lineRule="auto"/>
        <w:ind w:left="25" w:leftChars="12" w:firstLine="354" w:firstLineChars="147"/>
        <w:rPr>
          <w:rFonts w:ascii="楷体" w:hAnsi="楷体" w:eastAsia="楷体" w:cs="宋体"/>
          <w:b/>
          <w:color w:val="auto"/>
          <w:sz w:val="24"/>
          <w:szCs w:val="24"/>
          <w:highlight w:val="none"/>
        </w:rPr>
      </w:pPr>
      <w:r>
        <w:rPr>
          <w:rFonts w:ascii="楷体" w:hAnsi="楷体" w:eastAsia="楷体" w:cs="宋体"/>
          <w:b/>
          <w:color w:val="auto"/>
          <w:sz w:val="24"/>
          <w:szCs w:val="24"/>
          <w:highlight w:val="none"/>
        </w:rPr>
        <w:t>2.质疑供应商若委托代理人进行质疑的，</w:t>
      </w:r>
      <w:r>
        <w:rPr>
          <w:rFonts w:hint="eastAsia" w:ascii="楷体" w:hAnsi="楷体" w:eastAsia="楷体" w:cs="宋体"/>
          <w:b/>
          <w:color w:val="auto"/>
          <w:sz w:val="24"/>
          <w:szCs w:val="24"/>
          <w:highlight w:val="none"/>
        </w:rPr>
        <w:t>质疑函应按要求列明“授权代表”的有关内容，并在附件中提交由质疑供应商签署的授权委托书。授权委托书应载明代理人的姓名或者名称、代理事项、具体权限、期限和相关事项。</w:t>
      </w:r>
    </w:p>
    <w:p w14:paraId="7F9B04BF">
      <w:pPr>
        <w:pStyle w:val="24"/>
        <w:spacing w:line="360" w:lineRule="auto"/>
        <w:ind w:left="25" w:leftChars="12" w:firstLine="354" w:firstLineChars="147"/>
        <w:rPr>
          <w:rFonts w:ascii="楷体" w:hAnsi="楷体" w:eastAsia="楷体" w:cs="宋体"/>
          <w:b/>
          <w:color w:val="auto"/>
          <w:sz w:val="24"/>
          <w:szCs w:val="24"/>
          <w:highlight w:val="none"/>
        </w:rPr>
      </w:pPr>
      <w:r>
        <w:rPr>
          <w:rFonts w:ascii="楷体" w:hAnsi="楷体" w:eastAsia="楷体" w:cs="宋体"/>
          <w:b/>
          <w:color w:val="auto"/>
          <w:sz w:val="24"/>
          <w:szCs w:val="24"/>
          <w:highlight w:val="none"/>
        </w:rPr>
        <w:t>3.质疑函的质疑事项应具体、明确，并有必要的事实依据和法律依据。</w:t>
      </w:r>
    </w:p>
    <w:p w14:paraId="514DB4A7">
      <w:pPr>
        <w:pStyle w:val="24"/>
        <w:spacing w:line="360" w:lineRule="auto"/>
        <w:ind w:left="25" w:leftChars="12" w:firstLine="354" w:firstLineChars="147"/>
        <w:rPr>
          <w:rFonts w:ascii="楷体" w:hAnsi="楷体" w:eastAsia="楷体" w:cs="宋体"/>
          <w:b/>
          <w:color w:val="auto"/>
          <w:sz w:val="24"/>
          <w:szCs w:val="24"/>
          <w:highlight w:val="none"/>
        </w:rPr>
      </w:pPr>
      <w:r>
        <w:rPr>
          <w:rFonts w:ascii="楷体" w:hAnsi="楷体" w:eastAsia="楷体" w:cs="宋体"/>
          <w:b/>
          <w:color w:val="auto"/>
          <w:sz w:val="24"/>
          <w:szCs w:val="24"/>
          <w:highlight w:val="none"/>
        </w:rPr>
        <w:t>4.质疑函的质疑请求应与质疑事项相关。</w:t>
      </w:r>
    </w:p>
    <w:p w14:paraId="386ADEEA">
      <w:pPr>
        <w:pStyle w:val="24"/>
        <w:spacing w:line="360" w:lineRule="auto"/>
        <w:ind w:left="25" w:leftChars="12" w:firstLine="354" w:firstLineChars="147"/>
        <w:rPr>
          <w:rFonts w:ascii="楷体" w:hAnsi="楷体" w:eastAsia="楷体" w:cs="宋体"/>
          <w:b/>
          <w:color w:val="auto"/>
          <w:highlight w:val="none"/>
        </w:rPr>
      </w:pPr>
      <w:r>
        <w:rPr>
          <w:rFonts w:ascii="楷体" w:hAnsi="楷体" w:eastAsia="楷体" w:cs="宋体"/>
          <w:b/>
          <w:color w:val="auto"/>
          <w:sz w:val="24"/>
          <w:szCs w:val="24"/>
          <w:highlight w:val="none"/>
        </w:rPr>
        <w:t>5.质疑供应商为法人或者其他组织的，</w:t>
      </w:r>
      <w:r>
        <w:rPr>
          <w:rFonts w:hint="eastAsia" w:ascii="楷体" w:hAnsi="楷体" w:eastAsia="楷体" w:cs="宋体"/>
          <w:b/>
          <w:color w:val="auto"/>
          <w:sz w:val="24"/>
          <w:szCs w:val="24"/>
          <w:highlight w:val="none"/>
        </w:rPr>
        <w:t>质疑函应由法定代表人、主要负责人，或者其授权代表签字或者盖章，并加盖公章。</w:t>
      </w:r>
    </w:p>
    <w:p w14:paraId="16448E33">
      <w:pPr>
        <w:pStyle w:val="24"/>
        <w:snapToGrid w:val="0"/>
        <w:rPr>
          <w:rFonts w:hAnsi="宋体" w:cs="宋体"/>
          <w:b/>
          <w:color w:val="auto"/>
          <w:sz w:val="24"/>
          <w:szCs w:val="24"/>
          <w:highlight w:val="none"/>
        </w:rPr>
      </w:pPr>
    </w:p>
    <w:p w14:paraId="122CF7C6">
      <w:pPr>
        <w:spacing w:line="360" w:lineRule="auto"/>
        <w:jc w:val="left"/>
        <w:rPr>
          <w:rFonts w:ascii="宋体" w:hAnsi="宋体" w:cs="宋体"/>
          <w:b/>
          <w:bCs/>
          <w:color w:val="auto"/>
          <w:sz w:val="32"/>
          <w:szCs w:val="32"/>
          <w:highlight w:val="none"/>
        </w:rPr>
      </w:pPr>
      <w:r>
        <w:rPr>
          <w:rFonts w:hint="eastAsia" w:ascii="宋体" w:hAnsi="宋体" w:cs="宋体"/>
          <w:color w:val="auto"/>
          <w:sz w:val="44"/>
          <w:highlight w:val="none"/>
        </w:rPr>
        <w:br w:type="page"/>
      </w:r>
      <w:r>
        <w:rPr>
          <w:rFonts w:hint="eastAsia" w:ascii="宋体" w:hAnsi="宋体" w:cs="宋体"/>
          <w:b/>
          <w:color w:val="auto"/>
          <w:sz w:val="24"/>
          <w:highlight w:val="none"/>
        </w:rPr>
        <w:t>5.投诉书格式</w:t>
      </w:r>
    </w:p>
    <w:p w14:paraId="7B9BBF11">
      <w:pPr>
        <w:jc w:val="center"/>
        <w:rPr>
          <w:rFonts w:ascii="宋体" w:hAnsi="宋体" w:cs="宋体"/>
          <w:color w:val="auto"/>
          <w:sz w:val="44"/>
          <w:szCs w:val="44"/>
          <w:highlight w:val="none"/>
        </w:rPr>
      </w:pPr>
      <w:r>
        <w:rPr>
          <w:rFonts w:hint="eastAsia" w:ascii="宋体" w:hAnsi="宋体" w:cs="宋体"/>
          <w:color w:val="auto"/>
          <w:sz w:val="44"/>
          <w:szCs w:val="44"/>
          <w:highlight w:val="none"/>
        </w:rPr>
        <w:t>投诉书</w:t>
      </w:r>
    </w:p>
    <w:p w14:paraId="325C8E7C">
      <w:pPr>
        <w:pStyle w:val="24"/>
        <w:snapToGrid w:val="0"/>
        <w:spacing w:line="440" w:lineRule="exact"/>
        <w:ind w:firstLine="482" w:firstLineChars="200"/>
        <w:rPr>
          <w:rFonts w:hAnsi="宋体" w:cs="宋体"/>
          <w:b/>
          <w:bCs/>
          <w:color w:val="auto"/>
          <w:sz w:val="24"/>
          <w:szCs w:val="24"/>
          <w:highlight w:val="none"/>
        </w:rPr>
      </w:pPr>
    </w:p>
    <w:p w14:paraId="628DA328">
      <w:pPr>
        <w:pStyle w:val="24"/>
        <w:snapToGrid w:val="0"/>
        <w:spacing w:line="440" w:lineRule="exact"/>
        <w:ind w:firstLine="482" w:firstLineChars="200"/>
        <w:rPr>
          <w:rFonts w:hAnsi="宋体" w:cs="宋体"/>
          <w:b/>
          <w:bCs/>
          <w:color w:val="auto"/>
          <w:sz w:val="24"/>
          <w:szCs w:val="24"/>
          <w:highlight w:val="none"/>
        </w:rPr>
      </w:pPr>
      <w:r>
        <w:rPr>
          <w:rFonts w:hint="eastAsia" w:hAnsi="宋体" w:cs="宋体"/>
          <w:b/>
          <w:bCs/>
          <w:color w:val="auto"/>
          <w:sz w:val="24"/>
          <w:szCs w:val="24"/>
          <w:highlight w:val="none"/>
        </w:rPr>
        <w:t>一、投诉相关主体基本情况：</w:t>
      </w:r>
    </w:p>
    <w:p w14:paraId="480463C3">
      <w:pPr>
        <w:pStyle w:val="24"/>
        <w:snapToGrid w:val="0"/>
        <w:spacing w:line="440" w:lineRule="exact"/>
        <w:ind w:firstLine="480" w:firstLineChars="200"/>
        <w:jc w:val="left"/>
        <w:rPr>
          <w:rFonts w:hAnsi="宋体" w:cs="宋体"/>
          <w:bCs/>
          <w:color w:val="auto"/>
          <w:sz w:val="24"/>
          <w:szCs w:val="24"/>
          <w:highlight w:val="none"/>
          <w:u w:val="single"/>
        </w:rPr>
      </w:pPr>
      <w:r>
        <w:rPr>
          <w:rFonts w:hint="eastAsia" w:hAnsi="宋体" w:cs="宋体"/>
          <w:bCs/>
          <w:color w:val="auto"/>
          <w:sz w:val="24"/>
          <w:szCs w:val="24"/>
          <w:highlight w:val="none"/>
        </w:rPr>
        <w:t>投标人：</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 xml:space="preserve">                 </w:t>
      </w:r>
    </w:p>
    <w:p w14:paraId="678D1996">
      <w:pPr>
        <w:pStyle w:val="24"/>
        <w:snapToGrid w:val="0"/>
        <w:spacing w:line="440" w:lineRule="exact"/>
        <w:ind w:firstLine="480" w:firstLineChars="200"/>
        <w:jc w:val="left"/>
        <w:rPr>
          <w:rFonts w:hAnsi="宋体" w:cs="宋体"/>
          <w:bCs/>
          <w:color w:val="auto"/>
          <w:sz w:val="24"/>
          <w:szCs w:val="24"/>
          <w:highlight w:val="none"/>
        </w:rPr>
      </w:pPr>
      <w:r>
        <w:rPr>
          <w:rFonts w:hint="eastAsia" w:hAnsi="宋体" w:cs="宋体"/>
          <w:bCs/>
          <w:color w:val="auto"/>
          <w:sz w:val="24"/>
          <w:szCs w:val="24"/>
          <w:highlight w:val="none"/>
        </w:rPr>
        <w:t>地址：</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邮编：</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 xml:space="preserve">                 </w:t>
      </w:r>
    </w:p>
    <w:p w14:paraId="4C2F1336">
      <w:pPr>
        <w:pStyle w:val="24"/>
        <w:snapToGrid w:val="0"/>
        <w:spacing w:line="440" w:lineRule="exact"/>
        <w:ind w:firstLine="480" w:firstLineChars="200"/>
        <w:jc w:val="left"/>
        <w:rPr>
          <w:rFonts w:hAnsi="宋体" w:cs="宋体"/>
          <w:bCs/>
          <w:color w:val="auto"/>
          <w:sz w:val="24"/>
          <w:szCs w:val="24"/>
          <w:highlight w:val="none"/>
          <w:u w:val="single"/>
        </w:rPr>
      </w:pPr>
      <w:r>
        <w:rPr>
          <w:rFonts w:hint="eastAsia" w:hAnsi="宋体" w:cs="宋体"/>
          <w:bCs/>
          <w:color w:val="auto"/>
          <w:sz w:val="24"/>
          <w:szCs w:val="24"/>
          <w:highlight w:val="none"/>
        </w:rPr>
        <w:t>法定代表人/主要负责人：</w:t>
      </w:r>
      <w:r>
        <w:rPr>
          <w:rFonts w:hint="eastAsia" w:hAnsi="宋体" w:cs="宋体"/>
          <w:bCs/>
          <w:color w:val="auto"/>
          <w:sz w:val="24"/>
          <w:szCs w:val="24"/>
          <w:highlight w:val="none"/>
          <w:u w:val="single"/>
        </w:rPr>
        <w:t xml:space="preserve">                                                         </w:t>
      </w:r>
    </w:p>
    <w:p w14:paraId="43E86C5D">
      <w:pPr>
        <w:pStyle w:val="24"/>
        <w:snapToGrid w:val="0"/>
        <w:spacing w:line="440" w:lineRule="exact"/>
        <w:ind w:firstLine="480" w:firstLineChars="200"/>
        <w:jc w:val="left"/>
        <w:rPr>
          <w:rFonts w:hAnsi="宋体" w:cs="宋体"/>
          <w:bCs/>
          <w:color w:val="auto"/>
          <w:sz w:val="24"/>
          <w:szCs w:val="24"/>
          <w:highlight w:val="none"/>
        </w:rPr>
      </w:pPr>
      <w:r>
        <w:rPr>
          <w:rFonts w:hint="eastAsia" w:hAnsi="宋体" w:cs="宋体"/>
          <w:bCs/>
          <w:color w:val="auto"/>
          <w:sz w:val="24"/>
          <w:szCs w:val="24"/>
          <w:highlight w:val="none"/>
        </w:rPr>
        <w:t>联系电话：</w:t>
      </w:r>
      <w:r>
        <w:rPr>
          <w:rFonts w:hint="eastAsia" w:hAnsi="宋体" w:cs="宋体"/>
          <w:bCs/>
          <w:color w:val="auto"/>
          <w:sz w:val="24"/>
          <w:szCs w:val="24"/>
          <w:highlight w:val="none"/>
          <w:u w:val="single"/>
        </w:rPr>
        <w:t xml:space="preserve">                                                              </w:t>
      </w:r>
    </w:p>
    <w:p w14:paraId="4F3D2BDF">
      <w:pPr>
        <w:pStyle w:val="24"/>
        <w:snapToGrid w:val="0"/>
        <w:spacing w:line="440" w:lineRule="exact"/>
        <w:ind w:firstLine="480" w:firstLineChars="200"/>
        <w:jc w:val="left"/>
        <w:rPr>
          <w:rFonts w:hAnsi="宋体" w:cs="宋体"/>
          <w:bCs/>
          <w:color w:val="auto"/>
          <w:sz w:val="24"/>
          <w:szCs w:val="24"/>
          <w:highlight w:val="none"/>
          <w:u w:val="single"/>
        </w:rPr>
      </w:pPr>
      <w:r>
        <w:rPr>
          <w:rFonts w:hint="eastAsia" w:hAnsi="宋体" w:cs="宋体"/>
          <w:bCs/>
          <w:color w:val="auto"/>
          <w:sz w:val="24"/>
          <w:szCs w:val="24"/>
          <w:highlight w:val="none"/>
        </w:rPr>
        <w:t>授权代表：</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联系电话：</w:t>
      </w:r>
      <w:r>
        <w:rPr>
          <w:rFonts w:hint="eastAsia" w:hAnsi="宋体" w:cs="宋体"/>
          <w:bCs/>
          <w:color w:val="auto"/>
          <w:sz w:val="24"/>
          <w:szCs w:val="24"/>
          <w:highlight w:val="none"/>
          <w:u w:val="single"/>
        </w:rPr>
        <w:t xml:space="preserve">                   </w:t>
      </w:r>
    </w:p>
    <w:p w14:paraId="04E9E9DA">
      <w:pPr>
        <w:pStyle w:val="24"/>
        <w:snapToGrid w:val="0"/>
        <w:spacing w:line="440" w:lineRule="exact"/>
        <w:ind w:firstLine="480" w:firstLineChars="200"/>
        <w:jc w:val="left"/>
        <w:rPr>
          <w:rFonts w:hAnsi="宋体" w:cs="宋体"/>
          <w:bCs/>
          <w:color w:val="auto"/>
          <w:sz w:val="24"/>
          <w:szCs w:val="24"/>
          <w:highlight w:val="none"/>
          <w:u w:val="single"/>
        </w:rPr>
      </w:pPr>
      <w:r>
        <w:rPr>
          <w:rFonts w:hint="eastAsia" w:hAnsi="宋体" w:cs="宋体"/>
          <w:bCs/>
          <w:color w:val="auto"/>
          <w:sz w:val="24"/>
          <w:szCs w:val="24"/>
          <w:highlight w:val="none"/>
        </w:rPr>
        <w:t>地址：</w:t>
      </w:r>
      <w:r>
        <w:rPr>
          <w:rFonts w:hint="eastAsia" w:hAnsi="宋体" w:cs="宋体"/>
          <w:bCs/>
          <w:color w:val="auto"/>
          <w:sz w:val="24"/>
          <w:szCs w:val="24"/>
          <w:highlight w:val="none"/>
          <w:u w:val="single"/>
        </w:rPr>
        <w:t xml:space="preserve">                                                                  </w:t>
      </w:r>
    </w:p>
    <w:p w14:paraId="79652EAD">
      <w:pPr>
        <w:pStyle w:val="24"/>
        <w:snapToGrid w:val="0"/>
        <w:spacing w:line="440" w:lineRule="exact"/>
        <w:ind w:firstLine="480" w:firstLineChars="200"/>
        <w:jc w:val="left"/>
        <w:rPr>
          <w:rFonts w:hAnsi="宋体" w:cs="宋体"/>
          <w:bCs/>
          <w:color w:val="auto"/>
          <w:sz w:val="24"/>
          <w:szCs w:val="24"/>
          <w:highlight w:val="none"/>
        </w:rPr>
      </w:pPr>
      <w:r>
        <w:rPr>
          <w:rFonts w:hint="eastAsia" w:hAnsi="宋体" w:cs="宋体"/>
          <w:bCs/>
          <w:color w:val="auto"/>
          <w:sz w:val="24"/>
          <w:szCs w:val="24"/>
          <w:highlight w:val="none"/>
        </w:rPr>
        <w:t>邮编：</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 xml:space="preserve">   </w:t>
      </w:r>
    </w:p>
    <w:p w14:paraId="21A46CA8">
      <w:pPr>
        <w:pStyle w:val="24"/>
        <w:snapToGrid w:val="0"/>
        <w:spacing w:line="440" w:lineRule="exact"/>
        <w:ind w:firstLine="480" w:firstLineChars="200"/>
        <w:jc w:val="left"/>
        <w:rPr>
          <w:rFonts w:hAnsi="宋体" w:cs="宋体"/>
          <w:bCs/>
          <w:color w:val="auto"/>
          <w:sz w:val="24"/>
          <w:szCs w:val="24"/>
          <w:highlight w:val="none"/>
        </w:rPr>
      </w:pPr>
      <w:r>
        <w:rPr>
          <w:rFonts w:hint="eastAsia" w:hAnsi="宋体" w:cs="宋体"/>
          <w:bCs/>
          <w:color w:val="auto"/>
          <w:sz w:val="24"/>
          <w:szCs w:val="24"/>
          <w:highlight w:val="none"/>
        </w:rPr>
        <w:t>被投诉人1：</w:t>
      </w:r>
    </w:p>
    <w:p w14:paraId="26DBA1E5">
      <w:pPr>
        <w:pStyle w:val="24"/>
        <w:snapToGrid w:val="0"/>
        <w:spacing w:line="440" w:lineRule="exact"/>
        <w:ind w:firstLine="480" w:firstLineChars="200"/>
        <w:jc w:val="left"/>
        <w:rPr>
          <w:rFonts w:hAnsi="宋体" w:cs="宋体"/>
          <w:bCs/>
          <w:color w:val="auto"/>
          <w:sz w:val="24"/>
          <w:szCs w:val="24"/>
          <w:highlight w:val="none"/>
          <w:u w:val="single"/>
        </w:rPr>
      </w:pPr>
      <w:r>
        <w:rPr>
          <w:rFonts w:hint="eastAsia" w:hAnsi="宋体" w:cs="宋体"/>
          <w:bCs/>
          <w:color w:val="auto"/>
          <w:sz w:val="24"/>
          <w:szCs w:val="24"/>
          <w:highlight w:val="none"/>
        </w:rPr>
        <w:t>地址：</w:t>
      </w:r>
      <w:r>
        <w:rPr>
          <w:rFonts w:hint="eastAsia" w:hAnsi="宋体" w:cs="宋体"/>
          <w:bCs/>
          <w:color w:val="auto"/>
          <w:sz w:val="24"/>
          <w:szCs w:val="24"/>
          <w:highlight w:val="none"/>
          <w:u w:val="single"/>
        </w:rPr>
        <w:t xml:space="preserve">                                                                  </w:t>
      </w:r>
    </w:p>
    <w:p w14:paraId="6E27CB6E">
      <w:pPr>
        <w:pStyle w:val="24"/>
        <w:snapToGrid w:val="0"/>
        <w:spacing w:line="440" w:lineRule="exact"/>
        <w:ind w:firstLine="480" w:firstLineChars="200"/>
        <w:jc w:val="left"/>
        <w:rPr>
          <w:rFonts w:hAnsi="宋体" w:cs="宋体"/>
          <w:bCs/>
          <w:color w:val="auto"/>
          <w:sz w:val="24"/>
          <w:szCs w:val="24"/>
          <w:highlight w:val="none"/>
        </w:rPr>
      </w:pPr>
      <w:r>
        <w:rPr>
          <w:rFonts w:hint="eastAsia" w:hAnsi="宋体" w:cs="宋体"/>
          <w:bCs/>
          <w:color w:val="auto"/>
          <w:sz w:val="24"/>
          <w:szCs w:val="24"/>
          <w:highlight w:val="none"/>
        </w:rPr>
        <w:t>邮编：</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 xml:space="preserve">  </w:t>
      </w:r>
    </w:p>
    <w:p w14:paraId="7ACB68B9">
      <w:pPr>
        <w:pStyle w:val="24"/>
        <w:snapToGrid w:val="0"/>
        <w:spacing w:line="440" w:lineRule="exact"/>
        <w:ind w:firstLine="480" w:firstLineChars="200"/>
        <w:jc w:val="left"/>
        <w:rPr>
          <w:rFonts w:hAnsi="宋体" w:cs="宋体"/>
          <w:bCs/>
          <w:color w:val="auto"/>
          <w:sz w:val="24"/>
          <w:szCs w:val="24"/>
          <w:highlight w:val="none"/>
          <w:u w:val="single"/>
        </w:rPr>
      </w:pPr>
      <w:r>
        <w:rPr>
          <w:rFonts w:hint="eastAsia" w:hAnsi="宋体" w:cs="宋体"/>
          <w:bCs/>
          <w:color w:val="auto"/>
          <w:sz w:val="24"/>
          <w:szCs w:val="24"/>
          <w:highlight w:val="none"/>
        </w:rPr>
        <w:t>联系人：</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联系电话：</w:t>
      </w:r>
      <w:r>
        <w:rPr>
          <w:rFonts w:hint="eastAsia" w:hAnsi="宋体" w:cs="宋体"/>
          <w:bCs/>
          <w:color w:val="auto"/>
          <w:sz w:val="24"/>
          <w:szCs w:val="24"/>
          <w:highlight w:val="none"/>
          <w:u w:val="single"/>
        </w:rPr>
        <w:t xml:space="preserve">                          </w:t>
      </w:r>
    </w:p>
    <w:p w14:paraId="3F00ACE3">
      <w:pPr>
        <w:pStyle w:val="24"/>
        <w:snapToGrid w:val="0"/>
        <w:spacing w:line="440" w:lineRule="exact"/>
        <w:ind w:firstLine="480" w:firstLineChars="200"/>
        <w:jc w:val="left"/>
        <w:rPr>
          <w:rFonts w:hAnsi="宋体" w:cs="宋体"/>
          <w:bCs/>
          <w:color w:val="auto"/>
          <w:sz w:val="24"/>
          <w:szCs w:val="24"/>
          <w:highlight w:val="none"/>
        </w:rPr>
      </w:pPr>
      <w:r>
        <w:rPr>
          <w:rFonts w:hint="eastAsia" w:hAnsi="宋体" w:cs="宋体"/>
          <w:bCs/>
          <w:color w:val="auto"/>
          <w:sz w:val="24"/>
          <w:szCs w:val="24"/>
          <w:highlight w:val="none"/>
        </w:rPr>
        <w:t>被投诉人2：</w:t>
      </w:r>
    </w:p>
    <w:p w14:paraId="1FB93713">
      <w:pPr>
        <w:pStyle w:val="24"/>
        <w:snapToGrid w:val="0"/>
        <w:spacing w:line="440" w:lineRule="exact"/>
        <w:ind w:firstLine="480" w:firstLineChars="200"/>
        <w:jc w:val="left"/>
        <w:rPr>
          <w:rFonts w:hAnsi="宋体" w:cs="宋体"/>
          <w:bCs/>
          <w:color w:val="auto"/>
          <w:sz w:val="24"/>
          <w:szCs w:val="24"/>
          <w:highlight w:val="none"/>
        </w:rPr>
      </w:pPr>
      <w:r>
        <w:rPr>
          <w:rFonts w:hint="eastAsia" w:hAnsi="宋体" w:cs="宋体"/>
          <w:bCs/>
          <w:color w:val="auto"/>
          <w:sz w:val="24"/>
          <w:szCs w:val="24"/>
          <w:highlight w:val="none"/>
        </w:rPr>
        <w:t>……</w:t>
      </w:r>
    </w:p>
    <w:p w14:paraId="35A74990">
      <w:pPr>
        <w:pStyle w:val="24"/>
        <w:snapToGrid w:val="0"/>
        <w:spacing w:line="440" w:lineRule="exact"/>
        <w:ind w:firstLine="480" w:firstLineChars="200"/>
        <w:jc w:val="left"/>
        <w:rPr>
          <w:rFonts w:hAnsi="宋体" w:cs="宋体"/>
          <w:bCs/>
          <w:color w:val="auto"/>
          <w:sz w:val="24"/>
          <w:szCs w:val="24"/>
          <w:highlight w:val="none"/>
          <w:u w:val="single"/>
        </w:rPr>
      </w:pPr>
      <w:r>
        <w:rPr>
          <w:rFonts w:hint="eastAsia" w:hAnsi="宋体" w:cs="宋体"/>
          <w:bCs/>
          <w:color w:val="auto"/>
          <w:sz w:val="24"/>
          <w:szCs w:val="24"/>
          <w:highlight w:val="none"/>
        </w:rPr>
        <w:t>相关供应商：</w:t>
      </w:r>
      <w:r>
        <w:rPr>
          <w:rFonts w:hint="eastAsia" w:hAnsi="宋体" w:cs="宋体"/>
          <w:bCs/>
          <w:color w:val="auto"/>
          <w:sz w:val="24"/>
          <w:szCs w:val="24"/>
          <w:highlight w:val="none"/>
          <w:u w:val="single"/>
        </w:rPr>
        <w:t xml:space="preserve">                                                                       </w:t>
      </w:r>
    </w:p>
    <w:p w14:paraId="3F18652A">
      <w:pPr>
        <w:pStyle w:val="24"/>
        <w:snapToGrid w:val="0"/>
        <w:spacing w:line="440" w:lineRule="exact"/>
        <w:ind w:firstLine="480" w:firstLineChars="200"/>
        <w:jc w:val="left"/>
        <w:rPr>
          <w:rFonts w:hAnsi="宋体" w:cs="宋体"/>
          <w:bCs/>
          <w:color w:val="auto"/>
          <w:sz w:val="24"/>
          <w:szCs w:val="24"/>
          <w:highlight w:val="none"/>
          <w:u w:val="single"/>
        </w:rPr>
      </w:pPr>
      <w:r>
        <w:rPr>
          <w:rFonts w:hint="eastAsia" w:hAnsi="宋体" w:cs="宋体"/>
          <w:bCs/>
          <w:color w:val="auto"/>
          <w:sz w:val="24"/>
          <w:szCs w:val="24"/>
          <w:highlight w:val="none"/>
        </w:rPr>
        <w:t>地址：</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邮编：</w:t>
      </w:r>
      <w:r>
        <w:rPr>
          <w:rFonts w:hint="eastAsia" w:hAnsi="宋体" w:cs="宋体"/>
          <w:bCs/>
          <w:color w:val="auto"/>
          <w:sz w:val="24"/>
          <w:szCs w:val="24"/>
          <w:highlight w:val="none"/>
          <w:u w:val="single"/>
        </w:rPr>
        <w:t xml:space="preserve">                         </w:t>
      </w:r>
    </w:p>
    <w:p w14:paraId="4F387073">
      <w:pPr>
        <w:pStyle w:val="24"/>
        <w:snapToGrid w:val="0"/>
        <w:spacing w:line="440" w:lineRule="exact"/>
        <w:ind w:firstLine="480" w:firstLineChars="200"/>
        <w:jc w:val="left"/>
        <w:rPr>
          <w:rFonts w:hAnsi="宋体" w:cs="宋体"/>
          <w:bCs/>
          <w:color w:val="auto"/>
          <w:sz w:val="24"/>
          <w:szCs w:val="24"/>
          <w:highlight w:val="none"/>
        </w:rPr>
      </w:pPr>
      <w:r>
        <w:rPr>
          <w:rFonts w:hint="eastAsia" w:hAnsi="宋体" w:cs="宋体"/>
          <w:bCs/>
          <w:color w:val="auto"/>
          <w:sz w:val="24"/>
          <w:szCs w:val="24"/>
          <w:highlight w:val="none"/>
        </w:rPr>
        <w:t>联系人：</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联系电话：</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 xml:space="preserve">                </w:t>
      </w:r>
    </w:p>
    <w:p w14:paraId="1498FA81">
      <w:pPr>
        <w:pStyle w:val="24"/>
        <w:snapToGrid w:val="0"/>
        <w:spacing w:line="440" w:lineRule="exact"/>
        <w:ind w:firstLine="482" w:firstLineChars="200"/>
        <w:rPr>
          <w:rFonts w:hAnsi="宋体" w:cs="宋体"/>
          <w:b/>
          <w:bCs/>
          <w:color w:val="auto"/>
          <w:sz w:val="24"/>
          <w:szCs w:val="24"/>
          <w:highlight w:val="none"/>
        </w:rPr>
      </w:pPr>
      <w:r>
        <w:rPr>
          <w:rFonts w:hint="eastAsia" w:hAnsi="宋体" w:cs="宋体"/>
          <w:b/>
          <w:bCs/>
          <w:color w:val="auto"/>
          <w:sz w:val="24"/>
          <w:szCs w:val="24"/>
          <w:highlight w:val="none"/>
        </w:rPr>
        <w:t>二、投诉项目基本情况：</w:t>
      </w:r>
    </w:p>
    <w:p w14:paraId="61ABB768">
      <w:pPr>
        <w:pStyle w:val="24"/>
        <w:spacing w:line="440" w:lineRule="exact"/>
        <w:ind w:left="25" w:leftChars="12" w:firstLine="472" w:firstLineChars="197"/>
        <w:rPr>
          <w:rFonts w:hAnsi="宋体" w:cs="宋体"/>
          <w:color w:val="auto"/>
          <w:sz w:val="24"/>
          <w:szCs w:val="24"/>
          <w:highlight w:val="none"/>
        </w:rPr>
      </w:pPr>
      <w:r>
        <w:rPr>
          <w:rFonts w:hint="eastAsia" w:hAnsi="宋体" w:cs="宋体"/>
          <w:bCs/>
          <w:color w:val="auto"/>
          <w:sz w:val="24"/>
          <w:szCs w:val="24"/>
          <w:highlight w:val="none"/>
        </w:rPr>
        <w:t>采购</w:t>
      </w:r>
      <w:r>
        <w:rPr>
          <w:rFonts w:hint="eastAsia" w:hAnsi="宋体" w:cs="宋体"/>
          <w:color w:val="auto"/>
          <w:sz w:val="24"/>
          <w:szCs w:val="24"/>
          <w:highlight w:val="none"/>
        </w:rPr>
        <w:t>项目的名称：</w:t>
      </w:r>
      <w:r>
        <w:rPr>
          <w:rFonts w:hint="eastAsia" w:hAnsi="宋体" w:cs="宋体"/>
          <w:bCs/>
          <w:color w:val="auto"/>
          <w:sz w:val="24"/>
          <w:szCs w:val="24"/>
          <w:highlight w:val="none"/>
          <w:u w:val="single"/>
        </w:rPr>
        <w:t xml:space="preserve">                                                                   </w:t>
      </w:r>
    </w:p>
    <w:p w14:paraId="73FA8DAA">
      <w:pPr>
        <w:pStyle w:val="24"/>
        <w:spacing w:line="440" w:lineRule="exact"/>
        <w:ind w:left="25" w:leftChars="12" w:firstLine="472" w:firstLineChars="197"/>
        <w:rPr>
          <w:rFonts w:hAnsi="宋体" w:cs="宋体"/>
          <w:color w:val="auto"/>
          <w:sz w:val="24"/>
          <w:szCs w:val="24"/>
          <w:highlight w:val="none"/>
        </w:rPr>
      </w:pPr>
      <w:r>
        <w:rPr>
          <w:rFonts w:hint="eastAsia" w:hAnsi="宋体" w:cs="宋体"/>
          <w:bCs/>
          <w:color w:val="auto"/>
          <w:sz w:val="24"/>
          <w:szCs w:val="24"/>
          <w:highlight w:val="none"/>
        </w:rPr>
        <w:t>采购</w:t>
      </w:r>
      <w:r>
        <w:rPr>
          <w:rFonts w:hint="eastAsia" w:hAnsi="宋体" w:cs="宋体"/>
          <w:color w:val="auto"/>
          <w:sz w:val="24"/>
          <w:szCs w:val="24"/>
          <w:highlight w:val="none"/>
        </w:rPr>
        <w:t>项目的编号：</w:t>
      </w:r>
      <w:r>
        <w:rPr>
          <w:rFonts w:hint="eastAsia" w:hAnsi="宋体" w:cs="宋体"/>
          <w:bCs/>
          <w:color w:val="auto"/>
          <w:sz w:val="24"/>
          <w:szCs w:val="24"/>
          <w:highlight w:val="none"/>
          <w:u w:val="single"/>
        </w:rPr>
        <w:t xml:space="preserve">                                                        </w:t>
      </w:r>
    </w:p>
    <w:p w14:paraId="2BC8E513">
      <w:pPr>
        <w:pStyle w:val="24"/>
        <w:spacing w:line="440" w:lineRule="exact"/>
        <w:ind w:left="25" w:leftChars="12" w:firstLine="472" w:firstLineChars="197"/>
        <w:rPr>
          <w:rFonts w:hAnsi="宋体" w:cs="宋体"/>
          <w:bCs/>
          <w:color w:val="auto"/>
          <w:sz w:val="24"/>
          <w:szCs w:val="24"/>
          <w:highlight w:val="none"/>
          <w:u w:val="single"/>
        </w:rPr>
      </w:pPr>
      <w:r>
        <w:rPr>
          <w:rFonts w:hint="eastAsia" w:hAnsi="宋体" w:cs="宋体"/>
          <w:color w:val="auto"/>
          <w:sz w:val="24"/>
          <w:szCs w:val="24"/>
          <w:highlight w:val="none"/>
        </w:rPr>
        <w:t>采购人名称：</w:t>
      </w:r>
      <w:r>
        <w:rPr>
          <w:rFonts w:hint="eastAsia" w:hAnsi="宋体" w:cs="宋体"/>
          <w:bCs/>
          <w:color w:val="auto"/>
          <w:sz w:val="24"/>
          <w:szCs w:val="24"/>
          <w:highlight w:val="none"/>
          <w:u w:val="single"/>
        </w:rPr>
        <w:t xml:space="preserve">                                                                        </w:t>
      </w:r>
    </w:p>
    <w:p w14:paraId="0F42765C">
      <w:pPr>
        <w:pStyle w:val="24"/>
        <w:spacing w:line="440" w:lineRule="exact"/>
        <w:ind w:left="25" w:leftChars="12" w:firstLine="472" w:firstLineChars="197"/>
        <w:rPr>
          <w:rFonts w:hAnsi="宋体" w:cs="宋体"/>
          <w:bCs/>
          <w:color w:val="auto"/>
          <w:sz w:val="24"/>
          <w:szCs w:val="24"/>
          <w:highlight w:val="none"/>
          <w:u w:val="single"/>
        </w:rPr>
      </w:pPr>
      <w:r>
        <w:rPr>
          <w:rFonts w:hint="eastAsia" w:hAnsi="宋体" w:cs="宋体"/>
          <w:color w:val="auto"/>
          <w:sz w:val="24"/>
          <w:szCs w:val="24"/>
          <w:highlight w:val="none"/>
        </w:rPr>
        <w:t>代理机构名称：</w:t>
      </w:r>
      <w:r>
        <w:rPr>
          <w:rFonts w:hint="eastAsia" w:hAnsi="宋体" w:cs="宋体"/>
          <w:bCs/>
          <w:color w:val="auto"/>
          <w:sz w:val="24"/>
          <w:szCs w:val="24"/>
          <w:highlight w:val="none"/>
          <w:u w:val="single"/>
        </w:rPr>
        <w:t xml:space="preserve">                                                                      </w:t>
      </w:r>
    </w:p>
    <w:p w14:paraId="31FA06ED">
      <w:pPr>
        <w:pStyle w:val="24"/>
        <w:spacing w:line="440" w:lineRule="exact"/>
        <w:ind w:left="25" w:leftChars="12" w:firstLine="472" w:firstLineChars="197"/>
        <w:rPr>
          <w:rFonts w:hAnsi="宋体" w:cs="宋体"/>
          <w:bCs/>
          <w:color w:val="auto"/>
          <w:sz w:val="24"/>
          <w:szCs w:val="24"/>
          <w:highlight w:val="none"/>
          <w:u w:val="single"/>
        </w:rPr>
      </w:pPr>
      <w:r>
        <w:rPr>
          <w:rFonts w:hint="eastAsia" w:hAnsi="宋体" w:cs="宋体"/>
          <w:bCs/>
          <w:color w:val="auto"/>
          <w:sz w:val="24"/>
          <w:szCs w:val="24"/>
          <w:highlight w:val="none"/>
        </w:rPr>
        <w:t>招标文件公告：</w:t>
      </w:r>
      <w:r>
        <w:rPr>
          <w:rFonts w:hint="eastAsia" w:hAnsi="宋体" w:cs="宋体"/>
          <w:bCs/>
          <w:color w:val="auto"/>
          <w:sz w:val="24"/>
          <w:szCs w:val="24"/>
          <w:highlight w:val="none"/>
          <w:u w:val="single"/>
        </w:rPr>
        <w:t>是/否</w:t>
      </w:r>
      <w:r>
        <w:rPr>
          <w:rFonts w:hint="eastAsia" w:hAnsi="宋体" w:cs="宋体"/>
          <w:bCs/>
          <w:color w:val="auto"/>
          <w:sz w:val="24"/>
          <w:szCs w:val="24"/>
          <w:highlight w:val="none"/>
        </w:rPr>
        <w:t>公告期限：</w:t>
      </w:r>
      <w:r>
        <w:rPr>
          <w:rFonts w:hint="eastAsia" w:hAnsi="宋体" w:cs="宋体"/>
          <w:bCs/>
          <w:color w:val="auto"/>
          <w:sz w:val="24"/>
          <w:szCs w:val="24"/>
          <w:highlight w:val="none"/>
          <w:u w:val="single"/>
        </w:rPr>
        <w:t xml:space="preserve">                                                       </w:t>
      </w:r>
    </w:p>
    <w:p w14:paraId="04772A49">
      <w:pPr>
        <w:pStyle w:val="24"/>
        <w:spacing w:line="440" w:lineRule="exact"/>
        <w:ind w:left="25" w:leftChars="12" w:firstLine="472" w:firstLineChars="197"/>
        <w:rPr>
          <w:rFonts w:hAnsi="宋体" w:cs="宋体"/>
          <w:b/>
          <w:color w:val="auto"/>
          <w:sz w:val="24"/>
          <w:szCs w:val="24"/>
          <w:highlight w:val="none"/>
        </w:rPr>
      </w:pPr>
      <w:r>
        <w:rPr>
          <w:rFonts w:hint="eastAsia" w:hAnsi="宋体" w:cs="宋体"/>
          <w:bCs/>
          <w:color w:val="auto"/>
          <w:sz w:val="24"/>
          <w:szCs w:val="24"/>
          <w:highlight w:val="none"/>
        </w:rPr>
        <w:t>采购结果公告：</w:t>
      </w:r>
      <w:r>
        <w:rPr>
          <w:rFonts w:hint="eastAsia" w:hAnsi="宋体" w:cs="宋体"/>
          <w:bCs/>
          <w:color w:val="auto"/>
          <w:sz w:val="24"/>
          <w:szCs w:val="24"/>
          <w:highlight w:val="none"/>
          <w:u w:val="single"/>
        </w:rPr>
        <w:t>是/否</w:t>
      </w:r>
      <w:r>
        <w:rPr>
          <w:rFonts w:hint="eastAsia" w:hAnsi="宋体" w:cs="宋体"/>
          <w:bCs/>
          <w:color w:val="auto"/>
          <w:sz w:val="24"/>
          <w:szCs w:val="24"/>
          <w:highlight w:val="none"/>
        </w:rPr>
        <w:t>公告期限：</w:t>
      </w:r>
      <w:r>
        <w:rPr>
          <w:rFonts w:hint="eastAsia" w:hAnsi="宋体" w:cs="宋体"/>
          <w:bCs/>
          <w:color w:val="auto"/>
          <w:sz w:val="24"/>
          <w:szCs w:val="24"/>
          <w:highlight w:val="none"/>
          <w:u w:val="single"/>
        </w:rPr>
        <w:t xml:space="preserve">                                                       </w:t>
      </w:r>
    </w:p>
    <w:p w14:paraId="7F8BAF72">
      <w:pPr>
        <w:pStyle w:val="24"/>
        <w:spacing w:line="440" w:lineRule="exact"/>
        <w:ind w:left="25" w:leftChars="12" w:firstLine="472" w:firstLineChars="196"/>
        <w:rPr>
          <w:rFonts w:hAnsi="宋体" w:cs="宋体"/>
          <w:b/>
          <w:color w:val="auto"/>
          <w:sz w:val="24"/>
          <w:szCs w:val="24"/>
          <w:highlight w:val="none"/>
        </w:rPr>
      </w:pPr>
      <w:r>
        <w:rPr>
          <w:rFonts w:hint="eastAsia" w:hAnsi="宋体" w:cs="宋体"/>
          <w:b/>
          <w:color w:val="auto"/>
          <w:sz w:val="24"/>
          <w:szCs w:val="24"/>
          <w:highlight w:val="none"/>
        </w:rPr>
        <w:t>三、质疑基本情况</w:t>
      </w:r>
    </w:p>
    <w:p w14:paraId="4998CE07">
      <w:pPr>
        <w:pStyle w:val="24"/>
        <w:spacing w:line="440" w:lineRule="exact"/>
        <w:ind w:left="25" w:leftChars="12" w:firstLine="480" w:firstLineChars="200"/>
        <w:rPr>
          <w:rFonts w:hAnsi="宋体" w:cs="宋体"/>
          <w:bCs/>
          <w:color w:val="auto"/>
          <w:sz w:val="24"/>
          <w:szCs w:val="24"/>
          <w:highlight w:val="none"/>
          <w:u w:val="single"/>
        </w:rPr>
      </w:pPr>
      <w:r>
        <w:rPr>
          <w:rFonts w:hint="eastAsia" w:hAnsi="宋体" w:cs="宋体"/>
          <w:color w:val="auto"/>
          <w:sz w:val="24"/>
          <w:szCs w:val="24"/>
          <w:highlight w:val="none"/>
        </w:rPr>
        <w:t>投诉人于</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年</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月</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日，向</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提出质疑，质疑事项为：</w:t>
      </w:r>
      <w:r>
        <w:rPr>
          <w:rFonts w:hint="eastAsia" w:hAnsi="宋体" w:cs="宋体"/>
          <w:bCs/>
          <w:color w:val="auto"/>
          <w:sz w:val="24"/>
          <w:szCs w:val="24"/>
          <w:highlight w:val="none"/>
          <w:u w:val="single"/>
        </w:rPr>
        <w:t xml:space="preserve">                                                                                      </w:t>
      </w:r>
    </w:p>
    <w:p w14:paraId="7ABD144A">
      <w:pPr>
        <w:pStyle w:val="24"/>
        <w:spacing w:line="440" w:lineRule="exact"/>
        <w:rPr>
          <w:rFonts w:hAnsi="宋体" w:cs="宋体"/>
          <w:bCs/>
          <w:color w:val="auto"/>
          <w:sz w:val="24"/>
          <w:szCs w:val="24"/>
          <w:highlight w:val="none"/>
          <w:u w:val="single"/>
        </w:rPr>
      </w:pPr>
      <w:r>
        <w:rPr>
          <w:rFonts w:hint="eastAsia" w:hAnsi="宋体" w:cs="宋体"/>
          <w:bCs/>
          <w:color w:val="auto"/>
          <w:sz w:val="24"/>
          <w:szCs w:val="24"/>
          <w:highlight w:val="none"/>
          <w:u w:val="single"/>
        </w:rPr>
        <w:t xml:space="preserve">                                                                                      </w:t>
      </w:r>
    </w:p>
    <w:p w14:paraId="20DA5F9A">
      <w:pPr>
        <w:pStyle w:val="24"/>
        <w:spacing w:line="440" w:lineRule="exact"/>
        <w:ind w:firstLine="480" w:firstLineChars="200"/>
        <w:rPr>
          <w:rFonts w:hAnsi="宋体" w:cs="宋体"/>
          <w:color w:val="auto"/>
          <w:sz w:val="24"/>
          <w:szCs w:val="24"/>
          <w:highlight w:val="none"/>
        </w:rPr>
      </w:pPr>
      <w:r>
        <w:rPr>
          <w:rFonts w:hint="eastAsia" w:hAnsi="宋体" w:cs="宋体"/>
          <w:bCs/>
          <w:color w:val="auto"/>
          <w:sz w:val="24"/>
          <w:szCs w:val="24"/>
          <w:highlight w:val="none"/>
          <w:u w:val="single"/>
        </w:rPr>
        <w:t>采购人/代理机构</w:t>
      </w:r>
      <w:r>
        <w:rPr>
          <w:rFonts w:hint="eastAsia" w:hAnsi="宋体" w:cs="宋体"/>
          <w:bCs/>
          <w:color w:val="auto"/>
          <w:sz w:val="24"/>
          <w:szCs w:val="24"/>
          <w:highlight w:val="none"/>
        </w:rPr>
        <w:t>于</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年</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月</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日，</w:t>
      </w:r>
      <w:r>
        <w:rPr>
          <w:rFonts w:hint="eastAsia" w:hAnsi="宋体" w:cs="宋体"/>
          <w:bCs/>
          <w:color w:val="auto"/>
          <w:sz w:val="24"/>
          <w:szCs w:val="24"/>
          <w:highlight w:val="none"/>
        </w:rPr>
        <w:t xml:space="preserve">就质疑事项作出了答复/没有在法定期限内作出答复。                                                                                             </w:t>
      </w:r>
    </w:p>
    <w:p w14:paraId="4197C78B">
      <w:pPr>
        <w:pStyle w:val="24"/>
        <w:spacing w:line="440" w:lineRule="exact"/>
        <w:ind w:left="25" w:leftChars="12" w:firstLine="472" w:firstLineChars="196"/>
        <w:rPr>
          <w:rFonts w:hAnsi="宋体" w:cs="宋体"/>
          <w:b/>
          <w:color w:val="auto"/>
          <w:sz w:val="24"/>
          <w:szCs w:val="24"/>
          <w:highlight w:val="none"/>
        </w:rPr>
      </w:pPr>
      <w:r>
        <w:rPr>
          <w:rFonts w:hint="eastAsia" w:hAnsi="宋体" w:cs="宋体"/>
          <w:b/>
          <w:color w:val="auto"/>
          <w:sz w:val="24"/>
          <w:szCs w:val="24"/>
          <w:highlight w:val="none"/>
        </w:rPr>
        <w:t>四、投诉事项具体内容</w:t>
      </w:r>
    </w:p>
    <w:p w14:paraId="450A6D04">
      <w:pPr>
        <w:pStyle w:val="24"/>
        <w:spacing w:line="440" w:lineRule="exact"/>
        <w:ind w:left="25" w:leftChars="12" w:firstLine="472" w:firstLineChars="197"/>
        <w:rPr>
          <w:rFonts w:hAnsi="宋体" w:cs="宋体"/>
          <w:bCs/>
          <w:color w:val="auto"/>
          <w:sz w:val="24"/>
          <w:szCs w:val="24"/>
          <w:highlight w:val="none"/>
          <w:u w:val="single"/>
        </w:rPr>
      </w:pPr>
      <w:r>
        <w:rPr>
          <w:rFonts w:hint="eastAsia" w:hAnsi="宋体" w:cs="宋体"/>
          <w:color w:val="auto"/>
          <w:sz w:val="24"/>
          <w:szCs w:val="24"/>
          <w:highlight w:val="none"/>
        </w:rPr>
        <w:t>投诉事项1：</w:t>
      </w:r>
      <w:r>
        <w:rPr>
          <w:rFonts w:hint="eastAsia" w:hAnsi="宋体" w:cs="宋体"/>
          <w:bCs/>
          <w:color w:val="auto"/>
          <w:sz w:val="24"/>
          <w:szCs w:val="24"/>
          <w:highlight w:val="none"/>
          <w:u w:val="single"/>
        </w:rPr>
        <w:t xml:space="preserve">                                                                           </w:t>
      </w:r>
    </w:p>
    <w:p w14:paraId="15D735B4">
      <w:pPr>
        <w:pStyle w:val="24"/>
        <w:spacing w:line="440" w:lineRule="exact"/>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事实依据：</w:t>
      </w:r>
      <w:r>
        <w:rPr>
          <w:rFonts w:hint="eastAsia" w:hAnsi="宋体" w:cs="宋体"/>
          <w:color w:val="auto"/>
          <w:sz w:val="24"/>
          <w:szCs w:val="24"/>
          <w:highlight w:val="none"/>
        </w:rPr>
        <w:t xml:space="preserve"> </w:t>
      </w:r>
      <w:r>
        <w:rPr>
          <w:rFonts w:hint="eastAsia" w:hAnsi="宋体" w:cs="宋体"/>
          <w:bCs/>
          <w:color w:val="auto"/>
          <w:sz w:val="24"/>
          <w:szCs w:val="24"/>
          <w:highlight w:val="none"/>
          <w:u w:val="single"/>
        </w:rPr>
        <w:t xml:space="preserve">                                                                                      </w:t>
      </w:r>
    </w:p>
    <w:p w14:paraId="04F9A403">
      <w:pPr>
        <w:pStyle w:val="24"/>
        <w:spacing w:line="440" w:lineRule="exact"/>
        <w:ind w:left="25" w:leftChars="12" w:firstLine="472" w:firstLineChars="197"/>
        <w:rPr>
          <w:rFonts w:hAnsi="宋体" w:cs="宋体"/>
          <w:color w:val="auto"/>
          <w:sz w:val="24"/>
          <w:szCs w:val="24"/>
          <w:highlight w:val="none"/>
        </w:rPr>
      </w:pPr>
      <w:r>
        <w:rPr>
          <w:rFonts w:hint="eastAsia" w:hAnsi="宋体" w:cs="宋体"/>
          <w:bCs/>
          <w:color w:val="auto"/>
          <w:sz w:val="24"/>
          <w:szCs w:val="24"/>
          <w:highlight w:val="none"/>
          <w:u w:val="single"/>
        </w:rPr>
        <w:t xml:space="preserve">                                                                                        </w:t>
      </w:r>
    </w:p>
    <w:p w14:paraId="368029C8">
      <w:pPr>
        <w:pStyle w:val="24"/>
        <w:spacing w:line="440" w:lineRule="exact"/>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法律依据：</w:t>
      </w:r>
      <w:r>
        <w:rPr>
          <w:rFonts w:hint="eastAsia" w:hAnsi="宋体" w:cs="宋体"/>
          <w:color w:val="auto"/>
          <w:sz w:val="24"/>
          <w:szCs w:val="24"/>
          <w:highlight w:val="none"/>
        </w:rPr>
        <w:t xml:space="preserve"> </w:t>
      </w:r>
      <w:r>
        <w:rPr>
          <w:rFonts w:hint="eastAsia" w:hAnsi="宋体" w:cs="宋体"/>
          <w:bCs/>
          <w:color w:val="auto"/>
          <w:sz w:val="24"/>
          <w:szCs w:val="24"/>
          <w:highlight w:val="none"/>
          <w:u w:val="single"/>
        </w:rPr>
        <w:t xml:space="preserve">                                                                                      </w:t>
      </w:r>
    </w:p>
    <w:p w14:paraId="23CA28B9">
      <w:pPr>
        <w:pStyle w:val="24"/>
        <w:spacing w:line="440" w:lineRule="exact"/>
        <w:ind w:left="25" w:leftChars="12" w:firstLine="352" w:firstLineChars="147"/>
        <w:rPr>
          <w:rFonts w:hAnsi="宋体" w:cs="宋体"/>
          <w:bCs/>
          <w:color w:val="auto"/>
          <w:sz w:val="24"/>
          <w:szCs w:val="24"/>
          <w:highlight w:val="none"/>
          <w:u w:val="single"/>
        </w:rPr>
      </w:pPr>
      <w:r>
        <w:rPr>
          <w:rFonts w:hint="eastAsia" w:hAnsi="宋体" w:cs="宋体"/>
          <w:bCs/>
          <w:color w:val="auto"/>
          <w:sz w:val="24"/>
          <w:szCs w:val="24"/>
          <w:highlight w:val="none"/>
        </w:rPr>
        <w:t xml:space="preserve"> </w:t>
      </w:r>
      <w:r>
        <w:rPr>
          <w:rFonts w:hint="eastAsia" w:hAnsi="宋体" w:cs="宋体"/>
          <w:bCs/>
          <w:color w:val="auto"/>
          <w:sz w:val="24"/>
          <w:szCs w:val="24"/>
          <w:highlight w:val="none"/>
          <w:u w:val="single"/>
        </w:rPr>
        <w:t xml:space="preserve">                                                                                        </w:t>
      </w:r>
    </w:p>
    <w:p w14:paraId="609C8DEA">
      <w:pPr>
        <w:pStyle w:val="24"/>
        <w:spacing w:line="440" w:lineRule="exact"/>
        <w:ind w:left="25" w:leftChars="12" w:firstLine="472" w:firstLineChars="197"/>
        <w:rPr>
          <w:rFonts w:hAnsi="宋体" w:cs="宋体"/>
          <w:bCs/>
          <w:color w:val="auto"/>
          <w:sz w:val="24"/>
          <w:szCs w:val="24"/>
          <w:highlight w:val="none"/>
        </w:rPr>
      </w:pPr>
      <w:r>
        <w:rPr>
          <w:rFonts w:hint="eastAsia" w:hAnsi="宋体" w:cs="宋体"/>
          <w:color w:val="auto"/>
          <w:sz w:val="24"/>
          <w:szCs w:val="24"/>
          <w:highlight w:val="none"/>
        </w:rPr>
        <w:t xml:space="preserve">投诉事项2  </w:t>
      </w:r>
      <w:r>
        <w:rPr>
          <w:rFonts w:hint="eastAsia" w:hAnsi="宋体" w:cs="宋体"/>
          <w:bCs/>
          <w:color w:val="auto"/>
          <w:sz w:val="24"/>
          <w:szCs w:val="24"/>
          <w:highlight w:val="none"/>
        </w:rPr>
        <w:t xml:space="preserve">   </w:t>
      </w:r>
    </w:p>
    <w:p w14:paraId="3632B283">
      <w:pPr>
        <w:pStyle w:val="24"/>
        <w:spacing w:line="440" w:lineRule="exact"/>
        <w:ind w:left="25" w:leftChars="12" w:firstLine="472" w:firstLineChars="197"/>
        <w:rPr>
          <w:rFonts w:hAnsi="宋体" w:cs="宋体"/>
          <w:bCs/>
          <w:color w:val="auto"/>
          <w:sz w:val="24"/>
          <w:szCs w:val="24"/>
          <w:highlight w:val="none"/>
        </w:rPr>
      </w:pPr>
      <w:r>
        <w:rPr>
          <w:rFonts w:hint="eastAsia" w:hAnsi="宋体" w:cs="宋体"/>
          <w:bCs/>
          <w:color w:val="auto"/>
          <w:sz w:val="24"/>
          <w:szCs w:val="24"/>
          <w:highlight w:val="none"/>
        </w:rPr>
        <w:t>……</w:t>
      </w:r>
    </w:p>
    <w:p w14:paraId="30B87F98">
      <w:pPr>
        <w:pStyle w:val="24"/>
        <w:spacing w:line="440" w:lineRule="exact"/>
        <w:ind w:left="25" w:leftChars="12" w:firstLine="472" w:firstLineChars="196"/>
        <w:rPr>
          <w:rFonts w:hAnsi="宋体" w:cs="宋体"/>
          <w:b/>
          <w:color w:val="auto"/>
          <w:sz w:val="24"/>
          <w:szCs w:val="24"/>
          <w:highlight w:val="none"/>
        </w:rPr>
      </w:pPr>
      <w:r>
        <w:rPr>
          <w:rFonts w:hint="eastAsia" w:hAnsi="宋体" w:cs="宋体"/>
          <w:b/>
          <w:color w:val="auto"/>
          <w:sz w:val="24"/>
          <w:szCs w:val="24"/>
          <w:highlight w:val="none"/>
        </w:rPr>
        <w:t>五、与投诉事项相关的投诉请求：</w:t>
      </w:r>
    </w:p>
    <w:p w14:paraId="47311DC6">
      <w:pPr>
        <w:pStyle w:val="24"/>
        <w:spacing w:line="440" w:lineRule="exact"/>
        <w:ind w:left="25" w:leftChars="12" w:firstLine="472" w:firstLineChars="197"/>
        <w:rPr>
          <w:rFonts w:hAnsi="宋体" w:cs="宋体"/>
          <w:color w:val="auto"/>
          <w:sz w:val="24"/>
          <w:szCs w:val="24"/>
          <w:highlight w:val="none"/>
        </w:rPr>
      </w:pPr>
      <w:r>
        <w:rPr>
          <w:rFonts w:hint="eastAsia" w:hAnsi="宋体" w:cs="宋体"/>
          <w:color w:val="auto"/>
          <w:sz w:val="24"/>
          <w:szCs w:val="24"/>
          <w:highlight w:val="none"/>
        </w:rPr>
        <w:t>请求：</w:t>
      </w:r>
      <w:r>
        <w:rPr>
          <w:rFonts w:hint="eastAsia" w:hAnsi="宋体" w:cs="宋体"/>
          <w:bCs/>
          <w:color w:val="auto"/>
          <w:sz w:val="24"/>
          <w:szCs w:val="24"/>
          <w:highlight w:val="none"/>
          <w:u w:val="single"/>
        </w:rPr>
        <w:t xml:space="preserve">                                                                                 </w:t>
      </w:r>
    </w:p>
    <w:p w14:paraId="2528F5DF">
      <w:pPr>
        <w:pStyle w:val="24"/>
        <w:spacing w:line="440" w:lineRule="exact"/>
        <w:ind w:left="25" w:leftChars="12" w:firstLine="352" w:firstLineChars="147"/>
        <w:rPr>
          <w:rFonts w:hAnsi="宋体" w:cs="宋体"/>
          <w:color w:val="auto"/>
          <w:sz w:val="24"/>
          <w:szCs w:val="24"/>
          <w:highlight w:val="none"/>
        </w:rPr>
      </w:pPr>
    </w:p>
    <w:p w14:paraId="2F0AE64B">
      <w:pPr>
        <w:pStyle w:val="24"/>
        <w:spacing w:line="360" w:lineRule="auto"/>
        <w:ind w:left="25" w:leftChars="12" w:firstLine="4792" w:firstLineChars="1997"/>
        <w:rPr>
          <w:rFonts w:hAnsi="宋体" w:cs="宋体"/>
          <w:color w:val="auto"/>
          <w:sz w:val="24"/>
          <w:szCs w:val="24"/>
          <w:highlight w:val="none"/>
        </w:rPr>
      </w:pPr>
      <w:r>
        <w:rPr>
          <w:rFonts w:hint="eastAsia" w:hAnsi="宋体" w:cs="宋体"/>
          <w:color w:val="auto"/>
          <w:sz w:val="24"/>
          <w:szCs w:val="24"/>
          <w:highlight w:val="none"/>
        </w:rPr>
        <w:t>签 字（签章）：</w:t>
      </w:r>
      <w:r>
        <w:rPr>
          <w:rFonts w:hint="eastAsia" w:hAnsi="宋体" w:cs="宋体"/>
          <w:color w:val="auto"/>
          <w:sz w:val="24"/>
          <w:szCs w:val="24"/>
          <w:highlight w:val="none"/>
          <w:u w:val="single"/>
        </w:rPr>
        <w:t xml:space="preserve"> </w:t>
      </w:r>
      <w:r>
        <w:rPr>
          <w:rFonts w:hAnsi="宋体" w:cs="宋体"/>
          <w:color w:val="auto"/>
          <w:sz w:val="24"/>
          <w:szCs w:val="24"/>
          <w:highlight w:val="none"/>
          <w:u w:val="single"/>
        </w:rPr>
        <w:t xml:space="preserve">          </w:t>
      </w:r>
      <w:r>
        <w:rPr>
          <w:rFonts w:hint="eastAsia" w:hAnsi="宋体" w:cs="宋体"/>
          <w:color w:val="auto"/>
          <w:sz w:val="24"/>
          <w:szCs w:val="24"/>
          <w:highlight w:val="none"/>
        </w:rPr>
        <w:t xml:space="preserve">                                 </w:t>
      </w:r>
    </w:p>
    <w:p w14:paraId="212AEE6F">
      <w:pPr>
        <w:pStyle w:val="24"/>
        <w:spacing w:line="360" w:lineRule="auto"/>
        <w:ind w:left="25" w:leftChars="12" w:firstLine="4792" w:firstLineChars="1997"/>
        <w:rPr>
          <w:rFonts w:hAnsi="宋体" w:cs="宋体"/>
          <w:color w:val="auto"/>
          <w:sz w:val="24"/>
          <w:szCs w:val="24"/>
          <w:highlight w:val="none"/>
          <w:u w:val="single"/>
        </w:rPr>
      </w:pPr>
      <w:r>
        <w:rPr>
          <w:rFonts w:hint="eastAsia" w:hAnsi="宋体" w:cs="宋体"/>
          <w:color w:val="auto"/>
          <w:sz w:val="24"/>
          <w:szCs w:val="24"/>
          <w:highlight w:val="none"/>
        </w:rPr>
        <w:t>公 章：</w:t>
      </w:r>
      <w:r>
        <w:rPr>
          <w:rFonts w:hint="eastAsia" w:hAnsi="宋体" w:cs="宋体"/>
          <w:color w:val="auto"/>
          <w:sz w:val="24"/>
          <w:szCs w:val="24"/>
          <w:highlight w:val="none"/>
          <w:u w:val="single"/>
        </w:rPr>
        <w:t xml:space="preserve"> </w:t>
      </w:r>
      <w:r>
        <w:rPr>
          <w:rFonts w:hAnsi="宋体" w:cs="宋体"/>
          <w:color w:val="auto"/>
          <w:sz w:val="24"/>
          <w:szCs w:val="24"/>
          <w:highlight w:val="none"/>
          <w:u w:val="single"/>
        </w:rPr>
        <w:t xml:space="preserve">               </w:t>
      </w:r>
    </w:p>
    <w:p w14:paraId="12E5DDFC">
      <w:pPr>
        <w:spacing w:line="360" w:lineRule="auto"/>
        <w:ind w:firstLine="4800" w:firstLineChars="2000"/>
        <w:contextualSpacing/>
        <w:rPr>
          <w:rFonts w:ascii="宋体" w:hAnsi="宋体" w:cs="宋体"/>
          <w:color w:val="auto"/>
          <w:sz w:val="24"/>
          <w:szCs w:val="20"/>
          <w:highlight w:val="none"/>
        </w:rPr>
      </w:pPr>
      <w:r>
        <w:rPr>
          <w:rFonts w:hint="eastAsia" w:hAnsi="宋体" w:cs="宋体"/>
          <w:color w:val="auto"/>
          <w:sz w:val="24"/>
          <w:highlight w:val="none"/>
        </w:rPr>
        <w:t>日 期：</w:t>
      </w:r>
      <w:r>
        <w:rPr>
          <w:rFonts w:hint="eastAsia" w:ascii="黑体" w:hAnsi="黑体" w:eastAsia="黑体" w:cs="宋体"/>
          <w:b/>
          <w:color w:val="auto"/>
          <w:spacing w:val="20"/>
          <w:sz w:val="24"/>
          <w:highlight w:val="none"/>
          <w:u w:val="single"/>
        </w:rPr>
        <w:t xml:space="preserve"> </w:t>
      </w:r>
      <w:r>
        <w:rPr>
          <w:rFonts w:ascii="黑体" w:hAnsi="黑体" w:eastAsia="黑体" w:cs="宋体"/>
          <w:b/>
          <w:color w:val="auto"/>
          <w:spacing w:val="20"/>
          <w:sz w:val="24"/>
          <w:highlight w:val="none"/>
          <w:u w:val="single"/>
        </w:rPr>
        <w:t xml:space="preserve">  </w:t>
      </w:r>
      <w:r>
        <w:rPr>
          <w:rFonts w:hint="eastAsia" w:ascii="黑体" w:hAnsi="黑体" w:eastAsia="黑体" w:cs="宋体"/>
          <w:b/>
          <w:color w:val="auto"/>
          <w:spacing w:val="20"/>
          <w:sz w:val="24"/>
          <w:highlight w:val="none"/>
          <w:u w:val="single"/>
        </w:rPr>
        <w:t xml:space="preserve">  </w:t>
      </w:r>
      <w:r>
        <w:rPr>
          <w:rFonts w:hint="eastAsia" w:ascii="黑体" w:hAnsi="黑体" w:eastAsia="黑体" w:cs="宋体"/>
          <w:color w:val="auto"/>
          <w:spacing w:val="20"/>
          <w:sz w:val="24"/>
          <w:highlight w:val="none"/>
        </w:rPr>
        <w:t>年</w:t>
      </w:r>
      <w:r>
        <w:rPr>
          <w:rFonts w:ascii="黑体" w:hAnsi="黑体" w:eastAsia="黑体" w:cs="宋体"/>
          <w:color w:val="auto"/>
          <w:spacing w:val="20"/>
          <w:sz w:val="24"/>
          <w:highlight w:val="none"/>
          <w:u w:val="single"/>
        </w:rPr>
        <w:t xml:space="preserve">  </w:t>
      </w:r>
      <w:r>
        <w:rPr>
          <w:rFonts w:hint="eastAsia" w:ascii="黑体" w:hAnsi="黑体" w:eastAsia="黑体" w:cs="宋体"/>
          <w:color w:val="auto"/>
          <w:spacing w:val="20"/>
          <w:sz w:val="24"/>
          <w:highlight w:val="none"/>
        </w:rPr>
        <w:t>月</w:t>
      </w:r>
      <w:r>
        <w:rPr>
          <w:rFonts w:ascii="黑体" w:hAnsi="黑体" w:eastAsia="黑体" w:cs="宋体"/>
          <w:color w:val="auto"/>
          <w:spacing w:val="20"/>
          <w:sz w:val="24"/>
          <w:highlight w:val="none"/>
          <w:u w:val="single"/>
        </w:rPr>
        <w:t xml:space="preserve">  </w:t>
      </w:r>
      <w:r>
        <w:rPr>
          <w:rFonts w:hint="eastAsia" w:cs="宋体" w:asciiTheme="minorEastAsia" w:hAnsiTheme="minorEastAsia" w:eastAsiaTheme="minorEastAsia"/>
          <w:color w:val="auto"/>
          <w:spacing w:val="20"/>
          <w:sz w:val="24"/>
          <w:highlight w:val="none"/>
        </w:rPr>
        <w:t>日</w:t>
      </w:r>
    </w:p>
    <w:p w14:paraId="68A45EA9">
      <w:pPr>
        <w:pStyle w:val="24"/>
        <w:spacing w:line="440" w:lineRule="exact"/>
        <w:ind w:left="25" w:leftChars="12" w:firstLine="472" w:firstLineChars="197"/>
        <w:rPr>
          <w:rFonts w:hAnsi="宋体" w:cs="宋体"/>
          <w:color w:val="auto"/>
          <w:sz w:val="24"/>
          <w:szCs w:val="24"/>
          <w:highlight w:val="none"/>
        </w:rPr>
      </w:pPr>
      <w:r>
        <w:rPr>
          <w:rFonts w:hint="eastAsia" w:hAnsi="宋体" w:cs="宋体"/>
          <w:bCs/>
          <w:color w:val="auto"/>
          <w:sz w:val="24"/>
          <w:szCs w:val="24"/>
          <w:highlight w:val="none"/>
        </w:rPr>
        <w:t xml:space="preserve">                                                                              </w:t>
      </w:r>
    </w:p>
    <w:p w14:paraId="42233337">
      <w:pPr>
        <w:pStyle w:val="24"/>
        <w:snapToGrid w:val="0"/>
        <w:spacing w:line="440" w:lineRule="exact"/>
        <w:rPr>
          <w:rFonts w:ascii="楷体" w:hAnsi="楷体" w:eastAsia="楷体" w:cs="宋体"/>
          <w:b/>
          <w:color w:val="auto"/>
          <w:sz w:val="24"/>
          <w:szCs w:val="24"/>
          <w:highlight w:val="none"/>
        </w:rPr>
      </w:pPr>
      <w:r>
        <w:rPr>
          <w:rFonts w:hint="eastAsia" w:ascii="楷体" w:hAnsi="楷体" w:eastAsia="楷体" w:cs="宋体"/>
          <w:b/>
          <w:color w:val="auto"/>
          <w:sz w:val="24"/>
          <w:szCs w:val="24"/>
          <w:highlight w:val="none"/>
        </w:rPr>
        <w:t>说明：</w:t>
      </w:r>
    </w:p>
    <w:p w14:paraId="311543DF">
      <w:pPr>
        <w:pStyle w:val="24"/>
        <w:spacing w:line="440" w:lineRule="exact"/>
        <w:ind w:left="25" w:leftChars="12" w:firstLine="354" w:firstLineChars="147"/>
        <w:rPr>
          <w:rFonts w:ascii="楷体" w:hAnsi="楷体" w:eastAsia="楷体" w:cs="宋体"/>
          <w:b/>
          <w:bCs/>
          <w:color w:val="auto"/>
          <w:sz w:val="24"/>
          <w:szCs w:val="24"/>
          <w:highlight w:val="none"/>
        </w:rPr>
      </w:pPr>
      <w:r>
        <w:rPr>
          <w:rFonts w:ascii="楷体" w:hAnsi="楷体" w:eastAsia="楷体" w:cs="宋体"/>
          <w:b/>
          <w:color w:val="auto"/>
          <w:sz w:val="24"/>
          <w:szCs w:val="24"/>
          <w:highlight w:val="none"/>
        </w:rPr>
        <w:t>1.投诉人提起投诉时，应当提交投诉书和必要的证明材料，并按照被投诉人和与投诉事项有关的供应商数量提供投诉书副本</w:t>
      </w:r>
      <w:r>
        <w:rPr>
          <w:rFonts w:hint="eastAsia" w:ascii="楷体" w:hAnsi="楷体" w:eastAsia="楷体" w:cs="宋体"/>
          <w:b/>
          <w:bCs/>
          <w:color w:val="auto"/>
          <w:sz w:val="24"/>
          <w:szCs w:val="24"/>
          <w:highlight w:val="none"/>
        </w:rPr>
        <w:t>。</w:t>
      </w:r>
    </w:p>
    <w:p w14:paraId="423BE712">
      <w:pPr>
        <w:pStyle w:val="24"/>
        <w:spacing w:line="440" w:lineRule="exact"/>
        <w:ind w:left="25" w:leftChars="12" w:firstLine="354" w:firstLineChars="147"/>
        <w:rPr>
          <w:rFonts w:ascii="楷体" w:hAnsi="楷体" w:eastAsia="楷体" w:cs="宋体"/>
          <w:b/>
          <w:color w:val="auto"/>
          <w:sz w:val="24"/>
          <w:szCs w:val="24"/>
          <w:highlight w:val="none"/>
        </w:rPr>
      </w:pPr>
      <w:r>
        <w:rPr>
          <w:rFonts w:ascii="楷体" w:hAnsi="楷体" w:eastAsia="楷体" w:cs="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4471B4CC">
      <w:pPr>
        <w:pStyle w:val="24"/>
        <w:spacing w:line="440" w:lineRule="exact"/>
        <w:ind w:left="25" w:leftChars="12" w:firstLine="354" w:firstLineChars="147"/>
        <w:rPr>
          <w:rFonts w:ascii="楷体" w:hAnsi="楷体" w:eastAsia="楷体" w:cs="宋体"/>
          <w:b/>
          <w:color w:val="auto"/>
          <w:sz w:val="24"/>
          <w:szCs w:val="24"/>
          <w:highlight w:val="none"/>
        </w:rPr>
      </w:pPr>
      <w:r>
        <w:rPr>
          <w:rFonts w:ascii="楷体" w:hAnsi="楷体" w:eastAsia="楷体" w:cs="宋体"/>
          <w:b/>
          <w:color w:val="auto"/>
          <w:sz w:val="24"/>
          <w:szCs w:val="24"/>
          <w:highlight w:val="none"/>
        </w:rPr>
        <w:t>3.投诉书应简要列明质疑事项，质疑函、质疑答复等作为附件材料提供。</w:t>
      </w:r>
    </w:p>
    <w:p w14:paraId="5A455391">
      <w:pPr>
        <w:pStyle w:val="24"/>
        <w:spacing w:line="440" w:lineRule="exact"/>
        <w:ind w:left="25" w:leftChars="12" w:firstLine="354" w:firstLineChars="147"/>
        <w:rPr>
          <w:rFonts w:ascii="楷体" w:hAnsi="楷体" w:eastAsia="楷体" w:cs="宋体"/>
          <w:b/>
          <w:color w:val="auto"/>
          <w:sz w:val="24"/>
          <w:szCs w:val="24"/>
          <w:highlight w:val="none"/>
        </w:rPr>
      </w:pPr>
      <w:r>
        <w:rPr>
          <w:rFonts w:ascii="楷体" w:hAnsi="楷体" w:eastAsia="楷体" w:cs="宋体"/>
          <w:b/>
          <w:color w:val="auto"/>
          <w:sz w:val="24"/>
          <w:szCs w:val="24"/>
          <w:highlight w:val="none"/>
        </w:rPr>
        <w:t>4.投诉书的投诉事项应具体、明确，并有必要的事实依据和法律依据。</w:t>
      </w:r>
    </w:p>
    <w:p w14:paraId="6867B9E9">
      <w:pPr>
        <w:pStyle w:val="24"/>
        <w:spacing w:line="440" w:lineRule="exact"/>
        <w:ind w:left="25" w:leftChars="12" w:firstLine="354" w:firstLineChars="147"/>
        <w:rPr>
          <w:rFonts w:ascii="楷体" w:hAnsi="楷体" w:eastAsia="楷体" w:cs="宋体"/>
          <w:b/>
          <w:color w:val="auto"/>
          <w:sz w:val="24"/>
          <w:szCs w:val="24"/>
          <w:highlight w:val="none"/>
        </w:rPr>
      </w:pPr>
      <w:r>
        <w:rPr>
          <w:rFonts w:ascii="楷体" w:hAnsi="楷体" w:eastAsia="楷体" w:cs="宋体"/>
          <w:b/>
          <w:color w:val="auto"/>
          <w:sz w:val="24"/>
          <w:szCs w:val="24"/>
          <w:highlight w:val="none"/>
        </w:rPr>
        <w:t>5.投诉书的投诉请求应与投诉事项相关。</w:t>
      </w:r>
    </w:p>
    <w:p w14:paraId="2F9F1501">
      <w:pPr>
        <w:pStyle w:val="24"/>
        <w:spacing w:line="440" w:lineRule="exact"/>
        <w:ind w:left="25" w:leftChars="12" w:firstLine="354" w:firstLineChars="147"/>
        <w:rPr>
          <w:rFonts w:ascii="楷体" w:hAnsi="楷体" w:eastAsia="楷体" w:cs="宋体"/>
          <w:b/>
          <w:color w:val="auto"/>
          <w:highlight w:val="none"/>
        </w:rPr>
      </w:pPr>
      <w:r>
        <w:rPr>
          <w:rFonts w:ascii="楷体" w:hAnsi="楷体" w:eastAsia="楷体" w:cs="宋体"/>
          <w:b/>
          <w:color w:val="auto"/>
          <w:sz w:val="24"/>
          <w:szCs w:val="24"/>
          <w:highlight w:val="none"/>
        </w:rPr>
        <w:t>6.投诉人为法人或者其他组织的，投诉书应由法定代表人、主要负责人，或者其授权代表签字或者盖章，并加盖公章。</w:t>
      </w:r>
    </w:p>
    <w:sectPr>
      <w:footerReference r:id="rId12" w:type="first"/>
      <w:headerReference r:id="rId9" w:type="default"/>
      <w:footerReference r:id="rId10" w:type="default"/>
      <w:footerReference r:id="rId11" w:type="even"/>
      <w:pgSz w:w="11906" w:h="16838"/>
      <w:pgMar w:top="1417" w:right="1417" w:bottom="1417" w:left="1417" w:header="720" w:footer="720" w:gutter="0"/>
      <w:cols w:space="0" w:num="1"/>
      <w:docGrid w:type="lines" w:linePitch="33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ACAC513-3C8D-4944-A42F-B889819CC92B}"/>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81D66F2B-0E26-4B81-AC62-6A5140980C8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A2C97A87-19D5-422B-9056-D220E28A64F6}"/>
  </w:font>
  <w:font w:name="仿宋_GB2312">
    <w:panose1 w:val="02010609030101010101"/>
    <w:charset w:val="86"/>
    <w:family w:val="modern"/>
    <w:pitch w:val="default"/>
    <w:sig w:usb0="00000001" w:usb1="080E0000" w:usb2="00000000" w:usb3="00000000" w:csb0="00040000" w:csb1="00000000"/>
    <w:embedRegular r:id="rId4" w:fontKey="{8D5DD38B-D655-40B2-8046-7E37C39C81BB}"/>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embedRegular r:id="rId5" w:fontKey="{2BD18BA5-9DC2-4069-B24F-3FF94BC1A955}"/>
  </w:font>
  <w:font w:name="Tahoma">
    <w:panose1 w:val="020B0604030504040204"/>
    <w:charset w:val="00"/>
    <w:family w:val="swiss"/>
    <w:pitch w:val="default"/>
    <w:sig w:usb0="E1002EFF" w:usb1="C000605B" w:usb2="00000029" w:usb3="00000000" w:csb0="200101FF" w:csb1="20280000"/>
  </w:font>
  <w:font w:name="Century">
    <w:altName w:val="Times New Roman"/>
    <w:panose1 w:val="02040603050705020303"/>
    <w:charset w:val="00"/>
    <w:family w:val="roman"/>
    <w:pitch w:val="default"/>
    <w:sig w:usb0="00000000" w:usb1="00000000" w:usb2="00000000" w:usb3="00000000" w:csb0="0000009F" w:csb1="00000000"/>
  </w:font>
  <w:font w:name="_x000B__x000C_">
    <w:altName w:val="Times New Roman"/>
    <w:panose1 w:val="00000000000000000000"/>
    <w:charset w:val="00"/>
    <w:family w:val="roman"/>
    <w:pitch w:val="default"/>
    <w:sig w:usb0="00000000" w:usb1="00000000" w:usb2="00000000" w:usb3="00000000" w:csb0="00040001" w:csb1="00000000"/>
  </w:font>
  <w:font w:name="方正书宋_GBK">
    <w:altName w:val="微软雅黑"/>
    <w:panose1 w:val="00000000000000000000"/>
    <w:charset w:val="86"/>
    <w:family w:val="auto"/>
    <w:pitch w:val="default"/>
    <w:sig w:usb0="00000000" w:usb1="00000000" w:usb2="00082016" w:usb3="00000000" w:csb0="00040001" w:csb1="00000000"/>
  </w:font>
  <w:font w:name="方正小标宋简体">
    <w:panose1 w:val="02000000000000000000"/>
    <w:charset w:val="86"/>
    <w:family w:val="auto"/>
    <w:pitch w:val="default"/>
    <w:sig w:usb0="00000001" w:usb1="08000000" w:usb2="00000000" w:usb3="00000000" w:csb0="00040000" w:csb1="00000000"/>
    <w:embedRegular r:id="rId6" w:fontKey="{45BD302A-4E3F-4602-BC14-2084E703616F}"/>
  </w:font>
  <w:font w:name="楷体">
    <w:panose1 w:val="02010609060101010101"/>
    <w:charset w:val="86"/>
    <w:family w:val="modern"/>
    <w:pitch w:val="default"/>
    <w:sig w:usb0="800002BF" w:usb1="38CF7CFA" w:usb2="00000016" w:usb3="00000000" w:csb0="00040001" w:csb1="00000000"/>
    <w:embedRegular r:id="rId7" w:fontKey="{9322611D-2B8C-4A69-9F9C-E6209CBB06D4}"/>
  </w:font>
  <w:font w:name="Segoe UI Symbol">
    <w:panose1 w:val="020B0502040204020203"/>
    <w:charset w:val="00"/>
    <w:family w:val="swiss"/>
    <w:pitch w:val="default"/>
    <w:sig w:usb0="800001E3" w:usb1="1200FFEF" w:usb2="00040000" w:usb3="04000000" w:csb0="00000001" w:csb1="40000000"/>
    <w:embedRegular r:id="rId8" w:fontKey="{E0ADB8D9-5310-4F0C-8BC5-9FDD0D52B506}"/>
  </w:font>
  <w:font w:name="微软雅黑">
    <w:panose1 w:val="020B0503020204020204"/>
    <w:charset w:val="86"/>
    <w:family w:val="swiss"/>
    <w:pitch w:val="default"/>
    <w:sig w:usb0="80000287" w:usb1="2ACF3C50" w:usb2="00000016" w:usb3="00000000" w:csb0="0004001F" w:csb1="00000000"/>
    <w:embedRegular r:id="rId9" w:fontKey="{0CA84449-C272-4FA4-86C8-A6FC0A8EE7AE}"/>
  </w:font>
  <w:font w:name="仿宋">
    <w:panose1 w:val="02010609060101010101"/>
    <w:charset w:val="86"/>
    <w:family w:val="modern"/>
    <w:pitch w:val="default"/>
    <w:sig w:usb0="800002BF" w:usb1="38CF7CFA" w:usb2="00000016" w:usb3="00000000" w:csb0="00040001" w:csb1="00000000"/>
    <w:embedRegular r:id="rId10" w:fontKey="{93FCE716-DB03-461E-96BA-D3D10918A8AD}"/>
  </w:font>
  <w:font w:name="Segoe UI Emoji">
    <w:panose1 w:val="020B0502040204020203"/>
    <w:charset w:val="00"/>
    <w:family w:val="swiss"/>
    <w:pitch w:val="default"/>
    <w:sig w:usb0="00000001" w:usb1="02000000" w:usb2="00000000" w:usb3="00000000" w:csb0="00000001" w:csb1="00000000"/>
    <w:embedRegular r:id="rId11" w:fontKey="{71327F94-A444-4C1A-A1E1-4AAEFB6A0D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D4DC4F">
    <w:pPr>
      <w:pStyle w:val="3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9F35EC">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109F35EC">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C9C142">
    <w:pPr>
      <w:pStyle w:val="3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BF609C">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3CBF609C">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65D0F">
    <w:pPr>
      <w:pStyle w:val="3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937FBA">
                          <w:pPr>
                            <w:pStyle w:val="30"/>
                            <w:jc w:val="center"/>
                          </w:pPr>
                          <w:r>
                            <w:fldChar w:fldCharType="begin"/>
                          </w:r>
                          <w:r>
                            <w:instrText xml:space="preserve"> PAGE   \* MERGEFORMAT </w:instrText>
                          </w:r>
                          <w:r>
                            <w:fldChar w:fldCharType="separate"/>
                          </w:r>
                          <w:r>
                            <w:rPr>
                              <w:lang w:val="zh-CN"/>
                            </w:rPr>
                            <w:t>76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25937FBA">
                    <w:pPr>
                      <w:pStyle w:val="30"/>
                      <w:jc w:val="center"/>
                    </w:pPr>
                    <w:r>
                      <w:fldChar w:fldCharType="begin"/>
                    </w:r>
                    <w:r>
                      <w:instrText xml:space="preserve"> PAGE   \* MERGEFORMAT </w:instrText>
                    </w:r>
                    <w:r>
                      <w:fldChar w:fldCharType="separate"/>
                    </w:r>
                    <w:r>
                      <w:rPr>
                        <w:lang w:val="zh-CN"/>
                      </w:rPr>
                      <w:t>76</w:t>
                    </w:r>
                    <w:r>
                      <w:fldChar w:fldCharType="end"/>
                    </w:r>
                  </w:p>
                </w:txbxContent>
              </v:textbox>
            </v:shape>
          </w:pict>
        </mc:Fallback>
      </mc:AlternateContent>
    </w:r>
  </w:p>
  <w:p w14:paraId="4605D418">
    <w:pPr>
      <w:pStyle w:val="3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B8CB9">
    <w:pPr>
      <w:pStyle w:val="30"/>
      <w:framePr w:wrap="around" w:vAnchor="text" w:hAnchor="margin" w:xAlign="center" w:y="1"/>
      <w:rPr>
        <w:rStyle w:val="51"/>
      </w:rPr>
    </w:pPr>
    <w:r>
      <w:fldChar w:fldCharType="begin"/>
    </w:r>
    <w:r>
      <w:rPr>
        <w:rStyle w:val="51"/>
      </w:rPr>
      <w:instrText xml:space="preserve">PAGE  </w:instrText>
    </w:r>
    <w:r>
      <w:fldChar w:fldCharType="end"/>
    </w:r>
  </w:p>
  <w:p w14:paraId="4B92E0BC">
    <w:pPr>
      <w:pStyle w:val="3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47769">
    <w:pPr>
      <w:pStyle w:val="3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518EC1">
                          <w:pPr>
                            <w:pStyle w:val="30"/>
                            <w:jc w:val="center"/>
                          </w:pPr>
                          <w:r>
                            <w:fldChar w:fldCharType="begin"/>
                          </w:r>
                          <w:r>
                            <w:instrText xml:space="preserve">PAGE   \* MERGEFORMAT</w:instrText>
                          </w:r>
                          <w:r>
                            <w:fldChar w:fldCharType="separate"/>
                          </w:r>
                          <w:r>
                            <w:rPr>
                              <w:lang w:val="zh-CN"/>
                            </w:rP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53518EC1">
                    <w:pPr>
                      <w:pStyle w:val="30"/>
                      <w:jc w:val="center"/>
                    </w:pPr>
                    <w:r>
                      <w:fldChar w:fldCharType="begin"/>
                    </w:r>
                    <w:r>
                      <w:instrText xml:space="preserve">PAGE   \* MERGEFORMAT</w:instrText>
                    </w:r>
                    <w:r>
                      <w:fldChar w:fldCharType="separate"/>
                    </w:r>
                    <w:r>
                      <w:rPr>
                        <w:lang w:val="zh-CN"/>
                      </w:rPr>
                      <w:t>13</w:t>
                    </w:r>
                    <w:r>
                      <w:fldChar w:fldCharType="end"/>
                    </w:r>
                  </w:p>
                </w:txbxContent>
              </v:textbox>
            </v:shape>
          </w:pict>
        </mc:Fallback>
      </mc:AlternateContent>
    </w:r>
  </w:p>
  <w:p w14:paraId="632E66AC">
    <w:pPr>
      <w:pStyle w:val="30"/>
      <w:ind w:right="360"/>
      <w:jc w:val="both"/>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BC584">
    <w:pPr>
      <w:pStyle w:val="3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36893A">
                          <w:pPr>
                            <w:pStyle w:val="30"/>
                            <w:jc w:val="center"/>
                          </w:pPr>
                          <w:r>
                            <w:fldChar w:fldCharType="begin"/>
                          </w:r>
                          <w:r>
                            <w:instrText xml:space="preserve"> PAGE   \* MERGEFORMAT </w:instrText>
                          </w:r>
                          <w:r>
                            <w:fldChar w:fldCharType="separate"/>
                          </w:r>
                          <w:r>
                            <w:rPr>
                              <w:lang w:val="zh-CN"/>
                            </w:rPr>
                            <w:t>130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2036893A">
                    <w:pPr>
                      <w:pStyle w:val="30"/>
                      <w:jc w:val="center"/>
                    </w:pPr>
                    <w:r>
                      <w:fldChar w:fldCharType="begin"/>
                    </w:r>
                    <w:r>
                      <w:instrText xml:space="preserve"> PAGE   \* MERGEFORMAT </w:instrText>
                    </w:r>
                    <w:r>
                      <w:fldChar w:fldCharType="separate"/>
                    </w:r>
                    <w:r>
                      <w:rPr>
                        <w:lang w:val="zh-CN"/>
                      </w:rPr>
                      <w:t>130</w:t>
                    </w:r>
                    <w:r>
                      <w:fldChar w:fldCharType="end"/>
                    </w:r>
                  </w:p>
                </w:txbxContent>
              </v:textbox>
            </v:shape>
          </w:pict>
        </mc:Fallback>
      </mc:AlternateContent>
    </w:r>
  </w:p>
  <w:p w14:paraId="343FAED1">
    <w:pPr>
      <w:pStyle w:val="3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E1760">
    <w:pPr>
      <w:pStyle w:val="30"/>
      <w:framePr w:wrap="around" w:vAnchor="text" w:hAnchor="margin" w:xAlign="center" w:y="1"/>
      <w:rPr>
        <w:rStyle w:val="51"/>
      </w:rPr>
    </w:pPr>
    <w:r>
      <w:fldChar w:fldCharType="begin"/>
    </w:r>
    <w:r>
      <w:rPr>
        <w:rStyle w:val="51"/>
      </w:rPr>
      <w:instrText xml:space="preserve">PAGE  </w:instrText>
    </w:r>
    <w:r>
      <w:fldChar w:fldCharType="end"/>
    </w:r>
  </w:p>
  <w:p w14:paraId="7EA7D61B">
    <w:pPr>
      <w:pStyle w:val="30"/>
    </w:pPr>
  </w:p>
  <w:p w14:paraId="66EEA355"/>
  <w:p w14:paraId="6E9A46C5"/>
  <w:p w14:paraId="02FE125D"/>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9FA46">
    <w:pPr>
      <w:pStyle w:val="30"/>
      <w:ind w:right="360"/>
      <w:jc w:val="both"/>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05A3A6">
                          <w:pPr>
                            <w:pStyle w:val="30"/>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6905A3A6">
                    <w:pPr>
                      <w:pStyle w:val="30"/>
                    </w:pPr>
                    <w:r>
                      <w:fldChar w:fldCharType="begin"/>
                    </w:r>
                    <w:r>
                      <w:instrText xml:space="preserve"> PAGE  \* MERGEFORMAT </w:instrText>
                    </w:r>
                    <w:r>
                      <w:fldChar w:fldCharType="separate"/>
                    </w:r>
                    <w:r>
                      <w:t>77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2CE48">
    <w:pPr>
      <w:pStyle w:val="3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9FBB8E">
    <w:pPr>
      <w:pStyle w:val="31"/>
      <w:pBdr>
        <w:bottom w:val="none" w:color="auto" w:sz="0" w:space="0"/>
      </w:pBdr>
    </w:pPr>
  </w:p>
  <w:p w14:paraId="5F38F73E"/>
  <w:p w14:paraId="0705F968"/>
  <w:p w14:paraId="7972AD2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B49995"/>
    <w:multiLevelType w:val="singleLevel"/>
    <w:tmpl w:val="99B49995"/>
    <w:lvl w:ilvl="0" w:tentative="0">
      <w:start w:val="1"/>
      <w:numFmt w:val="decimal"/>
      <w:lvlText w:val="%1."/>
      <w:lvlJc w:val="left"/>
      <w:pPr>
        <w:tabs>
          <w:tab w:val="left" w:pos="312"/>
        </w:tabs>
      </w:pPr>
    </w:lvl>
  </w:abstractNum>
  <w:abstractNum w:abstractNumId="1">
    <w:nsid w:val="F5CBD9FD"/>
    <w:multiLevelType w:val="singleLevel"/>
    <w:tmpl w:val="F5CBD9FD"/>
    <w:lvl w:ilvl="0" w:tentative="0">
      <w:start w:val="1"/>
      <w:numFmt w:val="decimal"/>
      <w:suff w:val="nothing"/>
      <w:lvlText w:val="（%1）"/>
      <w:lvlJc w:val="left"/>
    </w:lvl>
  </w:abstractNum>
  <w:abstractNum w:abstractNumId="2">
    <w:nsid w:val="FFFFFF7E"/>
    <w:multiLevelType w:val="singleLevel"/>
    <w:tmpl w:val="FFFFFF7E"/>
    <w:lvl w:ilvl="0" w:tentative="0">
      <w:start w:val="1"/>
      <w:numFmt w:val="decimal"/>
      <w:pStyle w:val="20"/>
      <w:lvlText w:val="%1."/>
      <w:lvlJc w:val="left"/>
      <w:pPr>
        <w:tabs>
          <w:tab w:val="left" w:pos="1200"/>
        </w:tabs>
        <w:ind w:left="1200" w:hanging="360"/>
      </w:pPr>
    </w:lvl>
  </w:abstractNum>
  <w:abstractNum w:abstractNumId="3">
    <w:nsid w:val="32714F5E"/>
    <w:multiLevelType w:val="multilevel"/>
    <w:tmpl w:val="32714F5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pStyle w:val="8"/>
      <w:suff w:val="nothing"/>
      <w:lvlText w:val=""/>
      <w:lvlJc w:val="left"/>
      <w:pPr>
        <w:ind w:left="0" w:firstLine="0"/>
      </w:pPr>
      <w:rPr>
        <w:rFonts w:hint="eastAsia"/>
      </w:rPr>
    </w:lvl>
    <w:lvl w:ilvl="5" w:tentative="0">
      <w:start w:val="1"/>
      <w:numFmt w:val="none"/>
      <w:pStyle w:val="9"/>
      <w:suff w:val="nothing"/>
      <w:lvlText w:val=""/>
      <w:lvlJc w:val="left"/>
      <w:pPr>
        <w:ind w:left="0" w:firstLine="0"/>
      </w:pPr>
      <w:rPr>
        <w:rFonts w:hint="eastAsia"/>
      </w:rPr>
    </w:lvl>
    <w:lvl w:ilvl="6" w:tentative="0">
      <w:start w:val="1"/>
      <w:numFmt w:val="none"/>
      <w:pStyle w:val="10"/>
      <w:suff w:val="nothing"/>
      <w:lvlText w:val=""/>
      <w:lvlJc w:val="left"/>
      <w:pPr>
        <w:ind w:left="0" w:firstLine="0"/>
      </w:pPr>
      <w:rPr>
        <w:rFonts w:hint="eastAsia"/>
      </w:rPr>
    </w:lvl>
    <w:lvl w:ilvl="7" w:tentative="0">
      <w:start w:val="1"/>
      <w:numFmt w:val="none"/>
      <w:pStyle w:val="11"/>
      <w:suff w:val="nothing"/>
      <w:lvlText w:val=""/>
      <w:lvlJc w:val="left"/>
      <w:pPr>
        <w:ind w:left="0" w:firstLine="0"/>
      </w:pPr>
      <w:rPr>
        <w:rFonts w:hint="eastAsia"/>
      </w:rPr>
    </w:lvl>
    <w:lvl w:ilvl="8" w:tentative="0">
      <w:start w:val="1"/>
      <w:numFmt w:val="none"/>
      <w:pStyle w:val="12"/>
      <w:suff w:val="nothing"/>
      <w:lvlText w:val=""/>
      <w:lvlJc w:val="left"/>
      <w:pPr>
        <w:ind w:left="0" w:firstLine="0"/>
      </w:pPr>
      <w:rPr>
        <w:rFonts w:hint="eastAsia"/>
      </w:rPr>
    </w:lvl>
  </w:abstractNum>
  <w:abstractNum w:abstractNumId="4">
    <w:nsid w:val="4C601917"/>
    <w:multiLevelType w:val="singleLevel"/>
    <w:tmpl w:val="4C601917"/>
    <w:lvl w:ilvl="0" w:tentative="0">
      <w:start w:val="1"/>
      <w:numFmt w:val="decimal"/>
      <w:suff w:val="nothing"/>
      <w:lvlText w:val="（%1）"/>
      <w:lvlJc w:val="left"/>
      <w:pPr>
        <w:ind w:left="-2"/>
      </w:pPr>
    </w:lvl>
  </w:abstractNum>
  <w:abstractNum w:abstractNumId="5">
    <w:nsid w:val="53A47D56"/>
    <w:multiLevelType w:val="multilevel"/>
    <w:tmpl w:val="53A47D5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5FABD14B"/>
    <w:multiLevelType w:val="singleLevel"/>
    <w:tmpl w:val="5FABD14B"/>
    <w:lvl w:ilvl="0" w:tentative="0">
      <w:start w:val="1"/>
      <w:numFmt w:val="decimal"/>
      <w:suff w:val="nothing"/>
      <w:lvlText w:val="（%1）"/>
      <w:lvlJc w:val="left"/>
    </w:lvl>
  </w:abstractNum>
  <w:abstractNum w:abstractNumId="7">
    <w:nsid w:val="6AF9DCC3"/>
    <w:multiLevelType w:val="singleLevel"/>
    <w:tmpl w:val="6AF9DCC3"/>
    <w:lvl w:ilvl="0" w:tentative="0">
      <w:start w:val="1"/>
      <w:numFmt w:val="chineseCounting"/>
      <w:suff w:val="nothing"/>
      <w:lvlText w:val="%1、"/>
      <w:lvlJc w:val="left"/>
      <w:rPr>
        <w:rFonts w:hint="eastAsia"/>
      </w:rPr>
    </w:lvl>
  </w:abstractNum>
  <w:abstractNum w:abstractNumId="8">
    <w:nsid w:val="763060DB"/>
    <w:multiLevelType w:val="multilevel"/>
    <w:tmpl w:val="763060DB"/>
    <w:lvl w:ilvl="0" w:tentative="0">
      <w:start w:val="1"/>
      <w:numFmt w:val="japaneseCounting"/>
      <w:lvlText w:val="第%1章"/>
      <w:lvlJc w:val="left"/>
      <w:pPr>
        <w:tabs>
          <w:tab w:val="left" w:pos="1815"/>
        </w:tabs>
        <w:ind w:left="1815" w:hanging="1275"/>
      </w:pPr>
      <w:rPr>
        <w:rFonts w:hint="eastAsia"/>
        <w:lang w:val="en-US"/>
      </w:rPr>
    </w:lvl>
    <w:lvl w:ilvl="1" w:tentative="0">
      <w:start w:val="1"/>
      <w:numFmt w:val="japaneseCounting"/>
      <w:lvlText w:val="%2、"/>
      <w:lvlJc w:val="left"/>
      <w:pPr>
        <w:tabs>
          <w:tab w:val="left" w:pos="1680"/>
        </w:tabs>
        <w:ind w:left="1680" w:hanging="720"/>
      </w:pPr>
      <w:rPr>
        <w:rFonts w:hint="eastAsia"/>
      </w:rPr>
    </w:lvl>
    <w:lvl w:ilvl="2" w:tentative="0">
      <w:start w:val="1"/>
      <w:numFmt w:val="decimal"/>
      <w:lvlText w:val="%3."/>
      <w:lvlJc w:val="left"/>
      <w:pPr>
        <w:ind w:left="502" w:hanging="360"/>
      </w:pPr>
      <w:rPr>
        <w:rFonts w:hint="default"/>
        <w:sz w:val="24"/>
        <w:szCs w:val="24"/>
      </w:r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abstractNum w:abstractNumId="9">
    <w:nsid w:val="7B684529"/>
    <w:multiLevelType w:val="singleLevel"/>
    <w:tmpl w:val="7B684529"/>
    <w:lvl w:ilvl="0" w:tentative="0">
      <w:start w:val="1"/>
      <w:numFmt w:val="decimal"/>
      <w:suff w:val="nothing"/>
      <w:lvlText w:val="（%1）"/>
      <w:lvlJc w:val="left"/>
    </w:lvl>
  </w:abstractNum>
  <w:abstractNum w:abstractNumId="10">
    <w:nsid w:val="7E8D30C2"/>
    <w:multiLevelType w:val="singleLevel"/>
    <w:tmpl w:val="7E8D30C2"/>
    <w:lvl w:ilvl="0" w:tentative="0">
      <w:start w:val="1"/>
      <w:numFmt w:val="decimal"/>
      <w:suff w:val="nothing"/>
      <w:lvlText w:val="（%1）"/>
      <w:lvlJc w:val="left"/>
    </w:lvl>
  </w:abstractNum>
  <w:num w:numId="1">
    <w:abstractNumId w:val="3"/>
  </w:num>
  <w:num w:numId="2">
    <w:abstractNumId w:val="2"/>
  </w:num>
  <w:num w:numId="3">
    <w:abstractNumId w:val="7"/>
  </w:num>
  <w:num w:numId="4">
    <w:abstractNumId w:val="9"/>
  </w:num>
  <w:num w:numId="5">
    <w:abstractNumId w:val="4"/>
  </w:num>
  <w:num w:numId="6">
    <w:abstractNumId w:val="6"/>
  </w:num>
  <w:num w:numId="7">
    <w:abstractNumId w:val="10"/>
  </w:num>
  <w:num w:numId="8">
    <w:abstractNumId w:val="1"/>
  </w:num>
  <w:num w:numId="9">
    <w:abstractNumId w:val="0"/>
  </w:num>
  <w:num w:numId="10">
    <w:abstractNumId w:val="5"/>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hideSpellingErrors/>
  <w:documentProtection w:enforcement="0"/>
  <w:defaultTabStop w:val="420"/>
  <w:drawingGridHorizontalSpacing w:val="210"/>
  <w:drawingGridVerticalSpacing w:val="167"/>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NmYmNhODQxOWNkODc0ZjYxNTI4MThkY2UxMGM3NzYifQ=="/>
  </w:docVars>
  <w:rsids>
    <w:rsidRoot w:val="00F9008B"/>
    <w:rsid w:val="0000007C"/>
    <w:rsid w:val="0000010C"/>
    <w:rsid w:val="000004FE"/>
    <w:rsid w:val="00000FE0"/>
    <w:rsid w:val="00001068"/>
    <w:rsid w:val="00001117"/>
    <w:rsid w:val="0000114A"/>
    <w:rsid w:val="00001731"/>
    <w:rsid w:val="00001C2D"/>
    <w:rsid w:val="00001C55"/>
    <w:rsid w:val="00001CA8"/>
    <w:rsid w:val="00001F78"/>
    <w:rsid w:val="00001FAE"/>
    <w:rsid w:val="00002291"/>
    <w:rsid w:val="000027A1"/>
    <w:rsid w:val="00002DBF"/>
    <w:rsid w:val="00002EC0"/>
    <w:rsid w:val="00003224"/>
    <w:rsid w:val="000033F5"/>
    <w:rsid w:val="0000358C"/>
    <w:rsid w:val="0000361D"/>
    <w:rsid w:val="00003BEF"/>
    <w:rsid w:val="00004130"/>
    <w:rsid w:val="0000431F"/>
    <w:rsid w:val="00004634"/>
    <w:rsid w:val="00004D8B"/>
    <w:rsid w:val="000059E2"/>
    <w:rsid w:val="000061EA"/>
    <w:rsid w:val="00006AE7"/>
    <w:rsid w:val="00006B9B"/>
    <w:rsid w:val="00006BCA"/>
    <w:rsid w:val="00006C35"/>
    <w:rsid w:val="000072B1"/>
    <w:rsid w:val="00007329"/>
    <w:rsid w:val="00007E28"/>
    <w:rsid w:val="00007E84"/>
    <w:rsid w:val="00010401"/>
    <w:rsid w:val="000105A1"/>
    <w:rsid w:val="000107AD"/>
    <w:rsid w:val="00010835"/>
    <w:rsid w:val="000117D5"/>
    <w:rsid w:val="00011842"/>
    <w:rsid w:val="00011B34"/>
    <w:rsid w:val="00012137"/>
    <w:rsid w:val="000121FF"/>
    <w:rsid w:val="00012456"/>
    <w:rsid w:val="000125B8"/>
    <w:rsid w:val="00012692"/>
    <w:rsid w:val="00012705"/>
    <w:rsid w:val="00013446"/>
    <w:rsid w:val="00013509"/>
    <w:rsid w:val="000135BC"/>
    <w:rsid w:val="000135DC"/>
    <w:rsid w:val="000136D6"/>
    <w:rsid w:val="00014085"/>
    <w:rsid w:val="00014D89"/>
    <w:rsid w:val="00014DD9"/>
    <w:rsid w:val="00014EE0"/>
    <w:rsid w:val="000151E4"/>
    <w:rsid w:val="00015577"/>
    <w:rsid w:val="000156E4"/>
    <w:rsid w:val="000159A7"/>
    <w:rsid w:val="00015FB8"/>
    <w:rsid w:val="0001609F"/>
    <w:rsid w:val="00016271"/>
    <w:rsid w:val="0001635B"/>
    <w:rsid w:val="00016549"/>
    <w:rsid w:val="00016814"/>
    <w:rsid w:val="00016BF7"/>
    <w:rsid w:val="0001720C"/>
    <w:rsid w:val="0001767E"/>
    <w:rsid w:val="0001776D"/>
    <w:rsid w:val="00017F31"/>
    <w:rsid w:val="00020607"/>
    <w:rsid w:val="0002103A"/>
    <w:rsid w:val="000217E4"/>
    <w:rsid w:val="00021852"/>
    <w:rsid w:val="00021A12"/>
    <w:rsid w:val="000223BF"/>
    <w:rsid w:val="00022622"/>
    <w:rsid w:val="00023363"/>
    <w:rsid w:val="000235F3"/>
    <w:rsid w:val="00023644"/>
    <w:rsid w:val="00023712"/>
    <w:rsid w:val="00024291"/>
    <w:rsid w:val="00024A75"/>
    <w:rsid w:val="00024E3C"/>
    <w:rsid w:val="00024EB0"/>
    <w:rsid w:val="00025040"/>
    <w:rsid w:val="00025578"/>
    <w:rsid w:val="00025604"/>
    <w:rsid w:val="00025DAF"/>
    <w:rsid w:val="0002646A"/>
    <w:rsid w:val="0002651D"/>
    <w:rsid w:val="000267F1"/>
    <w:rsid w:val="00026CFD"/>
    <w:rsid w:val="00027C8B"/>
    <w:rsid w:val="00027CD9"/>
    <w:rsid w:val="00030242"/>
    <w:rsid w:val="00030B06"/>
    <w:rsid w:val="000314EA"/>
    <w:rsid w:val="0003183A"/>
    <w:rsid w:val="00031CDC"/>
    <w:rsid w:val="00032461"/>
    <w:rsid w:val="0003263B"/>
    <w:rsid w:val="0003282C"/>
    <w:rsid w:val="00032F6D"/>
    <w:rsid w:val="0003304A"/>
    <w:rsid w:val="0003317E"/>
    <w:rsid w:val="00033413"/>
    <w:rsid w:val="000337F3"/>
    <w:rsid w:val="00033DDB"/>
    <w:rsid w:val="00034B24"/>
    <w:rsid w:val="00034C27"/>
    <w:rsid w:val="00034E2A"/>
    <w:rsid w:val="0003577F"/>
    <w:rsid w:val="00035B29"/>
    <w:rsid w:val="00036466"/>
    <w:rsid w:val="0003675E"/>
    <w:rsid w:val="00037F87"/>
    <w:rsid w:val="00037FA2"/>
    <w:rsid w:val="000400D0"/>
    <w:rsid w:val="00040343"/>
    <w:rsid w:val="00041848"/>
    <w:rsid w:val="000425AC"/>
    <w:rsid w:val="000427B8"/>
    <w:rsid w:val="00042F4A"/>
    <w:rsid w:val="0004372B"/>
    <w:rsid w:val="00043AC8"/>
    <w:rsid w:val="00043BE5"/>
    <w:rsid w:val="00044003"/>
    <w:rsid w:val="00044527"/>
    <w:rsid w:val="000447E8"/>
    <w:rsid w:val="00044897"/>
    <w:rsid w:val="00044ACF"/>
    <w:rsid w:val="000454F4"/>
    <w:rsid w:val="00045D1E"/>
    <w:rsid w:val="00045E69"/>
    <w:rsid w:val="00045E97"/>
    <w:rsid w:val="00045EF4"/>
    <w:rsid w:val="00046547"/>
    <w:rsid w:val="000466D7"/>
    <w:rsid w:val="00046753"/>
    <w:rsid w:val="000468CD"/>
    <w:rsid w:val="00046F8D"/>
    <w:rsid w:val="00047254"/>
    <w:rsid w:val="00047E41"/>
    <w:rsid w:val="0005022B"/>
    <w:rsid w:val="00050450"/>
    <w:rsid w:val="00050771"/>
    <w:rsid w:val="000509B3"/>
    <w:rsid w:val="000509BA"/>
    <w:rsid w:val="000513F3"/>
    <w:rsid w:val="00051C73"/>
    <w:rsid w:val="00052287"/>
    <w:rsid w:val="000522E0"/>
    <w:rsid w:val="000532F4"/>
    <w:rsid w:val="000535A9"/>
    <w:rsid w:val="000536AE"/>
    <w:rsid w:val="00054C2F"/>
    <w:rsid w:val="00054CD5"/>
    <w:rsid w:val="00054D03"/>
    <w:rsid w:val="000550AC"/>
    <w:rsid w:val="0005584D"/>
    <w:rsid w:val="00055AA4"/>
    <w:rsid w:val="00055CC3"/>
    <w:rsid w:val="00055CEE"/>
    <w:rsid w:val="00055FB7"/>
    <w:rsid w:val="000566FA"/>
    <w:rsid w:val="00056A2B"/>
    <w:rsid w:val="00056DA8"/>
    <w:rsid w:val="00056E37"/>
    <w:rsid w:val="00056EE2"/>
    <w:rsid w:val="00056FE2"/>
    <w:rsid w:val="000570FB"/>
    <w:rsid w:val="0005750E"/>
    <w:rsid w:val="000575B8"/>
    <w:rsid w:val="00060131"/>
    <w:rsid w:val="0006026B"/>
    <w:rsid w:val="00060293"/>
    <w:rsid w:val="00060D40"/>
    <w:rsid w:val="00061341"/>
    <w:rsid w:val="0006197E"/>
    <w:rsid w:val="00061AA1"/>
    <w:rsid w:val="00061BD3"/>
    <w:rsid w:val="00061BDA"/>
    <w:rsid w:val="000621FE"/>
    <w:rsid w:val="00062B90"/>
    <w:rsid w:val="00062C70"/>
    <w:rsid w:val="00062DD0"/>
    <w:rsid w:val="00062E6F"/>
    <w:rsid w:val="000630C7"/>
    <w:rsid w:val="0006400F"/>
    <w:rsid w:val="000645DD"/>
    <w:rsid w:val="00064D7E"/>
    <w:rsid w:val="00064F65"/>
    <w:rsid w:val="00064FD0"/>
    <w:rsid w:val="0006534A"/>
    <w:rsid w:val="00065A5D"/>
    <w:rsid w:val="00065BA2"/>
    <w:rsid w:val="000661CA"/>
    <w:rsid w:val="0006668D"/>
    <w:rsid w:val="00066896"/>
    <w:rsid w:val="00067002"/>
    <w:rsid w:val="00067993"/>
    <w:rsid w:val="00067B1C"/>
    <w:rsid w:val="00067CED"/>
    <w:rsid w:val="00067F66"/>
    <w:rsid w:val="0007041A"/>
    <w:rsid w:val="00070634"/>
    <w:rsid w:val="00070883"/>
    <w:rsid w:val="00070C3F"/>
    <w:rsid w:val="0007102C"/>
    <w:rsid w:val="00071D68"/>
    <w:rsid w:val="00071FCE"/>
    <w:rsid w:val="00072661"/>
    <w:rsid w:val="00072CCC"/>
    <w:rsid w:val="00072D1F"/>
    <w:rsid w:val="0007315D"/>
    <w:rsid w:val="00073549"/>
    <w:rsid w:val="0007399C"/>
    <w:rsid w:val="0007483E"/>
    <w:rsid w:val="000751DB"/>
    <w:rsid w:val="0007542D"/>
    <w:rsid w:val="0007578F"/>
    <w:rsid w:val="00075E43"/>
    <w:rsid w:val="00077706"/>
    <w:rsid w:val="00077878"/>
    <w:rsid w:val="00077C37"/>
    <w:rsid w:val="00077E81"/>
    <w:rsid w:val="000804EF"/>
    <w:rsid w:val="00080558"/>
    <w:rsid w:val="000809D9"/>
    <w:rsid w:val="00081230"/>
    <w:rsid w:val="000814E2"/>
    <w:rsid w:val="000818C9"/>
    <w:rsid w:val="00081CBB"/>
    <w:rsid w:val="00081D42"/>
    <w:rsid w:val="000822EF"/>
    <w:rsid w:val="0008241E"/>
    <w:rsid w:val="0008268D"/>
    <w:rsid w:val="000826F5"/>
    <w:rsid w:val="000829B1"/>
    <w:rsid w:val="00082AAB"/>
    <w:rsid w:val="0008307D"/>
    <w:rsid w:val="000831E9"/>
    <w:rsid w:val="000833BB"/>
    <w:rsid w:val="0008452D"/>
    <w:rsid w:val="0008467B"/>
    <w:rsid w:val="000850FA"/>
    <w:rsid w:val="000857A6"/>
    <w:rsid w:val="000859B5"/>
    <w:rsid w:val="00085C12"/>
    <w:rsid w:val="00085DA0"/>
    <w:rsid w:val="00085F82"/>
    <w:rsid w:val="00086506"/>
    <w:rsid w:val="00086B6E"/>
    <w:rsid w:val="00086B90"/>
    <w:rsid w:val="00086C2F"/>
    <w:rsid w:val="00086C64"/>
    <w:rsid w:val="000874BB"/>
    <w:rsid w:val="0008781A"/>
    <w:rsid w:val="0008795D"/>
    <w:rsid w:val="00090951"/>
    <w:rsid w:val="00090A61"/>
    <w:rsid w:val="000918F5"/>
    <w:rsid w:val="000919B5"/>
    <w:rsid w:val="00091C1D"/>
    <w:rsid w:val="00091E08"/>
    <w:rsid w:val="00092100"/>
    <w:rsid w:val="000922D8"/>
    <w:rsid w:val="000932E7"/>
    <w:rsid w:val="0009333A"/>
    <w:rsid w:val="000933C3"/>
    <w:rsid w:val="00093459"/>
    <w:rsid w:val="00093B8B"/>
    <w:rsid w:val="000951E7"/>
    <w:rsid w:val="00095B82"/>
    <w:rsid w:val="00096098"/>
    <w:rsid w:val="000961B2"/>
    <w:rsid w:val="000969D9"/>
    <w:rsid w:val="00096F37"/>
    <w:rsid w:val="00097087"/>
    <w:rsid w:val="00097FE5"/>
    <w:rsid w:val="000A0354"/>
    <w:rsid w:val="000A091F"/>
    <w:rsid w:val="000A0958"/>
    <w:rsid w:val="000A0FCC"/>
    <w:rsid w:val="000A1033"/>
    <w:rsid w:val="000A2712"/>
    <w:rsid w:val="000A2877"/>
    <w:rsid w:val="000A355D"/>
    <w:rsid w:val="000A35DA"/>
    <w:rsid w:val="000A371E"/>
    <w:rsid w:val="000A3DE5"/>
    <w:rsid w:val="000A4011"/>
    <w:rsid w:val="000A45D5"/>
    <w:rsid w:val="000A46CD"/>
    <w:rsid w:val="000A490E"/>
    <w:rsid w:val="000A529E"/>
    <w:rsid w:val="000A5B49"/>
    <w:rsid w:val="000A5F7A"/>
    <w:rsid w:val="000A5FE5"/>
    <w:rsid w:val="000A6684"/>
    <w:rsid w:val="000A7194"/>
    <w:rsid w:val="000A7218"/>
    <w:rsid w:val="000A740A"/>
    <w:rsid w:val="000A7446"/>
    <w:rsid w:val="000A7E7F"/>
    <w:rsid w:val="000A7ECD"/>
    <w:rsid w:val="000B04DD"/>
    <w:rsid w:val="000B0F01"/>
    <w:rsid w:val="000B1346"/>
    <w:rsid w:val="000B1914"/>
    <w:rsid w:val="000B19DC"/>
    <w:rsid w:val="000B1B44"/>
    <w:rsid w:val="000B1CA2"/>
    <w:rsid w:val="000B202E"/>
    <w:rsid w:val="000B2293"/>
    <w:rsid w:val="000B24A4"/>
    <w:rsid w:val="000B255C"/>
    <w:rsid w:val="000B395E"/>
    <w:rsid w:val="000B39C3"/>
    <w:rsid w:val="000B3A00"/>
    <w:rsid w:val="000B4840"/>
    <w:rsid w:val="000B4D79"/>
    <w:rsid w:val="000B5627"/>
    <w:rsid w:val="000B5671"/>
    <w:rsid w:val="000B6BF0"/>
    <w:rsid w:val="000B6CE8"/>
    <w:rsid w:val="000B7C94"/>
    <w:rsid w:val="000B7DAF"/>
    <w:rsid w:val="000C006F"/>
    <w:rsid w:val="000C071C"/>
    <w:rsid w:val="000C0931"/>
    <w:rsid w:val="000C0BB4"/>
    <w:rsid w:val="000C0BEE"/>
    <w:rsid w:val="000C11BE"/>
    <w:rsid w:val="000C1CB9"/>
    <w:rsid w:val="000C2159"/>
    <w:rsid w:val="000C21BB"/>
    <w:rsid w:val="000C289B"/>
    <w:rsid w:val="000C2EB4"/>
    <w:rsid w:val="000C352F"/>
    <w:rsid w:val="000C3F01"/>
    <w:rsid w:val="000C410D"/>
    <w:rsid w:val="000C420D"/>
    <w:rsid w:val="000C4773"/>
    <w:rsid w:val="000C4944"/>
    <w:rsid w:val="000C4E24"/>
    <w:rsid w:val="000C5851"/>
    <w:rsid w:val="000C5C4A"/>
    <w:rsid w:val="000C5F01"/>
    <w:rsid w:val="000C63C4"/>
    <w:rsid w:val="000C66C1"/>
    <w:rsid w:val="000C6F0B"/>
    <w:rsid w:val="000C6F32"/>
    <w:rsid w:val="000C6FEF"/>
    <w:rsid w:val="000C7324"/>
    <w:rsid w:val="000C7442"/>
    <w:rsid w:val="000C755A"/>
    <w:rsid w:val="000C778C"/>
    <w:rsid w:val="000C7833"/>
    <w:rsid w:val="000C7E1B"/>
    <w:rsid w:val="000C7E73"/>
    <w:rsid w:val="000D001B"/>
    <w:rsid w:val="000D0A45"/>
    <w:rsid w:val="000D136E"/>
    <w:rsid w:val="000D1421"/>
    <w:rsid w:val="000D14AC"/>
    <w:rsid w:val="000D14EE"/>
    <w:rsid w:val="000D15BA"/>
    <w:rsid w:val="000D15BE"/>
    <w:rsid w:val="000D252B"/>
    <w:rsid w:val="000D2BCC"/>
    <w:rsid w:val="000D2C9B"/>
    <w:rsid w:val="000D2CCB"/>
    <w:rsid w:val="000D35FD"/>
    <w:rsid w:val="000D3D2D"/>
    <w:rsid w:val="000D3D99"/>
    <w:rsid w:val="000D451B"/>
    <w:rsid w:val="000D4653"/>
    <w:rsid w:val="000D4696"/>
    <w:rsid w:val="000D4817"/>
    <w:rsid w:val="000D4D0C"/>
    <w:rsid w:val="000D4FB9"/>
    <w:rsid w:val="000D54B4"/>
    <w:rsid w:val="000D584B"/>
    <w:rsid w:val="000D5EE9"/>
    <w:rsid w:val="000D5F55"/>
    <w:rsid w:val="000D6372"/>
    <w:rsid w:val="000D6825"/>
    <w:rsid w:val="000D6979"/>
    <w:rsid w:val="000D6CE7"/>
    <w:rsid w:val="000D6E38"/>
    <w:rsid w:val="000D6E63"/>
    <w:rsid w:val="000D711C"/>
    <w:rsid w:val="000D7B6E"/>
    <w:rsid w:val="000E01E4"/>
    <w:rsid w:val="000E0644"/>
    <w:rsid w:val="000E076D"/>
    <w:rsid w:val="000E087C"/>
    <w:rsid w:val="000E137E"/>
    <w:rsid w:val="000E187C"/>
    <w:rsid w:val="000E1B28"/>
    <w:rsid w:val="000E1E8D"/>
    <w:rsid w:val="000E1EBC"/>
    <w:rsid w:val="000E2173"/>
    <w:rsid w:val="000E220B"/>
    <w:rsid w:val="000E2266"/>
    <w:rsid w:val="000E2A50"/>
    <w:rsid w:val="000E30F2"/>
    <w:rsid w:val="000E316B"/>
    <w:rsid w:val="000E372D"/>
    <w:rsid w:val="000E3D08"/>
    <w:rsid w:val="000E40BB"/>
    <w:rsid w:val="000E45A5"/>
    <w:rsid w:val="000E4728"/>
    <w:rsid w:val="000E4D1F"/>
    <w:rsid w:val="000E5658"/>
    <w:rsid w:val="000E5698"/>
    <w:rsid w:val="000E5723"/>
    <w:rsid w:val="000E581B"/>
    <w:rsid w:val="000E64B2"/>
    <w:rsid w:val="000E65D2"/>
    <w:rsid w:val="000E6919"/>
    <w:rsid w:val="000E6B1B"/>
    <w:rsid w:val="000E6F0C"/>
    <w:rsid w:val="000E732D"/>
    <w:rsid w:val="000F07ED"/>
    <w:rsid w:val="000F0CF2"/>
    <w:rsid w:val="000F1401"/>
    <w:rsid w:val="000F17E5"/>
    <w:rsid w:val="000F1A32"/>
    <w:rsid w:val="000F1CC2"/>
    <w:rsid w:val="000F1D15"/>
    <w:rsid w:val="000F270A"/>
    <w:rsid w:val="000F2FA3"/>
    <w:rsid w:val="000F34C8"/>
    <w:rsid w:val="000F38BC"/>
    <w:rsid w:val="000F38C0"/>
    <w:rsid w:val="000F3E2A"/>
    <w:rsid w:val="000F4D26"/>
    <w:rsid w:val="000F5639"/>
    <w:rsid w:val="000F58A4"/>
    <w:rsid w:val="000F5F99"/>
    <w:rsid w:val="000F6833"/>
    <w:rsid w:val="000F6A24"/>
    <w:rsid w:val="000F7294"/>
    <w:rsid w:val="000F7502"/>
    <w:rsid w:val="000F7616"/>
    <w:rsid w:val="000F7DE9"/>
    <w:rsid w:val="000F7F7A"/>
    <w:rsid w:val="001002F4"/>
    <w:rsid w:val="0010050C"/>
    <w:rsid w:val="001006CB"/>
    <w:rsid w:val="001007E5"/>
    <w:rsid w:val="001011FC"/>
    <w:rsid w:val="0010165F"/>
    <w:rsid w:val="00101E7C"/>
    <w:rsid w:val="001023DC"/>
    <w:rsid w:val="00102572"/>
    <w:rsid w:val="001025DD"/>
    <w:rsid w:val="00102946"/>
    <w:rsid w:val="00102FBF"/>
    <w:rsid w:val="0010333D"/>
    <w:rsid w:val="0010372A"/>
    <w:rsid w:val="00103F41"/>
    <w:rsid w:val="00104662"/>
    <w:rsid w:val="00104F34"/>
    <w:rsid w:val="001053C5"/>
    <w:rsid w:val="001055AD"/>
    <w:rsid w:val="00105C14"/>
    <w:rsid w:val="001065A3"/>
    <w:rsid w:val="00106610"/>
    <w:rsid w:val="00106831"/>
    <w:rsid w:val="0010683E"/>
    <w:rsid w:val="0010691D"/>
    <w:rsid w:val="00106B33"/>
    <w:rsid w:val="00106E69"/>
    <w:rsid w:val="001072FD"/>
    <w:rsid w:val="00110AC5"/>
    <w:rsid w:val="00110D4D"/>
    <w:rsid w:val="00110F0B"/>
    <w:rsid w:val="0011108B"/>
    <w:rsid w:val="00111136"/>
    <w:rsid w:val="00111164"/>
    <w:rsid w:val="00111761"/>
    <w:rsid w:val="001120C6"/>
    <w:rsid w:val="00112164"/>
    <w:rsid w:val="0011241F"/>
    <w:rsid w:val="001128BF"/>
    <w:rsid w:val="00112D09"/>
    <w:rsid w:val="00112E8F"/>
    <w:rsid w:val="00112F03"/>
    <w:rsid w:val="00112F38"/>
    <w:rsid w:val="00113821"/>
    <w:rsid w:val="00114058"/>
    <w:rsid w:val="0011449E"/>
    <w:rsid w:val="001153EF"/>
    <w:rsid w:val="00115D55"/>
    <w:rsid w:val="00115E45"/>
    <w:rsid w:val="00115F85"/>
    <w:rsid w:val="0011688E"/>
    <w:rsid w:val="00116ACD"/>
    <w:rsid w:val="00116E19"/>
    <w:rsid w:val="0011718F"/>
    <w:rsid w:val="00117B7D"/>
    <w:rsid w:val="00117EFC"/>
    <w:rsid w:val="001205A8"/>
    <w:rsid w:val="00121766"/>
    <w:rsid w:val="0012291C"/>
    <w:rsid w:val="00122A64"/>
    <w:rsid w:val="00123694"/>
    <w:rsid w:val="0012388A"/>
    <w:rsid w:val="0012388C"/>
    <w:rsid w:val="00123AFA"/>
    <w:rsid w:val="00123C8C"/>
    <w:rsid w:val="00123E8B"/>
    <w:rsid w:val="00124405"/>
    <w:rsid w:val="00124B43"/>
    <w:rsid w:val="00124DF8"/>
    <w:rsid w:val="001253EA"/>
    <w:rsid w:val="00125B99"/>
    <w:rsid w:val="00126160"/>
    <w:rsid w:val="00126AEC"/>
    <w:rsid w:val="00126DB5"/>
    <w:rsid w:val="0012711C"/>
    <w:rsid w:val="00127178"/>
    <w:rsid w:val="00127F09"/>
    <w:rsid w:val="0013002A"/>
    <w:rsid w:val="001306B6"/>
    <w:rsid w:val="0013085D"/>
    <w:rsid w:val="0013089C"/>
    <w:rsid w:val="00130A2D"/>
    <w:rsid w:val="00130F54"/>
    <w:rsid w:val="00131888"/>
    <w:rsid w:val="00131EE1"/>
    <w:rsid w:val="00131F17"/>
    <w:rsid w:val="00131FBC"/>
    <w:rsid w:val="0013212F"/>
    <w:rsid w:val="00132284"/>
    <w:rsid w:val="001323F9"/>
    <w:rsid w:val="0013251F"/>
    <w:rsid w:val="00133088"/>
    <w:rsid w:val="00133346"/>
    <w:rsid w:val="001335B1"/>
    <w:rsid w:val="00133B4E"/>
    <w:rsid w:val="0013410F"/>
    <w:rsid w:val="001346AF"/>
    <w:rsid w:val="00134990"/>
    <w:rsid w:val="001354D1"/>
    <w:rsid w:val="00135840"/>
    <w:rsid w:val="00135A0A"/>
    <w:rsid w:val="00135BB9"/>
    <w:rsid w:val="00135E73"/>
    <w:rsid w:val="0013621D"/>
    <w:rsid w:val="00136354"/>
    <w:rsid w:val="00136674"/>
    <w:rsid w:val="00136B0E"/>
    <w:rsid w:val="00136C3B"/>
    <w:rsid w:val="001375EC"/>
    <w:rsid w:val="001376AB"/>
    <w:rsid w:val="0013777C"/>
    <w:rsid w:val="00137D5F"/>
    <w:rsid w:val="00137E0F"/>
    <w:rsid w:val="00140082"/>
    <w:rsid w:val="001400C5"/>
    <w:rsid w:val="00140175"/>
    <w:rsid w:val="00140757"/>
    <w:rsid w:val="00140D07"/>
    <w:rsid w:val="00140F6F"/>
    <w:rsid w:val="0014194E"/>
    <w:rsid w:val="00141A3A"/>
    <w:rsid w:val="00141FD4"/>
    <w:rsid w:val="001423FA"/>
    <w:rsid w:val="001427B5"/>
    <w:rsid w:val="001427CF"/>
    <w:rsid w:val="001428CF"/>
    <w:rsid w:val="00142D0C"/>
    <w:rsid w:val="00142E3C"/>
    <w:rsid w:val="00143387"/>
    <w:rsid w:val="001439BA"/>
    <w:rsid w:val="00144013"/>
    <w:rsid w:val="001455C3"/>
    <w:rsid w:val="00145764"/>
    <w:rsid w:val="00145A17"/>
    <w:rsid w:val="00145BBE"/>
    <w:rsid w:val="001460B5"/>
    <w:rsid w:val="0014641F"/>
    <w:rsid w:val="001464A8"/>
    <w:rsid w:val="001467BB"/>
    <w:rsid w:val="00146B1E"/>
    <w:rsid w:val="00146CA8"/>
    <w:rsid w:val="00147884"/>
    <w:rsid w:val="00150827"/>
    <w:rsid w:val="00150B0D"/>
    <w:rsid w:val="00150E10"/>
    <w:rsid w:val="00151A32"/>
    <w:rsid w:val="00151B2C"/>
    <w:rsid w:val="00151E31"/>
    <w:rsid w:val="00151F9B"/>
    <w:rsid w:val="00152289"/>
    <w:rsid w:val="00152425"/>
    <w:rsid w:val="00152BAD"/>
    <w:rsid w:val="00152CE3"/>
    <w:rsid w:val="00153652"/>
    <w:rsid w:val="00153697"/>
    <w:rsid w:val="00153956"/>
    <w:rsid w:val="00153B95"/>
    <w:rsid w:val="00154146"/>
    <w:rsid w:val="00154190"/>
    <w:rsid w:val="001545EA"/>
    <w:rsid w:val="001549BA"/>
    <w:rsid w:val="00154BBF"/>
    <w:rsid w:val="00155099"/>
    <w:rsid w:val="00155C85"/>
    <w:rsid w:val="001560AD"/>
    <w:rsid w:val="00156592"/>
    <w:rsid w:val="00156A6C"/>
    <w:rsid w:val="00156B10"/>
    <w:rsid w:val="001576FE"/>
    <w:rsid w:val="00157823"/>
    <w:rsid w:val="0015790D"/>
    <w:rsid w:val="00157C5E"/>
    <w:rsid w:val="00157DD3"/>
    <w:rsid w:val="0016015A"/>
    <w:rsid w:val="001601E7"/>
    <w:rsid w:val="0016020E"/>
    <w:rsid w:val="00160503"/>
    <w:rsid w:val="00160BF6"/>
    <w:rsid w:val="00160D7C"/>
    <w:rsid w:val="00160E30"/>
    <w:rsid w:val="0016106D"/>
    <w:rsid w:val="001612E1"/>
    <w:rsid w:val="001614DB"/>
    <w:rsid w:val="0016194E"/>
    <w:rsid w:val="00161ADC"/>
    <w:rsid w:val="0016236C"/>
    <w:rsid w:val="00162625"/>
    <w:rsid w:val="00162707"/>
    <w:rsid w:val="001630A8"/>
    <w:rsid w:val="00163826"/>
    <w:rsid w:val="00163943"/>
    <w:rsid w:val="00163BA1"/>
    <w:rsid w:val="00163F22"/>
    <w:rsid w:val="0016417B"/>
    <w:rsid w:val="001643A6"/>
    <w:rsid w:val="0016470E"/>
    <w:rsid w:val="001649D3"/>
    <w:rsid w:val="00164E0A"/>
    <w:rsid w:val="001652D7"/>
    <w:rsid w:val="00165A5F"/>
    <w:rsid w:val="00166223"/>
    <w:rsid w:val="0016793E"/>
    <w:rsid w:val="00167D4D"/>
    <w:rsid w:val="0017054C"/>
    <w:rsid w:val="00170635"/>
    <w:rsid w:val="0017070D"/>
    <w:rsid w:val="00170837"/>
    <w:rsid w:val="00170F77"/>
    <w:rsid w:val="00171035"/>
    <w:rsid w:val="001713B7"/>
    <w:rsid w:val="00171ADB"/>
    <w:rsid w:val="00171E2C"/>
    <w:rsid w:val="00172029"/>
    <w:rsid w:val="001733A4"/>
    <w:rsid w:val="0017360E"/>
    <w:rsid w:val="00173AB9"/>
    <w:rsid w:val="00173EED"/>
    <w:rsid w:val="00174368"/>
    <w:rsid w:val="001744EA"/>
    <w:rsid w:val="00174731"/>
    <w:rsid w:val="00174D82"/>
    <w:rsid w:val="00174E44"/>
    <w:rsid w:val="00175053"/>
    <w:rsid w:val="001753B7"/>
    <w:rsid w:val="001757E7"/>
    <w:rsid w:val="00175873"/>
    <w:rsid w:val="00175C59"/>
    <w:rsid w:val="001760BC"/>
    <w:rsid w:val="00176674"/>
    <w:rsid w:val="00176818"/>
    <w:rsid w:val="00176B82"/>
    <w:rsid w:val="00176E3B"/>
    <w:rsid w:val="00176ECB"/>
    <w:rsid w:val="0017752D"/>
    <w:rsid w:val="0017759F"/>
    <w:rsid w:val="00177832"/>
    <w:rsid w:val="00181089"/>
    <w:rsid w:val="00181178"/>
    <w:rsid w:val="0018119E"/>
    <w:rsid w:val="0018152C"/>
    <w:rsid w:val="00181DBA"/>
    <w:rsid w:val="00181EEF"/>
    <w:rsid w:val="00181F3E"/>
    <w:rsid w:val="00182FE0"/>
    <w:rsid w:val="0018375D"/>
    <w:rsid w:val="00183911"/>
    <w:rsid w:val="00184418"/>
    <w:rsid w:val="001845FB"/>
    <w:rsid w:val="00184A86"/>
    <w:rsid w:val="001857FB"/>
    <w:rsid w:val="00185DA6"/>
    <w:rsid w:val="00185F64"/>
    <w:rsid w:val="00186096"/>
    <w:rsid w:val="00186185"/>
    <w:rsid w:val="00186278"/>
    <w:rsid w:val="001862FE"/>
    <w:rsid w:val="001864AC"/>
    <w:rsid w:val="00186A33"/>
    <w:rsid w:val="00187317"/>
    <w:rsid w:val="0018772E"/>
    <w:rsid w:val="00187A94"/>
    <w:rsid w:val="0019029E"/>
    <w:rsid w:val="00190804"/>
    <w:rsid w:val="0019088F"/>
    <w:rsid w:val="00190C51"/>
    <w:rsid w:val="00192F00"/>
    <w:rsid w:val="00193ACC"/>
    <w:rsid w:val="00193BFE"/>
    <w:rsid w:val="00193E72"/>
    <w:rsid w:val="00195322"/>
    <w:rsid w:val="0019560E"/>
    <w:rsid w:val="001958E3"/>
    <w:rsid w:val="00195FFA"/>
    <w:rsid w:val="0019601B"/>
    <w:rsid w:val="00196048"/>
    <w:rsid w:val="00196966"/>
    <w:rsid w:val="00196A82"/>
    <w:rsid w:val="0019769B"/>
    <w:rsid w:val="001979F9"/>
    <w:rsid w:val="00197FFE"/>
    <w:rsid w:val="001A0D25"/>
    <w:rsid w:val="001A0E14"/>
    <w:rsid w:val="001A1570"/>
    <w:rsid w:val="001A1917"/>
    <w:rsid w:val="001A1C64"/>
    <w:rsid w:val="001A1DFB"/>
    <w:rsid w:val="001A1E7F"/>
    <w:rsid w:val="001A2918"/>
    <w:rsid w:val="001A2D02"/>
    <w:rsid w:val="001A3076"/>
    <w:rsid w:val="001A3163"/>
    <w:rsid w:val="001A31A5"/>
    <w:rsid w:val="001A32A7"/>
    <w:rsid w:val="001A389C"/>
    <w:rsid w:val="001A3B75"/>
    <w:rsid w:val="001A42A3"/>
    <w:rsid w:val="001A46FB"/>
    <w:rsid w:val="001A4EC9"/>
    <w:rsid w:val="001A529F"/>
    <w:rsid w:val="001A5944"/>
    <w:rsid w:val="001A5FB1"/>
    <w:rsid w:val="001A618F"/>
    <w:rsid w:val="001A698A"/>
    <w:rsid w:val="001A6CCC"/>
    <w:rsid w:val="001A6E3B"/>
    <w:rsid w:val="001A70C8"/>
    <w:rsid w:val="001A71C9"/>
    <w:rsid w:val="001A7342"/>
    <w:rsid w:val="001A7429"/>
    <w:rsid w:val="001A760C"/>
    <w:rsid w:val="001A76F0"/>
    <w:rsid w:val="001A7977"/>
    <w:rsid w:val="001A799B"/>
    <w:rsid w:val="001A7AC7"/>
    <w:rsid w:val="001A7C38"/>
    <w:rsid w:val="001B02F8"/>
    <w:rsid w:val="001B2104"/>
    <w:rsid w:val="001B2263"/>
    <w:rsid w:val="001B2279"/>
    <w:rsid w:val="001B2729"/>
    <w:rsid w:val="001B2866"/>
    <w:rsid w:val="001B2881"/>
    <w:rsid w:val="001B2B73"/>
    <w:rsid w:val="001B3675"/>
    <w:rsid w:val="001B37C8"/>
    <w:rsid w:val="001B48BA"/>
    <w:rsid w:val="001B4B2C"/>
    <w:rsid w:val="001B4F10"/>
    <w:rsid w:val="001B5154"/>
    <w:rsid w:val="001B6E30"/>
    <w:rsid w:val="001B6E43"/>
    <w:rsid w:val="001B7C83"/>
    <w:rsid w:val="001B7CB3"/>
    <w:rsid w:val="001B7F9E"/>
    <w:rsid w:val="001C0206"/>
    <w:rsid w:val="001C0246"/>
    <w:rsid w:val="001C04D4"/>
    <w:rsid w:val="001C0B34"/>
    <w:rsid w:val="001C12A3"/>
    <w:rsid w:val="001C1419"/>
    <w:rsid w:val="001C15D8"/>
    <w:rsid w:val="001C17BB"/>
    <w:rsid w:val="001C187E"/>
    <w:rsid w:val="001C1A37"/>
    <w:rsid w:val="001C1C49"/>
    <w:rsid w:val="001C286F"/>
    <w:rsid w:val="001C2B86"/>
    <w:rsid w:val="001C2F02"/>
    <w:rsid w:val="001C2F54"/>
    <w:rsid w:val="001C3308"/>
    <w:rsid w:val="001C331D"/>
    <w:rsid w:val="001C3BBB"/>
    <w:rsid w:val="001C40D1"/>
    <w:rsid w:val="001C468A"/>
    <w:rsid w:val="001C4A38"/>
    <w:rsid w:val="001C4A9E"/>
    <w:rsid w:val="001C5001"/>
    <w:rsid w:val="001C504C"/>
    <w:rsid w:val="001C5103"/>
    <w:rsid w:val="001C52A8"/>
    <w:rsid w:val="001C5ADF"/>
    <w:rsid w:val="001C5E8E"/>
    <w:rsid w:val="001C6120"/>
    <w:rsid w:val="001C6516"/>
    <w:rsid w:val="001C6B5C"/>
    <w:rsid w:val="001C7155"/>
    <w:rsid w:val="001C7E48"/>
    <w:rsid w:val="001D0190"/>
    <w:rsid w:val="001D039B"/>
    <w:rsid w:val="001D0849"/>
    <w:rsid w:val="001D1258"/>
    <w:rsid w:val="001D1AB8"/>
    <w:rsid w:val="001D26F5"/>
    <w:rsid w:val="001D286F"/>
    <w:rsid w:val="001D2C94"/>
    <w:rsid w:val="001D33D9"/>
    <w:rsid w:val="001D34F6"/>
    <w:rsid w:val="001D36F6"/>
    <w:rsid w:val="001D3F6E"/>
    <w:rsid w:val="001D4303"/>
    <w:rsid w:val="001D45E5"/>
    <w:rsid w:val="001D461A"/>
    <w:rsid w:val="001D4A9D"/>
    <w:rsid w:val="001D4AAD"/>
    <w:rsid w:val="001D4E16"/>
    <w:rsid w:val="001D5AFA"/>
    <w:rsid w:val="001D652D"/>
    <w:rsid w:val="001D6AE8"/>
    <w:rsid w:val="001D72D9"/>
    <w:rsid w:val="001D784A"/>
    <w:rsid w:val="001E04A4"/>
    <w:rsid w:val="001E07C5"/>
    <w:rsid w:val="001E0B45"/>
    <w:rsid w:val="001E176D"/>
    <w:rsid w:val="001E1BCE"/>
    <w:rsid w:val="001E1E05"/>
    <w:rsid w:val="001E2086"/>
    <w:rsid w:val="001E339F"/>
    <w:rsid w:val="001E3586"/>
    <w:rsid w:val="001E3629"/>
    <w:rsid w:val="001E3E7D"/>
    <w:rsid w:val="001E40F0"/>
    <w:rsid w:val="001E4172"/>
    <w:rsid w:val="001E4F08"/>
    <w:rsid w:val="001E5490"/>
    <w:rsid w:val="001E5730"/>
    <w:rsid w:val="001E58B1"/>
    <w:rsid w:val="001E5E2E"/>
    <w:rsid w:val="001E6352"/>
    <w:rsid w:val="001E700A"/>
    <w:rsid w:val="001E70AD"/>
    <w:rsid w:val="001E7237"/>
    <w:rsid w:val="001E73E0"/>
    <w:rsid w:val="001E7AF6"/>
    <w:rsid w:val="001F01B8"/>
    <w:rsid w:val="001F0FC3"/>
    <w:rsid w:val="001F1188"/>
    <w:rsid w:val="001F1B8D"/>
    <w:rsid w:val="001F1C50"/>
    <w:rsid w:val="001F274F"/>
    <w:rsid w:val="001F289C"/>
    <w:rsid w:val="001F2BD6"/>
    <w:rsid w:val="001F2BF9"/>
    <w:rsid w:val="001F3AF2"/>
    <w:rsid w:val="001F4BFC"/>
    <w:rsid w:val="001F4DCD"/>
    <w:rsid w:val="001F6008"/>
    <w:rsid w:val="001F604B"/>
    <w:rsid w:val="001F641B"/>
    <w:rsid w:val="001F6D4D"/>
    <w:rsid w:val="001F78EA"/>
    <w:rsid w:val="0020125C"/>
    <w:rsid w:val="0020130D"/>
    <w:rsid w:val="00201916"/>
    <w:rsid w:val="00201D06"/>
    <w:rsid w:val="00201E9F"/>
    <w:rsid w:val="00202A52"/>
    <w:rsid w:val="00202F25"/>
    <w:rsid w:val="002035B3"/>
    <w:rsid w:val="00203929"/>
    <w:rsid w:val="00203CD6"/>
    <w:rsid w:val="00203D01"/>
    <w:rsid w:val="00204460"/>
    <w:rsid w:val="002051EA"/>
    <w:rsid w:val="00205CBC"/>
    <w:rsid w:val="00206259"/>
    <w:rsid w:val="002074B7"/>
    <w:rsid w:val="0020758D"/>
    <w:rsid w:val="0020765E"/>
    <w:rsid w:val="00207C7B"/>
    <w:rsid w:val="00211470"/>
    <w:rsid w:val="00211922"/>
    <w:rsid w:val="0021213A"/>
    <w:rsid w:val="0021265F"/>
    <w:rsid w:val="00212F0B"/>
    <w:rsid w:val="0021322F"/>
    <w:rsid w:val="00213232"/>
    <w:rsid w:val="00213817"/>
    <w:rsid w:val="00214428"/>
    <w:rsid w:val="002145EB"/>
    <w:rsid w:val="0021471A"/>
    <w:rsid w:val="00214F82"/>
    <w:rsid w:val="00214FE7"/>
    <w:rsid w:val="00215033"/>
    <w:rsid w:val="00215049"/>
    <w:rsid w:val="00215834"/>
    <w:rsid w:val="00215CC2"/>
    <w:rsid w:val="00215D95"/>
    <w:rsid w:val="00215ED8"/>
    <w:rsid w:val="00215FAF"/>
    <w:rsid w:val="00217700"/>
    <w:rsid w:val="002177E2"/>
    <w:rsid w:val="0021783B"/>
    <w:rsid w:val="00217AE0"/>
    <w:rsid w:val="00217B43"/>
    <w:rsid w:val="002205F3"/>
    <w:rsid w:val="0022085B"/>
    <w:rsid w:val="00220E53"/>
    <w:rsid w:val="0022176C"/>
    <w:rsid w:val="00221BD2"/>
    <w:rsid w:val="002225D1"/>
    <w:rsid w:val="002230FA"/>
    <w:rsid w:val="002232B9"/>
    <w:rsid w:val="00223DF2"/>
    <w:rsid w:val="00223E18"/>
    <w:rsid w:val="002249A2"/>
    <w:rsid w:val="00224C0C"/>
    <w:rsid w:val="0022510D"/>
    <w:rsid w:val="002256C2"/>
    <w:rsid w:val="002256D0"/>
    <w:rsid w:val="00225C8E"/>
    <w:rsid w:val="00226428"/>
    <w:rsid w:val="002265A9"/>
    <w:rsid w:val="002266CB"/>
    <w:rsid w:val="00227052"/>
    <w:rsid w:val="002272D5"/>
    <w:rsid w:val="0022738E"/>
    <w:rsid w:val="00227906"/>
    <w:rsid w:val="00227934"/>
    <w:rsid w:val="00227E21"/>
    <w:rsid w:val="0023008A"/>
    <w:rsid w:val="0023179D"/>
    <w:rsid w:val="00231D05"/>
    <w:rsid w:val="0023241A"/>
    <w:rsid w:val="002324C4"/>
    <w:rsid w:val="00232EFA"/>
    <w:rsid w:val="002336E2"/>
    <w:rsid w:val="00233AC2"/>
    <w:rsid w:val="00233BAF"/>
    <w:rsid w:val="00233F80"/>
    <w:rsid w:val="0023423A"/>
    <w:rsid w:val="00234996"/>
    <w:rsid w:val="00235420"/>
    <w:rsid w:val="0023549A"/>
    <w:rsid w:val="00235700"/>
    <w:rsid w:val="0023788D"/>
    <w:rsid w:val="00240422"/>
    <w:rsid w:val="0024065B"/>
    <w:rsid w:val="002409A6"/>
    <w:rsid w:val="00240C63"/>
    <w:rsid w:val="00240D91"/>
    <w:rsid w:val="00240EA5"/>
    <w:rsid w:val="00241132"/>
    <w:rsid w:val="00241205"/>
    <w:rsid w:val="002418C5"/>
    <w:rsid w:val="0024261D"/>
    <w:rsid w:val="00242712"/>
    <w:rsid w:val="00242D37"/>
    <w:rsid w:val="00242DFB"/>
    <w:rsid w:val="00243807"/>
    <w:rsid w:val="002440AC"/>
    <w:rsid w:val="0024416E"/>
    <w:rsid w:val="00244365"/>
    <w:rsid w:val="0024459A"/>
    <w:rsid w:val="002446A3"/>
    <w:rsid w:val="00244771"/>
    <w:rsid w:val="00244903"/>
    <w:rsid w:val="00244AFB"/>
    <w:rsid w:val="00244B97"/>
    <w:rsid w:val="00244D0D"/>
    <w:rsid w:val="002453DF"/>
    <w:rsid w:val="00245A81"/>
    <w:rsid w:val="002462A5"/>
    <w:rsid w:val="00246753"/>
    <w:rsid w:val="00246B86"/>
    <w:rsid w:val="00247335"/>
    <w:rsid w:val="002473EF"/>
    <w:rsid w:val="002477B9"/>
    <w:rsid w:val="00247B69"/>
    <w:rsid w:val="00247CBE"/>
    <w:rsid w:val="00250A1F"/>
    <w:rsid w:val="00250ADA"/>
    <w:rsid w:val="00250F1D"/>
    <w:rsid w:val="00251FF1"/>
    <w:rsid w:val="002520BA"/>
    <w:rsid w:val="00252234"/>
    <w:rsid w:val="002524E5"/>
    <w:rsid w:val="002528E3"/>
    <w:rsid w:val="00252944"/>
    <w:rsid w:val="00252D55"/>
    <w:rsid w:val="00252D82"/>
    <w:rsid w:val="00253006"/>
    <w:rsid w:val="00253165"/>
    <w:rsid w:val="002531EA"/>
    <w:rsid w:val="002533F5"/>
    <w:rsid w:val="00253C60"/>
    <w:rsid w:val="00253F21"/>
    <w:rsid w:val="0025429D"/>
    <w:rsid w:val="002549E9"/>
    <w:rsid w:val="00254FF6"/>
    <w:rsid w:val="00255099"/>
    <w:rsid w:val="002555C6"/>
    <w:rsid w:val="0025597E"/>
    <w:rsid w:val="00255E14"/>
    <w:rsid w:val="00255E45"/>
    <w:rsid w:val="00255FC3"/>
    <w:rsid w:val="00255FF9"/>
    <w:rsid w:val="00256AD7"/>
    <w:rsid w:val="00257059"/>
    <w:rsid w:val="0025712F"/>
    <w:rsid w:val="00257395"/>
    <w:rsid w:val="00257857"/>
    <w:rsid w:val="002578DA"/>
    <w:rsid w:val="00257CBC"/>
    <w:rsid w:val="002602C2"/>
    <w:rsid w:val="002602DA"/>
    <w:rsid w:val="0026040B"/>
    <w:rsid w:val="002604F2"/>
    <w:rsid w:val="00260802"/>
    <w:rsid w:val="002609E3"/>
    <w:rsid w:val="0026116D"/>
    <w:rsid w:val="00261223"/>
    <w:rsid w:val="00261467"/>
    <w:rsid w:val="002617AB"/>
    <w:rsid w:val="00261D08"/>
    <w:rsid w:val="00261DCC"/>
    <w:rsid w:val="002624D0"/>
    <w:rsid w:val="00263572"/>
    <w:rsid w:val="00263EC7"/>
    <w:rsid w:val="0026491B"/>
    <w:rsid w:val="00264A36"/>
    <w:rsid w:val="00264B06"/>
    <w:rsid w:val="00264C1B"/>
    <w:rsid w:val="002657FB"/>
    <w:rsid w:val="00265D10"/>
    <w:rsid w:val="00265E2E"/>
    <w:rsid w:val="00265EF0"/>
    <w:rsid w:val="002661AB"/>
    <w:rsid w:val="0026742B"/>
    <w:rsid w:val="002674FE"/>
    <w:rsid w:val="00267E59"/>
    <w:rsid w:val="002702F6"/>
    <w:rsid w:val="00270748"/>
    <w:rsid w:val="00270CAB"/>
    <w:rsid w:val="0027117F"/>
    <w:rsid w:val="002712DC"/>
    <w:rsid w:val="002716A4"/>
    <w:rsid w:val="00271875"/>
    <w:rsid w:val="002718FF"/>
    <w:rsid w:val="00271955"/>
    <w:rsid w:val="00272278"/>
    <w:rsid w:val="00272432"/>
    <w:rsid w:val="00272633"/>
    <w:rsid w:val="00272D36"/>
    <w:rsid w:val="00272E48"/>
    <w:rsid w:val="00272FBF"/>
    <w:rsid w:val="002734ED"/>
    <w:rsid w:val="00273A10"/>
    <w:rsid w:val="00273A58"/>
    <w:rsid w:val="00274C6E"/>
    <w:rsid w:val="00274CAB"/>
    <w:rsid w:val="00274E8A"/>
    <w:rsid w:val="002755A8"/>
    <w:rsid w:val="00275FCE"/>
    <w:rsid w:val="002766B8"/>
    <w:rsid w:val="0027680F"/>
    <w:rsid w:val="002777C0"/>
    <w:rsid w:val="0028051E"/>
    <w:rsid w:val="0028076D"/>
    <w:rsid w:val="00281006"/>
    <w:rsid w:val="002815B1"/>
    <w:rsid w:val="00281893"/>
    <w:rsid w:val="00281C1F"/>
    <w:rsid w:val="00281EEA"/>
    <w:rsid w:val="00281F88"/>
    <w:rsid w:val="0028240D"/>
    <w:rsid w:val="0028288D"/>
    <w:rsid w:val="002829B7"/>
    <w:rsid w:val="00282B82"/>
    <w:rsid w:val="00282C74"/>
    <w:rsid w:val="00282E5B"/>
    <w:rsid w:val="002837D1"/>
    <w:rsid w:val="00283995"/>
    <w:rsid w:val="00283B11"/>
    <w:rsid w:val="002841A9"/>
    <w:rsid w:val="00284313"/>
    <w:rsid w:val="00284554"/>
    <w:rsid w:val="002848AD"/>
    <w:rsid w:val="00284DE4"/>
    <w:rsid w:val="00285154"/>
    <w:rsid w:val="00285BF2"/>
    <w:rsid w:val="00285C78"/>
    <w:rsid w:val="002863CE"/>
    <w:rsid w:val="00287E20"/>
    <w:rsid w:val="00287EB5"/>
    <w:rsid w:val="0029110F"/>
    <w:rsid w:val="00291492"/>
    <w:rsid w:val="00291527"/>
    <w:rsid w:val="002916B4"/>
    <w:rsid w:val="0029199A"/>
    <w:rsid w:val="00291BBE"/>
    <w:rsid w:val="00291FEB"/>
    <w:rsid w:val="00292174"/>
    <w:rsid w:val="00292E99"/>
    <w:rsid w:val="00293146"/>
    <w:rsid w:val="0029361E"/>
    <w:rsid w:val="00293D68"/>
    <w:rsid w:val="0029408A"/>
    <w:rsid w:val="00294352"/>
    <w:rsid w:val="002944A0"/>
    <w:rsid w:val="002946E4"/>
    <w:rsid w:val="0029495C"/>
    <w:rsid w:val="002957D9"/>
    <w:rsid w:val="00295B52"/>
    <w:rsid w:val="00296024"/>
    <w:rsid w:val="00296293"/>
    <w:rsid w:val="002969C7"/>
    <w:rsid w:val="00296AF7"/>
    <w:rsid w:val="00297021"/>
    <w:rsid w:val="002972F9"/>
    <w:rsid w:val="00297612"/>
    <w:rsid w:val="002977CA"/>
    <w:rsid w:val="00297ED7"/>
    <w:rsid w:val="002A0007"/>
    <w:rsid w:val="002A03AA"/>
    <w:rsid w:val="002A056D"/>
    <w:rsid w:val="002A0742"/>
    <w:rsid w:val="002A07FE"/>
    <w:rsid w:val="002A094D"/>
    <w:rsid w:val="002A0CAF"/>
    <w:rsid w:val="002A0DDB"/>
    <w:rsid w:val="002A1565"/>
    <w:rsid w:val="002A16A9"/>
    <w:rsid w:val="002A1A2A"/>
    <w:rsid w:val="002A2941"/>
    <w:rsid w:val="002A2DC4"/>
    <w:rsid w:val="002A3E69"/>
    <w:rsid w:val="002A44F9"/>
    <w:rsid w:val="002A4946"/>
    <w:rsid w:val="002A49EF"/>
    <w:rsid w:val="002A4B8B"/>
    <w:rsid w:val="002A5107"/>
    <w:rsid w:val="002A535E"/>
    <w:rsid w:val="002A5DBD"/>
    <w:rsid w:val="002A6406"/>
    <w:rsid w:val="002A6432"/>
    <w:rsid w:val="002A6CF0"/>
    <w:rsid w:val="002A6FFC"/>
    <w:rsid w:val="002A7010"/>
    <w:rsid w:val="002A70BA"/>
    <w:rsid w:val="002A7A57"/>
    <w:rsid w:val="002A7BB2"/>
    <w:rsid w:val="002A7CC1"/>
    <w:rsid w:val="002A7DCB"/>
    <w:rsid w:val="002B0685"/>
    <w:rsid w:val="002B0B53"/>
    <w:rsid w:val="002B0CF8"/>
    <w:rsid w:val="002B1617"/>
    <w:rsid w:val="002B1A90"/>
    <w:rsid w:val="002B1D11"/>
    <w:rsid w:val="002B273B"/>
    <w:rsid w:val="002B29AA"/>
    <w:rsid w:val="002B2A7E"/>
    <w:rsid w:val="002B2F1B"/>
    <w:rsid w:val="002B3332"/>
    <w:rsid w:val="002B34C7"/>
    <w:rsid w:val="002B3F25"/>
    <w:rsid w:val="002B5AFB"/>
    <w:rsid w:val="002B6257"/>
    <w:rsid w:val="002B6272"/>
    <w:rsid w:val="002B6320"/>
    <w:rsid w:val="002B66AC"/>
    <w:rsid w:val="002B6852"/>
    <w:rsid w:val="002B74EF"/>
    <w:rsid w:val="002B77E1"/>
    <w:rsid w:val="002C0656"/>
    <w:rsid w:val="002C0714"/>
    <w:rsid w:val="002C0A96"/>
    <w:rsid w:val="002C13C6"/>
    <w:rsid w:val="002C1BF4"/>
    <w:rsid w:val="002C1E0D"/>
    <w:rsid w:val="002C2266"/>
    <w:rsid w:val="002C2356"/>
    <w:rsid w:val="002C238F"/>
    <w:rsid w:val="002C276F"/>
    <w:rsid w:val="002C28EB"/>
    <w:rsid w:val="002C2BE9"/>
    <w:rsid w:val="002C316C"/>
    <w:rsid w:val="002C3265"/>
    <w:rsid w:val="002C3AED"/>
    <w:rsid w:val="002C3E56"/>
    <w:rsid w:val="002C414C"/>
    <w:rsid w:val="002C4154"/>
    <w:rsid w:val="002C49F8"/>
    <w:rsid w:val="002C4C2F"/>
    <w:rsid w:val="002C5776"/>
    <w:rsid w:val="002C5EED"/>
    <w:rsid w:val="002C66DE"/>
    <w:rsid w:val="002C68CB"/>
    <w:rsid w:val="002C7193"/>
    <w:rsid w:val="002C7699"/>
    <w:rsid w:val="002C7A49"/>
    <w:rsid w:val="002D0128"/>
    <w:rsid w:val="002D02FB"/>
    <w:rsid w:val="002D0E85"/>
    <w:rsid w:val="002D0FA7"/>
    <w:rsid w:val="002D12FB"/>
    <w:rsid w:val="002D19D1"/>
    <w:rsid w:val="002D1F35"/>
    <w:rsid w:val="002D1FA3"/>
    <w:rsid w:val="002D20CD"/>
    <w:rsid w:val="002D23C6"/>
    <w:rsid w:val="002D24F0"/>
    <w:rsid w:val="002D25EB"/>
    <w:rsid w:val="002D29F3"/>
    <w:rsid w:val="002D3126"/>
    <w:rsid w:val="002D3529"/>
    <w:rsid w:val="002D3D0A"/>
    <w:rsid w:val="002D3EF0"/>
    <w:rsid w:val="002D478E"/>
    <w:rsid w:val="002D47AE"/>
    <w:rsid w:val="002D4A94"/>
    <w:rsid w:val="002D4AFE"/>
    <w:rsid w:val="002D5181"/>
    <w:rsid w:val="002D65FF"/>
    <w:rsid w:val="002D6D10"/>
    <w:rsid w:val="002D71E2"/>
    <w:rsid w:val="002D7B6A"/>
    <w:rsid w:val="002E0026"/>
    <w:rsid w:val="002E08E8"/>
    <w:rsid w:val="002E0918"/>
    <w:rsid w:val="002E0BAA"/>
    <w:rsid w:val="002E0D96"/>
    <w:rsid w:val="002E0EA5"/>
    <w:rsid w:val="002E0F1C"/>
    <w:rsid w:val="002E1E19"/>
    <w:rsid w:val="002E1FAC"/>
    <w:rsid w:val="002E283F"/>
    <w:rsid w:val="002E2854"/>
    <w:rsid w:val="002E2E74"/>
    <w:rsid w:val="002E32D2"/>
    <w:rsid w:val="002E361B"/>
    <w:rsid w:val="002E37AB"/>
    <w:rsid w:val="002E3A80"/>
    <w:rsid w:val="002E41C7"/>
    <w:rsid w:val="002E4C1A"/>
    <w:rsid w:val="002E51DF"/>
    <w:rsid w:val="002E57B9"/>
    <w:rsid w:val="002E6127"/>
    <w:rsid w:val="002E6885"/>
    <w:rsid w:val="002E72E4"/>
    <w:rsid w:val="002E739D"/>
    <w:rsid w:val="002F0F36"/>
    <w:rsid w:val="002F1276"/>
    <w:rsid w:val="002F141C"/>
    <w:rsid w:val="002F1986"/>
    <w:rsid w:val="002F1E5F"/>
    <w:rsid w:val="002F2A49"/>
    <w:rsid w:val="002F3550"/>
    <w:rsid w:val="002F3B63"/>
    <w:rsid w:val="002F3C56"/>
    <w:rsid w:val="002F4156"/>
    <w:rsid w:val="002F4271"/>
    <w:rsid w:val="002F46B0"/>
    <w:rsid w:val="002F4B17"/>
    <w:rsid w:val="002F5150"/>
    <w:rsid w:val="002F5463"/>
    <w:rsid w:val="002F58C2"/>
    <w:rsid w:val="002F5932"/>
    <w:rsid w:val="002F5C85"/>
    <w:rsid w:val="002F603B"/>
    <w:rsid w:val="002F60AC"/>
    <w:rsid w:val="002F6201"/>
    <w:rsid w:val="002F6493"/>
    <w:rsid w:val="002F724B"/>
    <w:rsid w:val="002F72BA"/>
    <w:rsid w:val="002F7A72"/>
    <w:rsid w:val="00300267"/>
    <w:rsid w:val="003004D2"/>
    <w:rsid w:val="00300D6B"/>
    <w:rsid w:val="00301380"/>
    <w:rsid w:val="00301D6A"/>
    <w:rsid w:val="00301E89"/>
    <w:rsid w:val="00302052"/>
    <w:rsid w:val="00302142"/>
    <w:rsid w:val="00302169"/>
    <w:rsid w:val="00302612"/>
    <w:rsid w:val="00302963"/>
    <w:rsid w:val="00303254"/>
    <w:rsid w:val="003044D9"/>
    <w:rsid w:val="00304D8A"/>
    <w:rsid w:val="00305216"/>
    <w:rsid w:val="0030555B"/>
    <w:rsid w:val="00306109"/>
    <w:rsid w:val="003061F5"/>
    <w:rsid w:val="00306A49"/>
    <w:rsid w:val="00306CBF"/>
    <w:rsid w:val="00306D27"/>
    <w:rsid w:val="0030739C"/>
    <w:rsid w:val="00310ACB"/>
    <w:rsid w:val="00310D51"/>
    <w:rsid w:val="00311B36"/>
    <w:rsid w:val="00311C53"/>
    <w:rsid w:val="00311C92"/>
    <w:rsid w:val="0031252E"/>
    <w:rsid w:val="00313321"/>
    <w:rsid w:val="003133AE"/>
    <w:rsid w:val="0031371B"/>
    <w:rsid w:val="00314156"/>
    <w:rsid w:val="00314CF8"/>
    <w:rsid w:val="0031535B"/>
    <w:rsid w:val="003154DD"/>
    <w:rsid w:val="00315BD6"/>
    <w:rsid w:val="00316F76"/>
    <w:rsid w:val="003170F4"/>
    <w:rsid w:val="0032035D"/>
    <w:rsid w:val="0032056F"/>
    <w:rsid w:val="003205E9"/>
    <w:rsid w:val="00320B28"/>
    <w:rsid w:val="0032123E"/>
    <w:rsid w:val="003216D5"/>
    <w:rsid w:val="003216FF"/>
    <w:rsid w:val="00321866"/>
    <w:rsid w:val="00321A83"/>
    <w:rsid w:val="00321C1A"/>
    <w:rsid w:val="00321F6B"/>
    <w:rsid w:val="00322389"/>
    <w:rsid w:val="003223CA"/>
    <w:rsid w:val="00322BE5"/>
    <w:rsid w:val="00322E87"/>
    <w:rsid w:val="00322FEA"/>
    <w:rsid w:val="0032312D"/>
    <w:rsid w:val="003236CD"/>
    <w:rsid w:val="00323AA5"/>
    <w:rsid w:val="003242E4"/>
    <w:rsid w:val="0032468D"/>
    <w:rsid w:val="00324887"/>
    <w:rsid w:val="00324926"/>
    <w:rsid w:val="00324B25"/>
    <w:rsid w:val="0032522F"/>
    <w:rsid w:val="003253C4"/>
    <w:rsid w:val="0032550F"/>
    <w:rsid w:val="00325992"/>
    <w:rsid w:val="00325B74"/>
    <w:rsid w:val="0032638F"/>
    <w:rsid w:val="003263EA"/>
    <w:rsid w:val="00326B59"/>
    <w:rsid w:val="00326BD4"/>
    <w:rsid w:val="003272C6"/>
    <w:rsid w:val="00327752"/>
    <w:rsid w:val="00327C7C"/>
    <w:rsid w:val="00330009"/>
    <w:rsid w:val="003301E6"/>
    <w:rsid w:val="003310AB"/>
    <w:rsid w:val="003314D2"/>
    <w:rsid w:val="00331712"/>
    <w:rsid w:val="00331A3F"/>
    <w:rsid w:val="00332191"/>
    <w:rsid w:val="00332720"/>
    <w:rsid w:val="00332EED"/>
    <w:rsid w:val="003331E4"/>
    <w:rsid w:val="003334A7"/>
    <w:rsid w:val="003337E8"/>
    <w:rsid w:val="00333A14"/>
    <w:rsid w:val="00333B2A"/>
    <w:rsid w:val="00333FD5"/>
    <w:rsid w:val="00334649"/>
    <w:rsid w:val="003350E9"/>
    <w:rsid w:val="003351BA"/>
    <w:rsid w:val="0033520F"/>
    <w:rsid w:val="0033596B"/>
    <w:rsid w:val="00335A93"/>
    <w:rsid w:val="00335E6B"/>
    <w:rsid w:val="0033650E"/>
    <w:rsid w:val="00336907"/>
    <w:rsid w:val="003369DF"/>
    <w:rsid w:val="00336AD1"/>
    <w:rsid w:val="00336C71"/>
    <w:rsid w:val="00336D96"/>
    <w:rsid w:val="00336DFC"/>
    <w:rsid w:val="00337230"/>
    <w:rsid w:val="003377D0"/>
    <w:rsid w:val="00337D75"/>
    <w:rsid w:val="00340020"/>
    <w:rsid w:val="0034028D"/>
    <w:rsid w:val="00340AFD"/>
    <w:rsid w:val="00341162"/>
    <w:rsid w:val="00341866"/>
    <w:rsid w:val="00341DAF"/>
    <w:rsid w:val="00342181"/>
    <w:rsid w:val="00342B37"/>
    <w:rsid w:val="00343560"/>
    <w:rsid w:val="00343A20"/>
    <w:rsid w:val="0034402B"/>
    <w:rsid w:val="0034449E"/>
    <w:rsid w:val="003449F4"/>
    <w:rsid w:val="00344D46"/>
    <w:rsid w:val="00345337"/>
    <w:rsid w:val="003465A5"/>
    <w:rsid w:val="00346817"/>
    <w:rsid w:val="00347440"/>
    <w:rsid w:val="003475EA"/>
    <w:rsid w:val="00347A27"/>
    <w:rsid w:val="00347CD4"/>
    <w:rsid w:val="00347E2E"/>
    <w:rsid w:val="00350A55"/>
    <w:rsid w:val="00350DF8"/>
    <w:rsid w:val="00351A8A"/>
    <w:rsid w:val="0035266A"/>
    <w:rsid w:val="0035279C"/>
    <w:rsid w:val="003535D2"/>
    <w:rsid w:val="0035384D"/>
    <w:rsid w:val="00353C0B"/>
    <w:rsid w:val="00354472"/>
    <w:rsid w:val="00354AE4"/>
    <w:rsid w:val="00354B0A"/>
    <w:rsid w:val="0035551B"/>
    <w:rsid w:val="003555ED"/>
    <w:rsid w:val="00355911"/>
    <w:rsid w:val="00355BFC"/>
    <w:rsid w:val="003560EF"/>
    <w:rsid w:val="0035636B"/>
    <w:rsid w:val="0035636C"/>
    <w:rsid w:val="003564CC"/>
    <w:rsid w:val="00357424"/>
    <w:rsid w:val="00357BE9"/>
    <w:rsid w:val="0036004C"/>
    <w:rsid w:val="003601A2"/>
    <w:rsid w:val="003613EE"/>
    <w:rsid w:val="0036174F"/>
    <w:rsid w:val="00361789"/>
    <w:rsid w:val="0036196D"/>
    <w:rsid w:val="00361A59"/>
    <w:rsid w:val="00362136"/>
    <w:rsid w:val="003627BD"/>
    <w:rsid w:val="00362997"/>
    <w:rsid w:val="00362B7F"/>
    <w:rsid w:val="00362C59"/>
    <w:rsid w:val="00363040"/>
    <w:rsid w:val="003630B7"/>
    <w:rsid w:val="00363786"/>
    <w:rsid w:val="003638A4"/>
    <w:rsid w:val="003639BF"/>
    <w:rsid w:val="00363E41"/>
    <w:rsid w:val="00363FD2"/>
    <w:rsid w:val="00364653"/>
    <w:rsid w:val="0036572E"/>
    <w:rsid w:val="0036614A"/>
    <w:rsid w:val="00366168"/>
    <w:rsid w:val="003663D9"/>
    <w:rsid w:val="003666BF"/>
    <w:rsid w:val="00366707"/>
    <w:rsid w:val="00366FA9"/>
    <w:rsid w:val="00367B19"/>
    <w:rsid w:val="00367E49"/>
    <w:rsid w:val="003700E6"/>
    <w:rsid w:val="0037017C"/>
    <w:rsid w:val="00370490"/>
    <w:rsid w:val="00371C86"/>
    <w:rsid w:val="00371EB4"/>
    <w:rsid w:val="0037236C"/>
    <w:rsid w:val="003729DE"/>
    <w:rsid w:val="00372EA2"/>
    <w:rsid w:val="003735D3"/>
    <w:rsid w:val="0037386D"/>
    <w:rsid w:val="00373956"/>
    <w:rsid w:val="00374153"/>
    <w:rsid w:val="00374671"/>
    <w:rsid w:val="003750E0"/>
    <w:rsid w:val="00375AF1"/>
    <w:rsid w:val="00375C2F"/>
    <w:rsid w:val="00375FC5"/>
    <w:rsid w:val="003768DC"/>
    <w:rsid w:val="003769BA"/>
    <w:rsid w:val="0037743A"/>
    <w:rsid w:val="00377871"/>
    <w:rsid w:val="003778B2"/>
    <w:rsid w:val="00377E58"/>
    <w:rsid w:val="003805E3"/>
    <w:rsid w:val="00380618"/>
    <w:rsid w:val="0038062E"/>
    <w:rsid w:val="003806D7"/>
    <w:rsid w:val="003807F7"/>
    <w:rsid w:val="00381610"/>
    <w:rsid w:val="0038166B"/>
    <w:rsid w:val="00381C9E"/>
    <w:rsid w:val="00381CA8"/>
    <w:rsid w:val="00382106"/>
    <w:rsid w:val="00382657"/>
    <w:rsid w:val="00382708"/>
    <w:rsid w:val="00382B82"/>
    <w:rsid w:val="003844BF"/>
    <w:rsid w:val="00384566"/>
    <w:rsid w:val="003854D5"/>
    <w:rsid w:val="0038552A"/>
    <w:rsid w:val="003859EA"/>
    <w:rsid w:val="0038709E"/>
    <w:rsid w:val="00387978"/>
    <w:rsid w:val="00387D30"/>
    <w:rsid w:val="0039168C"/>
    <w:rsid w:val="00391753"/>
    <w:rsid w:val="00391C7F"/>
    <w:rsid w:val="00392454"/>
    <w:rsid w:val="00392C85"/>
    <w:rsid w:val="00392FD8"/>
    <w:rsid w:val="00393E11"/>
    <w:rsid w:val="003942F4"/>
    <w:rsid w:val="00394475"/>
    <w:rsid w:val="0039517A"/>
    <w:rsid w:val="003951DB"/>
    <w:rsid w:val="003954FE"/>
    <w:rsid w:val="00395B51"/>
    <w:rsid w:val="00396796"/>
    <w:rsid w:val="00396D9B"/>
    <w:rsid w:val="00396EC6"/>
    <w:rsid w:val="003970BA"/>
    <w:rsid w:val="0039746C"/>
    <w:rsid w:val="00397DC6"/>
    <w:rsid w:val="003A0E82"/>
    <w:rsid w:val="003A0FAC"/>
    <w:rsid w:val="003A184D"/>
    <w:rsid w:val="003A1FB7"/>
    <w:rsid w:val="003A2773"/>
    <w:rsid w:val="003A371E"/>
    <w:rsid w:val="003A3957"/>
    <w:rsid w:val="003A3E29"/>
    <w:rsid w:val="003A439B"/>
    <w:rsid w:val="003A462A"/>
    <w:rsid w:val="003A595F"/>
    <w:rsid w:val="003A5EEC"/>
    <w:rsid w:val="003A6B7A"/>
    <w:rsid w:val="003A748F"/>
    <w:rsid w:val="003A79AE"/>
    <w:rsid w:val="003A7CA3"/>
    <w:rsid w:val="003B00B6"/>
    <w:rsid w:val="003B01C4"/>
    <w:rsid w:val="003B0BB0"/>
    <w:rsid w:val="003B11EE"/>
    <w:rsid w:val="003B15F8"/>
    <w:rsid w:val="003B166F"/>
    <w:rsid w:val="003B1B60"/>
    <w:rsid w:val="003B1F47"/>
    <w:rsid w:val="003B207E"/>
    <w:rsid w:val="003B230B"/>
    <w:rsid w:val="003B23BC"/>
    <w:rsid w:val="003B28BA"/>
    <w:rsid w:val="003B28F6"/>
    <w:rsid w:val="003B2DB5"/>
    <w:rsid w:val="003B2F05"/>
    <w:rsid w:val="003B2F2A"/>
    <w:rsid w:val="003B3966"/>
    <w:rsid w:val="003B39B7"/>
    <w:rsid w:val="003B4754"/>
    <w:rsid w:val="003B4EB0"/>
    <w:rsid w:val="003B5094"/>
    <w:rsid w:val="003B5310"/>
    <w:rsid w:val="003B552F"/>
    <w:rsid w:val="003B5F6A"/>
    <w:rsid w:val="003B6B23"/>
    <w:rsid w:val="003B6B7F"/>
    <w:rsid w:val="003B7820"/>
    <w:rsid w:val="003C01A4"/>
    <w:rsid w:val="003C0219"/>
    <w:rsid w:val="003C0941"/>
    <w:rsid w:val="003C0C12"/>
    <w:rsid w:val="003C0E6B"/>
    <w:rsid w:val="003C16EE"/>
    <w:rsid w:val="003C1C87"/>
    <w:rsid w:val="003C1D4D"/>
    <w:rsid w:val="003C2401"/>
    <w:rsid w:val="003C2927"/>
    <w:rsid w:val="003C2C85"/>
    <w:rsid w:val="003C2F61"/>
    <w:rsid w:val="003C345E"/>
    <w:rsid w:val="003C4409"/>
    <w:rsid w:val="003C4594"/>
    <w:rsid w:val="003C4997"/>
    <w:rsid w:val="003C4DA5"/>
    <w:rsid w:val="003C502A"/>
    <w:rsid w:val="003C5206"/>
    <w:rsid w:val="003C5666"/>
    <w:rsid w:val="003C58BA"/>
    <w:rsid w:val="003C5956"/>
    <w:rsid w:val="003C60CC"/>
    <w:rsid w:val="003C64F4"/>
    <w:rsid w:val="003C6D4E"/>
    <w:rsid w:val="003C724B"/>
    <w:rsid w:val="003C73DB"/>
    <w:rsid w:val="003D0185"/>
    <w:rsid w:val="003D02CB"/>
    <w:rsid w:val="003D0382"/>
    <w:rsid w:val="003D069C"/>
    <w:rsid w:val="003D0AA6"/>
    <w:rsid w:val="003D18F6"/>
    <w:rsid w:val="003D191E"/>
    <w:rsid w:val="003D1A19"/>
    <w:rsid w:val="003D2027"/>
    <w:rsid w:val="003D22A5"/>
    <w:rsid w:val="003D23A4"/>
    <w:rsid w:val="003D3414"/>
    <w:rsid w:val="003D3426"/>
    <w:rsid w:val="003D3654"/>
    <w:rsid w:val="003D3721"/>
    <w:rsid w:val="003D413A"/>
    <w:rsid w:val="003D6722"/>
    <w:rsid w:val="003D7428"/>
    <w:rsid w:val="003D77F2"/>
    <w:rsid w:val="003D7871"/>
    <w:rsid w:val="003D78CC"/>
    <w:rsid w:val="003D7D01"/>
    <w:rsid w:val="003D7ED8"/>
    <w:rsid w:val="003E0003"/>
    <w:rsid w:val="003E0099"/>
    <w:rsid w:val="003E08C7"/>
    <w:rsid w:val="003E122B"/>
    <w:rsid w:val="003E1427"/>
    <w:rsid w:val="003E162D"/>
    <w:rsid w:val="003E1964"/>
    <w:rsid w:val="003E1A72"/>
    <w:rsid w:val="003E27B8"/>
    <w:rsid w:val="003E2880"/>
    <w:rsid w:val="003E28FB"/>
    <w:rsid w:val="003E2A00"/>
    <w:rsid w:val="003E382C"/>
    <w:rsid w:val="003E3D00"/>
    <w:rsid w:val="003E4487"/>
    <w:rsid w:val="003E4531"/>
    <w:rsid w:val="003E4771"/>
    <w:rsid w:val="003E52E3"/>
    <w:rsid w:val="003E541C"/>
    <w:rsid w:val="003E54A8"/>
    <w:rsid w:val="003E5833"/>
    <w:rsid w:val="003E5DA8"/>
    <w:rsid w:val="003E6E2C"/>
    <w:rsid w:val="003E7109"/>
    <w:rsid w:val="003E77DC"/>
    <w:rsid w:val="003E7BC1"/>
    <w:rsid w:val="003F0453"/>
    <w:rsid w:val="003F0C9F"/>
    <w:rsid w:val="003F144A"/>
    <w:rsid w:val="003F1B02"/>
    <w:rsid w:val="003F1EFE"/>
    <w:rsid w:val="003F2240"/>
    <w:rsid w:val="003F2460"/>
    <w:rsid w:val="003F2E7B"/>
    <w:rsid w:val="003F3CD5"/>
    <w:rsid w:val="003F4473"/>
    <w:rsid w:val="003F4CF5"/>
    <w:rsid w:val="003F4E31"/>
    <w:rsid w:val="003F4F09"/>
    <w:rsid w:val="003F51EE"/>
    <w:rsid w:val="003F574E"/>
    <w:rsid w:val="003F60D6"/>
    <w:rsid w:val="003F68E9"/>
    <w:rsid w:val="003F728C"/>
    <w:rsid w:val="003F7E15"/>
    <w:rsid w:val="003F7FDA"/>
    <w:rsid w:val="00400E65"/>
    <w:rsid w:val="004013AD"/>
    <w:rsid w:val="00401BCF"/>
    <w:rsid w:val="00401E20"/>
    <w:rsid w:val="004021C0"/>
    <w:rsid w:val="004024F9"/>
    <w:rsid w:val="0040268F"/>
    <w:rsid w:val="004028CE"/>
    <w:rsid w:val="0040313D"/>
    <w:rsid w:val="004043FA"/>
    <w:rsid w:val="00404970"/>
    <w:rsid w:val="00405181"/>
    <w:rsid w:val="0040567F"/>
    <w:rsid w:val="00405727"/>
    <w:rsid w:val="00405873"/>
    <w:rsid w:val="00405F09"/>
    <w:rsid w:val="004066F4"/>
    <w:rsid w:val="00406706"/>
    <w:rsid w:val="00406A32"/>
    <w:rsid w:val="0040760B"/>
    <w:rsid w:val="00410117"/>
    <w:rsid w:val="00410C32"/>
    <w:rsid w:val="00411237"/>
    <w:rsid w:val="00411557"/>
    <w:rsid w:val="00411994"/>
    <w:rsid w:val="00411D74"/>
    <w:rsid w:val="00411DDE"/>
    <w:rsid w:val="00411F84"/>
    <w:rsid w:val="00412069"/>
    <w:rsid w:val="004121A1"/>
    <w:rsid w:val="00412477"/>
    <w:rsid w:val="00412570"/>
    <w:rsid w:val="004127A2"/>
    <w:rsid w:val="0041280A"/>
    <w:rsid w:val="00412A9D"/>
    <w:rsid w:val="00412CB1"/>
    <w:rsid w:val="004133A5"/>
    <w:rsid w:val="00413D45"/>
    <w:rsid w:val="00414197"/>
    <w:rsid w:val="004144D7"/>
    <w:rsid w:val="00414D68"/>
    <w:rsid w:val="00414FD9"/>
    <w:rsid w:val="0041503D"/>
    <w:rsid w:val="00415773"/>
    <w:rsid w:val="00415CAE"/>
    <w:rsid w:val="00415EE7"/>
    <w:rsid w:val="00415FD6"/>
    <w:rsid w:val="004160FA"/>
    <w:rsid w:val="0041669E"/>
    <w:rsid w:val="00416ACA"/>
    <w:rsid w:val="00416C56"/>
    <w:rsid w:val="00417294"/>
    <w:rsid w:val="00417416"/>
    <w:rsid w:val="00417419"/>
    <w:rsid w:val="004176B8"/>
    <w:rsid w:val="00417B99"/>
    <w:rsid w:val="00417CE0"/>
    <w:rsid w:val="004209D5"/>
    <w:rsid w:val="00420FAF"/>
    <w:rsid w:val="00421184"/>
    <w:rsid w:val="004212C1"/>
    <w:rsid w:val="004214B7"/>
    <w:rsid w:val="00421510"/>
    <w:rsid w:val="00421892"/>
    <w:rsid w:val="00421FB5"/>
    <w:rsid w:val="004226ED"/>
    <w:rsid w:val="00422AF4"/>
    <w:rsid w:val="004235F4"/>
    <w:rsid w:val="004236C9"/>
    <w:rsid w:val="00423CF3"/>
    <w:rsid w:val="00423E18"/>
    <w:rsid w:val="004245E4"/>
    <w:rsid w:val="00424B7C"/>
    <w:rsid w:val="00424BE4"/>
    <w:rsid w:val="0042500C"/>
    <w:rsid w:val="00425514"/>
    <w:rsid w:val="004256BD"/>
    <w:rsid w:val="00425863"/>
    <w:rsid w:val="00425D02"/>
    <w:rsid w:val="00425EDC"/>
    <w:rsid w:val="00426C3E"/>
    <w:rsid w:val="00426CF3"/>
    <w:rsid w:val="004275CD"/>
    <w:rsid w:val="00427E74"/>
    <w:rsid w:val="00427FEB"/>
    <w:rsid w:val="00427FF2"/>
    <w:rsid w:val="004305C0"/>
    <w:rsid w:val="00430B20"/>
    <w:rsid w:val="00430B6C"/>
    <w:rsid w:val="0043227C"/>
    <w:rsid w:val="004330B1"/>
    <w:rsid w:val="004335C0"/>
    <w:rsid w:val="00433B34"/>
    <w:rsid w:val="004340EC"/>
    <w:rsid w:val="00435121"/>
    <w:rsid w:val="00435715"/>
    <w:rsid w:val="0043571B"/>
    <w:rsid w:val="00435EE0"/>
    <w:rsid w:val="00435F29"/>
    <w:rsid w:val="0043610C"/>
    <w:rsid w:val="004366FF"/>
    <w:rsid w:val="004371D4"/>
    <w:rsid w:val="004373A3"/>
    <w:rsid w:val="00437D83"/>
    <w:rsid w:val="004401DD"/>
    <w:rsid w:val="00440344"/>
    <w:rsid w:val="00441264"/>
    <w:rsid w:val="00441B0F"/>
    <w:rsid w:val="00441F06"/>
    <w:rsid w:val="004422D5"/>
    <w:rsid w:val="004425C6"/>
    <w:rsid w:val="00443CC7"/>
    <w:rsid w:val="00443D5D"/>
    <w:rsid w:val="00445CBA"/>
    <w:rsid w:val="004463CB"/>
    <w:rsid w:val="004466F7"/>
    <w:rsid w:val="00446858"/>
    <w:rsid w:val="00447304"/>
    <w:rsid w:val="004476F6"/>
    <w:rsid w:val="00447CDD"/>
    <w:rsid w:val="00450127"/>
    <w:rsid w:val="0045075F"/>
    <w:rsid w:val="004516AD"/>
    <w:rsid w:val="00451E84"/>
    <w:rsid w:val="00451EA3"/>
    <w:rsid w:val="00451F01"/>
    <w:rsid w:val="00451F2B"/>
    <w:rsid w:val="00454660"/>
    <w:rsid w:val="004546A7"/>
    <w:rsid w:val="00454831"/>
    <w:rsid w:val="004548DF"/>
    <w:rsid w:val="00456889"/>
    <w:rsid w:val="00456CC0"/>
    <w:rsid w:val="00457933"/>
    <w:rsid w:val="00457C78"/>
    <w:rsid w:val="0046068D"/>
    <w:rsid w:val="00460735"/>
    <w:rsid w:val="00460AD5"/>
    <w:rsid w:val="00460EB8"/>
    <w:rsid w:val="00461090"/>
    <w:rsid w:val="00461991"/>
    <w:rsid w:val="00461ACB"/>
    <w:rsid w:val="00461C43"/>
    <w:rsid w:val="00462125"/>
    <w:rsid w:val="00463216"/>
    <w:rsid w:val="0046334D"/>
    <w:rsid w:val="00463911"/>
    <w:rsid w:val="00463C95"/>
    <w:rsid w:val="00463E1C"/>
    <w:rsid w:val="00464052"/>
    <w:rsid w:val="00465153"/>
    <w:rsid w:val="00465602"/>
    <w:rsid w:val="004656A4"/>
    <w:rsid w:val="00466A4A"/>
    <w:rsid w:val="00466AFD"/>
    <w:rsid w:val="00470696"/>
    <w:rsid w:val="004713A5"/>
    <w:rsid w:val="0047162F"/>
    <w:rsid w:val="00472177"/>
    <w:rsid w:val="00472234"/>
    <w:rsid w:val="004724C9"/>
    <w:rsid w:val="00472585"/>
    <w:rsid w:val="00472EAC"/>
    <w:rsid w:val="00474130"/>
    <w:rsid w:val="00474EDD"/>
    <w:rsid w:val="00475A6C"/>
    <w:rsid w:val="004764AF"/>
    <w:rsid w:val="00476D04"/>
    <w:rsid w:val="00476F58"/>
    <w:rsid w:val="0047775E"/>
    <w:rsid w:val="00477AAE"/>
    <w:rsid w:val="00477AF6"/>
    <w:rsid w:val="00477B3B"/>
    <w:rsid w:val="00477BCB"/>
    <w:rsid w:val="004801A7"/>
    <w:rsid w:val="00480E47"/>
    <w:rsid w:val="00481666"/>
    <w:rsid w:val="0048181B"/>
    <w:rsid w:val="00481F2B"/>
    <w:rsid w:val="004820C5"/>
    <w:rsid w:val="00482198"/>
    <w:rsid w:val="004823D8"/>
    <w:rsid w:val="00482F20"/>
    <w:rsid w:val="00483196"/>
    <w:rsid w:val="0048340F"/>
    <w:rsid w:val="00483AD4"/>
    <w:rsid w:val="0048423C"/>
    <w:rsid w:val="00484449"/>
    <w:rsid w:val="004852CE"/>
    <w:rsid w:val="0048540C"/>
    <w:rsid w:val="00485F92"/>
    <w:rsid w:val="004860BD"/>
    <w:rsid w:val="004866E1"/>
    <w:rsid w:val="00486C72"/>
    <w:rsid w:val="004870CE"/>
    <w:rsid w:val="00487D3A"/>
    <w:rsid w:val="00490954"/>
    <w:rsid w:val="0049102F"/>
    <w:rsid w:val="0049277A"/>
    <w:rsid w:val="00492B38"/>
    <w:rsid w:val="00492F73"/>
    <w:rsid w:val="00492FE4"/>
    <w:rsid w:val="00493035"/>
    <w:rsid w:val="0049330F"/>
    <w:rsid w:val="00493321"/>
    <w:rsid w:val="004936DE"/>
    <w:rsid w:val="004949B0"/>
    <w:rsid w:val="00494A50"/>
    <w:rsid w:val="0049544E"/>
    <w:rsid w:val="00495670"/>
    <w:rsid w:val="0049567B"/>
    <w:rsid w:val="0049604B"/>
    <w:rsid w:val="00496636"/>
    <w:rsid w:val="00496666"/>
    <w:rsid w:val="00496AC9"/>
    <w:rsid w:val="004A040E"/>
    <w:rsid w:val="004A042D"/>
    <w:rsid w:val="004A0831"/>
    <w:rsid w:val="004A11E0"/>
    <w:rsid w:val="004A1586"/>
    <w:rsid w:val="004A1953"/>
    <w:rsid w:val="004A1FC5"/>
    <w:rsid w:val="004A2158"/>
    <w:rsid w:val="004A2639"/>
    <w:rsid w:val="004A29A5"/>
    <w:rsid w:val="004A3225"/>
    <w:rsid w:val="004A374A"/>
    <w:rsid w:val="004A395B"/>
    <w:rsid w:val="004A3C59"/>
    <w:rsid w:val="004A3FE2"/>
    <w:rsid w:val="004A4195"/>
    <w:rsid w:val="004A480D"/>
    <w:rsid w:val="004A4D76"/>
    <w:rsid w:val="004A53C2"/>
    <w:rsid w:val="004A5851"/>
    <w:rsid w:val="004A5A91"/>
    <w:rsid w:val="004A5B0F"/>
    <w:rsid w:val="004A5CF1"/>
    <w:rsid w:val="004A5E21"/>
    <w:rsid w:val="004A66E0"/>
    <w:rsid w:val="004A7450"/>
    <w:rsid w:val="004A7AAE"/>
    <w:rsid w:val="004A7D49"/>
    <w:rsid w:val="004A7E52"/>
    <w:rsid w:val="004A7F21"/>
    <w:rsid w:val="004B08DB"/>
    <w:rsid w:val="004B1422"/>
    <w:rsid w:val="004B1DF2"/>
    <w:rsid w:val="004B24EB"/>
    <w:rsid w:val="004B29AC"/>
    <w:rsid w:val="004B3C8B"/>
    <w:rsid w:val="004B44A9"/>
    <w:rsid w:val="004B4509"/>
    <w:rsid w:val="004B452A"/>
    <w:rsid w:val="004B4871"/>
    <w:rsid w:val="004B4ADF"/>
    <w:rsid w:val="004B4C00"/>
    <w:rsid w:val="004B4E06"/>
    <w:rsid w:val="004B5493"/>
    <w:rsid w:val="004B5914"/>
    <w:rsid w:val="004B6640"/>
    <w:rsid w:val="004B6C77"/>
    <w:rsid w:val="004B6D0A"/>
    <w:rsid w:val="004B6DA4"/>
    <w:rsid w:val="004B794C"/>
    <w:rsid w:val="004B7995"/>
    <w:rsid w:val="004C02B3"/>
    <w:rsid w:val="004C098E"/>
    <w:rsid w:val="004C0BBE"/>
    <w:rsid w:val="004C0E2F"/>
    <w:rsid w:val="004C1705"/>
    <w:rsid w:val="004C19CF"/>
    <w:rsid w:val="004C1D72"/>
    <w:rsid w:val="004C222E"/>
    <w:rsid w:val="004C2561"/>
    <w:rsid w:val="004C25B4"/>
    <w:rsid w:val="004C2806"/>
    <w:rsid w:val="004C30E9"/>
    <w:rsid w:val="004C3A7A"/>
    <w:rsid w:val="004C3ADD"/>
    <w:rsid w:val="004C428E"/>
    <w:rsid w:val="004C441A"/>
    <w:rsid w:val="004C4775"/>
    <w:rsid w:val="004C483D"/>
    <w:rsid w:val="004C48A9"/>
    <w:rsid w:val="004C49B3"/>
    <w:rsid w:val="004C4D05"/>
    <w:rsid w:val="004C4FF6"/>
    <w:rsid w:val="004C56E1"/>
    <w:rsid w:val="004C590B"/>
    <w:rsid w:val="004C6017"/>
    <w:rsid w:val="004C63C7"/>
    <w:rsid w:val="004C6D39"/>
    <w:rsid w:val="004C6D98"/>
    <w:rsid w:val="004C7217"/>
    <w:rsid w:val="004C7743"/>
    <w:rsid w:val="004C77A7"/>
    <w:rsid w:val="004C7AEC"/>
    <w:rsid w:val="004D039E"/>
    <w:rsid w:val="004D04A3"/>
    <w:rsid w:val="004D0C9F"/>
    <w:rsid w:val="004D15FD"/>
    <w:rsid w:val="004D1856"/>
    <w:rsid w:val="004D1A0A"/>
    <w:rsid w:val="004D2369"/>
    <w:rsid w:val="004D2485"/>
    <w:rsid w:val="004D25D5"/>
    <w:rsid w:val="004D3A57"/>
    <w:rsid w:val="004D3FC8"/>
    <w:rsid w:val="004D47FF"/>
    <w:rsid w:val="004D4D35"/>
    <w:rsid w:val="004D518F"/>
    <w:rsid w:val="004D54D7"/>
    <w:rsid w:val="004D5BB7"/>
    <w:rsid w:val="004D6053"/>
    <w:rsid w:val="004D6FA4"/>
    <w:rsid w:val="004D7C23"/>
    <w:rsid w:val="004E01C6"/>
    <w:rsid w:val="004E0212"/>
    <w:rsid w:val="004E0ADC"/>
    <w:rsid w:val="004E0FB1"/>
    <w:rsid w:val="004E1043"/>
    <w:rsid w:val="004E1DCA"/>
    <w:rsid w:val="004E21B4"/>
    <w:rsid w:val="004E252B"/>
    <w:rsid w:val="004E2861"/>
    <w:rsid w:val="004E2A85"/>
    <w:rsid w:val="004E3F72"/>
    <w:rsid w:val="004E4A78"/>
    <w:rsid w:val="004E551E"/>
    <w:rsid w:val="004E584D"/>
    <w:rsid w:val="004E58F6"/>
    <w:rsid w:val="004E5E37"/>
    <w:rsid w:val="004E5E4C"/>
    <w:rsid w:val="004E5F79"/>
    <w:rsid w:val="004E5F8E"/>
    <w:rsid w:val="004E623E"/>
    <w:rsid w:val="004E6589"/>
    <w:rsid w:val="004E6CF9"/>
    <w:rsid w:val="004E7152"/>
    <w:rsid w:val="004E734E"/>
    <w:rsid w:val="004E7B92"/>
    <w:rsid w:val="004E7EC0"/>
    <w:rsid w:val="004E7F48"/>
    <w:rsid w:val="004F014E"/>
    <w:rsid w:val="004F023B"/>
    <w:rsid w:val="004F0BC6"/>
    <w:rsid w:val="004F1123"/>
    <w:rsid w:val="004F12D3"/>
    <w:rsid w:val="004F1715"/>
    <w:rsid w:val="004F17DA"/>
    <w:rsid w:val="004F1ECD"/>
    <w:rsid w:val="004F355B"/>
    <w:rsid w:val="004F3A2F"/>
    <w:rsid w:val="004F3BD2"/>
    <w:rsid w:val="004F4372"/>
    <w:rsid w:val="004F43E0"/>
    <w:rsid w:val="004F45EB"/>
    <w:rsid w:val="004F5079"/>
    <w:rsid w:val="004F5132"/>
    <w:rsid w:val="004F521B"/>
    <w:rsid w:val="004F52BB"/>
    <w:rsid w:val="004F5582"/>
    <w:rsid w:val="004F56B1"/>
    <w:rsid w:val="004F59B8"/>
    <w:rsid w:val="004F62A7"/>
    <w:rsid w:val="004F62C7"/>
    <w:rsid w:val="004F62F9"/>
    <w:rsid w:val="004F66B3"/>
    <w:rsid w:val="004F6FA7"/>
    <w:rsid w:val="004F72DA"/>
    <w:rsid w:val="004F7352"/>
    <w:rsid w:val="004F7889"/>
    <w:rsid w:val="004F7E84"/>
    <w:rsid w:val="0050015C"/>
    <w:rsid w:val="00500418"/>
    <w:rsid w:val="00500CCF"/>
    <w:rsid w:val="00500E62"/>
    <w:rsid w:val="005010DE"/>
    <w:rsid w:val="005011FD"/>
    <w:rsid w:val="0050164B"/>
    <w:rsid w:val="00501AA5"/>
    <w:rsid w:val="00502958"/>
    <w:rsid w:val="00502BD2"/>
    <w:rsid w:val="00502DA4"/>
    <w:rsid w:val="00503790"/>
    <w:rsid w:val="005038F3"/>
    <w:rsid w:val="00503F83"/>
    <w:rsid w:val="0050421C"/>
    <w:rsid w:val="005048FF"/>
    <w:rsid w:val="00504A9B"/>
    <w:rsid w:val="00504E9A"/>
    <w:rsid w:val="00504F83"/>
    <w:rsid w:val="005059B9"/>
    <w:rsid w:val="00505F64"/>
    <w:rsid w:val="005067F9"/>
    <w:rsid w:val="00506DCD"/>
    <w:rsid w:val="00507325"/>
    <w:rsid w:val="00507583"/>
    <w:rsid w:val="00507C56"/>
    <w:rsid w:val="00507F13"/>
    <w:rsid w:val="005109D4"/>
    <w:rsid w:val="00510CF4"/>
    <w:rsid w:val="0051160A"/>
    <w:rsid w:val="005118BA"/>
    <w:rsid w:val="00511B37"/>
    <w:rsid w:val="00511C56"/>
    <w:rsid w:val="00512385"/>
    <w:rsid w:val="00512A4D"/>
    <w:rsid w:val="00512D87"/>
    <w:rsid w:val="005130DA"/>
    <w:rsid w:val="00513DDA"/>
    <w:rsid w:val="00513E19"/>
    <w:rsid w:val="005148B4"/>
    <w:rsid w:val="00514B29"/>
    <w:rsid w:val="00514E8C"/>
    <w:rsid w:val="005152B1"/>
    <w:rsid w:val="005152F0"/>
    <w:rsid w:val="0051532D"/>
    <w:rsid w:val="00515856"/>
    <w:rsid w:val="005163E6"/>
    <w:rsid w:val="00516D23"/>
    <w:rsid w:val="005172EC"/>
    <w:rsid w:val="0051740D"/>
    <w:rsid w:val="005178CE"/>
    <w:rsid w:val="00521356"/>
    <w:rsid w:val="00521CAB"/>
    <w:rsid w:val="00521DFB"/>
    <w:rsid w:val="005224EF"/>
    <w:rsid w:val="00522654"/>
    <w:rsid w:val="00522835"/>
    <w:rsid w:val="0052293D"/>
    <w:rsid w:val="00522AF4"/>
    <w:rsid w:val="00523499"/>
    <w:rsid w:val="00523BC7"/>
    <w:rsid w:val="00523C08"/>
    <w:rsid w:val="00523C10"/>
    <w:rsid w:val="00523E23"/>
    <w:rsid w:val="005245D5"/>
    <w:rsid w:val="005247FE"/>
    <w:rsid w:val="00524889"/>
    <w:rsid w:val="00524EED"/>
    <w:rsid w:val="0052575D"/>
    <w:rsid w:val="005259FC"/>
    <w:rsid w:val="00525A53"/>
    <w:rsid w:val="005260F1"/>
    <w:rsid w:val="00526569"/>
    <w:rsid w:val="00526726"/>
    <w:rsid w:val="00526F91"/>
    <w:rsid w:val="00527256"/>
    <w:rsid w:val="00527934"/>
    <w:rsid w:val="00527B57"/>
    <w:rsid w:val="00527C8D"/>
    <w:rsid w:val="00527C9C"/>
    <w:rsid w:val="005308D1"/>
    <w:rsid w:val="00530AC4"/>
    <w:rsid w:val="00530CC6"/>
    <w:rsid w:val="00531F7B"/>
    <w:rsid w:val="00532064"/>
    <w:rsid w:val="00532451"/>
    <w:rsid w:val="0053268A"/>
    <w:rsid w:val="0053309E"/>
    <w:rsid w:val="00533169"/>
    <w:rsid w:val="00533194"/>
    <w:rsid w:val="005332C8"/>
    <w:rsid w:val="00534021"/>
    <w:rsid w:val="0053442D"/>
    <w:rsid w:val="0053464E"/>
    <w:rsid w:val="00534CBD"/>
    <w:rsid w:val="005352C8"/>
    <w:rsid w:val="005354C1"/>
    <w:rsid w:val="00535F99"/>
    <w:rsid w:val="005361DE"/>
    <w:rsid w:val="00536356"/>
    <w:rsid w:val="00536CBB"/>
    <w:rsid w:val="00536DDD"/>
    <w:rsid w:val="00537033"/>
    <w:rsid w:val="00537D97"/>
    <w:rsid w:val="00540A37"/>
    <w:rsid w:val="00540B49"/>
    <w:rsid w:val="005418DB"/>
    <w:rsid w:val="0054230B"/>
    <w:rsid w:val="00542967"/>
    <w:rsid w:val="005434EA"/>
    <w:rsid w:val="0054351E"/>
    <w:rsid w:val="00543A04"/>
    <w:rsid w:val="00544ABA"/>
    <w:rsid w:val="00545D55"/>
    <w:rsid w:val="005461AB"/>
    <w:rsid w:val="0054631D"/>
    <w:rsid w:val="00546C6A"/>
    <w:rsid w:val="00546FBA"/>
    <w:rsid w:val="00547F04"/>
    <w:rsid w:val="00550924"/>
    <w:rsid w:val="00550D63"/>
    <w:rsid w:val="00550EF1"/>
    <w:rsid w:val="00551075"/>
    <w:rsid w:val="005513C8"/>
    <w:rsid w:val="0055236E"/>
    <w:rsid w:val="0055352C"/>
    <w:rsid w:val="005538A6"/>
    <w:rsid w:val="00554E09"/>
    <w:rsid w:val="00554F94"/>
    <w:rsid w:val="00555161"/>
    <w:rsid w:val="00555A59"/>
    <w:rsid w:val="00555DE6"/>
    <w:rsid w:val="00555EB3"/>
    <w:rsid w:val="005567F6"/>
    <w:rsid w:val="00556E29"/>
    <w:rsid w:val="00557474"/>
    <w:rsid w:val="00557DAA"/>
    <w:rsid w:val="00557DAD"/>
    <w:rsid w:val="00561138"/>
    <w:rsid w:val="00561699"/>
    <w:rsid w:val="0056187E"/>
    <w:rsid w:val="0056194F"/>
    <w:rsid w:val="005619E1"/>
    <w:rsid w:val="00562629"/>
    <w:rsid w:val="005628FE"/>
    <w:rsid w:val="0056364B"/>
    <w:rsid w:val="005637AE"/>
    <w:rsid w:val="00563D49"/>
    <w:rsid w:val="00564191"/>
    <w:rsid w:val="00564557"/>
    <w:rsid w:val="0056458C"/>
    <w:rsid w:val="00564628"/>
    <w:rsid w:val="005648B9"/>
    <w:rsid w:val="00564A3C"/>
    <w:rsid w:val="00564F82"/>
    <w:rsid w:val="00564FF6"/>
    <w:rsid w:val="005653AF"/>
    <w:rsid w:val="00565501"/>
    <w:rsid w:val="00565523"/>
    <w:rsid w:val="00565755"/>
    <w:rsid w:val="0056601E"/>
    <w:rsid w:val="00566406"/>
    <w:rsid w:val="005664A6"/>
    <w:rsid w:val="00566538"/>
    <w:rsid w:val="0056725A"/>
    <w:rsid w:val="0056741F"/>
    <w:rsid w:val="00567647"/>
    <w:rsid w:val="0056781B"/>
    <w:rsid w:val="00567BE2"/>
    <w:rsid w:val="00570102"/>
    <w:rsid w:val="00570505"/>
    <w:rsid w:val="005712E6"/>
    <w:rsid w:val="00572942"/>
    <w:rsid w:val="005730DB"/>
    <w:rsid w:val="00573251"/>
    <w:rsid w:val="005733A8"/>
    <w:rsid w:val="005734F9"/>
    <w:rsid w:val="005736EE"/>
    <w:rsid w:val="00573B5B"/>
    <w:rsid w:val="00573F55"/>
    <w:rsid w:val="00574070"/>
    <w:rsid w:val="005743B5"/>
    <w:rsid w:val="00575148"/>
    <w:rsid w:val="0057540E"/>
    <w:rsid w:val="005757B6"/>
    <w:rsid w:val="005761E2"/>
    <w:rsid w:val="0058000F"/>
    <w:rsid w:val="00580557"/>
    <w:rsid w:val="0058074F"/>
    <w:rsid w:val="00580A76"/>
    <w:rsid w:val="00581042"/>
    <w:rsid w:val="00581703"/>
    <w:rsid w:val="00581B15"/>
    <w:rsid w:val="005821DD"/>
    <w:rsid w:val="005833B5"/>
    <w:rsid w:val="00583908"/>
    <w:rsid w:val="00583AB6"/>
    <w:rsid w:val="00583C9C"/>
    <w:rsid w:val="00584757"/>
    <w:rsid w:val="00584E21"/>
    <w:rsid w:val="00585194"/>
    <w:rsid w:val="0058608B"/>
    <w:rsid w:val="005863C1"/>
    <w:rsid w:val="0058654D"/>
    <w:rsid w:val="00586786"/>
    <w:rsid w:val="005875F2"/>
    <w:rsid w:val="00587729"/>
    <w:rsid w:val="00587886"/>
    <w:rsid w:val="00587A66"/>
    <w:rsid w:val="00590147"/>
    <w:rsid w:val="00590BD1"/>
    <w:rsid w:val="00590D26"/>
    <w:rsid w:val="00591276"/>
    <w:rsid w:val="00591490"/>
    <w:rsid w:val="0059151A"/>
    <w:rsid w:val="005916C9"/>
    <w:rsid w:val="00591C7E"/>
    <w:rsid w:val="00591DCF"/>
    <w:rsid w:val="005929B4"/>
    <w:rsid w:val="00592A3C"/>
    <w:rsid w:val="0059367F"/>
    <w:rsid w:val="00593720"/>
    <w:rsid w:val="00593909"/>
    <w:rsid w:val="00593A71"/>
    <w:rsid w:val="005941E1"/>
    <w:rsid w:val="005943E2"/>
    <w:rsid w:val="005946E1"/>
    <w:rsid w:val="00594B8A"/>
    <w:rsid w:val="00595009"/>
    <w:rsid w:val="005954B7"/>
    <w:rsid w:val="00595A05"/>
    <w:rsid w:val="00595F17"/>
    <w:rsid w:val="00595F3D"/>
    <w:rsid w:val="00595F89"/>
    <w:rsid w:val="005960C7"/>
    <w:rsid w:val="005963FB"/>
    <w:rsid w:val="00596873"/>
    <w:rsid w:val="00596BB3"/>
    <w:rsid w:val="00596BD4"/>
    <w:rsid w:val="00596FA8"/>
    <w:rsid w:val="005971A7"/>
    <w:rsid w:val="00597310"/>
    <w:rsid w:val="005977AB"/>
    <w:rsid w:val="005A01C5"/>
    <w:rsid w:val="005A0532"/>
    <w:rsid w:val="005A071C"/>
    <w:rsid w:val="005A07E7"/>
    <w:rsid w:val="005A0A57"/>
    <w:rsid w:val="005A0B9F"/>
    <w:rsid w:val="005A0DBB"/>
    <w:rsid w:val="005A0EBD"/>
    <w:rsid w:val="005A1246"/>
    <w:rsid w:val="005A1270"/>
    <w:rsid w:val="005A1295"/>
    <w:rsid w:val="005A1FBF"/>
    <w:rsid w:val="005A1FD5"/>
    <w:rsid w:val="005A25CA"/>
    <w:rsid w:val="005A29B1"/>
    <w:rsid w:val="005A2EBF"/>
    <w:rsid w:val="005A3750"/>
    <w:rsid w:val="005A380B"/>
    <w:rsid w:val="005A4890"/>
    <w:rsid w:val="005A49D4"/>
    <w:rsid w:val="005A4D7C"/>
    <w:rsid w:val="005A51C9"/>
    <w:rsid w:val="005A59DA"/>
    <w:rsid w:val="005A5A96"/>
    <w:rsid w:val="005A5D7F"/>
    <w:rsid w:val="005A5DC0"/>
    <w:rsid w:val="005A65C3"/>
    <w:rsid w:val="005A6B6D"/>
    <w:rsid w:val="005A6ED5"/>
    <w:rsid w:val="005A6F0E"/>
    <w:rsid w:val="005A6F57"/>
    <w:rsid w:val="005A7235"/>
    <w:rsid w:val="005A795B"/>
    <w:rsid w:val="005A7BAF"/>
    <w:rsid w:val="005B00FD"/>
    <w:rsid w:val="005B05FA"/>
    <w:rsid w:val="005B0652"/>
    <w:rsid w:val="005B10AE"/>
    <w:rsid w:val="005B1213"/>
    <w:rsid w:val="005B1B55"/>
    <w:rsid w:val="005B1DBD"/>
    <w:rsid w:val="005B26B0"/>
    <w:rsid w:val="005B3EBD"/>
    <w:rsid w:val="005B3F0C"/>
    <w:rsid w:val="005B48E8"/>
    <w:rsid w:val="005B564F"/>
    <w:rsid w:val="005B56D9"/>
    <w:rsid w:val="005B5BA3"/>
    <w:rsid w:val="005B5E62"/>
    <w:rsid w:val="005B6908"/>
    <w:rsid w:val="005B6DBE"/>
    <w:rsid w:val="005B7668"/>
    <w:rsid w:val="005B7E97"/>
    <w:rsid w:val="005B7F46"/>
    <w:rsid w:val="005C059E"/>
    <w:rsid w:val="005C07D2"/>
    <w:rsid w:val="005C09A7"/>
    <w:rsid w:val="005C0EA8"/>
    <w:rsid w:val="005C102D"/>
    <w:rsid w:val="005C132C"/>
    <w:rsid w:val="005C1742"/>
    <w:rsid w:val="005C17FB"/>
    <w:rsid w:val="005C1833"/>
    <w:rsid w:val="005C1838"/>
    <w:rsid w:val="005C18C2"/>
    <w:rsid w:val="005C2063"/>
    <w:rsid w:val="005C22F5"/>
    <w:rsid w:val="005C244F"/>
    <w:rsid w:val="005C2767"/>
    <w:rsid w:val="005C2922"/>
    <w:rsid w:val="005C2C01"/>
    <w:rsid w:val="005C2F60"/>
    <w:rsid w:val="005C323D"/>
    <w:rsid w:val="005C33F1"/>
    <w:rsid w:val="005C3772"/>
    <w:rsid w:val="005C39C3"/>
    <w:rsid w:val="005C4229"/>
    <w:rsid w:val="005C4580"/>
    <w:rsid w:val="005C5065"/>
    <w:rsid w:val="005C52F3"/>
    <w:rsid w:val="005C564C"/>
    <w:rsid w:val="005C6234"/>
    <w:rsid w:val="005C636F"/>
    <w:rsid w:val="005C64DC"/>
    <w:rsid w:val="005C6605"/>
    <w:rsid w:val="005C6CCB"/>
    <w:rsid w:val="005C71A0"/>
    <w:rsid w:val="005C7802"/>
    <w:rsid w:val="005C7B50"/>
    <w:rsid w:val="005D029E"/>
    <w:rsid w:val="005D0427"/>
    <w:rsid w:val="005D0776"/>
    <w:rsid w:val="005D07AE"/>
    <w:rsid w:val="005D08FD"/>
    <w:rsid w:val="005D0AA2"/>
    <w:rsid w:val="005D0C83"/>
    <w:rsid w:val="005D113B"/>
    <w:rsid w:val="005D14CC"/>
    <w:rsid w:val="005D1732"/>
    <w:rsid w:val="005D2D9A"/>
    <w:rsid w:val="005D3A6E"/>
    <w:rsid w:val="005D3B21"/>
    <w:rsid w:val="005D4019"/>
    <w:rsid w:val="005D41DC"/>
    <w:rsid w:val="005D460F"/>
    <w:rsid w:val="005D4631"/>
    <w:rsid w:val="005D4DC5"/>
    <w:rsid w:val="005D5442"/>
    <w:rsid w:val="005D5C22"/>
    <w:rsid w:val="005D5E6C"/>
    <w:rsid w:val="005D63A9"/>
    <w:rsid w:val="005D65AF"/>
    <w:rsid w:val="005D65D5"/>
    <w:rsid w:val="005D6C56"/>
    <w:rsid w:val="005D6CED"/>
    <w:rsid w:val="005D6F49"/>
    <w:rsid w:val="005D7E8A"/>
    <w:rsid w:val="005E06FA"/>
    <w:rsid w:val="005E11A5"/>
    <w:rsid w:val="005E13D4"/>
    <w:rsid w:val="005E1435"/>
    <w:rsid w:val="005E21F3"/>
    <w:rsid w:val="005E235C"/>
    <w:rsid w:val="005E3078"/>
    <w:rsid w:val="005E34C0"/>
    <w:rsid w:val="005E36AC"/>
    <w:rsid w:val="005E45F3"/>
    <w:rsid w:val="005E49CA"/>
    <w:rsid w:val="005E5384"/>
    <w:rsid w:val="005E5427"/>
    <w:rsid w:val="005E5428"/>
    <w:rsid w:val="005E5A7C"/>
    <w:rsid w:val="005E5C33"/>
    <w:rsid w:val="005E6515"/>
    <w:rsid w:val="005E6976"/>
    <w:rsid w:val="005E703B"/>
    <w:rsid w:val="005E721A"/>
    <w:rsid w:val="005E74EC"/>
    <w:rsid w:val="005E7917"/>
    <w:rsid w:val="005E7AB6"/>
    <w:rsid w:val="005E7B1E"/>
    <w:rsid w:val="005E7CBC"/>
    <w:rsid w:val="005E7DB0"/>
    <w:rsid w:val="005F0979"/>
    <w:rsid w:val="005F0A62"/>
    <w:rsid w:val="005F0FA8"/>
    <w:rsid w:val="005F1282"/>
    <w:rsid w:val="005F1C5D"/>
    <w:rsid w:val="005F2317"/>
    <w:rsid w:val="005F2550"/>
    <w:rsid w:val="005F2B2D"/>
    <w:rsid w:val="005F2FD5"/>
    <w:rsid w:val="005F340A"/>
    <w:rsid w:val="005F359B"/>
    <w:rsid w:val="005F3869"/>
    <w:rsid w:val="005F3AE8"/>
    <w:rsid w:val="005F3B09"/>
    <w:rsid w:val="005F3B47"/>
    <w:rsid w:val="005F47C1"/>
    <w:rsid w:val="005F4926"/>
    <w:rsid w:val="005F4B6F"/>
    <w:rsid w:val="005F5009"/>
    <w:rsid w:val="005F5054"/>
    <w:rsid w:val="005F530F"/>
    <w:rsid w:val="005F5D2A"/>
    <w:rsid w:val="005F6068"/>
    <w:rsid w:val="005F65D9"/>
    <w:rsid w:val="005F6768"/>
    <w:rsid w:val="005F69CF"/>
    <w:rsid w:val="005F6E39"/>
    <w:rsid w:val="005F6E58"/>
    <w:rsid w:val="005F7031"/>
    <w:rsid w:val="005F704C"/>
    <w:rsid w:val="005F7A22"/>
    <w:rsid w:val="005F7B9D"/>
    <w:rsid w:val="00600501"/>
    <w:rsid w:val="00600B0C"/>
    <w:rsid w:val="00602DFA"/>
    <w:rsid w:val="006031D1"/>
    <w:rsid w:val="006033BF"/>
    <w:rsid w:val="00603702"/>
    <w:rsid w:val="00603B4B"/>
    <w:rsid w:val="00603F20"/>
    <w:rsid w:val="006046A9"/>
    <w:rsid w:val="0060471B"/>
    <w:rsid w:val="00604868"/>
    <w:rsid w:val="00604F37"/>
    <w:rsid w:val="0060508A"/>
    <w:rsid w:val="0060559A"/>
    <w:rsid w:val="006055AF"/>
    <w:rsid w:val="006056E2"/>
    <w:rsid w:val="00605942"/>
    <w:rsid w:val="00605C9F"/>
    <w:rsid w:val="006068E8"/>
    <w:rsid w:val="00606ADB"/>
    <w:rsid w:val="006072DE"/>
    <w:rsid w:val="006075F4"/>
    <w:rsid w:val="006078A8"/>
    <w:rsid w:val="00607BAD"/>
    <w:rsid w:val="00607EC7"/>
    <w:rsid w:val="006102BC"/>
    <w:rsid w:val="0061048A"/>
    <w:rsid w:val="00610AE7"/>
    <w:rsid w:val="00611178"/>
    <w:rsid w:val="0061148D"/>
    <w:rsid w:val="00611D01"/>
    <w:rsid w:val="006122EC"/>
    <w:rsid w:val="006124B3"/>
    <w:rsid w:val="00612611"/>
    <w:rsid w:val="0061279A"/>
    <w:rsid w:val="00612A10"/>
    <w:rsid w:val="00613009"/>
    <w:rsid w:val="006130D0"/>
    <w:rsid w:val="006132EA"/>
    <w:rsid w:val="00613481"/>
    <w:rsid w:val="00613CA5"/>
    <w:rsid w:val="0061401C"/>
    <w:rsid w:val="0061420B"/>
    <w:rsid w:val="00614518"/>
    <w:rsid w:val="00614A59"/>
    <w:rsid w:val="00614BD4"/>
    <w:rsid w:val="00614D33"/>
    <w:rsid w:val="00614E7E"/>
    <w:rsid w:val="0061537D"/>
    <w:rsid w:val="0061537F"/>
    <w:rsid w:val="006156D7"/>
    <w:rsid w:val="00615CF1"/>
    <w:rsid w:val="00615DEA"/>
    <w:rsid w:val="006165A4"/>
    <w:rsid w:val="00616A60"/>
    <w:rsid w:val="00616D0C"/>
    <w:rsid w:val="00616EE6"/>
    <w:rsid w:val="006171FB"/>
    <w:rsid w:val="00617283"/>
    <w:rsid w:val="00617A2A"/>
    <w:rsid w:val="006206F3"/>
    <w:rsid w:val="006207F4"/>
    <w:rsid w:val="00620C67"/>
    <w:rsid w:val="00621646"/>
    <w:rsid w:val="00621803"/>
    <w:rsid w:val="00621A34"/>
    <w:rsid w:val="006220F1"/>
    <w:rsid w:val="00622E22"/>
    <w:rsid w:val="00623E46"/>
    <w:rsid w:val="00624604"/>
    <w:rsid w:val="0062469C"/>
    <w:rsid w:val="00624D2C"/>
    <w:rsid w:val="00624F7F"/>
    <w:rsid w:val="00625142"/>
    <w:rsid w:val="00625145"/>
    <w:rsid w:val="00626768"/>
    <w:rsid w:val="00626F9D"/>
    <w:rsid w:val="00627402"/>
    <w:rsid w:val="00627403"/>
    <w:rsid w:val="00627474"/>
    <w:rsid w:val="00627A61"/>
    <w:rsid w:val="00627CEA"/>
    <w:rsid w:val="00627E37"/>
    <w:rsid w:val="00630480"/>
    <w:rsid w:val="0063058E"/>
    <w:rsid w:val="006305F8"/>
    <w:rsid w:val="0063197B"/>
    <w:rsid w:val="006319D0"/>
    <w:rsid w:val="00631DA7"/>
    <w:rsid w:val="006327BB"/>
    <w:rsid w:val="00632B9C"/>
    <w:rsid w:val="00632F18"/>
    <w:rsid w:val="006332D7"/>
    <w:rsid w:val="0063333D"/>
    <w:rsid w:val="00634225"/>
    <w:rsid w:val="00635003"/>
    <w:rsid w:val="006351CE"/>
    <w:rsid w:val="0063524A"/>
    <w:rsid w:val="006352FD"/>
    <w:rsid w:val="00635B15"/>
    <w:rsid w:val="00636037"/>
    <w:rsid w:val="006362E1"/>
    <w:rsid w:val="006367DA"/>
    <w:rsid w:val="00636F62"/>
    <w:rsid w:val="006370E1"/>
    <w:rsid w:val="00637382"/>
    <w:rsid w:val="006375B2"/>
    <w:rsid w:val="006375BB"/>
    <w:rsid w:val="00640285"/>
    <w:rsid w:val="006409EE"/>
    <w:rsid w:val="00640BF7"/>
    <w:rsid w:val="00640F55"/>
    <w:rsid w:val="00640FFF"/>
    <w:rsid w:val="00641761"/>
    <w:rsid w:val="006419AF"/>
    <w:rsid w:val="006425FC"/>
    <w:rsid w:val="00642631"/>
    <w:rsid w:val="00642DF5"/>
    <w:rsid w:val="0064304A"/>
    <w:rsid w:val="006433B1"/>
    <w:rsid w:val="0064380B"/>
    <w:rsid w:val="00643A4F"/>
    <w:rsid w:val="00643FF5"/>
    <w:rsid w:val="006441FD"/>
    <w:rsid w:val="00644E5A"/>
    <w:rsid w:val="00644F2C"/>
    <w:rsid w:val="00645065"/>
    <w:rsid w:val="006450DD"/>
    <w:rsid w:val="00645141"/>
    <w:rsid w:val="00645AEE"/>
    <w:rsid w:val="00646428"/>
    <w:rsid w:val="00646AFD"/>
    <w:rsid w:val="0064707F"/>
    <w:rsid w:val="006471E8"/>
    <w:rsid w:val="00647B6D"/>
    <w:rsid w:val="00647E90"/>
    <w:rsid w:val="00647FA3"/>
    <w:rsid w:val="006500F7"/>
    <w:rsid w:val="00650769"/>
    <w:rsid w:val="0065106D"/>
    <w:rsid w:val="006516B7"/>
    <w:rsid w:val="006518E4"/>
    <w:rsid w:val="006519F4"/>
    <w:rsid w:val="00651DB3"/>
    <w:rsid w:val="00651FB8"/>
    <w:rsid w:val="0065203F"/>
    <w:rsid w:val="006520D5"/>
    <w:rsid w:val="0065239B"/>
    <w:rsid w:val="00652BA0"/>
    <w:rsid w:val="00653045"/>
    <w:rsid w:val="0065349A"/>
    <w:rsid w:val="0065350E"/>
    <w:rsid w:val="00653A25"/>
    <w:rsid w:val="00653D81"/>
    <w:rsid w:val="00653D93"/>
    <w:rsid w:val="00653FDA"/>
    <w:rsid w:val="006541A0"/>
    <w:rsid w:val="00654E99"/>
    <w:rsid w:val="00655104"/>
    <w:rsid w:val="0065548F"/>
    <w:rsid w:val="00655633"/>
    <w:rsid w:val="006559BB"/>
    <w:rsid w:val="00655D93"/>
    <w:rsid w:val="00655E86"/>
    <w:rsid w:val="00656614"/>
    <w:rsid w:val="00656C4D"/>
    <w:rsid w:val="006577CD"/>
    <w:rsid w:val="00657CCC"/>
    <w:rsid w:val="00660162"/>
    <w:rsid w:val="0066036D"/>
    <w:rsid w:val="006604FA"/>
    <w:rsid w:val="00660879"/>
    <w:rsid w:val="00660B3F"/>
    <w:rsid w:val="006610B1"/>
    <w:rsid w:val="00661639"/>
    <w:rsid w:val="00661655"/>
    <w:rsid w:val="0066174D"/>
    <w:rsid w:val="00661E36"/>
    <w:rsid w:val="0066288A"/>
    <w:rsid w:val="0066318A"/>
    <w:rsid w:val="006631D3"/>
    <w:rsid w:val="00663C45"/>
    <w:rsid w:val="00663D0F"/>
    <w:rsid w:val="00664525"/>
    <w:rsid w:val="0066465B"/>
    <w:rsid w:val="00664C81"/>
    <w:rsid w:val="0066521A"/>
    <w:rsid w:val="0066540C"/>
    <w:rsid w:val="006656B3"/>
    <w:rsid w:val="00665EAE"/>
    <w:rsid w:val="006661EA"/>
    <w:rsid w:val="00666909"/>
    <w:rsid w:val="00666EBC"/>
    <w:rsid w:val="00667189"/>
    <w:rsid w:val="0066749E"/>
    <w:rsid w:val="00667CCB"/>
    <w:rsid w:val="00667EFD"/>
    <w:rsid w:val="00670475"/>
    <w:rsid w:val="00670B8C"/>
    <w:rsid w:val="00670C4A"/>
    <w:rsid w:val="006712FE"/>
    <w:rsid w:val="00671F3E"/>
    <w:rsid w:val="0067221D"/>
    <w:rsid w:val="00672482"/>
    <w:rsid w:val="00672A18"/>
    <w:rsid w:val="006735D0"/>
    <w:rsid w:val="00673753"/>
    <w:rsid w:val="006739E9"/>
    <w:rsid w:val="00674D52"/>
    <w:rsid w:val="00674F93"/>
    <w:rsid w:val="0067546F"/>
    <w:rsid w:val="00676287"/>
    <w:rsid w:val="0067669B"/>
    <w:rsid w:val="00676CE4"/>
    <w:rsid w:val="00676EC2"/>
    <w:rsid w:val="00676F61"/>
    <w:rsid w:val="00676FA5"/>
    <w:rsid w:val="006771A4"/>
    <w:rsid w:val="006771AD"/>
    <w:rsid w:val="006774A8"/>
    <w:rsid w:val="00677572"/>
    <w:rsid w:val="00681156"/>
    <w:rsid w:val="00681229"/>
    <w:rsid w:val="00681514"/>
    <w:rsid w:val="0068185E"/>
    <w:rsid w:val="00681BE5"/>
    <w:rsid w:val="00681E30"/>
    <w:rsid w:val="00683476"/>
    <w:rsid w:val="0068379B"/>
    <w:rsid w:val="00683D98"/>
    <w:rsid w:val="00683D99"/>
    <w:rsid w:val="00684079"/>
    <w:rsid w:val="006848EE"/>
    <w:rsid w:val="0068629B"/>
    <w:rsid w:val="00686425"/>
    <w:rsid w:val="00686C12"/>
    <w:rsid w:val="00686C73"/>
    <w:rsid w:val="00686D19"/>
    <w:rsid w:val="00686D75"/>
    <w:rsid w:val="00686E51"/>
    <w:rsid w:val="0068736A"/>
    <w:rsid w:val="00687D17"/>
    <w:rsid w:val="00690024"/>
    <w:rsid w:val="006903A4"/>
    <w:rsid w:val="00690AD8"/>
    <w:rsid w:val="00690CAA"/>
    <w:rsid w:val="00690EFB"/>
    <w:rsid w:val="0069137B"/>
    <w:rsid w:val="006913EC"/>
    <w:rsid w:val="006914B7"/>
    <w:rsid w:val="00691742"/>
    <w:rsid w:val="00691DEE"/>
    <w:rsid w:val="00692242"/>
    <w:rsid w:val="0069236E"/>
    <w:rsid w:val="00692704"/>
    <w:rsid w:val="00692E67"/>
    <w:rsid w:val="00693194"/>
    <w:rsid w:val="00693ACF"/>
    <w:rsid w:val="00693EE5"/>
    <w:rsid w:val="00694487"/>
    <w:rsid w:val="006944C5"/>
    <w:rsid w:val="00694B8D"/>
    <w:rsid w:val="0069532F"/>
    <w:rsid w:val="0069561C"/>
    <w:rsid w:val="00695634"/>
    <w:rsid w:val="0069600D"/>
    <w:rsid w:val="006963AE"/>
    <w:rsid w:val="00697053"/>
    <w:rsid w:val="00697BBA"/>
    <w:rsid w:val="006A0320"/>
    <w:rsid w:val="006A066A"/>
    <w:rsid w:val="006A06CA"/>
    <w:rsid w:val="006A083E"/>
    <w:rsid w:val="006A0FFD"/>
    <w:rsid w:val="006A1170"/>
    <w:rsid w:val="006A14A3"/>
    <w:rsid w:val="006A159D"/>
    <w:rsid w:val="006A18BF"/>
    <w:rsid w:val="006A1F58"/>
    <w:rsid w:val="006A242E"/>
    <w:rsid w:val="006A26AB"/>
    <w:rsid w:val="006A298D"/>
    <w:rsid w:val="006A2F80"/>
    <w:rsid w:val="006A3A48"/>
    <w:rsid w:val="006A3FD6"/>
    <w:rsid w:val="006A4076"/>
    <w:rsid w:val="006A436F"/>
    <w:rsid w:val="006A4E5B"/>
    <w:rsid w:val="006A59D8"/>
    <w:rsid w:val="006A6B7B"/>
    <w:rsid w:val="006A78F8"/>
    <w:rsid w:val="006A7C26"/>
    <w:rsid w:val="006A7E27"/>
    <w:rsid w:val="006B010E"/>
    <w:rsid w:val="006B03CA"/>
    <w:rsid w:val="006B091F"/>
    <w:rsid w:val="006B0CAF"/>
    <w:rsid w:val="006B0ED0"/>
    <w:rsid w:val="006B0EED"/>
    <w:rsid w:val="006B147E"/>
    <w:rsid w:val="006B16F9"/>
    <w:rsid w:val="006B1B52"/>
    <w:rsid w:val="006B1DF6"/>
    <w:rsid w:val="006B233F"/>
    <w:rsid w:val="006B275E"/>
    <w:rsid w:val="006B28EA"/>
    <w:rsid w:val="006B2DA3"/>
    <w:rsid w:val="006B2FBB"/>
    <w:rsid w:val="006B378A"/>
    <w:rsid w:val="006B3BD5"/>
    <w:rsid w:val="006B40BE"/>
    <w:rsid w:val="006B4185"/>
    <w:rsid w:val="006B4224"/>
    <w:rsid w:val="006B4493"/>
    <w:rsid w:val="006B4B62"/>
    <w:rsid w:val="006B53DC"/>
    <w:rsid w:val="006B5423"/>
    <w:rsid w:val="006B5855"/>
    <w:rsid w:val="006B5AB2"/>
    <w:rsid w:val="006B5C67"/>
    <w:rsid w:val="006B6B5D"/>
    <w:rsid w:val="006B6BF6"/>
    <w:rsid w:val="006B6C0D"/>
    <w:rsid w:val="006B70CF"/>
    <w:rsid w:val="006B7657"/>
    <w:rsid w:val="006C10B3"/>
    <w:rsid w:val="006C166D"/>
    <w:rsid w:val="006C1818"/>
    <w:rsid w:val="006C1C4F"/>
    <w:rsid w:val="006C1F8B"/>
    <w:rsid w:val="006C2721"/>
    <w:rsid w:val="006C2BE5"/>
    <w:rsid w:val="006C377A"/>
    <w:rsid w:val="006C3868"/>
    <w:rsid w:val="006C38FF"/>
    <w:rsid w:val="006C3E6E"/>
    <w:rsid w:val="006C3EEA"/>
    <w:rsid w:val="006C3F92"/>
    <w:rsid w:val="006C43A6"/>
    <w:rsid w:val="006C4A4A"/>
    <w:rsid w:val="006C4E89"/>
    <w:rsid w:val="006C53EB"/>
    <w:rsid w:val="006C5434"/>
    <w:rsid w:val="006C5D29"/>
    <w:rsid w:val="006C650D"/>
    <w:rsid w:val="006C69A5"/>
    <w:rsid w:val="006C7740"/>
    <w:rsid w:val="006D0028"/>
    <w:rsid w:val="006D0389"/>
    <w:rsid w:val="006D0848"/>
    <w:rsid w:val="006D0BA5"/>
    <w:rsid w:val="006D0C15"/>
    <w:rsid w:val="006D0D8B"/>
    <w:rsid w:val="006D0FBF"/>
    <w:rsid w:val="006D10DC"/>
    <w:rsid w:val="006D1586"/>
    <w:rsid w:val="006D19C1"/>
    <w:rsid w:val="006D2827"/>
    <w:rsid w:val="006D2848"/>
    <w:rsid w:val="006D2B19"/>
    <w:rsid w:val="006D2EC9"/>
    <w:rsid w:val="006D3A05"/>
    <w:rsid w:val="006D3B62"/>
    <w:rsid w:val="006D3FDF"/>
    <w:rsid w:val="006D4527"/>
    <w:rsid w:val="006D4B05"/>
    <w:rsid w:val="006D4F86"/>
    <w:rsid w:val="006D5F98"/>
    <w:rsid w:val="006D6665"/>
    <w:rsid w:val="006D7098"/>
    <w:rsid w:val="006D740E"/>
    <w:rsid w:val="006D7F72"/>
    <w:rsid w:val="006E00B7"/>
    <w:rsid w:val="006E0E5B"/>
    <w:rsid w:val="006E2562"/>
    <w:rsid w:val="006E3023"/>
    <w:rsid w:val="006E3369"/>
    <w:rsid w:val="006E3D12"/>
    <w:rsid w:val="006E449C"/>
    <w:rsid w:val="006E4726"/>
    <w:rsid w:val="006E4E72"/>
    <w:rsid w:val="006E50D0"/>
    <w:rsid w:val="006E52AC"/>
    <w:rsid w:val="006E663E"/>
    <w:rsid w:val="006E6EDF"/>
    <w:rsid w:val="006E7BA5"/>
    <w:rsid w:val="006F01E8"/>
    <w:rsid w:val="006F02D7"/>
    <w:rsid w:val="006F03EC"/>
    <w:rsid w:val="006F059F"/>
    <w:rsid w:val="006F0EBB"/>
    <w:rsid w:val="006F1E96"/>
    <w:rsid w:val="006F2D24"/>
    <w:rsid w:val="006F352A"/>
    <w:rsid w:val="006F37F7"/>
    <w:rsid w:val="006F3909"/>
    <w:rsid w:val="006F4036"/>
    <w:rsid w:val="006F428E"/>
    <w:rsid w:val="006F48E1"/>
    <w:rsid w:val="006F4FA0"/>
    <w:rsid w:val="006F5096"/>
    <w:rsid w:val="006F5160"/>
    <w:rsid w:val="006F5374"/>
    <w:rsid w:val="006F57D7"/>
    <w:rsid w:val="006F5ABA"/>
    <w:rsid w:val="006F5C15"/>
    <w:rsid w:val="006F60DF"/>
    <w:rsid w:val="006F64DE"/>
    <w:rsid w:val="006F6766"/>
    <w:rsid w:val="006F68C1"/>
    <w:rsid w:val="006F6CE2"/>
    <w:rsid w:val="006F6E10"/>
    <w:rsid w:val="007014F8"/>
    <w:rsid w:val="0070150D"/>
    <w:rsid w:val="007016D2"/>
    <w:rsid w:val="007018D8"/>
    <w:rsid w:val="00701979"/>
    <w:rsid w:val="00701C6E"/>
    <w:rsid w:val="007029E8"/>
    <w:rsid w:val="00703107"/>
    <w:rsid w:val="00703138"/>
    <w:rsid w:val="00703277"/>
    <w:rsid w:val="0070356D"/>
    <w:rsid w:val="00703981"/>
    <w:rsid w:val="00703CDF"/>
    <w:rsid w:val="00703D7E"/>
    <w:rsid w:val="0070495F"/>
    <w:rsid w:val="00704B6E"/>
    <w:rsid w:val="00704F73"/>
    <w:rsid w:val="0070508D"/>
    <w:rsid w:val="0070542E"/>
    <w:rsid w:val="0070604A"/>
    <w:rsid w:val="007060D4"/>
    <w:rsid w:val="0070624C"/>
    <w:rsid w:val="00706451"/>
    <w:rsid w:val="007076F6"/>
    <w:rsid w:val="00707B32"/>
    <w:rsid w:val="00707E0F"/>
    <w:rsid w:val="0071068A"/>
    <w:rsid w:val="00710E19"/>
    <w:rsid w:val="00710E52"/>
    <w:rsid w:val="007114C9"/>
    <w:rsid w:val="0071154B"/>
    <w:rsid w:val="0071174F"/>
    <w:rsid w:val="0071196A"/>
    <w:rsid w:val="00711B11"/>
    <w:rsid w:val="00711EE3"/>
    <w:rsid w:val="007131CF"/>
    <w:rsid w:val="007133C0"/>
    <w:rsid w:val="00713613"/>
    <w:rsid w:val="007137C6"/>
    <w:rsid w:val="007138FC"/>
    <w:rsid w:val="0071393D"/>
    <w:rsid w:val="00713E79"/>
    <w:rsid w:val="00714245"/>
    <w:rsid w:val="00714A14"/>
    <w:rsid w:val="00715441"/>
    <w:rsid w:val="00715739"/>
    <w:rsid w:val="0071576C"/>
    <w:rsid w:val="00715C94"/>
    <w:rsid w:val="007165F0"/>
    <w:rsid w:val="00716A09"/>
    <w:rsid w:val="007170DB"/>
    <w:rsid w:val="00717880"/>
    <w:rsid w:val="00717CA8"/>
    <w:rsid w:val="007205E7"/>
    <w:rsid w:val="007209C4"/>
    <w:rsid w:val="00720A9F"/>
    <w:rsid w:val="00721E9E"/>
    <w:rsid w:val="007227FE"/>
    <w:rsid w:val="007233C3"/>
    <w:rsid w:val="00723C95"/>
    <w:rsid w:val="007244E7"/>
    <w:rsid w:val="0072505F"/>
    <w:rsid w:val="007251B4"/>
    <w:rsid w:val="00725B00"/>
    <w:rsid w:val="0072680C"/>
    <w:rsid w:val="00726B3D"/>
    <w:rsid w:val="00726C64"/>
    <w:rsid w:val="0072789E"/>
    <w:rsid w:val="00730DDD"/>
    <w:rsid w:val="007310B7"/>
    <w:rsid w:val="00731237"/>
    <w:rsid w:val="00731A22"/>
    <w:rsid w:val="0073207E"/>
    <w:rsid w:val="00732523"/>
    <w:rsid w:val="0073254B"/>
    <w:rsid w:val="00732664"/>
    <w:rsid w:val="00732BA7"/>
    <w:rsid w:val="007333EA"/>
    <w:rsid w:val="00733601"/>
    <w:rsid w:val="00733A57"/>
    <w:rsid w:val="00733F36"/>
    <w:rsid w:val="007340CE"/>
    <w:rsid w:val="00734781"/>
    <w:rsid w:val="007349FC"/>
    <w:rsid w:val="00734B6F"/>
    <w:rsid w:val="007351A5"/>
    <w:rsid w:val="00735293"/>
    <w:rsid w:val="00735376"/>
    <w:rsid w:val="007363EA"/>
    <w:rsid w:val="007365BF"/>
    <w:rsid w:val="00736A02"/>
    <w:rsid w:val="00736E06"/>
    <w:rsid w:val="00736E37"/>
    <w:rsid w:val="00737286"/>
    <w:rsid w:val="007373DB"/>
    <w:rsid w:val="00737847"/>
    <w:rsid w:val="00737F27"/>
    <w:rsid w:val="00737FD3"/>
    <w:rsid w:val="00740240"/>
    <w:rsid w:val="007407DB"/>
    <w:rsid w:val="00740BFC"/>
    <w:rsid w:val="00740F76"/>
    <w:rsid w:val="00741037"/>
    <w:rsid w:val="00741447"/>
    <w:rsid w:val="007422B3"/>
    <w:rsid w:val="007424BF"/>
    <w:rsid w:val="007435F1"/>
    <w:rsid w:val="00743BC1"/>
    <w:rsid w:val="00743DDD"/>
    <w:rsid w:val="00744625"/>
    <w:rsid w:val="007446BB"/>
    <w:rsid w:val="00744AF1"/>
    <w:rsid w:val="00744F11"/>
    <w:rsid w:val="00745882"/>
    <w:rsid w:val="00745A04"/>
    <w:rsid w:val="00745A0F"/>
    <w:rsid w:val="00745DA7"/>
    <w:rsid w:val="00745DFD"/>
    <w:rsid w:val="00746197"/>
    <w:rsid w:val="0074689C"/>
    <w:rsid w:val="00746B3F"/>
    <w:rsid w:val="00747117"/>
    <w:rsid w:val="007479C2"/>
    <w:rsid w:val="00747B0D"/>
    <w:rsid w:val="00751452"/>
    <w:rsid w:val="007521A5"/>
    <w:rsid w:val="00752E99"/>
    <w:rsid w:val="00753959"/>
    <w:rsid w:val="00753DD6"/>
    <w:rsid w:val="00754A4A"/>
    <w:rsid w:val="00755F9F"/>
    <w:rsid w:val="0075617D"/>
    <w:rsid w:val="007566FB"/>
    <w:rsid w:val="007567A8"/>
    <w:rsid w:val="00756D6A"/>
    <w:rsid w:val="00757EE2"/>
    <w:rsid w:val="00757F78"/>
    <w:rsid w:val="0076043F"/>
    <w:rsid w:val="00760F66"/>
    <w:rsid w:val="007611F8"/>
    <w:rsid w:val="00761200"/>
    <w:rsid w:val="00761931"/>
    <w:rsid w:val="00761BD1"/>
    <w:rsid w:val="007627BA"/>
    <w:rsid w:val="0076291E"/>
    <w:rsid w:val="00762B29"/>
    <w:rsid w:val="00762C76"/>
    <w:rsid w:val="00762D81"/>
    <w:rsid w:val="0076317B"/>
    <w:rsid w:val="007643D5"/>
    <w:rsid w:val="00765366"/>
    <w:rsid w:val="00765914"/>
    <w:rsid w:val="00765AC2"/>
    <w:rsid w:val="0076614D"/>
    <w:rsid w:val="0076624C"/>
    <w:rsid w:val="0076627D"/>
    <w:rsid w:val="00766304"/>
    <w:rsid w:val="00766C2C"/>
    <w:rsid w:val="00767A28"/>
    <w:rsid w:val="00767DD2"/>
    <w:rsid w:val="00770264"/>
    <w:rsid w:val="0077082B"/>
    <w:rsid w:val="00770E60"/>
    <w:rsid w:val="00771324"/>
    <w:rsid w:val="00771C8F"/>
    <w:rsid w:val="00771E1A"/>
    <w:rsid w:val="0077266E"/>
    <w:rsid w:val="0077292E"/>
    <w:rsid w:val="007737D4"/>
    <w:rsid w:val="007737D8"/>
    <w:rsid w:val="0077391C"/>
    <w:rsid w:val="00773D24"/>
    <w:rsid w:val="00773E40"/>
    <w:rsid w:val="00774576"/>
    <w:rsid w:val="007745DA"/>
    <w:rsid w:val="0077508A"/>
    <w:rsid w:val="00775475"/>
    <w:rsid w:val="00775567"/>
    <w:rsid w:val="00775B4E"/>
    <w:rsid w:val="00775DFA"/>
    <w:rsid w:val="00775E0D"/>
    <w:rsid w:val="00776343"/>
    <w:rsid w:val="00776416"/>
    <w:rsid w:val="0077673C"/>
    <w:rsid w:val="00776C7B"/>
    <w:rsid w:val="00776CEF"/>
    <w:rsid w:val="007774AE"/>
    <w:rsid w:val="00777E7E"/>
    <w:rsid w:val="00777EFA"/>
    <w:rsid w:val="007804DD"/>
    <w:rsid w:val="00780EBC"/>
    <w:rsid w:val="00780EC1"/>
    <w:rsid w:val="00780F3B"/>
    <w:rsid w:val="0078115B"/>
    <w:rsid w:val="007816EE"/>
    <w:rsid w:val="00781AE1"/>
    <w:rsid w:val="00782071"/>
    <w:rsid w:val="00782783"/>
    <w:rsid w:val="00782946"/>
    <w:rsid w:val="00782ECD"/>
    <w:rsid w:val="00782F44"/>
    <w:rsid w:val="0078363B"/>
    <w:rsid w:val="00783BD9"/>
    <w:rsid w:val="00783CCF"/>
    <w:rsid w:val="00783F5B"/>
    <w:rsid w:val="00784609"/>
    <w:rsid w:val="00784720"/>
    <w:rsid w:val="0078481D"/>
    <w:rsid w:val="00785476"/>
    <w:rsid w:val="007859FC"/>
    <w:rsid w:val="00785F1E"/>
    <w:rsid w:val="00785F4C"/>
    <w:rsid w:val="0078609C"/>
    <w:rsid w:val="00786355"/>
    <w:rsid w:val="00787370"/>
    <w:rsid w:val="007874AE"/>
    <w:rsid w:val="0078750B"/>
    <w:rsid w:val="00787F5E"/>
    <w:rsid w:val="0079024D"/>
    <w:rsid w:val="00791069"/>
    <w:rsid w:val="007911B8"/>
    <w:rsid w:val="00791DAE"/>
    <w:rsid w:val="007930E8"/>
    <w:rsid w:val="00793A57"/>
    <w:rsid w:val="00793A9C"/>
    <w:rsid w:val="00793F28"/>
    <w:rsid w:val="007944D2"/>
    <w:rsid w:val="00794B19"/>
    <w:rsid w:val="00794FFA"/>
    <w:rsid w:val="00795B8D"/>
    <w:rsid w:val="00795E34"/>
    <w:rsid w:val="00795F0E"/>
    <w:rsid w:val="00796495"/>
    <w:rsid w:val="00797063"/>
    <w:rsid w:val="00797D8F"/>
    <w:rsid w:val="007A0C00"/>
    <w:rsid w:val="007A0E15"/>
    <w:rsid w:val="007A176E"/>
    <w:rsid w:val="007A19BF"/>
    <w:rsid w:val="007A2A69"/>
    <w:rsid w:val="007A2CF1"/>
    <w:rsid w:val="007A338B"/>
    <w:rsid w:val="007A384E"/>
    <w:rsid w:val="007A41B5"/>
    <w:rsid w:val="007A4486"/>
    <w:rsid w:val="007A4682"/>
    <w:rsid w:val="007A5754"/>
    <w:rsid w:val="007A5879"/>
    <w:rsid w:val="007A58A8"/>
    <w:rsid w:val="007A5BDC"/>
    <w:rsid w:val="007A629D"/>
    <w:rsid w:val="007A6610"/>
    <w:rsid w:val="007A6AF0"/>
    <w:rsid w:val="007A6D51"/>
    <w:rsid w:val="007A6DD3"/>
    <w:rsid w:val="007A6FF3"/>
    <w:rsid w:val="007A7169"/>
    <w:rsid w:val="007A71DC"/>
    <w:rsid w:val="007A7A04"/>
    <w:rsid w:val="007B04FF"/>
    <w:rsid w:val="007B0976"/>
    <w:rsid w:val="007B0CAC"/>
    <w:rsid w:val="007B147C"/>
    <w:rsid w:val="007B15F3"/>
    <w:rsid w:val="007B1701"/>
    <w:rsid w:val="007B1738"/>
    <w:rsid w:val="007B1C32"/>
    <w:rsid w:val="007B1DBB"/>
    <w:rsid w:val="007B2319"/>
    <w:rsid w:val="007B2FBF"/>
    <w:rsid w:val="007B3E13"/>
    <w:rsid w:val="007B4044"/>
    <w:rsid w:val="007B4046"/>
    <w:rsid w:val="007B4300"/>
    <w:rsid w:val="007B565C"/>
    <w:rsid w:val="007B595F"/>
    <w:rsid w:val="007B5B7E"/>
    <w:rsid w:val="007B5D75"/>
    <w:rsid w:val="007B6D5E"/>
    <w:rsid w:val="007B6FA1"/>
    <w:rsid w:val="007B7115"/>
    <w:rsid w:val="007B736B"/>
    <w:rsid w:val="007C012E"/>
    <w:rsid w:val="007C055A"/>
    <w:rsid w:val="007C0853"/>
    <w:rsid w:val="007C0C90"/>
    <w:rsid w:val="007C0E07"/>
    <w:rsid w:val="007C0E86"/>
    <w:rsid w:val="007C192C"/>
    <w:rsid w:val="007C249E"/>
    <w:rsid w:val="007C26CF"/>
    <w:rsid w:val="007C271B"/>
    <w:rsid w:val="007C2C14"/>
    <w:rsid w:val="007C3A55"/>
    <w:rsid w:val="007C404B"/>
    <w:rsid w:val="007C4166"/>
    <w:rsid w:val="007C44E1"/>
    <w:rsid w:val="007C46EC"/>
    <w:rsid w:val="007C48DD"/>
    <w:rsid w:val="007C4A05"/>
    <w:rsid w:val="007C4F3C"/>
    <w:rsid w:val="007C5711"/>
    <w:rsid w:val="007C57B9"/>
    <w:rsid w:val="007C6325"/>
    <w:rsid w:val="007C73A3"/>
    <w:rsid w:val="007C7975"/>
    <w:rsid w:val="007C7EF5"/>
    <w:rsid w:val="007D047C"/>
    <w:rsid w:val="007D06AC"/>
    <w:rsid w:val="007D0741"/>
    <w:rsid w:val="007D0997"/>
    <w:rsid w:val="007D0A53"/>
    <w:rsid w:val="007D0FFC"/>
    <w:rsid w:val="007D1013"/>
    <w:rsid w:val="007D19EC"/>
    <w:rsid w:val="007D2608"/>
    <w:rsid w:val="007D30C3"/>
    <w:rsid w:val="007D35AC"/>
    <w:rsid w:val="007D36B1"/>
    <w:rsid w:val="007D36D7"/>
    <w:rsid w:val="007D3BA1"/>
    <w:rsid w:val="007D3EC8"/>
    <w:rsid w:val="007D40AC"/>
    <w:rsid w:val="007D4317"/>
    <w:rsid w:val="007D4C12"/>
    <w:rsid w:val="007D57E0"/>
    <w:rsid w:val="007D5946"/>
    <w:rsid w:val="007D5962"/>
    <w:rsid w:val="007D5A2B"/>
    <w:rsid w:val="007D5FFD"/>
    <w:rsid w:val="007D6213"/>
    <w:rsid w:val="007D63B2"/>
    <w:rsid w:val="007D651D"/>
    <w:rsid w:val="007D71B7"/>
    <w:rsid w:val="007D7410"/>
    <w:rsid w:val="007D7C66"/>
    <w:rsid w:val="007D7CF3"/>
    <w:rsid w:val="007E0274"/>
    <w:rsid w:val="007E02A7"/>
    <w:rsid w:val="007E0415"/>
    <w:rsid w:val="007E0991"/>
    <w:rsid w:val="007E0AFE"/>
    <w:rsid w:val="007E0B2C"/>
    <w:rsid w:val="007E0BD1"/>
    <w:rsid w:val="007E107F"/>
    <w:rsid w:val="007E2FD7"/>
    <w:rsid w:val="007E310B"/>
    <w:rsid w:val="007E38DA"/>
    <w:rsid w:val="007E3D65"/>
    <w:rsid w:val="007E3EE2"/>
    <w:rsid w:val="007E4480"/>
    <w:rsid w:val="007E47E7"/>
    <w:rsid w:val="007E4A68"/>
    <w:rsid w:val="007E4A98"/>
    <w:rsid w:val="007E4EB6"/>
    <w:rsid w:val="007E571F"/>
    <w:rsid w:val="007E5DD7"/>
    <w:rsid w:val="007E6B49"/>
    <w:rsid w:val="007E6FB9"/>
    <w:rsid w:val="007E7139"/>
    <w:rsid w:val="007E7366"/>
    <w:rsid w:val="007E7EA1"/>
    <w:rsid w:val="007E7EA4"/>
    <w:rsid w:val="007F03CE"/>
    <w:rsid w:val="007F04D3"/>
    <w:rsid w:val="007F096F"/>
    <w:rsid w:val="007F137D"/>
    <w:rsid w:val="007F17B5"/>
    <w:rsid w:val="007F245F"/>
    <w:rsid w:val="007F2B6B"/>
    <w:rsid w:val="007F2D8D"/>
    <w:rsid w:val="007F2EBF"/>
    <w:rsid w:val="007F3044"/>
    <w:rsid w:val="007F3249"/>
    <w:rsid w:val="007F3704"/>
    <w:rsid w:val="007F4657"/>
    <w:rsid w:val="007F4F50"/>
    <w:rsid w:val="007F5609"/>
    <w:rsid w:val="007F5625"/>
    <w:rsid w:val="007F568A"/>
    <w:rsid w:val="007F59F7"/>
    <w:rsid w:val="007F5E21"/>
    <w:rsid w:val="007F6413"/>
    <w:rsid w:val="007F6761"/>
    <w:rsid w:val="007F676E"/>
    <w:rsid w:val="007F6B11"/>
    <w:rsid w:val="007F6E2B"/>
    <w:rsid w:val="007F7D12"/>
    <w:rsid w:val="007F7F02"/>
    <w:rsid w:val="00800258"/>
    <w:rsid w:val="00800C97"/>
    <w:rsid w:val="008014B3"/>
    <w:rsid w:val="0080153D"/>
    <w:rsid w:val="00801D7A"/>
    <w:rsid w:val="0080220F"/>
    <w:rsid w:val="00802597"/>
    <w:rsid w:val="008026A7"/>
    <w:rsid w:val="00802735"/>
    <w:rsid w:val="008028C2"/>
    <w:rsid w:val="00802DDB"/>
    <w:rsid w:val="0080379D"/>
    <w:rsid w:val="008037D8"/>
    <w:rsid w:val="00803B7E"/>
    <w:rsid w:val="00803DA6"/>
    <w:rsid w:val="00804073"/>
    <w:rsid w:val="008040D8"/>
    <w:rsid w:val="008040D9"/>
    <w:rsid w:val="0080436E"/>
    <w:rsid w:val="00804937"/>
    <w:rsid w:val="00804C5D"/>
    <w:rsid w:val="00804E1E"/>
    <w:rsid w:val="00804E43"/>
    <w:rsid w:val="008050F5"/>
    <w:rsid w:val="0080519C"/>
    <w:rsid w:val="0080553F"/>
    <w:rsid w:val="00805E48"/>
    <w:rsid w:val="00806336"/>
    <w:rsid w:val="00807ADD"/>
    <w:rsid w:val="00807C09"/>
    <w:rsid w:val="00810BC2"/>
    <w:rsid w:val="00811683"/>
    <w:rsid w:val="00811AFF"/>
    <w:rsid w:val="00812373"/>
    <w:rsid w:val="00812D30"/>
    <w:rsid w:val="00813B84"/>
    <w:rsid w:val="00813F3A"/>
    <w:rsid w:val="008140E8"/>
    <w:rsid w:val="008148D4"/>
    <w:rsid w:val="0081491F"/>
    <w:rsid w:val="00814941"/>
    <w:rsid w:val="00814A65"/>
    <w:rsid w:val="00814BD9"/>
    <w:rsid w:val="008158AC"/>
    <w:rsid w:val="00816805"/>
    <w:rsid w:val="00816BE8"/>
    <w:rsid w:val="00816CD5"/>
    <w:rsid w:val="00816DBD"/>
    <w:rsid w:val="00816FE2"/>
    <w:rsid w:val="00817062"/>
    <w:rsid w:val="00817991"/>
    <w:rsid w:val="00817F58"/>
    <w:rsid w:val="008203C5"/>
    <w:rsid w:val="0082046A"/>
    <w:rsid w:val="008204C7"/>
    <w:rsid w:val="00820B20"/>
    <w:rsid w:val="00820B84"/>
    <w:rsid w:val="0082199B"/>
    <w:rsid w:val="00821C2A"/>
    <w:rsid w:val="008226BF"/>
    <w:rsid w:val="008227B7"/>
    <w:rsid w:val="00823BA0"/>
    <w:rsid w:val="008243A8"/>
    <w:rsid w:val="00824925"/>
    <w:rsid w:val="00824C8B"/>
    <w:rsid w:val="008252E8"/>
    <w:rsid w:val="00825BA8"/>
    <w:rsid w:val="00825C14"/>
    <w:rsid w:val="0082641D"/>
    <w:rsid w:val="008267CA"/>
    <w:rsid w:val="00826A52"/>
    <w:rsid w:val="00826E45"/>
    <w:rsid w:val="008270EE"/>
    <w:rsid w:val="0082722B"/>
    <w:rsid w:val="0082745B"/>
    <w:rsid w:val="00827C1B"/>
    <w:rsid w:val="0083016B"/>
    <w:rsid w:val="008301F1"/>
    <w:rsid w:val="00830C0E"/>
    <w:rsid w:val="008313E0"/>
    <w:rsid w:val="008317EC"/>
    <w:rsid w:val="0083195D"/>
    <w:rsid w:val="00831B7B"/>
    <w:rsid w:val="00831D90"/>
    <w:rsid w:val="00832076"/>
    <w:rsid w:val="008324F3"/>
    <w:rsid w:val="00832691"/>
    <w:rsid w:val="0083296B"/>
    <w:rsid w:val="00832B8A"/>
    <w:rsid w:val="00833547"/>
    <w:rsid w:val="00833852"/>
    <w:rsid w:val="00833AB9"/>
    <w:rsid w:val="00833B62"/>
    <w:rsid w:val="00834820"/>
    <w:rsid w:val="00834C82"/>
    <w:rsid w:val="00834DB6"/>
    <w:rsid w:val="00834F93"/>
    <w:rsid w:val="00835F6D"/>
    <w:rsid w:val="008374F3"/>
    <w:rsid w:val="008375DA"/>
    <w:rsid w:val="00840C4A"/>
    <w:rsid w:val="008411B9"/>
    <w:rsid w:val="0084122F"/>
    <w:rsid w:val="00841573"/>
    <w:rsid w:val="00841D08"/>
    <w:rsid w:val="00842D43"/>
    <w:rsid w:val="00842F64"/>
    <w:rsid w:val="0084323E"/>
    <w:rsid w:val="0084361C"/>
    <w:rsid w:val="00843D50"/>
    <w:rsid w:val="008441D9"/>
    <w:rsid w:val="0084464E"/>
    <w:rsid w:val="008455E6"/>
    <w:rsid w:val="008458BF"/>
    <w:rsid w:val="00846262"/>
    <w:rsid w:val="00846370"/>
    <w:rsid w:val="008463E8"/>
    <w:rsid w:val="00847665"/>
    <w:rsid w:val="00847BC5"/>
    <w:rsid w:val="00847F11"/>
    <w:rsid w:val="00850010"/>
    <w:rsid w:val="008503F4"/>
    <w:rsid w:val="008504A0"/>
    <w:rsid w:val="00850AC1"/>
    <w:rsid w:val="00850C2A"/>
    <w:rsid w:val="00850DFA"/>
    <w:rsid w:val="00851331"/>
    <w:rsid w:val="008516D1"/>
    <w:rsid w:val="00852003"/>
    <w:rsid w:val="0085212C"/>
    <w:rsid w:val="00852988"/>
    <w:rsid w:val="00852F9E"/>
    <w:rsid w:val="00854053"/>
    <w:rsid w:val="008543AC"/>
    <w:rsid w:val="008548B8"/>
    <w:rsid w:val="00854965"/>
    <w:rsid w:val="00854D5C"/>
    <w:rsid w:val="00855298"/>
    <w:rsid w:val="008554D1"/>
    <w:rsid w:val="008558E0"/>
    <w:rsid w:val="008569E0"/>
    <w:rsid w:val="00857AF7"/>
    <w:rsid w:val="00857BE5"/>
    <w:rsid w:val="00860109"/>
    <w:rsid w:val="008601BD"/>
    <w:rsid w:val="00860359"/>
    <w:rsid w:val="00860E43"/>
    <w:rsid w:val="00861252"/>
    <w:rsid w:val="0086171A"/>
    <w:rsid w:val="0086226C"/>
    <w:rsid w:val="00863237"/>
    <w:rsid w:val="00863C07"/>
    <w:rsid w:val="008640B7"/>
    <w:rsid w:val="008644A4"/>
    <w:rsid w:val="00864A6C"/>
    <w:rsid w:val="00864BB1"/>
    <w:rsid w:val="00864DF7"/>
    <w:rsid w:val="00865278"/>
    <w:rsid w:val="008654F9"/>
    <w:rsid w:val="008658C0"/>
    <w:rsid w:val="008660F7"/>
    <w:rsid w:val="00866388"/>
    <w:rsid w:val="0086644B"/>
    <w:rsid w:val="00866BAB"/>
    <w:rsid w:val="00866FE3"/>
    <w:rsid w:val="0086722D"/>
    <w:rsid w:val="00867AD8"/>
    <w:rsid w:val="00867D56"/>
    <w:rsid w:val="00867D70"/>
    <w:rsid w:val="00870646"/>
    <w:rsid w:val="008706C3"/>
    <w:rsid w:val="00870BAA"/>
    <w:rsid w:val="00870D91"/>
    <w:rsid w:val="008716D1"/>
    <w:rsid w:val="008716ED"/>
    <w:rsid w:val="008718AD"/>
    <w:rsid w:val="0087193F"/>
    <w:rsid w:val="008724E6"/>
    <w:rsid w:val="008728C8"/>
    <w:rsid w:val="00873205"/>
    <w:rsid w:val="008735E8"/>
    <w:rsid w:val="0087377E"/>
    <w:rsid w:val="00874594"/>
    <w:rsid w:val="00874776"/>
    <w:rsid w:val="0087487C"/>
    <w:rsid w:val="00874A07"/>
    <w:rsid w:val="00874B75"/>
    <w:rsid w:val="00875007"/>
    <w:rsid w:val="008750DB"/>
    <w:rsid w:val="008751B4"/>
    <w:rsid w:val="0087527F"/>
    <w:rsid w:val="008753D4"/>
    <w:rsid w:val="008754B5"/>
    <w:rsid w:val="00875837"/>
    <w:rsid w:val="00875AF3"/>
    <w:rsid w:val="008765E9"/>
    <w:rsid w:val="00876605"/>
    <w:rsid w:val="00876ABB"/>
    <w:rsid w:val="00876B13"/>
    <w:rsid w:val="00876D37"/>
    <w:rsid w:val="00880017"/>
    <w:rsid w:val="00880305"/>
    <w:rsid w:val="0088088A"/>
    <w:rsid w:val="00880A3F"/>
    <w:rsid w:val="00880EE2"/>
    <w:rsid w:val="008813BC"/>
    <w:rsid w:val="00881732"/>
    <w:rsid w:val="008818A2"/>
    <w:rsid w:val="00881FF9"/>
    <w:rsid w:val="0088213D"/>
    <w:rsid w:val="008821C6"/>
    <w:rsid w:val="0088243D"/>
    <w:rsid w:val="0088251A"/>
    <w:rsid w:val="00882D28"/>
    <w:rsid w:val="00883A67"/>
    <w:rsid w:val="008848E9"/>
    <w:rsid w:val="00884FD8"/>
    <w:rsid w:val="00885244"/>
    <w:rsid w:val="008857C7"/>
    <w:rsid w:val="008858B3"/>
    <w:rsid w:val="00885BF6"/>
    <w:rsid w:val="008866CF"/>
    <w:rsid w:val="00886782"/>
    <w:rsid w:val="00886834"/>
    <w:rsid w:val="008869A1"/>
    <w:rsid w:val="00886B3F"/>
    <w:rsid w:val="0088727A"/>
    <w:rsid w:val="0089015D"/>
    <w:rsid w:val="0089021A"/>
    <w:rsid w:val="0089022E"/>
    <w:rsid w:val="00890330"/>
    <w:rsid w:val="00890475"/>
    <w:rsid w:val="00890A7C"/>
    <w:rsid w:val="00890D11"/>
    <w:rsid w:val="008910EE"/>
    <w:rsid w:val="00891A26"/>
    <w:rsid w:val="008923F8"/>
    <w:rsid w:val="0089287A"/>
    <w:rsid w:val="008928F1"/>
    <w:rsid w:val="00892BBF"/>
    <w:rsid w:val="00892DB5"/>
    <w:rsid w:val="00893F27"/>
    <w:rsid w:val="008942BD"/>
    <w:rsid w:val="0089478A"/>
    <w:rsid w:val="0089480A"/>
    <w:rsid w:val="00894FE5"/>
    <w:rsid w:val="00895658"/>
    <w:rsid w:val="008956DA"/>
    <w:rsid w:val="00895BA9"/>
    <w:rsid w:val="00895D79"/>
    <w:rsid w:val="0089601B"/>
    <w:rsid w:val="0089647F"/>
    <w:rsid w:val="0089655D"/>
    <w:rsid w:val="00896784"/>
    <w:rsid w:val="00896C56"/>
    <w:rsid w:val="00897051"/>
    <w:rsid w:val="00897824"/>
    <w:rsid w:val="00897BCB"/>
    <w:rsid w:val="00897C07"/>
    <w:rsid w:val="00897DBA"/>
    <w:rsid w:val="008A02FA"/>
    <w:rsid w:val="008A06A8"/>
    <w:rsid w:val="008A1AAC"/>
    <w:rsid w:val="008A20CA"/>
    <w:rsid w:val="008A239B"/>
    <w:rsid w:val="008A2505"/>
    <w:rsid w:val="008A2779"/>
    <w:rsid w:val="008A2956"/>
    <w:rsid w:val="008A2EA1"/>
    <w:rsid w:val="008A2EF6"/>
    <w:rsid w:val="008A3480"/>
    <w:rsid w:val="008A3642"/>
    <w:rsid w:val="008A3875"/>
    <w:rsid w:val="008A4F3C"/>
    <w:rsid w:val="008A51AD"/>
    <w:rsid w:val="008A53BA"/>
    <w:rsid w:val="008A551D"/>
    <w:rsid w:val="008A56BA"/>
    <w:rsid w:val="008A570A"/>
    <w:rsid w:val="008A58E4"/>
    <w:rsid w:val="008A58E7"/>
    <w:rsid w:val="008A5C1D"/>
    <w:rsid w:val="008A615A"/>
    <w:rsid w:val="008A6357"/>
    <w:rsid w:val="008A650C"/>
    <w:rsid w:val="008A6A36"/>
    <w:rsid w:val="008A6CB9"/>
    <w:rsid w:val="008A6DC1"/>
    <w:rsid w:val="008A7083"/>
    <w:rsid w:val="008A7100"/>
    <w:rsid w:val="008A7139"/>
    <w:rsid w:val="008A776D"/>
    <w:rsid w:val="008A7C74"/>
    <w:rsid w:val="008B03BD"/>
    <w:rsid w:val="008B04C0"/>
    <w:rsid w:val="008B09E1"/>
    <w:rsid w:val="008B0A83"/>
    <w:rsid w:val="008B0DCF"/>
    <w:rsid w:val="008B0E93"/>
    <w:rsid w:val="008B0F76"/>
    <w:rsid w:val="008B0F8D"/>
    <w:rsid w:val="008B198D"/>
    <w:rsid w:val="008B23A8"/>
    <w:rsid w:val="008B24E6"/>
    <w:rsid w:val="008B29A4"/>
    <w:rsid w:val="008B2BB4"/>
    <w:rsid w:val="008B2C30"/>
    <w:rsid w:val="008B2C99"/>
    <w:rsid w:val="008B3C2B"/>
    <w:rsid w:val="008B4679"/>
    <w:rsid w:val="008B4D00"/>
    <w:rsid w:val="008B4D13"/>
    <w:rsid w:val="008B4E78"/>
    <w:rsid w:val="008B4FE2"/>
    <w:rsid w:val="008B5C3D"/>
    <w:rsid w:val="008B61A1"/>
    <w:rsid w:val="008B66D8"/>
    <w:rsid w:val="008B66EE"/>
    <w:rsid w:val="008B6793"/>
    <w:rsid w:val="008B6E87"/>
    <w:rsid w:val="008B75C2"/>
    <w:rsid w:val="008B787A"/>
    <w:rsid w:val="008C0A89"/>
    <w:rsid w:val="008C0AA9"/>
    <w:rsid w:val="008C0E71"/>
    <w:rsid w:val="008C1852"/>
    <w:rsid w:val="008C1CD2"/>
    <w:rsid w:val="008C2CFF"/>
    <w:rsid w:val="008C2E1E"/>
    <w:rsid w:val="008C2E22"/>
    <w:rsid w:val="008C2ED2"/>
    <w:rsid w:val="008C3612"/>
    <w:rsid w:val="008C3D4D"/>
    <w:rsid w:val="008C4026"/>
    <w:rsid w:val="008C417E"/>
    <w:rsid w:val="008C4296"/>
    <w:rsid w:val="008C4E31"/>
    <w:rsid w:val="008C5B51"/>
    <w:rsid w:val="008C5F0A"/>
    <w:rsid w:val="008C6105"/>
    <w:rsid w:val="008C6124"/>
    <w:rsid w:val="008C6334"/>
    <w:rsid w:val="008C66BD"/>
    <w:rsid w:val="008C67C7"/>
    <w:rsid w:val="008C6968"/>
    <w:rsid w:val="008C742A"/>
    <w:rsid w:val="008C74C7"/>
    <w:rsid w:val="008C7714"/>
    <w:rsid w:val="008C7F4F"/>
    <w:rsid w:val="008D00F3"/>
    <w:rsid w:val="008D0241"/>
    <w:rsid w:val="008D0B34"/>
    <w:rsid w:val="008D0F27"/>
    <w:rsid w:val="008D11F0"/>
    <w:rsid w:val="008D15A2"/>
    <w:rsid w:val="008D18CD"/>
    <w:rsid w:val="008D1F86"/>
    <w:rsid w:val="008D20E0"/>
    <w:rsid w:val="008D2B6E"/>
    <w:rsid w:val="008D335C"/>
    <w:rsid w:val="008D35B7"/>
    <w:rsid w:val="008D4007"/>
    <w:rsid w:val="008D436A"/>
    <w:rsid w:val="008D461C"/>
    <w:rsid w:val="008D4C72"/>
    <w:rsid w:val="008D4CF8"/>
    <w:rsid w:val="008D5054"/>
    <w:rsid w:val="008D5246"/>
    <w:rsid w:val="008D5291"/>
    <w:rsid w:val="008D5368"/>
    <w:rsid w:val="008D561B"/>
    <w:rsid w:val="008D582B"/>
    <w:rsid w:val="008D5CF9"/>
    <w:rsid w:val="008D5D0A"/>
    <w:rsid w:val="008D6199"/>
    <w:rsid w:val="008D64B9"/>
    <w:rsid w:val="008D6794"/>
    <w:rsid w:val="008D7F65"/>
    <w:rsid w:val="008E0178"/>
    <w:rsid w:val="008E02F8"/>
    <w:rsid w:val="008E12AF"/>
    <w:rsid w:val="008E1342"/>
    <w:rsid w:val="008E1DC9"/>
    <w:rsid w:val="008E211C"/>
    <w:rsid w:val="008E28EC"/>
    <w:rsid w:val="008E2BB3"/>
    <w:rsid w:val="008E2BC5"/>
    <w:rsid w:val="008E2C79"/>
    <w:rsid w:val="008E3176"/>
    <w:rsid w:val="008E3564"/>
    <w:rsid w:val="008E3A0B"/>
    <w:rsid w:val="008E3A90"/>
    <w:rsid w:val="008E3AAB"/>
    <w:rsid w:val="008E3F34"/>
    <w:rsid w:val="008E4043"/>
    <w:rsid w:val="008E4520"/>
    <w:rsid w:val="008E47E2"/>
    <w:rsid w:val="008E54E8"/>
    <w:rsid w:val="008E5740"/>
    <w:rsid w:val="008E5868"/>
    <w:rsid w:val="008E59EE"/>
    <w:rsid w:val="008E5ADB"/>
    <w:rsid w:val="008E5DC8"/>
    <w:rsid w:val="008E6465"/>
    <w:rsid w:val="008E6C57"/>
    <w:rsid w:val="008E7082"/>
    <w:rsid w:val="008E72AF"/>
    <w:rsid w:val="008F0952"/>
    <w:rsid w:val="008F1154"/>
    <w:rsid w:val="008F1B84"/>
    <w:rsid w:val="008F1B9D"/>
    <w:rsid w:val="008F1DB6"/>
    <w:rsid w:val="008F3151"/>
    <w:rsid w:val="008F337C"/>
    <w:rsid w:val="008F39C0"/>
    <w:rsid w:val="008F39E4"/>
    <w:rsid w:val="008F51F0"/>
    <w:rsid w:val="008F5633"/>
    <w:rsid w:val="008F57CD"/>
    <w:rsid w:val="008F5960"/>
    <w:rsid w:val="008F5CD0"/>
    <w:rsid w:val="008F629A"/>
    <w:rsid w:val="008F62B4"/>
    <w:rsid w:val="008F667F"/>
    <w:rsid w:val="008F6A9B"/>
    <w:rsid w:val="008F6F03"/>
    <w:rsid w:val="008F7603"/>
    <w:rsid w:val="008F769D"/>
    <w:rsid w:val="008F76B7"/>
    <w:rsid w:val="008F76DC"/>
    <w:rsid w:val="008F7D2F"/>
    <w:rsid w:val="008F7E68"/>
    <w:rsid w:val="009013C5"/>
    <w:rsid w:val="0090147B"/>
    <w:rsid w:val="00901649"/>
    <w:rsid w:val="00901CBA"/>
    <w:rsid w:val="00901DC6"/>
    <w:rsid w:val="009021DC"/>
    <w:rsid w:val="00902EFD"/>
    <w:rsid w:val="00903026"/>
    <w:rsid w:val="0090357B"/>
    <w:rsid w:val="00903832"/>
    <w:rsid w:val="009042D0"/>
    <w:rsid w:val="009044BE"/>
    <w:rsid w:val="009048EB"/>
    <w:rsid w:val="00904913"/>
    <w:rsid w:val="00904C15"/>
    <w:rsid w:val="009050B3"/>
    <w:rsid w:val="00905298"/>
    <w:rsid w:val="00905945"/>
    <w:rsid w:val="00905FEB"/>
    <w:rsid w:val="00906164"/>
    <w:rsid w:val="00906252"/>
    <w:rsid w:val="0090672E"/>
    <w:rsid w:val="00906A4F"/>
    <w:rsid w:val="00906BD6"/>
    <w:rsid w:val="00907074"/>
    <w:rsid w:val="009073C7"/>
    <w:rsid w:val="009078BA"/>
    <w:rsid w:val="009079C7"/>
    <w:rsid w:val="009079F7"/>
    <w:rsid w:val="00907B44"/>
    <w:rsid w:val="00907C33"/>
    <w:rsid w:val="00910666"/>
    <w:rsid w:val="009108D2"/>
    <w:rsid w:val="00910C20"/>
    <w:rsid w:val="00910FE1"/>
    <w:rsid w:val="0091106A"/>
    <w:rsid w:val="00911C09"/>
    <w:rsid w:val="00911D1C"/>
    <w:rsid w:val="00912DA2"/>
    <w:rsid w:val="00912F0B"/>
    <w:rsid w:val="00912F38"/>
    <w:rsid w:val="0091340D"/>
    <w:rsid w:val="00913C58"/>
    <w:rsid w:val="009140B4"/>
    <w:rsid w:val="00914174"/>
    <w:rsid w:val="0091428A"/>
    <w:rsid w:val="00914733"/>
    <w:rsid w:val="0091495E"/>
    <w:rsid w:val="00914AA5"/>
    <w:rsid w:val="00914EAF"/>
    <w:rsid w:val="00915428"/>
    <w:rsid w:val="00915B3E"/>
    <w:rsid w:val="009162DD"/>
    <w:rsid w:val="009163E7"/>
    <w:rsid w:val="0091670A"/>
    <w:rsid w:val="0091671A"/>
    <w:rsid w:val="009169F6"/>
    <w:rsid w:val="0091719D"/>
    <w:rsid w:val="00917903"/>
    <w:rsid w:val="00917BEA"/>
    <w:rsid w:val="00920189"/>
    <w:rsid w:val="00920203"/>
    <w:rsid w:val="00920997"/>
    <w:rsid w:val="00920B1E"/>
    <w:rsid w:val="00920DD5"/>
    <w:rsid w:val="00921161"/>
    <w:rsid w:val="00922492"/>
    <w:rsid w:val="009224EB"/>
    <w:rsid w:val="0092272F"/>
    <w:rsid w:val="00922BE2"/>
    <w:rsid w:val="00922EDE"/>
    <w:rsid w:val="00923772"/>
    <w:rsid w:val="009237D9"/>
    <w:rsid w:val="0092406C"/>
    <w:rsid w:val="00924096"/>
    <w:rsid w:val="0092411C"/>
    <w:rsid w:val="009243BC"/>
    <w:rsid w:val="009244D5"/>
    <w:rsid w:val="0092523A"/>
    <w:rsid w:val="009252F1"/>
    <w:rsid w:val="00925588"/>
    <w:rsid w:val="00925733"/>
    <w:rsid w:val="00925AF5"/>
    <w:rsid w:val="00926268"/>
    <w:rsid w:val="009264A2"/>
    <w:rsid w:val="00926F0A"/>
    <w:rsid w:val="0092715D"/>
    <w:rsid w:val="00927299"/>
    <w:rsid w:val="00930632"/>
    <w:rsid w:val="009310BC"/>
    <w:rsid w:val="00931D3F"/>
    <w:rsid w:val="00931E52"/>
    <w:rsid w:val="009324C4"/>
    <w:rsid w:val="00932671"/>
    <w:rsid w:val="00932A7A"/>
    <w:rsid w:val="00932D26"/>
    <w:rsid w:val="009330BF"/>
    <w:rsid w:val="00933817"/>
    <w:rsid w:val="009340EB"/>
    <w:rsid w:val="009344B8"/>
    <w:rsid w:val="00934510"/>
    <w:rsid w:val="0093476C"/>
    <w:rsid w:val="00935A1E"/>
    <w:rsid w:val="00935AA3"/>
    <w:rsid w:val="00935B7C"/>
    <w:rsid w:val="00935E3A"/>
    <w:rsid w:val="00936005"/>
    <w:rsid w:val="0093607C"/>
    <w:rsid w:val="00940008"/>
    <w:rsid w:val="00940FFA"/>
    <w:rsid w:val="00941010"/>
    <w:rsid w:val="009410E9"/>
    <w:rsid w:val="0094143B"/>
    <w:rsid w:val="00941503"/>
    <w:rsid w:val="0094187D"/>
    <w:rsid w:val="009423ED"/>
    <w:rsid w:val="00942C90"/>
    <w:rsid w:val="00942F29"/>
    <w:rsid w:val="00942FB6"/>
    <w:rsid w:val="009430E1"/>
    <w:rsid w:val="009433F9"/>
    <w:rsid w:val="009434EB"/>
    <w:rsid w:val="00943EA6"/>
    <w:rsid w:val="009443F2"/>
    <w:rsid w:val="0094477F"/>
    <w:rsid w:val="009448F2"/>
    <w:rsid w:val="009451E0"/>
    <w:rsid w:val="0094524B"/>
    <w:rsid w:val="00945591"/>
    <w:rsid w:val="009456E3"/>
    <w:rsid w:val="00945759"/>
    <w:rsid w:val="00945925"/>
    <w:rsid w:val="009466E9"/>
    <w:rsid w:val="009469DD"/>
    <w:rsid w:val="00946CB3"/>
    <w:rsid w:val="00946D20"/>
    <w:rsid w:val="00946E51"/>
    <w:rsid w:val="0094732E"/>
    <w:rsid w:val="009473F4"/>
    <w:rsid w:val="0094767D"/>
    <w:rsid w:val="00950231"/>
    <w:rsid w:val="00950794"/>
    <w:rsid w:val="009507AA"/>
    <w:rsid w:val="009509EF"/>
    <w:rsid w:val="009515CA"/>
    <w:rsid w:val="00951691"/>
    <w:rsid w:val="00951FCE"/>
    <w:rsid w:val="009521CC"/>
    <w:rsid w:val="0095226C"/>
    <w:rsid w:val="0095269B"/>
    <w:rsid w:val="00952C05"/>
    <w:rsid w:val="00952D52"/>
    <w:rsid w:val="009533BB"/>
    <w:rsid w:val="009540B7"/>
    <w:rsid w:val="009543D0"/>
    <w:rsid w:val="00954AF9"/>
    <w:rsid w:val="00954DAE"/>
    <w:rsid w:val="00955410"/>
    <w:rsid w:val="009558EE"/>
    <w:rsid w:val="009559D5"/>
    <w:rsid w:val="00955C17"/>
    <w:rsid w:val="00955FFA"/>
    <w:rsid w:val="00956170"/>
    <w:rsid w:val="009561F8"/>
    <w:rsid w:val="00956BA1"/>
    <w:rsid w:val="00956D42"/>
    <w:rsid w:val="00956F0F"/>
    <w:rsid w:val="0095727F"/>
    <w:rsid w:val="009572AF"/>
    <w:rsid w:val="00957E41"/>
    <w:rsid w:val="0096016E"/>
    <w:rsid w:val="0096023A"/>
    <w:rsid w:val="009607AB"/>
    <w:rsid w:val="00960B95"/>
    <w:rsid w:val="00961154"/>
    <w:rsid w:val="009615DB"/>
    <w:rsid w:val="00962683"/>
    <w:rsid w:val="00962ADC"/>
    <w:rsid w:val="00962E23"/>
    <w:rsid w:val="0096487C"/>
    <w:rsid w:val="00964BC2"/>
    <w:rsid w:val="00964D4A"/>
    <w:rsid w:val="00964EAE"/>
    <w:rsid w:val="00965023"/>
    <w:rsid w:val="009650B7"/>
    <w:rsid w:val="0096515D"/>
    <w:rsid w:val="0096554B"/>
    <w:rsid w:val="00965841"/>
    <w:rsid w:val="00966623"/>
    <w:rsid w:val="00966FCD"/>
    <w:rsid w:val="009678DB"/>
    <w:rsid w:val="00970728"/>
    <w:rsid w:val="009707C9"/>
    <w:rsid w:val="009709F3"/>
    <w:rsid w:val="00971303"/>
    <w:rsid w:val="00971E0B"/>
    <w:rsid w:val="00972101"/>
    <w:rsid w:val="00972285"/>
    <w:rsid w:val="00972FB5"/>
    <w:rsid w:val="00973607"/>
    <w:rsid w:val="009736FE"/>
    <w:rsid w:val="00973B96"/>
    <w:rsid w:val="00973E3C"/>
    <w:rsid w:val="0097453A"/>
    <w:rsid w:val="00974763"/>
    <w:rsid w:val="00974766"/>
    <w:rsid w:val="009757CA"/>
    <w:rsid w:val="00976E76"/>
    <w:rsid w:val="00977A14"/>
    <w:rsid w:val="00977E9B"/>
    <w:rsid w:val="0098012C"/>
    <w:rsid w:val="009807BF"/>
    <w:rsid w:val="009809CE"/>
    <w:rsid w:val="0098131F"/>
    <w:rsid w:val="00981479"/>
    <w:rsid w:val="00981F74"/>
    <w:rsid w:val="0098237C"/>
    <w:rsid w:val="0098269D"/>
    <w:rsid w:val="009829B3"/>
    <w:rsid w:val="00982C31"/>
    <w:rsid w:val="00982D45"/>
    <w:rsid w:val="00983165"/>
    <w:rsid w:val="00983343"/>
    <w:rsid w:val="009833C4"/>
    <w:rsid w:val="0098347E"/>
    <w:rsid w:val="009834E0"/>
    <w:rsid w:val="009838FF"/>
    <w:rsid w:val="00984149"/>
    <w:rsid w:val="0098476D"/>
    <w:rsid w:val="00984788"/>
    <w:rsid w:val="00984909"/>
    <w:rsid w:val="00984FF3"/>
    <w:rsid w:val="00984FF9"/>
    <w:rsid w:val="009850C5"/>
    <w:rsid w:val="0098516C"/>
    <w:rsid w:val="00986326"/>
    <w:rsid w:val="00986849"/>
    <w:rsid w:val="00986BB7"/>
    <w:rsid w:val="00986D4B"/>
    <w:rsid w:val="00986F6D"/>
    <w:rsid w:val="0098727C"/>
    <w:rsid w:val="00987708"/>
    <w:rsid w:val="00987DF0"/>
    <w:rsid w:val="00987E2E"/>
    <w:rsid w:val="0099008B"/>
    <w:rsid w:val="00990387"/>
    <w:rsid w:val="00990B9B"/>
    <w:rsid w:val="0099177B"/>
    <w:rsid w:val="00991B8C"/>
    <w:rsid w:val="0099367E"/>
    <w:rsid w:val="00993FE4"/>
    <w:rsid w:val="0099425E"/>
    <w:rsid w:val="00994CDC"/>
    <w:rsid w:val="009969CD"/>
    <w:rsid w:val="0099770A"/>
    <w:rsid w:val="00997769"/>
    <w:rsid w:val="00997A2E"/>
    <w:rsid w:val="009A0204"/>
    <w:rsid w:val="009A048E"/>
    <w:rsid w:val="009A119F"/>
    <w:rsid w:val="009A1609"/>
    <w:rsid w:val="009A16A3"/>
    <w:rsid w:val="009A1A7E"/>
    <w:rsid w:val="009A1B5A"/>
    <w:rsid w:val="009A3480"/>
    <w:rsid w:val="009A3DB8"/>
    <w:rsid w:val="009A43B3"/>
    <w:rsid w:val="009A464D"/>
    <w:rsid w:val="009A496F"/>
    <w:rsid w:val="009A4B78"/>
    <w:rsid w:val="009A4D73"/>
    <w:rsid w:val="009A4E41"/>
    <w:rsid w:val="009A5297"/>
    <w:rsid w:val="009A5438"/>
    <w:rsid w:val="009A5851"/>
    <w:rsid w:val="009A5A91"/>
    <w:rsid w:val="009A5C0C"/>
    <w:rsid w:val="009A5D40"/>
    <w:rsid w:val="009A5E10"/>
    <w:rsid w:val="009A6665"/>
    <w:rsid w:val="009A743F"/>
    <w:rsid w:val="009A74F7"/>
    <w:rsid w:val="009B00F2"/>
    <w:rsid w:val="009B0E67"/>
    <w:rsid w:val="009B0FB2"/>
    <w:rsid w:val="009B1113"/>
    <w:rsid w:val="009B1C34"/>
    <w:rsid w:val="009B1D22"/>
    <w:rsid w:val="009B1E86"/>
    <w:rsid w:val="009B1EB2"/>
    <w:rsid w:val="009B25FB"/>
    <w:rsid w:val="009B27C4"/>
    <w:rsid w:val="009B2BE6"/>
    <w:rsid w:val="009B2D92"/>
    <w:rsid w:val="009B31DE"/>
    <w:rsid w:val="009B3250"/>
    <w:rsid w:val="009B35A6"/>
    <w:rsid w:val="009B42A4"/>
    <w:rsid w:val="009B42D2"/>
    <w:rsid w:val="009B44D0"/>
    <w:rsid w:val="009B4A06"/>
    <w:rsid w:val="009B5FD5"/>
    <w:rsid w:val="009B60EA"/>
    <w:rsid w:val="009B70C8"/>
    <w:rsid w:val="009B737C"/>
    <w:rsid w:val="009B742E"/>
    <w:rsid w:val="009C090B"/>
    <w:rsid w:val="009C0AC6"/>
    <w:rsid w:val="009C11B2"/>
    <w:rsid w:val="009C1456"/>
    <w:rsid w:val="009C164F"/>
    <w:rsid w:val="009C19C6"/>
    <w:rsid w:val="009C1C30"/>
    <w:rsid w:val="009C22DD"/>
    <w:rsid w:val="009C29D5"/>
    <w:rsid w:val="009C30A0"/>
    <w:rsid w:val="009C359E"/>
    <w:rsid w:val="009C37FE"/>
    <w:rsid w:val="009C4082"/>
    <w:rsid w:val="009C4A38"/>
    <w:rsid w:val="009C4A72"/>
    <w:rsid w:val="009C4AD8"/>
    <w:rsid w:val="009C4D3D"/>
    <w:rsid w:val="009C529D"/>
    <w:rsid w:val="009C55E2"/>
    <w:rsid w:val="009C5767"/>
    <w:rsid w:val="009C5A4E"/>
    <w:rsid w:val="009C5EE5"/>
    <w:rsid w:val="009C61E3"/>
    <w:rsid w:val="009C6B56"/>
    <w:rsid w:val="009C6C52"/>
    <w:rsid w:val="009C7DB8"/>
    <w:rsid w:val="009C7FF0"/>
    <w:rsid w:val="009D010D"/>
    <w:rsid w:val="009D0244"/>
    <w:rsid w:val="009D0F71"/>
    <w:rsid w:val="009D1039"/>
    <w:rsid w:val="009D111C"/>
    <w:rsid w:val="009D1189"/>
    <w:rsid w:val="009D17A0"/>
    <w:rsid w:val="009D1F7A"/>
    <w:rsid w:val="009D2873"/>
    <w:rsid w:val="009D2942"/>
    <w:rsid w:val="009D2BB8"/>
    <w:rsid w:val="009D3A1A"/>
    <w:rsid w:val="009D426A"/>
    <w:rsid w:val="009D4DDF"/>
    <w:rsid w:val="009D5BDB"/>
    <w:rsid w:val="009D6B03"/>
    <w:rsid w:val="009D6B3D"/>
    <w:rsid w:val="009D7422"/>
    <w:rsid w:val="009D78E7"/>
    <w:rsid w:val="009E0742"/>
    <w:rsid w:val="009E0B29"/>
    <w:rsid w:val="009E1291"/>
    <w:rsid w:val="009E12BC"/>
    <w:rsid w:val="009E139D"/>
    <w:rsid w:val="009E224D"/>
    <w:rsid w:val="009E24EF"/>
    <w:rsid w:val="009E26D5"/>
    <w:rsid w:val="009E2A07"/>
    <w:rsid w:val="009E3398"/>
    <w:rsid w:val="009E3577"/>
    <w:rsid w:val="009E37A5"/>
    <w:rsid w:val="009E395B"/>
    <w:rsid w:val="009E3D2B"/>
    <w:rsid w:val="009E3DC2"/>
    <w:rsid w:val="009E3E84"/>
    <w:rsid w:val="009E4053"/>
    <w:rsid w:val="009E4097"/>
    <w:rsid w:val="009E4664"/>
    <w:rsid w:val="009E4D8E"/>
    <w:rsid w:val="009E4E90"/>
    <w:rsid w:val="009E4EB7"/>
    <w:rsid w:val="009E5427"/>
    <w:rsid w:val="009E57C1"/>
    <w:rsid w:val="009E624A"/>
    <w:rsid w:val="009E6B32"/>
    <w:rsid w:val="009E7039"/>
    <w:rsid w:val="009E70F3"/>
    <w:rsid w:val="009E7E98"/>
    <w:rsid w:val="009F00EE"/>
    <w:rsid w:val="009F0827"/>
    <w:rsid w:val="009F0BED"/>
    <w:rsid w:val="009F1673"/>
    <w:rsid w:val="009F3255"/>
    <w:rsid w:val="009F341D"/>
    <w:rsid w:val="009F34AA"/>
    <w:rsid w:val="009F3DCE"/>
    <w:rsid w:val="009F44FF"/>
    <w:rsid w:val="009F46E8"/>
    <w:rsid w:val="009F472D"/>
    <w:rsid w:val="009F4CF0"/>
    <w:rsid w:val="009F4E88"/>
    <w:rsid w:val="009F50D1"/>
    <w:rsid w:val="009F573B"/>
    <w:rsid w:val="009F5918"/>
    <w:rsid w:val="009F596D"/>
    <w:rsid w:val="009F60CA"/>
    <w:rsid w:val="009F6A91"/>
    <w:rsid w:val="009F71A6"/>
    <w:rsid w:val="009F71AA"/>
    <w:rsid w:val="009F754A"/>
    <w:rsid w:val="009F791F"/>
    <w:rsid w:val="009F7F86"/>
    <w:rsid w:val="00A0034D"/>
    <w:rsid w:val="00A00BFB"/>
    <w:rsid w:val="00A00DCF"/>
    <w:rsid w:val="00A0126C"/>
    <w:rsid w:val="00A012DA"/>
    <w:rsid w:val="00A0187E"/>
    <w:rsid w:val="00A026F0"/>
    <w:rsid w:val="00A02F2D"/>
    <w:rsid w:val="00A02F61"/>
    <w:rsid w:val="00A03529"/>
    <w:rsid w:val="00A03E0E"/>
    <w:rsid w:val="00A03F6E"/>
    <w:rsid w:val="00A040D1"/>
    <w:rsid w:val="00A044B7"/>
    <w:rsid w:val="00A04A0A"/>
    <w:rsid w:val="00A050A8"/>
    <w:rsid w:val="00A056A3"/>
    <w:rsid w:val="00A059AF"/>
    <w:rsid w:val="00A05B51"/>
    <w:rsid w:val="00A06286"/>
    <w:rsid w:val="00A06318"/>
    <w:rsid w:val="00A063BC"/>
    <w:rsid w:val="00A068E1"/>
    <w:rsid w:val="00A06A80"/>
    <w:rsid w:val="00A06CAC"/>
    <w:rsid w:val="00A06D8A"/>
    <w:rsid w:val="00A0711F"/>
    <w:rsid w:val="00A07B0B"/>
    <w:rsid w:val="00A102A0"/>
    <w:rsid w:val="00A10860"/>
    <w:rsid w:val="00A114FA"/>
    <w:rsid w:val="00A11AF3"/>
    <w:rsid w:val="00A12ACF"/>
    <w:rsid w:val="00A12B42"/>
    <w:rsid w:val="00A12BD4"/>
    <w:rsid w:val="00A12C09"/>
    <w:rsid w:val="00A13084"/>
    <w:rsid w:val="00A1327F"/>
    <w:rsid w:val="00A13817"/>
    <w:rsid w:val="00A138D3"/>
    <w:rsid w:val="00A13E0F"/>
    <w:rsid w:val="00A144B7"/>
    <w:rsid w:val="00A149B4"/>
    <w:rsid w:val="00A14BA0"/>
    <w:rsid w:val="00A14FF0"/>
    <w:rsid w:val="00A1504D"/>
    <w:rsid w:val="00A152D3"/>
    <w:rsid w:val="00A15F4F"/>
    <w:rsid w:val="00A160AB"/>
    <w:rsid w:val="00A16745"/>
    <w:rsid w:val="00A16747"/>
    <w:rsid w:val="00A17E93"/>
    <w:rsid w:val="00A17F7F"/>
    <w:rsid w:val="00A20013"/>
    <w:rsid w:val="00A2056F"/>
    <w:rsid w:val="00A20582"/>
    <w:rsid w:val="00A20C65"/>
    <w:rsid w:val="00A21767"/>
    <w:rsid w:val="00A21FD5"/>
    <w:rsid w:val="00A22751"/>
    <w:rsid w:val="00A22940"/>
    <w:rsid w:val="00A23102"/>
    <w:rsid w:val="00A233D8"/>
    <w:rsid w:val="00A2343F"/>
    <w:rsid w:val="00A23505"/>
    <w:rsid w:val="00A23A42"/>
    <w:rsid w:val="00A2428B"/>
    <w:rsid w:val="00A247E5"/>
    <w:rsid w:val="00A248BD"/>
    <w:rsid w:val="00A2493D"/>
    <w:rsid w:val="00A24D81"/>
    <w:rsid w:val="00A24EA5"/>
    <w:rsid w:val="00A25173"/>
    <w:rsid w:val="00A252F0"/>
    <w:rsid w:val="00A259F2"/>
    <w:rsid w:val="00A26463"/>
    <w:rsid w:val="00A2660E"/>
    <w:rsid w:val="00A26916"/>
    <w:rsid w:val="00A26B47"/>
    <w:rsid w:val="00A26FF1"/>
    <w:rsid w:val="00A27547"/>
    <w:rsid w:val="00A2770B"/>
    <w:rsid w:val="00A27806"/>
    <w:rsid w:val="00A30181"/>
    <w:rsid w:val="00A305A3"/>
    <w:rsid w:val="00A3068C"/>
    <w:rsid w:val="00A3127F"/>
    <w:rsid w:val="00A31498"/>
    <w:rsid w:val="00A315BC"/>
    <w:rsid w:val="00A31922"/>
    <w:rsid w:val="00A31BCC"/>
    <w:rsid w:val="00A31C70"/>
    <w:rsid w:val="00A31C87"/>
    <w:rsid w:val="00A325BB"/>
    <w:rsid w:val="00A3297A"/>
    <w:rsid w:val="00A32A58"/>
    <w:rsid w:val="00A32EEC"/>
    <w:rsid w:val="00A336C5"/>
    <w:rsid w:val="00A33782"/>
    <w:rsid w:val="00A339D9"/>
    <w:rsid w:val="00A33BD6"/>
    <w:rsid w:val="00A34A06"/>
    <w:rsid w:val="00A3510A"/>
    <w:rsid w:val="00A3515F"/>
    <w:rsid w:val="00A35751"/>
    <w:rsid w:val="00A3577F"/>
    <w:rsid w:val="00A357C0"/>
    <w:rsid w:val="00A35BBC"/>
    <w:rsid w:val="00A35DAB"/>
    <w:rsid w:val="00A360E2"/>
    <w:rsid w:val="00A36724"/>
    <w:rsid w:val="00A367AF"/>
    <w:rsid w:val="00A36C13"/>
    <w:rsid w:val="00A377C2"/>
    <w:rsid w:val="00A37A31"/>
    <w:rsid w:val="00A37C56"/>
    <w:rsid w:val="00A40B1F"/>
    <w:rsid w:val="00A40B4D"/>
    <w:rsid w:val="00A40C0C"/>
    <w:rsid w:val="00A411E2"/>
    <w:rsid w:val="00A41373"/>
    <w:rsid w:val="00A41638"/>
    <w:rsid w:val="00A41B15"/>
    <w:rsid w:val="00A4224E"/>
    <w:rsid w:val="00A4229F"/>
    <w:rsid w:val="00A428A9"/>
    <w:rsid w:val="00A429B4"/>
    <w:rsid w:val="00A42ACA"/>
    <w:rsid w:val="00A4327C"/>
    <w:rsid w:val="00A43496"/>
    <w:rsid w:val="00A43665"/>
    <w:rsid w:val="00A4399A"/>
    <w:rsid w:val="00A43AAB"/>
    <w:rsid w:val="00A43AFE"/>
    <w:rsid w:val="00A441CC"/>
    <w:rsid w:val="00A447E3"/>
    <w:rsid w:val="00A44AAD"/>
    <w:rsid w:val="00A44D3B"/>
    <w:rsid w:val="00A45241"/>
    <w:rsid w:val="00A45280"/>
    <w:rsid w:val="00A452B8"/>
    <w:rsid w:val="00A45BF7"/>
    <w:rsid w:val="00A463B5"/>
    <w:rsid w:val="00A463BA"/>
    <w:rsid w:val="00A46675"/>
    <w:rsid w:val="00A46A5F"/>
    <w:rsid w:val="00A471A3"/>
    <w:rsid w:val="00A47597"/>
    <w:rsid w:val="00A47E44"/>
    <w:rsid w:val="00A47F91"/>
    <w:rsid w:val="00A507D7"/>
    <w:rsid w:val="00A50A5C"/>
    <w:rsid w:val="00A50BE2"/>
    <w:rsid w:val="00A50CC6"/>
    <w:rsid w:val="00A50E40"/>
    <w:rsid w:val="00A51462"/>
    <w:rsid w:val="00A51869"/>
    <w:rsid w:val="00A51946"/>
    <w:rsid w:val="00A51FF7"/>
    <w:rsid w:val="00A52079"/>
    <w:rsid w:val="00A52143"/>
    <w:rsid w:val="00A521E9"/>
    <w:rsid w:val="00A5298E"/>
    <w:rsid w:val="00A52B3E"/>
    <w:rsid w:val="00A5313B"/>
    <w:rsid w:val="00A5320E"/>
    <w:rsid w:val="00A537B5"/>
    <w:rsid w:val="00A53F7B"/>
    <w:rsid w:val="00A54090"/>
    <w:rsid w:val="00A541F3"/>
    <w:rsid w:val="00A54282"/>
    <w:rsid w:val="00A549D3"/>
    <w:rsid w:val="00A54DF0"/>
    <w:rsid w:val="00A57E98"/>
    <w:rsid w:val="00A60017"/>
    <w:rsid w:val="00A60849"/>
    <w:rsid w:val="00A6105B"/>
    <w:rsid w:val="00A61355"/>
    <w:rsid w:val="00A61668"/>
    <w:rsid w:val="00A621D3"/>
    <w:rsid w:val="00A628F8"/>
    <w:rsid w:val="00A62B7A"/>
    <w:rsid w:val="00A631A1"/>
    <w:rsid w:val="00A632EA"/>
    <w:rsid w:val="00A6339D"/>
    <w:rsid w:val="00A634BE"/>
    <w:rsid w:val="00A63AD7"/>
    <w:rsid w:val="00A63BFD"/>
    <w:rsid w:val="00A63E61"/>
    <w:rsid w:val="00A6491F"/>
    <w:rsid w:val="00A64A9E"/>
    <w:rsid w:val="00A64C72"/>
    <w:rsid w:val="00A64D1A"/>
    <w:rsid w:val="00A65320"/>
    <w:rsid w:val="00A65BA5"/>
    <w:rsid w:val="00A66354"/>
    <w:rsid w:val="00A66E37"/>
    <w:rsid w:val="00A66ECF"/>
    <w:rsid w:val="00A67681"/>
    <w:rsid w:val="00A679C6"/>
    <w:rsid w:val="00A67E38"/>
    <w:rsid w:val="00A703E4"/>
    <w:rsid w:val="00A704C9"/>
    <w:rsid w:val="00A70DC6"/>
    <w:rsid w:val="00A71080"/>
    <w:rsid w:val="00A71986"/>
    <w:rsid w:val="00A71E3D"/>
    <w:rsid w:val="00A71E73"/>
    <w:rsid w:val="00A72740"/>
    <w:rsid w:val="00A72F97"/>
    <w:rsid w:val="00A73A64"/>
    <w:rsid w:val="00A742AD"/>
    <w:rsid w:val="00A746D7"/>
    <w:rsid w:val="00A74AB2"/>
    <w:rsid w:val="00A75A27"/>
    <w:rsid w:val="00A75A46"/>
    <w:rsid w:val="00A75B36"/>
    <w:rsid w:val="00A7623B"/>
    <w:rsid w:val="00A7660A"/>
    <w:rsid w:val="00A7663A"/>
    <w:rsid w:val="00A7696B"/>
    <w:rsid w:val="00A769D4"/>
    <w:rsid w:val="00A76A9C"/>
    <w:rsid w:val="00A777AE"/>
    <w:rsid w:val="00A8008F"/>
    <w:rsid w:val="00A804C7"/>
    <w:rsid w:val="00A80857"/>
    <w:rsid w:val="00A80A39"/>
    <w:rsid w:val="00A80DF0"/>
    <w:rsid w:val="00A80E64"/>
    <w:rsid w:val="00A8191A"/>
    <w:rsid w:val="00A81A16"/>
    <w:rsid w:val="00A823A7"/>
    <w:rsid w:val="00A824D4"/>
    <w:rsid w:val="00A825C8"/>
    <w:rsid w:val="00A82742"/>
    <w:rsid w:val="00A82A29"/>
    <w:rsid w:val="00A83984"/>
    <w:rsid w:val="00A83A1E"/>
    <w:rsid w:val="00A84198"/>
    <w:rsid w:val="00A841AB"/>
    <w:rsid w:val="00A84FFD"/>
    <w:rsid w:val="00A86104"/>
    <w:rsid w:val="00A8655A"/>
    <w:rsid w:val="00A86B5D"/>
    <w:rsid w:val="00A87203"/>
    <w:rsid w:val="00A87744"/>
    <w:rsid w:val="00A87AE6"/>
    <w:rsid w:val="00A87B03"/>
    <w:rsid w:val="00A87B09"/>
    <w:rsid w:val="00A87C22"/>
    <w:rsid w:val="00A90590"/>
    <w:rsid w:val="00A90A97"/>
    <w:rsid w:val="00A90CB4"/>
    <w:rsid w:val="00A910DA"/>
    <w:rsid w:val="00A920E1"/>
    <w:rsid w:val="00A92998"/>
    <w:rsid w:val="00A933AE"/>
    <w:rsid w:val="00A93863"/>
    <w:rsid w:val="00A93928"/>
    <w:rsid w:val="00A93F73"/>
    <w:rsid w:val="00A9415E"/>
    <w:rsid w:val="00A9423F"/>
    <w:rsid w:val="00A94EBD"/>
    <w:rsid w:val="00A9510D"/>
    <w:rsid w:val="00A95580"/>
    <w:rsid w:val="00A956AC"/>
    <w:rsid w:val="00A95D2A"/>
    <w:rsid w:val="00A961D6"/>
    <w:rsid w:val="00A96214"/>
    <w:rsid w:val="00A96653"/>
    <w:rsid w:val="00A967E8"/>
    <w:rsid w:val="00A97F4B"/>
    <w:rsid w:val="00AA04C5"/>
    <w:rsid w:val="00AA10B1"/>
    <w:rsid w:val="00AA2657"/>
    <w:rsid w:val="00AA2803"/>
    <w:rsid w:val="00AA2BF2"/>
    <w:rsid w:val="00AA2D68"/>
    <w:rsid w:val="00AA2D6F"/>
    <w:rsid w:val="00AA2E92"/>
    <w:rsid w:val="00AA3987"/>
    <w:rsid w:val="00AA3B68"/>
    <w:rsid w:val="00AA3E79"/>
    <w:rsid w:val="00AA4E59"/>
    <w:rsid w:val="00AA4FB4"/>
    <w:rsid w:val="00AA5C0B"/>
    <w:rsid w:val="00AA5E3B"/>
    <w:rsid w:val="00AA6225"/>
    <w:rsid w:val="00AA63AD"/>
    <w:rsid w:val="00AA65B4"/>
    <w:rsid w:val="00AA6A75"/>
    <w:rsid w:val="00AA745E"/>
    <w:rsid w:val="00AA7509"/>
    <w:rsid w:val="00AB04AB"/>
    <w:rsid w:val="00AB0733"/>
    <w:rsid w:val="00AB0789"/>
    <w:rsid w:val="00AB09D2"/>
    <w:rsid w:val="00AB0B64"/>
    <w:rsid w:val="00AB0C30"/>
    <w:rsid w:val="00AB176B"/>
    <w:rsid w:val="00AB2C5F"/>
    <w:rsid w:val="00AB37E6"/>
    <w:rsid w:val="00AB3DBA"/>
    <w:rsid w:val="00AB431C"/>
    <w:rsid w:val="00AB470E"/>
    <w:rsid w:val="00AB4C80"/>
    <w:rsid w:val="00AB506B"/>
    <w:rsid w:val="00AB5467"/>
    <w:rsid w:val="00AB5883"/>
    <w:rsid w:val="00AB5A7E"/>
    <w:rsid w:val="00AB7538"/>
    <w:rsid w:val="00AB77F3"/>
    <w:rsid w:val="00AC0256"/>
    <w:rsid w:val="00AC0AAD"/>
    <w:rsid w:val="00AC0FA5"/>
    <w:rsid w:val="00AC1231"/>
    <w:rsid w:val="00AC1346"/>
    <w:rsid w:val="00AC1992"/>
    <w:rsid w:val="00AC1E14"/>
    <w:rsid w:val="00AC291C"/>
    <w:rsid w:val="00AC2CFA"/>
    <w:rsid w:val="00AC3263"/>
    <w:rsid w:val="00AC337E"/>
    <w:rsid w:val="00AC3E12"/>
    <w:rsid w:val="00AC406E"/>
    <w:rsid w:val="00AC417C"/>
    <w:rsid w:val="00AC430C"/>
    <w:rsid w:val="00AC4951"/>
    <w:rsid w:val="00AC4985"/>
    <w:rsid w:val="00AC49C9"/>
    <w:rsid w:val="00AC4A6B"/>
    <w:rsid w:val="00AC5C19"/>
    <w:rsid w:val="00AC60F0"/>
    <w:rsid w:val="00AC63C7"/>
    <w:rsid w:val="00AC6657"/>
    <w:rsid w:val="00AC6D7A"/>
    <w:rsid w:val="00AC7363"/>
    <w:rsid w:val="00AC7401"/>
    <w:rsid w:val="00AC7901"/>
    <w:rsid w:val="00AC79F3"/>
    <w:rsid w:val="00AC7FDD"/>
    <w:rsid w:val="00AD0949"/>
    <w:rsid w:val="00AD0F1D"/>
    <w:rsid w:val="00AD1179"/>
    <w:rsid w:val="00AD1359"/>
    <w:rsid w:val="00AD1516"/>
    <w:rsid w:val="00AD19F0"/>
    <w:rsid w:val="00AD1FCE"/>
    <w:rsid w:val="00AD26E1"/>
    <w:rsid w:val="00AD29CC"/>
    <w:rsid w:val="00AD3268"/>
    <w:rsid w:val="00AD3652"/>
    <w:rsid w:val="00AD3DE2"/>
    <w:rsid w:val="00AD4261"/>
    <w:rsid w:val="00AD46F5"/>
    <w:rsid w:val="00AD51A3"/>
    <w:rsid w:val="00AD598B"/>
    <w:rsid w:val="00AD5AC5"/>
    <w:rsid w:val="00AD7154"/>
    <w:rsid w:val="00AD797D"/>
    <w:rsid w:val="00AD7E02"/>
    <w:rsid w:val="00AE0034"/>
    <w:rsid w:val="00AE02F4"/>
    <w:rsid w:val="00AE0483"/>
    <w:rsid w:val="00AE08DD"/>
    <w:rsid w:val="00AE10B3"/>
    <w:rsid w:val="00AE124F"/>
    <w:rsid w:val="00AE13BD"/>
    <w:rsid w:val="00AE1ABF"/>
    <w:rsid w:val="00AE1AF9"/>
    <w:rsid w:val="00AE1E60"/>
    <w:rsid w:val="00AE2068"/>
    <w:rsid w:val="00AE2258"/>
    <w:rsid w:val="00AE277E"/>
    <w:rsid w:val="00AE2A36"/>
    <w:rsid w:val="00AE2BC6"/>
    <w:rsid w:val="00AE3251"/>
    <w:rsid w:val="00AE33DA"/>
    <w:rsid w:val="00AE3FE0"/>
    <w:rsid w:val="00AE5058"/>
    <w:rsid w:val="00AE51CD"/>
    <w:rsid w:val="00AE5471"/>
    <w:rsid w:val="00AE54AA"/>
    <w:rsid w:val="00AE60E4"/>
    <w:rsid w:val="00AE6872"/>
    <w:rsid w:val="00AE6C58"/>
    <w:rsid w:val="00AE72C4"/>
    <w:rsid w:val="00AE7F05"/>
    <w:rsid w:val="00AE7F38"/>
    <w:rsid w:val="00AF054D"/>
    <w:rsid w:val="00AF0939"/>
    <w:rsid w:val="00AF0981"/>
    <w:rsid w:val="00AF0F9C"/>
    <w:rsid w:val="00AF10F0"/>
    <w:rsid w:val="00AF18E2"/>
    <w:rsid w:val="00AF242F"/>
    <w:rsid w:val="00AF24E7"/>
    <w:rsid w:val="00AF272B"/>
    <w:rsid w:val="00AF2838"/>
    <w:rsid w:val="00AF291B"/>
    <w:rsid w:val="00AF2DAA"/>
    <w:rsid w:val="00AF2EBD"/>
    <w:rsid w:val="00AF33AE"/>
    <w:rsid w:val="00AF3CDC"/>
    <w:rsid w:val="00AF44B1"/>
    <w:rsid w:val="00AF5800"/>
    <w:rsid w:val="00AF6986"/>
    <w:rsid w:val="00AF69FE"/>
    <w:rsid w:val="00AF6A77"/>
    <w:rsid w:val="00AF6D1B"/>
    <w:rsid w:val="00AF73ED"/>
    <w:rsid w:val="00AF7D69"/>
    <w:rsid w:val="00AF7ED2"/>
    <w:rsid w:val="00B004D8"/>
    <w:rsid w:val="00B007D8"/>
    <w:rsid w:val="00B00830"/>
    <w:rsid w:val="00B00CC5"/>
    <w:rsid w:val="00B016D2"/>
    <w:rsid w:val="00B02091"/>
    <w:rsid w:val="00B0250E"/>
    <w:rsid w:val="00B02B43"/>
    <w:rsid w:val="00B03697"/>
    <w:rsid w:val="00B03D36"/>
    <w:rsid w:val="00B04540"/>
    <w:rsid w:val="00B046F1"/>
    <w:rsid w:val="00B05116"/>
    <w:rsid w:val="00B051A7"/>
    <w:rsid w:val="00B05F1A"/>
    <w:rsid w:val="00B07B33"/>
    <w:rsid w:val="00B07BB0"/>
    <w:rsid w:val="00B07FA2"/>
    <w:rsid w:val="00B100CF"/>
    <w:rsid w:val="00B1074F"/>
    <w:rsid w:val="00B10E82"/>
    <w:rsid w:val="00B111A6"/>
    <w:rsid w:val="00B115E5"/>
    <w:rsid w:val="00B118EE"/>
    <w:rsid w:val="00B11B03"/>
    <w:rsid w:val="00B11C5B"/>
    <w:rsid w:val="00B121CD"/>
    <w:rsid w:val="00B12343"/>
    <w:rsid w:val="00B12529"/>
    <w:rsid w:val="00B128C5"/>
    <w:rsid w:val="00B12B11"/>
    <w:rsid w:val="00B12C94"/>
    <w:rsid w:val="00B1313C"/>
    <w:rsid w:val="00B135AB"/>
    <w:rsid w:val="00B13797"/>
    <w:rsid w:val="00B137BF"/>
    <w:rsid w:val="00B13A1B"/>
    <w:rsid w:val="00B13A76"/>
    <w:rsid w:val="00B142D9"/>
    <w:rsid w:val="00B145D5"/>
    <w:rsid w:val="00B14BC4"/>
    <w:rsid w:val="00B158A3"/>
    <w:rsid w:val="00B15B25"/>
    <w:rsid w:val="00B15C36"/>
    <w:rsid w:val="00B15EA0"/>
    <w:rsid w:val="00B16069"/>
    <w:rsid w:val="00B16940"/>
    <w:rsid w:val="00B1745A"/>
    <w:rsid w:val="00B17785"/>
    <w:rsid w:val="00B17A4E"/>
    <w:rsid w:val="00B17B30"/>
    <w:rsid w:val="00B17C2F"/>
    <w:rsid w:val="00B2153E"/>
    <w:rsid w:val="00B218CB"/>
    <w:rsid w:val="00B21FA7"/>
    <w:rsid w:val="00B22022"/>
    <w:rsid w:val="00B225E4"/>
    <w:rsid w:val="00B23223"/>
    <w:rsid w:val="00B2335B"/>
    <w:rsid w:val="00B23F7A"/>
    <w:rsid w:val="00B240B1"/>
    <w:rsid w:val="00B241FE"/>
    <w:rsid w:val="00B24208"/>
    <w:rsid w:val="00B24374"/>
    <w:rsid w:val="00B24728"/>
    <w:rsid w:val="00B248A9"/>
    <w:rsid w:val="00B2490A"/>
    <w:rsid w:val="00B24BE3"/>
    <w:rsid w:val="00B24D28"/>
    <w:rsid w:val="00B24F1C"/>
    <w:rsid w:val="00B25D76"/>
    <w:rsid w:val="00B27032"/>
    <w:rsid w:val="00B27085"/>
    <w:rsid w:val="00B27583"/>
    <w:rsid w:val="00B30003"/>
    <w:rsid w:val="00B3015C"/>
    <w:rsid w:val="00B30642"/>
    <w:rsid w:val="00B31201"/>
    <w:rsid w:val="00B315D2"/>
    <w:rsid w:val="00B31B4B"/>
    <w:rsid w:val="00B31E36"/>
    <w:rsid w:val="00B3258F"/>
    <w:rsid w:val="00B32E26"/>
    <w:rsid w:val="00B338B7"/>
    <w:rsid w:val="00B33E98"/>
    <w:rsid w:val="00B34061"/>
    <w:rsid w:val="00B34376"/>
    <w:rsid w:val="00B3440A"/>
    <w:rsid w:val="00B34441"/>
    <w:rsid w:val="00B35533"/>
    <w:rsid w:val="00B35534"/>
    <w:rsid w:val="00B35A87"/>
    <w:rsid w:val="00B35AFD"/>
    <w:rsid w:val="00B35F9A"/>
    <w:rsid w:val="00B3609C"/>
    <w:rsid w:val="00B36236"/>
    <w:rsid w:val="00B3662E"/>
    <w:rsid w:val="00B36645"/>
    <w:rsid w:val="00B366D2"/>
    <w:rsid w:val="00B366FA"/>
    <w:rsid w:val="00B36E86"/>
    <w:rsid w:val="00B379BA"/>
    <w:rsid w:val="00B408FC"/>
    <w:rsid w:val="00B40B30"/>
    <w:rsid w:val="00B40E47"/>
    <w:rsid w:val="00B412FD"/>
    <w:rsid w:val="00B41E1C"/>
    <w:rsid w:val="00B422BE"/>
    <w:rsid w:val="00B4241D"/>
    <w:rsid w:val="00B426BB"/>
    <w:rsid w:val="00B42EB9"/>
    <w:rsid w:val="00B436F0"/>
    <w:rsid w:val="00B441FE"/>
    <w:rsid w:val="00B44821"/>
    <w:rsid w:val="00B44AD3"/>
    <w:rsid w:val="00B44B82"/>
    <w:rsid w:val="00B450EB"/>
    <w:rsid w:val="00B45152"/>
    <w:rsid w:val="00B454DD"/>
    <w:rsid w:val="00B45E54"/>
    <w:rsid w:val="00B460B8"/>
    <w:rsid w:val="00B464E4"/>
    <w:rsid w:val="00B4689A"/>
    <w:rsid w:val="00B46D5F"/>
    <w:rsid w:val="00B46E7B"/>
    <w:rsid w:val="00B47006"/>
    <w:rsid w:val="00B47DC5"/>
    <w:rsid w:val="00B50395"/>
    <w:rsid w:val="00B505B3"/>
    <w:rsid w:val="00B50882"/>
    <w:rsid w:val="00B50A74"/>
    <w:rsid w:val="00B5199C"/>
    <w:rsid w:val="00B520A0"/>
    <w:rsid w:val="00B5257E"/>
    <w:rsid w:val="00B525CE"/>
    <w:rsid w:val="00B52CFD"/>
    <w:rsid w:val="00B545A8"/>
    <w:rsid w:val="00B54CAE"/>
    <w:rsid w:val="00B55782"/>
    <w:rsid w:val="00B55AD4"/>
    <w:rsid w:val="00B56527"/>
    <w:rsid w:val="00B56706"/>
    <w:rsid w:val="00B57019"/>
    <w:rsid w:val="00B576DA"/>
    <w:rsid w:val="00B57710"/>
    <w:rsid w:val="00B601C9"/>
    <w:rsid w:val="00B60D04"/>
    <w:rsid w:val="00B6158F"/>
    <w:rsid w:val="00B61EE8"/>
    <w:rsid w:val="00B633A3"/>
    <w:rsid w:val="00B63533"/>
    <w:rsid w:val="00B63BDB"/>
    <w:rsid w:val="00B64A0E"/>
    <w:rsid w:val="00B64DDF"/>
    <w:rsid w:val="00B6601E"/>
    <w:rsid w:val="00B663AA"/>
    <w:rsid w:val="00B66DD5"/>
    <w:rsid w:val="00B67722"/>
    <w:rsid w:val="00B67B97"/>
    <w:rsid w:val="00B67F01"/>
    <w:rsid w:val="00B70329"/>
    <w:rsid w:val="00B70AF1"/>
    <w:rsid w:val="00B711AB"/>
    <w:rsid w:val="00B714F0"/>
    <w:rsid w:val="00B71A40"/>
    <w:rsid w:val="00B71C8C"/>
    <w:rsid w:val="00B71CB4"/>
    <w:rsid w:val="00B71FD7"/>
    <w:rsid w:val="00B725E7"/>
    <w:rsid w:val="00B725F1"/>
    <w:rsid w:val="00B72C07"/>
    <w:rsid w:val="00B72DF7"/>
    <w:rsid w:val="00B72F42"/>
    <w:rsid w:val="00B72F96"/>
    <w:rsid w:val="00B732C9"/>
    <w:rsid w:val="00B73E44"/>
    <w:rsid w:val="00B74290"/>
    <w:rsid w:val="00B74510"/>
    <w:rsid w:val="00B74BD4"/>
    <w:rsid w:val="00B74BF7"/>
    <w:rsid w:val="00B760FD"/>
    <w:rsid w:val="00B76185"/>
    <w:rsid w:val="00B7674F"/>
    <w:rsid w:val="00B76BCD"/>
    <w:rsid w:val="00B779E6"/>
    <w:rsid w:val="00B804E2"/>
    <w:rsid w:val="00B811B2"/>
    <w:rsid w:val="00B81BA3"/>
    <w:rsid w:val="00B82213"/>
    <w:rsid w:val="00B8276E"/>
    <w:rsid w:val="00B82912"/>
    <w:rsid w:val="00B839A9"/>
    <w:rsid w:val="00B83A62"/>
    <w:rsid w:val="00B83B59"/>
    <w:rsid w:val="00B84252"/>
    <w:rsid w:val="00B8468F"/>
    <w:rsid w:val="00B849F1"/>
    <w:rsid w:val="00B84FC6"/>
    <w:rsid w:val="00B857F5"/>
    <w:rsid w:val="00B85C96"/>
    <w:rsid w:val="00B86D6C"/>
    <w:rsid w:val="00B86EB5"/>
    <w:rsid w:val="00B86F47"/>
    <w:rsid w:val="00B874A3"/>
    <w:rsid w:val="00B874B4"/>
    <w:rsid w:val="00B8787A"/>
    <w:rsid w:val="00B87887"/>
    <w:rsid w:val="00B90123"/>
    <w:rsid w:val="00B90196"/>
    <w:rsid w:val="00B911C1"/>
    <w:rsid w:val="00B91374"/>
    <w:rsid w:val="00B91E2F"/>
    <w:rsid w:val="00B9216A"/>
    <w:rsid w:val="00B922C3"/>
    <w:rsid w:val="00B9272E"/>
    <w:rsid w:val="00B927A7"/>
    <w:rsid w:val="00B92B9E"/>
    <w:rsid w:val="00B93315"/>
    <w:rsid w:val="00B93519"/>
    <w:rsid w:val="00B9372A"/>
    <w:rsid w:val="00B9425C"/>
    <w:rsid w:val="00B94AAF"/>
    <w:rsid w:val="00B953FF"/>
    <w:rsid w:val="00B9622D"/>
    <w:rsid w:val="00B96263"/>
    <w:rsid w:val="00B968A5"/>
    <w:rsid w:val="00B972CD"/>
    <w:rsid w:val="00B97D02"/>
    <w:rsid w:val="00BA0304"/>
    <w:rsid w:val="00BA0557"/>
    <w:rsid w:val="00BA19C4"/>
    <w:rsid w:val="00BA3038"/>
    <w:rsid w:val="00BA370A"/>
    <w:rsid w:val="00BA48BC"/>
    <w:rsid w:val="00BA4A29"/>
    <w:rsid w:val="00BA4BE7"/>
    <w:rsid w:val="00BA5F20"/>
    <w:rsid w:val="00BA5F44"/>
    <w:rsid w:val="00BA6018"/>
    <w:rsid w:val="00BA68D9"/>
    <w:rsid w:val="00BA695F"/>
    <w:rsid w:val="00BA6FD8"/>
    <w:rsid w:val="00BA7172"/>
    <w:rsid w:val="00BA7B01"/>
    <w:rsid w:val="00BB02D7"/>
    <w:rsid w:val="00BB0D9F"/>
    <w:rsid w:val="00BB0DEE"/>
    <w:rsid w:val="00BB0F93"/>
    <w:rsid w:val="00BB1031"/>
    <w:rsid w:val="00BB1805"/>
    <w:rsid w:val="00BB1B33"/>
    <w:rsid w:val="00BB2480"/>
    <w:rsid w:val="00BB27FD"/>
    <w:rsid w:val="00BB2C4E"/>
    <w:rsid w:val="00BB2E29"/>
    <w:rsid w:val="00BB2F74"/>
    <w:rsid w:val="00BB3206"/>
    <w:rsid w:val="00BB3277"/>
    <w:rsid w:val="00BB32C2"/>
    <w:rsid w:val="00BB39BF"/>
    <w:rsid w:val="00BB3B0D"/>
    <w:rsid w:val="00BB4A38"/>
    <w:rsid w:val="00BB524C"/>
    <w:rsid w:val="00BB5DAB"/>
    <w:rsid w:val="00BB5F45"/>
    <w:rsid w:val="00BB6006"/>
    <w:rsid w:val="00BB6195"/>
    <w:rsid w:val="00BB61A3"/>
    <w:rsid w:val="00BB67EA"/>
    <w:rsid w:val="00BB707E"/>
    <w:rsid w:val="00BB7568"/>
    <w:rsid w:val="00BC007C"/>
    <w:rsid w:val="00BC0986"/>
    <w:rsid w:val="00BC0A66"/>
    <w:rsid w:val="00BC0AB2"/>
    <w:rsid w:val="00BC1308"/>
    <w:rsid w:val="00BC1A83"/>
    <w:rsid w:val="00BC1BF4"/>
    <w:rsid w:val="00BC2600"/>
    <w:rsid w:val="00BC2F24"/>
    <w:rsid w:val="00BC33BE"/>
    <w:rsid w:val="00BC3A47"/>
    <w:rsid w:val="00BC3EEB"/>
    <w:rsid w:val="00BC4780"/>
    <w:rsid w:val="00BC52C8"/>
    <w:rsid w:val="00BC5485"/>
    <w:rsid w:val="00BC549C"/>
    <w:rsid w:val="00BC570E"/>
    <w:rsid w:val="00BC5A6C"/>
    <w:rsid w:val="00BC5AF6"/>
    <w:rsid w:val="00BC5B4B"/>
    <w:rsid w:val="00BC5E93"/>
    <w:rsid w:val="00BC5EDB"/>
    <w:rsid w:val="00BC6062"/>
    <w:rsid w:val="00BC63B7"/>
    <w:rsid w:val="00BC69A2"/>
    <w:rsid w:val="00BC6ED6"/>
    <w:rsid w:val="00BC6F03"/>
    <w:rsid w:val="00BC6FA1"/>
    <w:rsid w:val="00BC7487"/>
    <w:rsid w:val="00BD0570"/>
    <w:rsid w:val="00BD0853"/>
    <w:rsid w:val="00BD112D"/>
    <w:rsid w:val="00BD214E"/>
    <w:rsid w:val="00BD2395"/>
    <w:rsid w:val="00BD25B8"/>
    <w:rsid w:val="00BD2842"/>
    <w:rsid w:val="00BD3120"/>
    <w:rsid w:val="00BD3354"/>
    <w:rsid w:val="00BD384E"/>
    <w:rsid w:val="00BD3E76"/>
    <w:rsid w:val="00BD3EE2"/>
    <w:rsid w:val="00BD3FCF"/>
    <w:rsid w:val="00BD42D2"/>
    <w:rsid w:val="00BD4718"/>
    <w:rsid w:val="00BD47D7"/>
    <w:rsid w:val="00BD4EFB"/>
    <w:rsid w:val="00BD5076"/>
    <w:rsid w:val="00BD5551"/>
    <w:rsid w:val="00BD5EF8"/>
    <w:rsid w:val="00BD5F6D"/>
    <w:rsid w:val="00BD6C5E"/>
    <w:rsid w:val="00BD6D43"/>
    <w:rsid w:val="00BD7090"/>
    <w:rsid w:val="00BD7490"/>
    <w:rsid w:val="00BD767F"/>
    <w:rsid w:val="00BD7DA0"/>
    <w:rsid w:val="00BE08E6"/>
    <w:rsid w:val="00BE096B"/>
    <w:rsid w:val="00BE09C3"/>
    <w:rsid w:val="00BE0C27"/>
    <w:rsid w:val="00BE0F9B"/>
    <w:rsid w:val="00BE15BB"/>
    <w:rsid w:val="00BE198F"/>
    <w:rsid w:val="00BE3225"/>
    <w:rsid w:val="00BE4875"/>
    <w:rsid w:val="00BE4CCF"/>
    <w:rsid w:val="00BE5964"/>
    <w:rsid w:val="00BE660B"/>
    <w:rsid w:val="00BE6AFE"/>
    <w:rsid w:val="00BE6BBE"/>
    <w:rsid w:val="00BE7021"/>
    <w:rsid w:val="00BE7300"/>
    <w:rsid w:val="00BE76F7"/>
    <w:rsid w:val="00BE784F"/>
    <w:rsid w:val="00BE79C6"/>
    <w:rsid w:val="00BF0238"/>
    <w:rsid w:val="00BF0717"/>
    <w:rsid w:val="00BF0F79"/>
    <w:rsid w:val="00BF1750"/>
    <w:rsid w:val="00BF178E"/>
    <w:rsid w:val="00BF189F"/>
    <w:rsid w:val="00BF1910"/>
    <w:rsid w:val="00BF1B44"/>
    <w:rsid w:val="00BF1D88"/>
    <w:rsid w:val="00BF1F01"/>
    <w:rsid w:val="00BF1FC2"/>
    <w:rsid w:val="00BF23CC"/>
    <w:rsid w:val="00BF243F"/>
    <w:rsid w:val="00BF2708"/>
    <w:rsid w:val="00BF3284"/>
    <w:rsid w:val="00BF4C2B"/>
    <w:rsid w:val="00BF507A"/>
    <w:rsid w:val="00BF507C"/>
    <w:rsid w:val="00BF53F1"/>
    <w:rsid w:val="00BF5717"/>
    <w:rsid w:val="00BF5B9D"/>
    <w:rsid w:val="00BF5C45"/>
    <w:rsid w:val="00BF5FA3"/>
    <w:rsid w:val="00BF62F2"/>
    <w:rsid w:val="00BF63A5"/>
    <w:rsid w:val="00BF72A7"/>
    <w:rsid w:val="00BF7558"/>
    <w:rsid w:val="00BF7DD2"/>
    <w:rsid w:val="00C0111E"/>
    <w:rsid w:val="00C01B67"/>
    <w:rsid w:val="00C02676"/>
    <w:rsid w:val="00C029AB"/>
    <w:rsid w:val="00C02D74"/>
    <w:rsid w:val="00C03BD5"/>
    <w:rsid w:val="00C03C8B"/>
    <w:rsid w:val="00C03F3C"/>
    <w:rsid w:val="00C0425C"/>
    <w:rsid w:val="00C049BE"/>
    <w:rsid w:val="00C04A71"/>
    <w:rsid w:val="00C04DF0"/>
    <w:rsid w:val="00C05A4C"/>
    <w:rsid w:val="00C05A67"/>
    <w:rsid w:val="00C05D54"/>
    <w:rsid w:val="00C05DD2"/>
    <w:rsid w:val="00C0632D"/>
    <w:rsid w:val="00C0641F"/>
    <w:rsid w:val="00C06C9A"/>
    <w:rsid w:val="00C06E6F"/>
    <w:rsid w:val="00C075DB"/>
    <w:rsid w:val="00C07EBA"/>
    <w:rsid w:val="00C07FBC"/>
    <w:rsid w:val="00C100E2"/>
    <w:rsid w:val="00C100E7"/>
    <w:rsid w:val="00C11113"/>
    <w:rsid w:val="00C11687"/>
    <w:rsid w:val="00C11697"/>
    <w:rsid w:val="00C119A3"/>
    <w:rsid w:val="00C11E28"/>
    <w:rsid w:val="00C11F66"/>
    <w:rsid w:val="00C1200C"/>
    <w:rsid w:val="00C12120"/>
    <w:rsid w:val="00C1225B"/>
    <w:rsid w:val="00C122F9"/>
    <w:rsid w:val="00C1253A"/>
    <w:rsid w:val="00C128C9"/>
    <w:rsid w:val="00C12CF3"/>
    <w:rsid w:val="00C12F88"/>
    <w:rsid w:val="00C131A8"/>
    <w:rsid w:val="00C1322D"/>
    <w:rsid w:val="00C135A3"/>
    <w:rsid w:val="00C1477A"/>
    <w:rsid w:val="00C14A62"/>
    <w:rsid w:val="00C158EB"/>
    <w:rsid w:val="00C159B1"/>
    <w:rsid w:val="00C15D51"/>
    <w:rsid w:val="00C161F5"/>
    <w:rsid w:val="00C16B90"/>
    <w:rsid w:val="00C16C92"/>
    <w:rsid w:val="00C16ED6"/>
    <w:rsid w:val="00C1706B"/>
    <w:rsid w:val="00C17DB7"/>
    <w:rsid w:val="00C17E48"/>
    <w:rsid w:val="00C17F0B"/>
    <w:rsid w:val="00C2016A"/>
    <w:rsid w:val="00C201E7"/>
    <w:rsid w:val="00C20506"/>
    <w:rsid w:val="00C20AA2"/>
    <w:rsid w:val="00C20B91"/>
    <w:rsid w:val="00C21155"/>
    <w:rsid w:val="00C2146C"/>
    <w:rsid w:val="00C214D7"/>
    <w:rsid w:val="00C21561"/>
    <w:rsid w:val="00C21576"/>
    <w:rsid w:val="00C217EE"/>
    <w:rsid w:val="00C22784"/>
    <w:rsid w:val="00C22FAA"/>
    <w:rsid w:val="00C23A4C"/>
    <w:rsid w:val="00C2419D"/>
    <w:rsid w:val="00C243A4"/>
    <w:rsid w:val="00C24416"/>
    <w:rsid w:val="00C248DB"/>
    <w:rsid w:val="00C26170"/>
    <w:rsid w:val="00C26B5A"/>
    <w:rsid w:val="00C26BB1"/>
    <w:rsid w:val="00C26D52"/>
    <w:rsid w:val="00C303E4"/>
    <w:rsid w:val="00C30775"/>
    <w:rsid w:val="00C30B8D"/>
    <w:rsid w:val="00C30DBE"/>
    <w:rsid w:val="00C3134E"/>
    <w:rsid w:val="00C315D8"/>
    <w:rsid w:val="00C31C4A"/>
    <w:rsid w:val="00C31D2D"/>
    <w:rsid w:val="00C32079"/>
    <w:rsid w:val="00C3209A"/>
    <w:rsid w:val="00C32639"/>
    <w:rsid w:val="00C32808"/>
    <w:rsid w:val="00C32AD2"/>
    <w:rsid w:val="00C33114"/>
    <w:rsid w:val="00C3415E"/>
    <w:rsid w:val="00C34193"/>
    <w:rsid w:val="00C347FD"/>
    <w:rsid w:val="00C34DAE"/>
    <w:rsid w:val="00C34E1E"/>
    <w:rsid w:val="00C34E5A"/>
    <w:rsid w:val="00C3510D"/>
    <w:rsid w:val="00C35553"/>
    <w:rsid w:val="00C35D9C"/>
    <w:rsid w:val="00C36219"/>
    <w:rsid w:val="00C36656"/>
    <w:rsid w:val="00C3698E"/>
    <w:rsid w:val="00C36CCA"/>
    <w:rsid w:val="00C36E1C"/>
    <w:rsid w:val="00C36F42"/>
    <w:rsid w:val="00C3718A"/>
    <w:rsid w:val="00C379C5"/>
    <w:rsid w:val="00C37EEE"/>
    <w:rsid w:val="00C40453"/>
    <w:rsid w:val="00C404A7"/>
    <w:rsid w:val="00C40E71"/>
    <w:rsid w:val="00C41879"/>
    <w:rsid w:val="00C41A7C"/>
    <w:rsid w:val="00C42CC0"/>
    <w:rsid w:val="00C42CEF"/>
    <w:rsid w:val="00C42D55"/>
    <w:rsid w:val="00C43080"/>
    <w:rsid w:val="00C4370E"/>
    <w:rsid w:val="00C43823"/>
    <w:rsid w:val="00C4384B"/>
    <w:rsid w:val="00C4393C"/>
    <w:rsid w:val="00C43F2D"/>
    <w:rsid w:val="00C44068"/>
    <w:rsid w:val="00C442AE"/>
    <w:rsid w:val="00C44C2B"/>
    <w:rsid w:val="00C4518B"/>
    <w:rsid w:val="00C45780"/>
    <w:rsid w:val="00C458D6"/>
    <w:rsid w:val="00C45919"/>
    <w:rsid w:val="00C4655A"/>
    <w:rsid w:val="00C466BF"/>
    <w:rsid w:val="00C47385"/>
    <w:rsid w:val="00C47555"/>
    <w:rsid w:val="00C476AC"/>
    <w:rsid w:val="00C47E67"/>
    <w:rsid w:val="00C47FD9"/>
    <w:rsid w:val="00C50C1A"/>
    <w:rsid w:val="00C50E1E"/>
    <w:rsid w:val="00C51132"/>
    <w:rsid w:val="00C51508"/>
    <w:rsid w:val="00C51D73"/>
    <w:rsid w:val="00C52A05"/>
    <w:rsid w:val="00C52E97"/>
    <w:rsid w:val="00C52EAF"/>
    <w:rsid w:val="00C52FBA"/>
    <w:rsid w:val="00C53189"/>
    <w:rsid w:val="00C534E5"/>
    <w:rsid w:val="00C534F4"/>
    <w:rsid w:val="00C5375B"/>
    <w:rsid w:val="00C53AD3"/>
    <w:rsid w:val="00C53B15"/>
    <w:rsid w:val="00C53DA9"/>
    <w:rsid w:val="00C53EF7"/>
    <w:rsid w:val="00C54280"/>
    <w:rsid w:val="00C545FC"/>
    <w:rsid w:val="00C54929"/>
    <w:rsid w:val="00C550B6"/>
    <w:rsid w:val="00C556B1"/>
    <w:rsid w:val="00C55A05"/>
    <w:rsid w:val="00C55F8D"/>
    <w:rsid w:val="00C56101"/>
    <w:rsid w:val="00C565F2"/>
    <w:rsid w:val="00C567E3"/>
    <w:rsid w:val="00C56C45"/>
    <w:rsid w:val="00C56CD8"/>
    <w:rsid w:val="00C573CC"/>
    <w:rsid w:val="00C57B81"/>
    <w:rsid w:val="00C57FB9"/>
    <w:rsid w:val="00C6077B"/>
    <w:rsid w:val="00C60950"/>
    <w:rsid w:val="00C60DD1"/>
    <w:rsid w:val="00C61565"/>
    <w:rsid w:val="00C61574"/>
    <w:rsid w:val="00C615B4"/>
    <w:rsid w:val="00C6184A"/>
    <w:rsid w:val="00C618B6"/>
    <w:rsid w:val="00C61AC6"/>
    <w:rsid w:val="00C61ACF"/>
    <w:rsid w:val="00C6211D"/>
    <w:rsid w:val="00C62B32"/>
    <w:rsid w:val="00C63DED"/>
    <w:rsid w:val="00C63E88"/>
    <w:rsid w:val="00C6436D"/>
    <w:rsid w:val="00C64F97"/>
    <w:rsid w:val="00C65585"/>
    <w:rsid w:val="00C656EB"/>
    <w:rsid w:val="00C65DF4"/>
    <w:rsid w:val="00C667F0"/>
    <w:rsid w:val="00C66AC8"/>
    <w:rsid w:val="00C675A7"/>
    <w:rsid w:val="00C679FE"/>
    <w:rsid w:val="00C67B49"/>
    <w:rsid w:val="00C67D20"/>
    <w:rsid w:val="00C711F5"/>
    <w:rsid w:val="00C713A1"/>
    <w:rsid w:val="00C71828"/>
    <w:rsid w:val="00C72105"/>
    <w:rsid w:val="00C74520"/>
    <w:rsid w:val="00C74954"/>
    <w:rsid w:val="00C7557A"/>
    <w:rsid w:val="00C75765"/>
    <w:rsid w:val="00C76028"/>
    <w:rsid w:val="00C76184"/>
    <w:rsid w:val="00C76462"/>
    <w:rsid w:val="00C7673D"/>
    <w:rsid w:val="00C76A80"/>
    <w:rsid w:val="00C76C27"/>
    <w:rsid w:val="00C76E09"/>
    <w:rsid w:val="00C76F07"/>
    <w:rsid w:val="00C77EF6"/>
    <w:rsid w:val="00C80A5B"/>
    <w:rsid w:val="00C80B4B"/>
    <w:rsid w:val="00C80D63"/>
    <w:rsid w:val="00C80E85"/>
    <w:rsid w:val="00C8129D"/>
    <w:rsid w:val="00C812D5"/>
    <w:rsid w:val="00C81536"/>
    <w:rsid w:val="00C81BEA"/>
    <w:rsid w:val="00C81DF5"/>
    <w:rsid w:val="00C82188"/>
    <w:rsid w:val="00C8242B"/>
    <w:rsid w:val="00C829D9"/>
    <w:rsid w:val="00C82A50"/>
    <w:rsid w:val="00C8322A"/>
    <w:rsid w:val="00C83240"/>
    <w:rsid w:val="00C83381"/>
    <w:rsid w:val="00C83607"/>
    <w:rsid w:val="00C83768"/>
    <w:rsid w:val="00C83B18"/>
    <w:rsid w:val="00C840C3"/>
    <w:rsid w:val="00C841B4"/>
    <w:rsid w:val="00C84266"/>
    <w:rsid w:val="00C8466F"/>
    <w:rsid w:val="00C8489E"/>
    <w:rsid w:val="00C849E0"/>
    <w:rsid w:val="00C84B74"/>
    <w:rsid w:val="00C8512A"/>
    <w:rsid w:val="00C85378"/>
    <w:rsid w:val="00C85970"/>
    <w:rsid w:val="00C85E9B"/>
    <w:rsid w:val="00C8738E"/>
    <w:rsid w:val="00C874C8"/>
    <w:rsid w:val="00C90165"/>
    <w:rsid w:val="00C902DA"/>
    <w:rsid w:val="00C90733"/>
    <w:rsid w:val="00C9103C"/>
    <w:rsid w:val="00C921C4"/>
    <w:rsid w:val="00C9235F"/>
    <w:rsid w:val="00C9257F"/>
    <w:rsid w:val="00C9319C"/>
    <w:rsid w:val="00C9330C"/>
    <w:rsid w:val="00C934F6"/>
    <w:rsid w:val="00C93874"/>
    <w:rsid w:val="00C93A4C"/>
    <w:rsid w:val="00C944EB"/>
    <w:rsid w:val="00C94FD2"/>
    <w:rsid w:val="00C95341"/>
    <w:rsid w:val="00C95B76"/>
    <w:rsid w:val="00C964C3"/>
    <w:rsid w:val="00C964D6"/>
    <w:rsid w:val="00C96635"/>
    <w:rsid w:val="00C966B7"/>
    <w:rsid w:val="00C969DB"/>
    <w:rsid w:val="00C96A6E"/>
    <w:rsid w:val="00C97A4A"/>
    <w:rsid w:val="00C97DC9"/>
    <w:rsid w:val="00C97EE3"/>
    <w:rsid w:val="00CA042A"/>
    <w:rsid w:val="00CA1033"/>
    <w:rsid w:val="00CA12BA"/>
    <w:rsid w:val="00CA165C"/>
    <w:rsid w:val="00CA1C0D"/>
    <w:rsid w:val="00CA1DAE"/>
    <w:rsid w:val="00CA1E62"/>
    <w:rsid w:val="00CA2267"/>
    <w:rsid w:val="00CA38AD"/>
    <w:rsid w:val="00CA3EEE"/>
    <w:rsid w:val="00CA4403"/>
    <w:rsid w:val="00CA5098"/>
    <w:rsid w:val="00CA5503"/>
    <w:rsid w:val="00CA612D"/>
    <w:rsid w:val="00CA651B"/>
    <w:rsid w:val="00CA66C3"/>
    <w:rsid w:val="00CA6CAD"/>
    <w:rsid w:val="00CA70A8"/>
    <w:rsid w:val="00CA70D0"/>
    <w:rsid w:val="00CA74A4"/>
    <w:rsid w:val="00CA75FD"/>
    <w:rsid w:val="00CA7683"/>
    <w:rsid w:val="00CA77AE"/>
    <w:rsid w:val="00CA7EA1"/>
    <w:rsid w:val="00CA7EEB"/>
    <w:rsid w:val="00CB009B"/>
    <w:rsid w:val="00CB0231"/>
    <w:rsid w:val="00CB0838"/>
    <w:rsid w:val="00CB092E"/>
    <w:rsid w:val="00CB1AFD"/>
    <w:rsid w:val="00CB1EB3"/>
    <w:rsid w:val="00CB2126"/>
    <w:rsid w:val="00CB2308"/>
    <w:rsid w:val="00CB24AD"/>
    <w:rsid w:val="00CB2C59"/>
    <w:rsid w:val="00CB2D9C"/>
    <w:rsid w:val="00CB34AB"/>
    <w:rsid w:val="00CB3529"/>
    <w:rsid w:val="00CB38A9"/>
    <w:rsid w:val="00CB3FE0"/>
    <w:rsid w:val="00CB44EA"/>
    <w:rsid w:val="00CB4728"/>
    <w:rsid w:val="00CB59E7"/>
    <w:rsid w:val="00CB5D27"/>
    <w:rsid w:val="00CB5E4A"/>
    <w:rsid w:val="00CB6B57"/>
    <w:rsid w:val="00CB6FCA"/>
    <w:rsid w:val="00CB724D"/>
    <w:rsid w:val="00CB73EA"/>
    <w:rsid w:val="00CB76E3"/>
    <w:rsid w:val="00CB7D4E"/>
    <w:rsid w:val="00CB7F1F"/>
    <w:rsid w:val="00CC002B"/>
    <w:rsid w:val="00CC07E5"/>
    <w:rsid w:val="00CC09F0"/>
    <w:rsid w:val="00CC0C11"/>
    <w:rsid w:val="00CC1F52"/>
    <w:rsid w:val="00CC233F"/>
    <w:rsid w:val="00CC27FD"/>
    <w:rsid w:val="00CC2920"/>
    <w:rsid w:val="00CC29A4"/>
    <w:rsid w:val="00CC31E8"/>
    <w:rsid w:val="00CC3AB9"/>
    <w:rsid w:val="00CC3C9E"/>
    <w:rsid w:val="00CC45E0"/>
    <w:rsid w:val="00CC4BBE"/>
    <w:rsid w:val="00CC4BC3"/>
    <w:rsid w:val="00CC50C7"/>
    <w:rsid w:val="00CC55AC"/>
    <w:rsid w:val="00CC5859"/>
    <w:rsid w:val="00CC66CB"/>
    <w:rsid w:val="00CC6D1C"/>
    <w:rsid w:val="00CC71DD"/>
    <w:rsid w:val="00CC71F3"/>
    <w:rsid w:val="00CC72C0"/>
    <w:rsid w:val="00CC757D"/>
    <w:rsid w:val="00CC7C74"/>
    <w:rsid w:val="00CC7D5E"/>
    <w:rsid w:val="00CD00DB"/>
    <w:rsid w:val="00CD0119"/>
    <w:rsid w:val="00CD07FD"/>
    <w:rsid w:val="00CD0866"/>
    <w:rsid w:val="00CD0B6B"/>
    <w:rsid w:val="00CD1169"/>
    <w:rsid w:val="00CD15F1"/>
    <w:rsid w:val="00CD16C7"/>
    <w:rsid w:val="00CD1A40"/>
    <w:rsid w:val="00CD1B33"/>
    <w:rsid w:val="00CD25F3"/>
    <w:rsid w:val="00CD27FF"/>
    <w:rsid w:val="00CD2875"/>
    <w:rsid w:val="00CD2DF3"/>
    <w:rsid w:val="00CD305C"/>
    <w:rsid w:val="00CD3A6D"/>
    <w:rsid w:val="00CD3E5A"/>
    <w:rsid w:val="00CD3E63"/>
    <w:rsid w:val="00CD40A3"/>
    <w:rsid w:val="00CD4353"/>
    <w:rsid w:val="00CD457E"/>
    <w:rsid w:val="00CD4CD3"/>
    <w:rsid w:val="00CD589F"/>
    <w:rsid w:val="00CD60C9"/>
    <w:rsid w:val="00CD6345"/>
    <w:rsid w:val="00CD6835"/>
    <w:rsid w:val="00CD6BBB"/>
    <w:rsid w:val="00CD706C"/>
    <w:rsid w:val="00CD7482"/>
    <w:rsid w:val="00CD7C66"/>
    <w:rsid w:val="00CE05BD"/>
    <w:rsid w:val="00CE07C1"/>
    <w:rsid w:val="00CE1567"/>
    <w:rsid w:val="00CE1859"/>
    <w:rsid w:val="00CE186F"/>
    <w:rsid w:val="00CE20E3"/>
    <w:rsid w:val="00CE273A"/>
    <w:rsid w:val="00CE321C"/>
    <w:rsid w:val="00CE32D4"/>
    <w:rsid w:val="00CE32E8"/>
    <w:rsid w:val="00CE3502"/>
    <w:rsid w:val="00CE353C"/>
    <w:rsid w:val="00CE3700"/>
    <w:rsid w:val="00CE3B69"/>
    <w:rsid w:val="00CE4559"/>
    <w:rsid w:val="00CE4B49"/>
    <w:rsid w:val="00CE5118"/>
    <w:rsid w:val="00CE5487"/>
    <w:rsid w:val="00CE59B5"/>
    <w:rsid w:val="00CE59DB"/>
    <w:rsid w:val="00CE5D3A"/>
    <w:rsid w:val="00CE67D8"/>
    <w:rsid w:val="00CE68EA"/>
    <w:rsid w:val="00CE7381"/>
    <w:rsid w:val="00CE7447"/>
    <w:rsid w:val="00CE74CE"/>
    <w:rsid w:val="00CE7510"/>
    <w:rsid w:val="00CF0829"/>
    <w:rsid w:val="00CF0E74"/>
    <w:rsid w:val="00CF15E3"/>
    <w:rsid w:val="00CF1833"/>
    <w:rsid w:val="00CF1AEA"/>
    <w:rsid w:val="00CF2091"/>
    <w:rsid w:val="00CF21F6"/>
    <w:rsid w:val="00CF2278"/>
    <w:rsid w:val="00CF2C62"/>
    <w:rsid w:val="00CF2F66"/>
    <w:rsid w:val="00CF337B"/>
    <w:rsid w:val="00CF3FE7"/>
    <w:rsid w:val="00CF420F"/>
    <w:rsid w:val="00CF4416"/>
    <w:rsid w:val="00CF5762"/>
    <w:rsid w:val="00CF64F6"/>
    <w:rsid w:val="00CF65B4"/>
    <w:rsid w:val="00CF6806"/>
    <w:rsid w:val="00CF69B0"/>
    <w:rsid w:val="00CF6C05"/>
    <w:rsid w:val="00CF709F"/>
    <w:rsid w:val="00CF7485"/>
    <w:rsid w:val="00CF7E56"/>
    <w:rsid w:val="00D01744"/>
    <w:rsid w:val="00D01C03"/>
    <w:rsid w:val="00D01F71"/>
    <w:rsid w:val="00D025CE"/>
    <w:rsid w:val="00D026A3"/>
    <w:rsid w:val="00D02A0F"/>
    <w:rsid w:val="00D02CA6"/>
    <w:rsid w:val="00D02DF3"/>
    <w:rsid w:val="00D03181"/>
    <w:rsid w:val="00D037DC"/>
    <w:rsid w:val="00D0383B"/>
    <w:rsid w:val="00D03A8A"/>
    <w:rsid w:val="00D03DA5"/>
    <w:rsid w:val="00D03F27"/>
    <w:rsid w:val="00D043EE"/>
    <w:rsid w:val="00D0470D"/>
    <w:rsid w:val="00D05249"/>
    <w:rsid w:val="00D055CA"/>
    <w:rsid w:val="00D059FC"/>
    <w:rsid w:val="00D05DEF"/>
    <w:rsid w:val="00D06861"/>
    <w:rsid w:val="00D0688A"/>
    <w:rsid w:val="00D06F22"/>
    <w:rsid w:val="00D07A9C"/>
    <w:rsid w:val="00D07B44"/>
    <w:rsid w:val="00D10076"/>
    <w:rsid w:val="00D1033B"/>
    <w:rsid w:val="00D10477"/>
    <w:rsid w:val="00D107E2"/>
    <w:rsid w:val="00D11D76"/>
    <w:rsid w:val="00D121F5"/>
    <w:rsid w:val="00D126E4"/>
    <w:rsid w:val="00D131BF"/>
    <w:rsid w:val="00D13A90"/>
    <w:rsid w:val="00D140E6"/>
    <w:rsid w:val="00D14C7E"/>
    <w:rsid w:val="00D158EF"/>
    <w:rsid w:val="00D15B5F"/>
    <w:rsid w:val="00D15C14"/>
    <w:rsid w:val="00D15E74"/>
    <w:rsid w:val="00D15FAA"/>
    <w:rsid w:val="00D16ECB"/>
    <w:rsid w:val="00D16EEE"/>
    <w:rsid w:val="00D17167"/>
    <w:rsid w:val="00D17BA5"/>
    <w:rsid w:val="00D2058D"/>
    <w:rsid w:val="00D2176E"/>
    <w:rsid w:val="00D2182A"/>
    <w:rsid w:val="00D218BC"/>
    <w:rsid w:val="00D2193D"/>
    <w:rsid w:val="00D22105"/>
    <w:rsid w:val="00D2211C"/>
    <w:rsid w:val="00D22B55"/>
    <w:rsid w:val="00D22C81"/>
    <w:rsid w:val="00D23055"/>
    <w:rsid w:val="00D230AD"/>
    <w:rsid w:val="00D2320E"/>
    <w:rsid w:val="00D2327A"/>
    <w:rsid w:val="00D249E1"/>
    <w:rsid w:val="00D251AB"/>
    <w:rsid w:val="00D25240"/>
    <w:rsid w:val="00D25AC6"/>
    <w:rsid w:val="00D25BF1"/>
    <w:rsid w:val="00D25FAD"/>
    <w:rsid w:val="00D261D3"/>
    <w:rsid w:val="00D27086"/>
    <w:rsid w:val="00D2775C"/>
    <w:rsid w:val="00D27A4C"/>
    <w:rsid w:val="00D3140A"/>
    <w:rsid w:val="00D319DF"/>
    <w:rsid w:val="00D31C02"/>
    <w:rsid w:val="00D3225E"/>
    <w:rsid w:val="00D324BC"/>
    <w:rsid w:val="00D32B9F"/>
    <w:rsid w:val="00D331A5"/>
    <w:rsid w:val="00D33565"/>
    <w:rsid w:val="00D33761"/>
    <w:rsid w:val="00D33762"/>
    <w:rsid w:val="00D34BD1"/>
    <w:rsid w:val="00D35177"/>
    <w:rsid w:val="00D35340"/>
    <w:rsid w:val="00D3538E"/>
    <w:rsid w:val="00D356E1"/>
    <w:rsid w:val="00D40609"/>
    <w:rsid w:val="00D40983"/>
    <w:rsid w:val="00D40B3B"/>
    <w:rsid w:val="00D41188"/>
    <w:rsid w:val="00D417D3"/>
    <w:rsid w:val="00D418D5"/>
    <w:rsid w:val="00D41DB1"/>
    <w:rsid w:val="00D4276D"/>
    <w:rsid w:val="00D42798"/>
    <w:rsid w:val="00D42970"/>
    <w:rsid w:val="00D43468"/>
    <w:rsid w:val="00D43AED"/>
    <w:rsid w:val="00D44916"/>
    <w:rsid w:val="00D45AE4"/>
    <w:rsid w:val="00D45CA4"/>
    <w:rsid w:val="00D45EA7"/>
    <w:rsid w:val="00D45F22"/>
    <w:rsid w:val="00D4628C"/>
    <w:rsid w:val="00D47178"/>
    <w:rsid w:val="00D4752E"/>
    <w:rsid w:val="00D47842"/>
    <w:rsid w:val="00D47BEF"/>
    <w:rsid w:val="00D50826"/>
    <w:rsid w:val="00D51675"/>
    <w:rsid w:val="00D51F73"/>
    <w:rsid w:val="00D52827"/>
    <w:rsid w:val="00D529BE"/>
    <w:rsid w:val="00D52CF6"/>
    <w:rsid w:val="00D53D3E"/>
    <w:rsid w:val="00D547E0"/>
    <w:rsid w:val="00D548B1"/>
    <w:rsid w:val="00D54992"/>
    <w:rsid w:val="00D55291"/>
    <w:rsid w:val="00D55829"/>
    <w:rsid w:val="00D55C48"/>
    <w:rsid w:val="00D55E47"/>
    <w:rsid w:val="00D56392"/>
    <w:rsid w:val="00D56997"/>
    <w:rsid w:val="00D56BF7"/>
    <w:rsid w:val="00D570E6"/>
    <w:rsid w:val="00D5730F"/>
    <w:rsid w:val="00D5774F"/>
    <w:rsid w:val="00D6006A"/>
    <w:rsid w:val="00D60809"/>
    <w:rsid w:val="00D609BD"/>
    <w:rsid w:val="00D60D7F"/>
    <w:rsid w:val="00D61066"/>
    <w:rsid w:val="00D61C9C"/>
    <w:rsid w:val="00D61E7B"/>
    <w:rsid w:val="00D62111"/>
    <w:rsid w:val="00D62229"/>
    <w:rsid w:val="00D625B8"/>
    <w:rsid w:val="00D626F8"/>
    <w:rsid w:val="00D636DC"/>
    <w:rsid w:val="00D6370C"/>
    <w:rsid w:val="00D63F4C"/>
    <w:rsid w:val="00D64613"/>
    <w:rsid w:val="00D64702"/>
    <w:rsid w:val="00D6474A"/>
    <w:rsid w:val="00D649DC"/>
    <w:rsid w:val="00D65A6A"/>
    <w:rsid w:val="00D66008"/>
    <w:rsid w:val="00D66BFD"/>
    <w:rsid w:val="00D66C91"/>
    <w:rsid w:val="00D674EE"/>
    <w:rsid w:val="00D67535"/>
    <w:rsid w:val="00D67BC9"/>
    <w:rsid w:val="00D67DBC"/>
    <w:rsid w:val="00D704D9"/>
    <w:rsid w:val="00D70612"/>
    <w:rsid w:val="00D70934"/>
    <w:rsid w:val="00D70BD2"/>
    <w:rsid w:val="00D70C54"/>
    <w:rsid w:val="00D713F2"/>
    <w:rsid w:val="00D721B1"/>
    <w:rsid w:val="00D72705"/>
    <w:rsid w:val="00D7317B"/>
    <w:rsid w:val="00D738BF"/>
    <w:rsid w:val="00D73B93"/>
    <w:rsid w:val="00D73C52"/>
    <w:rsid w:val="00D73C95"/>
    <w:rsid w:val="00D73D17"/>
    <w:rsid w:val="00D7400F"/>
    <w:rsid w:val="00D745C1"/>
    <w:rsid w:val="00D74784"/>
    <w:rsid w:val="00D756F6"/>
    <w:rsid w:val="00D75731"/>
    <w:rsid w:val="00D75B45"/>
    <w:rsid w:val="00D75B5C"/>
    <w:rsid w:val="00D75F8C"/>
    <w:rsid w:val="00D76050"/>
    <w:rsid w:val="00D76210"/>
    <w:rsid w:val="00D76309"/>
    <w:rsid w:val="00D76423"/>
    <w:rsid w:val="00D767BF"/>
    <w:rsid w:val="00D77278"/>
    <w:rsid w:val="00D775B5"/>
    <w:rsid w:val="00D77961"/>
    <w:rsid w:val="00D77A47"/>
    <w:rsid w:val="00D77B20"/>
    <w:rsid w:val="00D77B3B"/>
    <w:rsid w:val="00D8007C"/>
    <w:rsid w:val="00D8031E"/>
    <w:rsid w:val="00D8079F"/>
    <w:rsid w:val="00D81036"/>
    <w:rsid w:val="00D8103B"/>
    <w:rsid w:val="00D8111B"/>
    <w:rsid w:val="00D81242"/>
    <w:rsid w:val="00D812D2"/>
    <w:rsid w:val="00D81C87"/>
    <w:rsid w:val="00D81CC2"/>
    <w:rsid w:val="00D82C80"/>
    <w:rsid w:val="00D82D02"/>
    <w:rsid w:val="00D82D0F"/>
    <w:rsid w:val="00D834A5"/>
    <w:rsid w:val="00D8353C"/>
    <w:rsid w:val="00D83A5A"/>
    <w:rsid w:val="00D84157"/>
    <w:rsid w:val="00D84AB8"/>
    <w:rsid w:val="00D84BD7"/>
    <w:rsid w:val="00D84DCA"/>
    <w:rsid w:val="00D85114"/>
    <w:rsid w:val="00D857BC"/>
    <w:rsid w:val="00D85CC6"/>
    <w:rsid w:val="00D86A92"/>
    <w:rsid w:val="00D871B6"/>
    <w:rsid w:val="00D873F3"/>
    <w:rsid w:val="00D875E1"/>
    <w:rsid w:val="00D90275"/>
    <w:rsid w:val="00D902F5"/>
    <w:rsid w:val="00D9037F"/>
    <w:rsid w:val="00D9075D"/>
    <w:rsid w:val="00D90959"/>
    <w:rsid w:val="00D91410"/>
    <w:rsid w:val="00D91438"/>
    <w:rsid w:val="00D91594"/>
    <w:rsid w:val="00D91ABE"/>
    <w:rsid w:val="00D91DFB"/>
    <w:rsid w:val="00D921DA"/>
    <w:rsid w:val="00D92A4A"/>
    <w:rsid w:val="00D92C2F"/>
    <w:rsid w:val="00D92F7F"/>
    <w:rsid w:val="00D930AC"/>
    <w:rsid w:val="00D9459D"/>
    <w:rsid w:val="00D94730"/>
    <w:rsid w:val="00D94858"/>
    <w:rsid w:val="00D9487D"/>
    <w:rsid w:val="00D94972"/>
    <w:rsid w:val="00D954A1"/>
    <w:rsid w:val="00D95519"/>
    <w:rsid w:val="00D95744"/>
    <w:rsid w:val="00D958FC"/>
    <w:rsid w:val="00D959AE"/>
    <w:rsid w:val="00D95DC2"/>
    <w:rsid w:val="00D96678"/>
    <w:rsid w:val="00D9673A"/>
    <w:rsid w:val="00D96C73"/>
    <w:rsid w:val="00D96D46"/>
    <w:rsid w:val="00D97C27"/>
    <w:rsid w:val="00DA032C"/>
    <w:rsid w:val="00DA0526"/>
    <w:rsid w:val="00DA0639"/>
    <w:rsid w:val="00DA0744"/>
    <w:rsid w:val="00DA0B8C"/>
    <w:rsid w:val="00DA0CF7"/>
    <w:rsid w:val="00DA0E96"/>
    <w:rsid w:val="00DA1203"/>
    <w:rsid w:val="00DA14A0"/>
    <w:rsid w:val="00DA15AC"/>
    <w:rsid w:val="00DA15EB"/>
    <w:rsid w:val="00DA18DA"/>
    <w:rsid w:val="00DA1F0C"/>
    <w:rsid w:val="00DA2A10"/>
    <w:rsid w:val="00DA2B06"/>
    <w:rsid w:val="00DA2B20"/>
    <w:rsid w:val="00DA3565"/>
    <w:rsid w:val="00DA3A5B"/>
    <w:rsid w:val="00DA3D0B"/>
    <w:rsid w:val="00DA3F51"/>
    <w:rsid w:val="00DA45A0"/>
    <w:rsid w:val="00DA45DB"/>
    <w:rsid w:val="00DA48D9"/>
    <w:rsid w:val="00DA49F8"/>
    <w:rsid w:val="00DA4AAE"/>
    <w:rsid w:val="00DA5572"/>
    <w:rsid w:val="00DA5D5D"/>
    <w:rsid w:val="00DA6A15"/>
    <w:rsid w:val="00DA6B3A"/>
    <w:rsid w:val="00DA6CC2"/>
    <w:rsid w:val="00DA7028"/>
    <w:rsid w:val="00DA7029"/>
    <w:rsid w:val="00DA77A0"/>
    <w:rsid w:val="00DB09A2"/>
    <w:rsid w:val="00DB103D"/>
    <w:rsid w:val="00DB1448"/>
    <w:rsid w:val="00DB1907"/>
    <w:rsid w:val="00DB1998"/>
    <w:rsid w:val="00DB1FC4"/>
    <w:rsid w:val="00DB21F0"/>
    <w:rsid w:val="00DB2C5F"/>
    <w:rsid w:val="00DB3A58"/>
    <w:rsid w:val="00DB3BDF"/>
    <w:rsid w:val="00DB3C58"/>
    <w:rsid w:val="00DB3C72"/>
    <w:rsid w:val="00DB3D46"/>
    <w:rsid w:val="00DB401C"/>
    <w:rsid w:val="00DB46C8"/>
    <w:rsid w:val="00DB52F0"/>
    <w:rsid w:val="00DB540E"/>
    <w:rsid w:val="00DB5899"/>
    <w:rsid w:val="00DB5A63"/>
    <w:rsid w:val="00DB6166"/>
    <w:rsid w:val="00DB6520"/>
    <w:rsid w:val="00DB656B"/>
    <w:rsid w:val="00DB6803"/>
    <w:rsid w:val="00DB691E"/>
    <w:rsid w:val="00DB6C64"/>
    <w:rsid w:val="00DB6C99"/>
    <w:rsid w:val="00DB75A3"/>
    <w:rsid w:val="00DC02F5"/>
    <w:rsid w:val="00DC0574"/>
    <w:rsid w:val="00DC0C65"/>
    <w:rsid w:val="00DC10E5"/>
    <w:rsid w:val="00DC16BF"/>
    <w:rsid w:val="00DC16E1"/>
    <w:rsid w:val="00DC16FC"/>
    <w:rsid w:val="00DC1881"/>
    <w:rsid w:val="00DC1ED7"/>
    <w:rsid w:val="00DC294E"/>
    <w:rsid w:val="00DC3921"/>
    <w:rsid w:val="00DC3A6F"/>
    <w:rsid w:val="00DC3D1C"/>
    <w:rsid w:val="00DC43E1"/>
    <w:rsid w:val="00DC48A4"/>
    <w:rsid w:val="00DC5199"/>
    <w:rsid w:val="00DC5A32"/>
    <w:rsid w:val="00DC5E4E"/>
    <w:rsid w:val="00DC651B"/>
    <w:rsid w:val="00DC662F"/>
    <w:rsid w:val="00DC6961"/>
    <w:rsid w:val="00DC6E78"/>
    <w:rsid w:val="00DC707F"/>
    <w:rsid w:val="00DC729A"/>
    <w:rsid w:val="00DC73B1"/>
    <w:rsid w:val="00DC7519"/>
    <w:rsid w:val="00DC7630"/>
    <w:rsid w:val="00DC7708"/>
    <w:rsid w:val="00DC7EB5"/>
    <w:rsid w:val="00DD04AC"/>
    <w:rsid w:val="00DD04DD"/>
    <w:rsid w:val="00DD0891"/>
    <w:rsid w:val="00DD0B35"/>
    <w:rsid w:val="00DD0C4D"/>
    <w:rsid w:val="00DD0F9F"/>
    <w:rsid w:val="00DD11A7"/>
    <w:rsid w:val="00DD1298"/>
    <w:rsid w:val="00DD2300"/>
    <w:rsid w:val="00DD2309"/>
    <w:rsid w:val="00DD28B3"/>
    <w:rsid w:val="00DD2DE3"/>
    <w:rsid w:val="00DD2DE8"/>
    <w:rsid w:val="00DD316F"/>
    <w:rsid w:val="00DD357C"/>
    <w:rsid w:val="00DD37CA"/>
    <w:rsid w:val="00DD3D55"/>
    <w:rsid w:val="00DD3DF7"/>
    <w:rsid w:val="00DD49FC"/>
    <w:rsid w:val="00DD4AE2"/>
    <w:rsid w:val="00DD4B0C"/>
    <w:rsid w:val="00DD4B12"/>
    <w:rsid w:val="00DD4BFA"/>
    <w:rsid w:val="00DD51F8"/>
    <w:rsid w:val="00DD5829"/>
    <w:rsid w:val="00DD6388"/>
    <w:rsid w:val="00DD6C53"/>
    <w:rsid w:val="00DD7198"/>
    <w:rsid w:val="00DD7752"/>
    <w:rsid w:val="00DD7CB6"/>
    <w:rsid w:val="00DE0077"/>
    <w:rsid w:val="00DE0137"/>
    <w:rsid w:val="00DE01BA"/>
    <w:rsid w:val="00DE061F"/>
    <w:rsid w:val="00DE0DCF"/>
    <w:rsid w:val="00DE137B"/>
    <w:rsid w:val="00DE19D9"/>
    <w:rsid w:val="00DE1DC6"/>
    <w:rsid w:val="00DE1F77"/>
    <w:rsid w:val="00DE21C6"/>
    <w:rsid w:val="00DE21E0"/>
    <w:rsid w:val="00DE22AA"/>
    <w:rsid w:val="00DE288F"/>
    <w:rsid w:val="00DE2C45"/>
    <w:rsid w:val="00DE2D49"/>
    <w:rsid w:val="00DE2ED5"/>
    <w:rsid w:val="00DE2F4E"/>
    <w:rsid w:val="00DE3E66"/>
    <w:rsid w:val="00DE3F75"/>
    <w:rsid w:val="00DE41FC"/>
    <w:rsid w:val="00DE45F5"/>
    <w:rsid w:val="00DE4AAD"/>
    <w:rsid w:val="00DE4C0C"/>
    <w:rsid w:val="00DE4FC8"/>
    <w:rsid w:val="00DE53B5"/>
    <w:rsid w:val="00DE5A50"/>
    <w:rsid w:val="00DE60C5"/>
    <w:rsid w:val="00DE7323"/>
    <w:rsid w:val="00DE75F0"/>
    <w:rsid w:val="00DE77CB"/>
    <w:rsid w:val="00DE7EBA"/>
    <w:rsid w:val="00DF04BD"/>
    <w:rsid w:val="00DF050A"/>
    <w:rsid w:val="00DF068D"/>
    <w:rsid w:val="00DF0D3A"/>
    <w:rsid w:val="00DF140A"/>
    <w:rsid w:val="00DF1A9A"/>
    <w:rsid w:val="00DF1C2D"/>
    <w:rsid w:val="00DF1F8A"/>
    <w:rsid w:val="00DF2209"/>
    <w:rsid w:val="00DF248E"/>
    <w:rsid w:val="00DF2715"/>
    <w:rsid w:val="00DF3577"/>
    <w:rsid w:val="00DF4063"/>
    <w:rsid w:val="00DF44F4"/>
    <w:rsid w:val="00DF5F13"/>
    <w:rsid w:val="00DF63DD"/>
    <w:rsid w:val="00DF6544"/>
    <w:rsid w:val="00DF6B62"/>
    <w:rsid w:val="00DF7BD0"/>
    <w:rsid w:val="00DF7BDF"/>
    <w:rsid w:val="00E00303"/>
    <w:rsid w:val="00E005D1"/>
    <w:rsid w:val="00E00A62"/>
    <w:rsid w:val="00E010A0"/>
    <w:rsid w:val="00E0125E"/>
    <w:rsid w:val="00E01668"/>
    <w:rsid w:val="00E0173A"/>
    <w:rsid w:val="00E01849"/>
    <w:rsid w:val="00E020D1"/>
    <w:rsid w:val="00E02B4E"/>
    <w:rsid w:val="00E02B64"/>
    <w:rsid w:val="00E02EAD"/>
    <w:rsid w:val="00E03453"/>
    <w:rsid w:val="00E03D3F"/>
    <w:rsid w:val="00E03DED"/>
    <w:rsid w:val="00E0437C"/>
    <w:rsid w:val="00E0452C"/>
    <w:rsid w:val="00E04D61"/>
    <w:rsid w:val="00E0504C"/>
    <w:rsid w:val="00E05074"/>
    <w:rsid w:val="00E052DA"/>
    <w:rsid w:val="00E05489"/>
    <w:rsid w:val="00E05741"/>
    <w:rsid w:val="00E05F7F"/>
    <w:rsid w:val="00E06549"/>
    <w:rsid w:val="00E06930"/>
    <w:rsid w:val="00E06971"/>
    <w:rsid w:val="00E07D90"/>
    <w:rsid w:val="00E105B3"/>
    <w:rsid w:val="00E10846"/>
    <w:rsid w:val="00E10883"/>
    <w:rsid w:val="00E108F4"/>
    <w:rsid w:val="00E10D4E"/>
    <w:rsid w:val="00E1100C"/>
    <w:rsid w:val="00E11489"/>
    <w:rsid w:val="00E11711"/>
    <w:rsid w:val="00E11E63"/>
    <w:rsid w:val="00E11F94"/>
    <w:rsid w:val="00E12696"/>
    <w:rsid w:val="00E1310D"/>
    <w:rsid w:val="00E13359"/>
    <w:rsid w:val="00E138BF"/>
    <w:rsid w:val="00E14EFA"/>
    <w:rsid w:val="00E151B9"/>
    <w:rsid w:val="00E158C4"/>
    <w:rsid w:val="00E15CC4"/>
    <w:rsid w:val="00E15DA3"/>
    <w:rsid w:val="00E161E6"/>
    <w:rsid w:val="00E167C9"/>
    <w:rsid w:val="00E1698C"/>
    <w:rsid w:val="00E16BDB"/>
    <w:rsid w:val="00E172BE"/>
    <w:rsid w:val="00E17CF7"/>
    <w:rsid w:val="00E205D6"/>
    <w:rsid w:val="00E209AB"/>
    <w:rsid w:val="00E21060"/>
    <w:rsid w:val="00E216EC"/>
    <w:rsid w:val="00E2189A"/>
    <w:rsid w:val="00E21A60"/>
    <w:rsid w:val="00E2267C"/>
    <w:rsid w:val="00E22B5A"/>
    <w:rsid w:val="00E22B68"/>
    <w:rsid w:val="00E231C9"/>
    <w:rsid w:val="00E23EBF"/>
    <w:rsid w:val="00E23FD5"/>
    <w:rsid w:val="00E24669"/>
    <w:rsid w:val="00E24A70"/>
    <w:rsid w:val="00E24C48"/>
    <w:rsid w:val="00E24EE4"/>
    <w:rsid w:val="00E25981"/>
    <w:rsid w:val="00E26056"/>
    <w:rsid w:val="00E26141"/>
    <w:rsid w:val="00E266F5"/>
    <w:rsid w:val="00E2673E"/>
    <w:rsid w:val="00E26E4F"/>
    <w:rsid w:val="00E270D3"/>
    <w:rsid w:val="00E27FC7"/>
    <w:rsid w:val="00E3050B"/>
    <w:rsid w:val="00E30700"/>
    <w:rsid w:val="00E30BFD"/>
    <w:rsid w:val="00E31115"/>
    <w:rsid w:val="00E31360"/>
    <w:rsid w:val="00E31D28"/>
    <w:rsid w:val="00E32425"/>
    <w:rsid w:val="00E3252C"/>
    <w:rsid w:val="00E325FF"/>
    <w:rsid w:val="00E32CB8"/>
    <w:rsid w:val="00E32F67"/>
    <w:rsid w:val="00E3440F"/>
    <w:rsid w:val="00E34F3A"/>
    <w:rsid w:val="00E35F99"/>
    <w:rsid w:val="00E35F9A"/>
    <w:rsid w:val="00E3637F"/>
    <w:rsid w:val="00E364B6"/>
    <w:rsid w:val="00E36723"/>
    <w:rsid w:val="00E369D4"/>
    <w:rsid w:val="00E370F8"/>
    <w:rsid w:val="00E3713C"/>
    <w:rsid w:val="00E37362"/>
    <w:rsid w:val="00E3767B"/>
    <w:rsid w:val="00E37E1C"/>
    <w:rsid w:val="00E40079"/>
    <w:rsid w:val="00E40126"/>
    <w:rsid w:val="00E4013B"/>
    <w:rsid w:val="00E40C85"/>
    <w:rsid w:val="00E40CBF"/>
    <w:rsid w:val="00E40E7D"/>
    <w:rsid w:val="00E40EE4"/>
    <w:rsid w:val="00E413C6"/>
    <w:rsid w:val="00E41F9E"/>
    <w:rsid w:val="00E420D5"/>
    <w:rsid w:val="00E42517"/>
    <w:rsid w:val="00E42948"/>
    <w:rsid w:val="00E42D55"/>
    <w:rsid w:val="00E42FFE"/>
    <w:rsid w:val="00E4316E"/>
    <w:rsid w:val="00E435AB"/>
    <w:rsid w:val="00E44275"/>
    <w:rsid w:val="00E44705"/>
    <w:rsid w:val="00E44777"/>
    <w:rsid w:val="00E44F67"/>
    <w:rsid w:val="00E4535F"/>
    <w:rsid w:val="00E455E3"/>
    <w:rsid w:val="00E466BC"/>
    <w:rsid w:val="00E4686A"/>
    <w:rsid w:val="00E46889"/>
    <w:rsid w:val="00E479FD"/>
    <w:rsid w:val="00E47A76"/>
    <w:rsid w:val="00E504D6"/>
    <w:rsid w:val="00E50B6F"/>
    <w:rsid w:val="00E50EBE"/>
    <w:rsid w:val="00E50F69"/>
    <w:rsid w:val="00E50FC6"/>
    <w:rsid w:val="00E52372"/>
    <w:rsid w:val="00E5272D"/>
    <w:rsid w:val="00E52786"/>
    <w:rsid w:val="00E52F05"/>
    <w:rsid w:val="00E540CA"/>
    <w:rsid w:val="00E54C83"/>
    <w:rsid w:val="00E54CF5"/>
    <w:rsid w:val="00E55460"/>
    <w:rsid w:val="00E55B28"/>
    <w:rsid w:val="00E56020"/>
    <w:rsid w:val="00E56D4A"/>
    <w:rsid w:val="00E57119"/>
    <w:rsid w:val="00E5719E"/>
    <w:rsid w:val="00E57D7B"/>
    <w:rsid w:val="00E57F4B"/>
    <w:rsid w:val="00E600A6"/>
    <w:rsid w:val="00E602E5"/>
    <w:rsid w:val="00E602F8"/>
    <w:rsid w:val="00E6085B"/>
    <w:rsid w:val="00E60FBA"/>
    <w:rsid w:val="00E60FBF"/>
    <w:rsid w:val="00E611AE"/>
    <w:rsid w:val="00E616F9"/>
    <w:rsid w:val="00E61852"/>
    <w:rsid w:val="00E61A0C"/>
    <w:rsid w:val="00E61D22"/>
    <w:rsid w:val="00E61D96"/>
    <w:rsid w:val="00E61E4B"/>
    <w:rsid w:val="00E61E57"/>
    <w:rsid w:val="00E62F6E"/>
    <w:rsid w:val="00E63DA2"/>
    <w:rsid w:val="00E641E8"/>
    <w:rsid w:val="00E642AF"/>
    <w:rsid w:val="00E644C6"/>
    <w:rsid w:val="00E64555"/>
    <w:rsid w:val="00E64595"/>
    <w:rsid w:val="00E646BB"/>
    <w:rsid w:val="00E64B83"/>
    <w:rsid w:val="00E64D24"/>
    <w:rsid w:val="00E64FAF"/>
    <w:rsid w:val="00E653A6"/>
    <w:rsid w:val="00E6549C"/>
    <w:rsid w:val="00E654B9"/>
    <w:rsid w:val="00E6589D"/>
    <w:rsid w:val="00E65E8C"/>
    <w:rsid w:val="00E665E7"/>
    <w:rsid w:val="00E6661C"/>
    <w:rsid w:val="00E66C96"/>
    <w:rsid w:val="00E70130"/>
    <w:rsid w:val="00E706DE"/>
    <w:rsid w:val="00E71063"/>
    <w:rsid w:val="00E715FC"/>
    <w:rsid w:val="00E7199E"/>
    <w:rsid w:val="00E71A45"/>
    <w:rsid w:val="00E71C21"/>
    <w:rsid w:val="00E727A4"/>
    <w:rsid w:val="00E72F23"/>
    <w:rsid w:val="00E730FC"/>
    <w:rsid w:val="00E73481"/>
    <w:rsid w:val="00E7385A"/>
    <w:rsid w:val="00E7391F"/>
    <w:rsid w:val="00E73CE6"/>
    <w:rsid w:val="00E74780"/>
    <w:rsid w:val="00E74956"/>
    <w:rsid w:val="00E74F7C"/>
    <w:rsid w:val="00E75061"/>
    <w:rsid w:val="00E752F7"/>
    <w:rsid w:val="00E75848"/>
    <w:rsid w:val="00E759D4"/>
    <w:rsid w:val="00E76A3C"/>
    <w:rsid w:val="00E76F9B"/>
    <w:rsid w:val="00E771FC"/>
    <w:rsid w:val="00E773E5"/>
    <w:rsid w:val="00E77BDD"/>
    <w:rsid w:val="00E806D3"/>
    <w:rsid w:val="00E8104D"/>
    <w:rsid w:val="00E81C34"/>
    <w:rsid w:val="00E81D83"/>
    <w:rsid w:val="00E821BB"/>
    <w:rsid w:val="00E822E9"/>
    <w:rsid w:val="00E826FE"/>
    <w:rsid w:val="00E8275E"/>
    <w:rsid w:val="00E827AF"/>
    <w:rsid w:val="00E82DE9"/>
    <w:rsid w:val="00E83253"/>
    <w:rsid w:val="00E83714"/>
    <w:rsid w:val="00E83831"/>
    <w:rsid w:val="00E84218"/>
    <w:rsid w:val="00E844AB"/>
    <w:rsid w:val="00E84C97"/>
    <w:rsid w:val="00E85005"/>
    <w:rsid w:val="00E85296"/>
    <w:rsid w:val="00E8533B"/>
    <w:rsid w:val="00E85E4E"/>
    <w:rsid w:val="00E86327"/>
    <w:rsid w:val="00E86DF0"/>
    <w:rsid w:val="00E87BD2"/>
    <w:rsid w:val="00E87CDC"/>
    <w:rsid w:val="00E90B33"/>
    <w:rsid w:val="00E910E4"/>
    <w:rsid w:val="00E911E0"/>
    <w:rsid w:val="00E9163E"/>
    <w:rsid w:val="00E92115"/>
    <w:rsid w:val="00E93407"/>
    <w:rsid w:val="00E940A8"/>
    <w:rsid w:val="00E94307"/>
    <w:rsid w:val="00E947E8"/>
    <w:rsid w:val="00E94B0F"/>
    <w:rsid w:val="00E9503F"/>
    <w:rsid w:val="00E956F3"/>
    <w:rsid w:val="00E95AA7"/>
    <w:rsid w:val="00E9662E"/>
    <w:rsid w:val="00E96E68"/>
    <w:rsid w:val="00E97013"/>
    <w:rsid w:val="00E97EA1"/>
    <w:rsid w:val="00EA0BBE"/>
    <w:rsid w:val="00EA137C"/>
    <w:rsid w:val="00EA18B9"/>
    <w:rsid w:val="00EA1FBC"/>
    <w:rsid w:val="00EA20A1"/>
    <w:rsid w:val="00EA212B"/>
    <w:rsid w:val="00EA24B5"/>
    <w:rsid w:val="00EA2AAA"/>
    <w:rsid w:val="00EA2D44"/>
    <w:rsid w:val="00EA3A1D"/>
    <w:rsid w:val="00EA3CD7"/>
    <w:rsid w:val="00EA3D04"/>
    <w:rsid w:val="00EA3E2D"/>
    <w:rsid w:val="00EA4010"/>
    <w:rsid w:val="00EA429D"/>
    <w:rsid w:val="00EA43AF"/>
    <w:rsid w:val="00EA4676"/>
    <w:rsid w:val="00EA47FB"/>
    <w:rsid w:val="00EA4C7C"/>
    <w:rsid w:val="00EA4D4C"/>
    <w:rsid w:val="00EA554F"/>
    <w:rsid w:val="00EA6250"/>
    <w:rsid w:val="00EA66A4"/>
    <w:rsid w:val="00EA6819"/>
    <w:rsid w:val="00EA6A1E"/>
    <w:rsid w:val="00EA6B3E"/>
    <w:rsid w:val="00EA6CAC"/>
    <w:rsid w:val="00EA75BD"/>
    <w:rsid w:val="00EA7C47"/>
    <w:rsid w:val="00EB0F0F"/>
    <w:rsid w:val="00EB12A5"/>
    <w:rsid w:val="00EB1587"/>
    <w:rsid w:val="00EB24D8"/>
    <w:rsid w:val="00EB277B"/>
    <w:rsid w:val="00EB2F20"/>
    <w:rsid w:val="00EB2F35"/>
    <w:rsid w:val="00EB31DB"/>
    <w:rsid w:val="00EB3422"/>
    <w:rsid w:val="00EB3A31"/>
    <w:rsid w:val="00EB4EAF"/>
    <w:rsid w:val="00EB4EE8"/>
    <w:rsid w:val="00EB548E"/>
    <w:rsid w:val="00EB5C41"/>
    <w:rsid w:val="00EB5F5A"/>
    <w:rsid w:val="00EB656C"/>
    <w:rsid w:val="00EB657E"/>
    <w:rsid w:val="00EB695E"/>
    <w:rsid w:val="00EB69D1"/>
    <w:rsid w:val="00EB69D4"/>
    <w:rsid w:val="00EB6FE9"/>
    <w:rsid w:val="00EB72FF"/>
    <w:rsid w:val="00EB753E"/>
    <w:rsid w:val="00EB756F"/>
    <w:rsid w:val="00EB79C8"/>
    <w:rsid w:val="00EB7E3F"/>
    <w:rsid w:val="00EB7E78"/>
    <w:rsid w:val="00EC0301"/>
    <w:rsid w:val="00EC08B5"/>
    <w:rsid w:val="00EC09C6"/>
    <w:rsid w:val="00EC0EA5"/>
    <w:rsid w:val="00EC1056"/>
    <w:rsid w:val="00EC1470"/>
    <w:rsid w:val="00EC222E"/>
    <w:rsid w:val="00EC252B"/>
    <w:rsid w:val="00EC2716"/>
    <w:rsid w:val="00EC2DBB"/>
    <w:rsid w:val="00EC358E"/>
    <w:rsid w:val="00EC3FD2"/>
    <w:rsid w:val="00EC4095"/>
    <w:rsid w:val="00EC43B5"/>
    <w:rsid w:val="00EC4537"/>
    <w:rsid w:val="00EC472C"/>
    <w:rsid w:val="00EC4960"/>
    <w:rsid w:val="00EC4AE3"/>
    <w:rsid w:val="00EC5414"/>
    <w:rsid w:val="00EC54EE"/>
    <w:rsid w:val="00EC59B2"/>
    <w:rsid w:val="00EC5A3B"/>
    <w:rsid w:val="00EC6424"/>
    <w:rsid w:val="00EC786C"/>
    <w:rsid w:val="00EC7ADD"/>
    <w:rsid w:val="00EC7C26"/>
    <w:rsid w:val="00ED015C"/>
    <w:rsid w:val="00ED04FE"/>
    <w:rsid w:val="00ED0DD0"/>
    <w:rsid w:val="00ED1122"/>
    <w:rsid w:val="00ED15A5"/>
    <w:rsid w:val="00ED1989"/>
    <w:rsid w:val="00ED28F2"/>
    <w:rsid w:val="00ED2F3E"/>
    <w:rsid w:val="00ED3145"/>
    <w:rsid w:val="00ED3309"/>
    <w:rsid w:val="00ED356E"/>
    <w:rsid w:val="00ED3792"/>
    <w:rsid w:val="00ED3BDA"/>
    <w:rsid w:val="00ED5A3B"/>
    <w:rsid w:val="00ED5C30"/>
    <w:rsid w:val="00ED5E02"/>
    <w:rsid w:val="00ED5E19"/>
    <w:rsid w:val="00ED5EED"/>
    <w:rsid w:val="00ED612A"/>
    <w:rsid w:val="00ED6B1C"/>
    <w:rsid w:val="00ED6CF7"/>
    <w:rsid w:val="00ED6DC6"/>
    <w:rsid w:val="00ED6F33"/>
    <w:rsid w:val="00ED70A5"/>
    <w:rsid w:val="00ED7716"/>
    <w:rsid w:val="00ED7737"/>
    <w:rsid w:val="00ED7747"/>
    <w:rsid w:val="00ED7CF4"/>
    <w:rsid w:val="00ED7FA2"/>
    <w:rsid w:val="00EE0786"/>
    <w:rsid w:val="00EE1B0E"/>
    <w:rsid w:val="00EE22FB"/>
    <w:rsid w:val="00EE2407"/>
    <w:rsid w:val="00EE26AE"/>
    <w:rsid w:val="00EE29C8"/>
    <w:rsid w:val="00EE2A54"/>
    <w:rsid w:val="00EE2FC2"/>
    <w:rsid w:val="00EE3B6B"/>
    <w:rsid w:val="00EE3B88"/>
    <w:rsid w:val="00EE4B11"/>
    <w:rsid w:val="00EE4B75"/>
    <w:rsid w:val="00EE4D34"/>
    <w:rsid w:val="00EE4DBD"/>
    <w:rsid w:val="00EE6AC6"/>
    <w:rsid w:val="00EE6E26"/>
    <w:rsid w:val="00EE784F"/>
    <w:rsid w:val="00EE7A1D"/>
    <w:rsid w:val="00EE7BA1"/>
    <w:rsid w:val="00EE7DBD"/>
    <w:rsid w:val="00EF0500"/>
    <w:rsid w:val="00EF0808"/>
    <w:rsid w:val="00EF1002"/>
    <w:rsid w:val="00EF143F"/>
    <w:rsid w:val="00EF1986"/>
    <w:rsid w:val="00EF1D3B"/>
    <w:rsid w:val="00EF23D8"/>
    <w:rsid w:val="00EF2A5A"/>
    <w:rsid w:val="00EF2A87"/>
    <w:rsid w:val="00EF388E"/>
    <w:rsid w:val="00EF3A74"/>
    <w:rsid w:val="00EF3AE9"/>
    <w:rsid w:val="00EF3EA5"/>
    <w:rsid w:val="00EF49FB"/>
    <w:rsid w:val="00EF4EDE"/>
    <w:rsid w:val="00EF55D6"/>
    <w:rsid w:val="00EF644D"/>
    <w:rsid w:val="00EF6BAD"/>
    <w:rsid w:val="00EF6D29"/>
    <w:rsid w:val="00EF6E79"/>
    <w:rsid w:val="00EF7138"/>
    <w:rsid w:val="00EF7E0B"/>
    <w:rsid w:val="00F006AD"/>
    <w:rsid w:val="00F00881"/>
    <w:rsid w:val="00F00917"/>
    <w:rsid w:val="00F00B65"/>
    <w:rsid w:val="00F010BB"/>
    <w:rsid w:val="00F012C1"/>
    <w:rsid w:val="00F0175F"/>
    <w:rsid w:val="00F01A41"/>
    <w:rsid w:val="00F03280"/>
    <w:rsid w:val="00F0362A"/>
    <w:rsid w:val="00F0385C"/>
    <w:rsid w:val="00F03ABE"/>
    <w:rsid w:val="00F03B69"/>
    <w:rsid w:val="00F04345"/>
    <w:rsid w:val="00F04605"/>
    <w:rsid w:val="00F047A4"/>
    <w:rsid w:val="00F04F52"/>
    <w:rsid w:val="00F0502D"/>
    <w:rsid w:val="00F0510F"/>
    <w:rsid w:val="00F0563F"/>
    <w:rsid w:val="00F05973"/>
    <w:rsid w:val="00F064EF"/>
    <w:rsid w:val="00F06558"/>
    <w:rsid w:val="00F06F42"/>
    <w:rsid w:val="00F07122"/>
    <w:rsid w:val="00F074C9"/>
    <w:rsid w:val="00F07588"/>
    <w:rsid w:val="00F07C82"/>
    <w:rsid w:val="00F07F5E"/>
    <w:rsid w:val="00F1001E"/>
    <w:rsid w:val="00F1055F"/>
    <w:rsid w:val="00F106BB"/>
    <w:rsid w:val="00F10BA6"/>
    <w:rsid w:val="00F11027"/>
    <w:rsid w:val="00F111BA"/>
    <w:rsid w:val="00F1155D"/>
    <w:rsid w:val="00F116DD"/>
    <w:rsid w:val="00F11D9F"/>
    <w:rsid w:val="00F11E31"/>
    <w:rsid w:val="00F12C53"/>
    <w:rsid w:val="00F1360C"/>
    <w:rsid w:val="00F13858"/>
    <w:rsid w:val="00F13AA1"/>
    <w:rsid w:val="00F13F2A"/>
    <w:rsid w:val="00F14D9E"/>
    <w:rsid w:val="00F15097"/>
    <w:rsid w:val="00F153F8"/>
    <w:rsid w:val="00F15671"/>
    <w:rsid w:val="00F1643E"/>
    <w:rsid w:val="00F16695"/>
    <w:rsid w:val="00F17159"/>
    <w:rsid w:val="00F1733F"/>
    <w:rsid w:val="00F202E3"/>
    <w:rsid w:val="00F20C6E"/>
    <w:rsid w:val="00F20D6C"/>
    <w:rsid w:val="00F20F03"/>
    <w:rsid w:val="00F211AF"/>
    <w:rsid w:val="00F2255F"/>
    <w:rsid w:val="00F225CF"/>
    <w:rsid w:val="00F22712"/>
    <w:rsid w:val="00F2279B"/>
    <w:rsid w:val="00F22882"/>
    <w:rsid w:val="00F22985"/>
    <w:rsid w:val="00F22AEF"/>
    <w:rsid w:val="00F22F7A"/>
    <w:rsid w:val="00F2343C"/>
    <w:rsid w:val="00F23CFC"/>
    <w:rsid w:val="00F24076"/>
    <w:rsid w:val="00F240CB"/>
    <w:rsid w:val="00F2492F"/>
    <w:rsid w:val="00F2500D"/>
    <w:rsid w:val="00F251B2"/>
    <w:rsid w:val="00F2596D"/>
    <w:rsid w:val="00F25CAA"/>
    <w:rsid w:val="00F26AD6"/>
    <w:rsid w:val="00F2711C"/>
    <w:rsid w:val="00F2720E"/>
    <w:rsid w:val="00F27253"/>
    <w:rsid w:val="00F277E8"/>
    <w:rsid w:val="00F27B04"/>
    <w:rsid w:val="00F27E3D"/>
    <w:rsid w:val="00F27EB2"/>
    <w:rsid w:val="00F301D0"/>
    <w:rsid w:val="00F3069F"/>
    <w:rsid w:val="00F30A02"/>
    <w:rsid w:val="00F30C3F"/>
    <w:rsid w:val="00F30C60"/>
    <w:rsid w:val="00F30F38"/>
    <w:rsid w:val="00F311D1"/>
    <w:rsid w:val="00F3158A"/>
    <w:rsid w:val="00F318DB"/>
    <w:rsid w:val="00F3199C"/>
    <w:rsid w:val="00F31F7D"/>
    <w:rsid w:val="00F31FB9"/>
    <w:rsid w:val="00F325E1"/>
    <w:rsid w:val="00F326F6"/>
    <w:rsid w:val="00F32AFF"/>
    <w:rsid w:val="00F33504"/>
    <w:rsid w:val="00F33550"/>
    <w:rsid w:val="00F33825"/>
    <w:rsid w:val="00F33A8B"/>
    <w:rsid w:val="00F33D3B"/>
    <w:rsid w:val="00F34A96"/>
    <w:rsid w:val="00F34EBF"/>
    <w:rsid w:val="00F34F05"/>
    <w:rsid w:val="00F356D5"/>
    <w:rsid w:val="00F359A5"/>
    <w:rsid w:val="00F361AE"/>
    <w:rsid w:val="00F36240"/>
    <w:rsid w:val="00F363EB"/>
    <w:rsid w:val="00F365DE"/>
    <w:rsid w:val="00F366DA"/>
    <w:rsid w:val="00F367CF"/>
    <w:rsid w:val="00F36D37"/>
    <w:rsid w:val="00F3719A"/>
    <w:rsid w:val="00F379BF"/>
    <w:rsid w:val="00F37EA7"/>
    <w:rsid w:val="00F405C7"/>
    <w:rsid w:val="00F40805"/>
    <w:rsid w:val="00F40B93"/>
    <w:rsid w:val="00F40C5E"/>
    <w:rsid w:val="00F40E3E"/>
    <w:rsid w:val="00F4163A"/>
    <w:rsid w:val="00F41873"/>
    <w:rsid w:val="00F419C3"/>
    <w:rsid w:val="00F41D91"/>
    <w:rsid w:val="00F41E2B"/>
    <w:rsid w:val="00F421DA"/>
    <w:rsid w:val="00F423BE"/>
    <w:rsid w:val="00F424A5"/>
    <w:rsid w:val="00F425EF"/>
    <w:rsid w:val="00F428AC"/>
    <w:rsid w:val="00F42AAD"/>
    <w:rsid w:val="00F42EE3"/>
    <w:rsid w:val="00F43149"/>
    <w:rsid w:val="00F43660"/>
    <w:rsid w:val="00F43B91"/>
    <w:rsid w:val="00F44542"/>
    <w:rsid w:val="00F4482A"/>
    <w:rsid w:val="00F448DD"/>
    <w:rsid w:val="00F44D6A"/>
    <w:rsid w:val="00F44DB8"/>
    <w:rsid w:val="00F455C0"/>
    <w:rsid w:val="00F45760"/>
    <w:rsid w:val="00F45925"/>
    <w:rsid w:val="00F46BA6"/>
    <w:rsid w:val="00F46C97"/>
    <w:rsid w:val="00F4703E"/>
    <w:rsid w:val="00F4775F"/>
    <w:rsid w:val="00F47824"/>
    <w:rsid w:val="00F503E6"/>
    <w:rsid w:val="00F50427"/>
    <w:rsid w:val="00F50781"/>
    <w:rsid w:val="00F50CA3"/>
    <w:rsid w:val="00F517ED"/>
    <w:rsid w:val="00F51F3F"/>
    <w:rsid w:val="00F528B5"/>
    <w:rsid w:val="00F528E7"/>
    <w:rsid w:val="00F52C8A"/>
    <w:rsid w:val="00F5352D"/>
    <w:rsid w:val="00F53615"/>
    <w:rsid w:val="00F53A91"/>
    <w:rsid w:val="00F53E99"/>
    <w:rsid w:val="00F5441F"/>
    <w:rsid w:val="00F54466"/>
    <w:rsid w:val="00F54783"/>
    <w:rsid w:val="00F547E9"/>
    <w:rsid w:val="00F5494E"/>
    <w:rsid w:val="00F54ABE"/>
    <w:rsid w:val="00F55385"/>
    <w:rsid w:val="00F55804"/>
    <w:rsid w:val="00F559D4"/>
    <w:rsid w:val="00F55F1A"/>
    <w:rsid w:val="00F56310"/>
    <w:rsid w:val="00F5684C"/>
    <w:rsid w:val="00F570D4"/>
    <w:rsid w:val="00F57210"/>
    <w:rsid w:val="00F577FC"/>
    <w:rsid w:val="00F602F0"/>
    <w:rsid w:val="00F60C90"/>
    <w:rsid w:val="00F619EE"/>
    <w:rsid w:val="00F61CF5"/>
    <w:rsid w:val="00F61FF9"/>
    <w:rsid w:val="00F62069"/>
    <w:rsid w:val="00F62159"/>
    <w:rsid w:val="00F62A7C"/>
    <w:rsid w:val="00F62A7D"/>
    <w:rsid w:val="00F62B93"/>
    <w:rsid w:val="00F633CC"/>
    <w:rsid w:val="00F633E5"/>
    <w:rsid w:val="00F63C89"/>
    <w:rsid w:val="00F647EC"/>
    <w:rsid w:val="00F64FAB"/>
    <w:rsid w:val="00F65AC8"/>
    <w:rsid w:val="00F65CEA"/>
    <w:rsid w:val="00F65DE8"/>
    <w:rsid w:val="00F65F15"/>
    <w:rsid w:val="00F66443"/>
    <w:rsid w:val="00F675EA"/>
    <w:rsid w:val="00F677EF"/>
    <w:rsid w:val="00F7073B"/>
    <w:rsid w:val="00F7074A"/>
    <w:rsid w:val="00F70809"/>
    <w:rsid w:val="00F70AD6"/>
    <w:rsid w:val="00F71687"/>
    <w:rsid w:val="00F71708"/>
    <w:rsid w:val="00F717C1"/>
    <w:rsid w:val="00F71AAE"/>
    <w:rsid w:val="00F71CDB"/>
    <w:rsid w:val="00F725D3"/>
    <w:rsid w:val="00F7281E"/>
    <w:rsid w:val="00F72C1A"/>
    <w:rsid w:val="00F72C3D"/>
    <w:rsid w:val="00F737AB"/>
    <w:rsid w:val="00F74216"/>
    <w:rsid w:val="00F74F0F"/>
    <w:rsid w:val="00F75731"/>
    <w:rsid w:val="00F75841"/>
    <w:rsid w:val="00F76333"/>
    <w:rsid w:val="00F7705A"/>
    <w:rsid w:val="00F770C6"/>
    <w:rsid w:val="00F77100"/>
    <w:rsid w:val="00F80550"/>
    <w:rsid w:val="00F8090F"/>
    <w:rsid w:val="00F80A8A"/>
    <w:rsid w:val="00F8119A"/>
    <w:rsid w:val="00F8139A"/>
    <w:rsid w:val="00F82AAE"/>
    <w:rsid w:val="00F834BE"/>
    <w:rsid w:val="00F838A9"/>
    <w:rsid w:val="00F849E3"/>
    <w:rsid w:val="00F84B4E"/>
    <w:rsid w:val="00F84C44"/>
    <w:rsid w:val="00F84F30"/>
    <w:rsid w:val="00F851B7"/>
    <w:rsid w:val="00F8566C"/>
    <w:rsid w:val="00F858D4"/>
    <w:rsid w:val="00F85C65"/>
    <w:rsid w:val="00F860EB"/>
    <w:rsid w:val="00F868B6"/>
    <w:rsid w:val="00F86968"/>
    <w:rsid w:val="00F86E42"/>
    <w:rsid w:val="00F876E6"/>
    <w:rsid w:val="00F87825"/>
    <w:rsid w:val="00F87838"/>
    <w:rsid w:val="00F879E8"/>
    <w:rsid w:val="00F87FCE"/>
    <w:rsid w:val="00F9008B"/>
    <w:rsid w:val="00F909C7"/>
    <w:rsid w:val="00F91669"/>
    <w:rsid w:val="00F916DE"/>
    <w:rsid w:val="00F9184F"/>
    <w:rsid w:val="00F91943"/>
    <w:rsid w:val="00F9231D"/>
    <w:rsid w:val="00F9261F"/>
    <w:rsid w:val="00F92A66"/>
    <w:rsid w:val="00F931CF"/>
    <w:rsid w:val="00F93A31"/>
    <w:rsid w:val="00F93D6E"/>
    <w:rsid w:val="00F9423D"/>
    <w:rsid w:val="00F942C2"/>
    <w:rsid w:val="00F9449D"/>
    <w:rsid w:val="00F94609"/>
    <w:rsid w:val="00F94F16"/>
    <w:rsid w:val="00F95182"/>
    <w:rsid w:val="00F957D2"/>
    <w:rsid w:val="00F95D94"/>
    <w:rsid w:val="00F95E86"/>
    <w:rsid w:val="00F96F86"/>
    <w:rsid w:val="00FA02B8"/>
    <w:rsid w:val="00FA07CB"/>
    <w:rsid w:val="00FA0980"/>
    <w:rsid w:val="00FA1028"/>
    <w:rsid w:val="00FA157E"/>
    <w:rsid w:val="00FA181F"/>
    <w:rsid w:val="00FA1C1F"/>
    <w:rsid w:val="00FA1E82"/>
    <w:rsid w:val="00FA2137"/>
    <w:rsid w:val="00FA272D"/>
    <w:rsid w:val="00FA338D"/>
    <w:rsid w:val="00FA34A2"/>
    <w:rsid w:val="00FA3742"/>
    <w:rsid w:val="00FA3837"/>
    <w:rsid w:val="00FA39FC"/>
    <w:rsid w:val="00FA44B4"/>
    <w:rsid w:val="00FA4538"/>
    <w:rsid w:val="00FA4998"/>
    <w:rsid w:val="00FA4DC2"/>
    <w:rsid w:val="00FA57D1"/>
    <w:rsid w:val="00FA67E3"/>
    <w:rsid w:val="00FA6A25"/>
    <w:rsid w:val="00FA7157"/>
    <w:rsid w:val="00FA73A6"/>
    <w:rsid w:val="00FA7698"/>
    <w:rsid w:val="00FA78C2"/>
    <w:rsid w:val="00FA7A2D"/>
    <w:rsid w:val="00FA7B4F"/>
    <w:rsid w:val="00FA7DA6"/>
    <w:rsid w:val="00FB02F8"/>
    <w:rsid w:val="00FB06E7"/>
    <w:rsid w:val="00FB0822"/>
    <w:rsid w:val="00FB0AC3"/>
    <w:rsid w:val="00FB1093"/>
    <w:rsid w:val="00FB13A0"/>
    <w:rsid w:val="00FB2142"/>
    <w:rsid w:val="00FB227E"/>
    <w:rsid w:val="00FB25DA"/>
    <w:rsid w:val="00FB267D"/>
    <w:rsid w:val="00FB2A18"/>
    <w:rsid w:val="00FB2BF4"/>
    <w:rsid w:val="00FB2C8D"/>
    <w:rsid w:val="00FB2DC6"/>
    <w:rsid w:val="00FB4267"/>
    <w:rsid w:val="00FB4CEE"/>
    <w:rsid w:val="00FB59D4"/>
    <w:rsid w:val="00FB5E81"/>
    <w:rsid w:val="00FB6E6C"/>
    <w:rsid w:val="00FB714B"/>
    <w:rsid w:val="00FB71B0"/>
    <w:rsid w:val="00FB7ABA"/>
    <w:rsid w:val="00FB7C21"/>
    <w:rsid w:val="00FB7C46"/>
    <w:rsid w:val="00FC04E0"/>
    <w:rsid w:val="00FC06CE"/>
    <w:rsid w:val="00FC0D98"/>
    <w:rsid w:val="00FC0E2F"/>
    <w:rsid w:val="00FC1042"/>
    <w:rsid w:val="00FC11C6"/>
    <w:rsid w:val="00FC17D8"/>
    <w:rsid w:val="00FC279A"/>
    <w:rsid w:val="00FC324D"/>
    <w:rsid w:val="00FC39A1"/>
    <w:rsid w:val="00FC3BC3"/>
    <w:rsid w:val="00FC3E47"/>
    <w:rsid w:val="00FC3F47"/>
    <w:rsid w:val="00FC4B53"/>
    <w:rsid w:val="00FC4BAE"/>
    <w:rsid w:val="00FC4F75"/>
    <w:rsid w:val="00FC5160"/>
    <w:rsid w:val="00FC5A36"/>
    <w:rsid w:val="00FC6353"/>
    <w:rsid w:val="00FC6638"/>
    <w:rsid w:val="00FC69CF"/>
    <w:rsid w:val="00FC6B0B"/>
    <w:rsid w:val="00FC713B"/>
    <w:rsid w:val="00FC7862"/>
    <w:rsid w:val="00FC79D5"/>
    <w:rsid w:val="00FC7B35"/>
    <w:rsid w:val="00FC7B53"/>
    <w:rsid w:val="00FC7BD8"/>
    <w:rsid w:val="00FD0177"/>
    <w:rsid w:val="00FD0AE7"/>
    <w:rsid w:val="00FD0B44"/>
    <w:rsid w:val="00FD0F70"/>
    <w:rsid w:val="00FD2315"/>
    <w:rsid w:val="00FD29A7"/>
    <w:rsid w:val="00FD2B15"/>
    <w:rsid w:val="00FD3092"/>
    <w:rsid w:val="00FD3D48"/>
    <w:rsid w:val="00FD3FAB"/>
    <w:rsid w:val="00FD412E"/>
    <w:rsid w:val="00FD420F"/>
    <w:rsid w:val="00FD4339"/>
    <w:rsid w:val="00FD4B0C"/>
    <w:rsid w:val="00FD4E61"/>
    <w:rsid w:val="00FD4F2F"/>
    <w:rsid w:val="00FD51F7"/>
    <w:rsid w:val="00FD5258"/>
    <w:rsid w:val="00FD52E0"/>
    <w:rsid w:val="00FD5602"/>
    <w:rsid w:val="00FD5661"/>
    <w:rsid w:val="00FD5A2A"/>
    <w:rsid w:val="00FD5AE2"/>
    <w:rsid w:val="00FD5F79"/>
    <w:rsid w:val="00FD6163"/>
    <w:rsid w:val="00FD62B4"/>
    <w:rsid w:val="00FD69BB"/>
    <w:rsid w:val="00FD7142"/>
    <w:rsid w:val="00FD750F"/>
    <w:rsid w:val="00FE011C"/>
    <w:rsid w:val="00FE0458"/>
    <w:rsid w:val="00FE07DC"/>
    <w:rsid w:val="00FE08FB"/>
    <w:rsid w:val="00FE1116"/>
    <w:rsid w:val="00FE2075"/>
    <w:rsid w:val="00FE2080"/>
    <w:rsid w:val="00FE2112"/>
    <w:rsid w:val="00FE27B9"/>
    <w:rsid w:val="00FE2E37"/>
    <w:rsid w:val="00FE30EF"/>
    <w:rsid w:val="00FE3640"/>
    <w:rsid w:val="00FE36B6"/>
    <w:rsid w:val="00FE3780"/>
    <w:rsid w:val="00FE3954"/>
    <w:rsid w:val="00FE3AE5"/>
    <w:rsid w:val="00FE3CF7"/>
    <w:rsid w:val="00FE4071"/>
    <w:rsid w:val="00FE42E3"/>
    <w:rsid w:val="00FE4ECD"/>
    <w:rsid w:val="00FE528C"/>
    <w:rsid w:val="00FE52B7"/>
    <w:rsid w:val="00FE53C5"/>
    <w:rsid w:val="00FE56A8"/>
    <w:rsid w:val="00FE5807"/>
    <w:rsid w:val="00FE5C39"/>
    <w:rsid w:val="00FE5C57"/>
    <w:rsid w:val="00FE624E"/>
    <w:rsid w:val="00FE6415"/>
    <w:rsid w:val="00FE69E7"/>
    <w:rsid w:val="00FE6BB8"/>
    <w:rsid w:val="00FE6E76"/>
    <w:rsid w:val="00FF027B"/>
    <w:rsid w:val="00FF1174"/>
    <w:rsid w:val="00FF165A"/>
    <w:rsid w:val="00FF1B72"/>
    <w:rsid w:val="00FF1CF1"/>
    <w:rsid w:val="00FF1F4C"/>
    <w:rsid w:val="00FF1F90"/>
    <w:rsid w:val="00FF228F"/>
    <w:rsid w:val="00FF35DC"/>
    <w:rsid w:val="00FF3A6A"/>
    <w:rsid w:val="00FF3C7A"/>
    <w:rsid w:val="00FF3E09"/>
    <w:rsid w:val="00FF411C"/>
    <w:rsid w:val="00FF44C6"/>
    <w:rsid w:val="00FF4B2E"/>
    <w:rsid w:val="00FF4E4B"/>
    <w:rsid w:val="00FF4E4E"/>
    <w:rsid w:val="00FF5049"/>
    <w:rsid w:val="00FF519C"/>
    <w:rsid w:val="00FF5D1F"/>
    <w:rsid w:val="00FF5F95"/>
    <w:rsid w:val="00FF6126"/>
    <w:rsid w:val="00FF61F5"/>
    <w:rsid w:val="00FF62AA"/>
    <w:rsid w:val="00FF64D7"/>
    <w:rsid w:val="00FF678B"/>
    <w:rsid w:val="00FF6B6C"/>
    <w:rsid w:val="00FF6DD4"/>
    <w:rsid w:val="015679D0"/>
    <w:rsid w:val="015E0F15"/>
    <w:rsid w:val="01663906"/>
    <w:rsid w:val="01714ECB"/>
    <w:rsid w:val="01901FEF"/>
    <w:rsid w:val="01AA2C10"/>
    <w:rsid w:val="01EA0118"/>
    <w:rsid w:val="031C5497"/>
    <w:rsid w:val="037738D8"/>
    <w:rsid w:val="03BE7AAE"/>
    <w:rsid w:val="04272850"/>
    <w:rsid w:val="047B2AA8"/>
    <w:rsid w:val="059D3E1F"/>
    <w:rsid w:val="05DD2483"/>
    <w:rsid w:val="06197F7E"/>
    <w:rsid w:val="062804A3"/>
    <w:rsid w:val="068955F4"/>
    <w:rsid w:val="075A5BC6"/>
    <w:rsid w:val="075F0692"/>
    <w:rsid w:val="07935DE5"/>
    <w:rsid w:val="07DB054A"/>
    <w:rsid w:val="081172DC"/>
    <w:rsid w:val="083D2AF4"/>
    <w:rsid w:val="08F53B23"/>
    <w:rsid w:val="09136949"/>
    <w:rsid w:val="099A1CEE"/>
    <w:rsid w:val="0A053C89"/>
    <w:rsid w:val="0A070656"/>
    <w:rsid w:val="0A913ED8"/>
    <w:rsid w:val="0AF63027"/>
    <w:rsid w:val="0B1D5DDF"/>
    <w:rsid w:val="0B2034AD"/>
    <w:rsid w:val="0B24171E"/>
    <w:rsid w:val="0B5C3243"/>
    <w:rsid w:val="0B5E59FA"/>
    <w:rsid w:val="0BAD59A4"/>
    <w:rsid w:val="0C274EF7"/>
    <w:rsid w:val="0C2769AC"/>
    <w:rsid w:val="0C357211"/>
    <w:rsid w:val="0C466B45"/>
    <w:rsid w:val="0D584403"/>
    <w:rsid w:val="0DE30DD2"/>
    <w:rsid w:val="0DEE7765"/>
    <w:rsid w:val="0E652045"/>
    <w:rsid w:val="0E9733D5"/>
    <w:rsid w:val="0F204221"/>
    <w:rsid w:val="0F264FE7"/>
    <w:rsid w:val="0F2B5D1F"/>
    <w:rsid w:val="0F6053AB"/>
    <w:rsid w:val="0F6B0AEA"/>
    <w:rsid w:val="0FC05C73"/>
    <w:rsid w:val="0FD22848"/>
    <w:rsid w:val="0FE4691A"/>
    <w:rsid w:val="10050347"/>
    <w:rsid w:val="101C0A97"/>
    <w:rsid w:val="1025513D"/>
    <w:rsid w:val="10505595"/>
    <w:rsid w:val="10674DD9"/>
    <w:rsid w:val="10C55FD8"/>
    <w:rsid w:val="10D10E21"/>
    <w:rsid w:val="10F67974"/>
    <w:rsid w:val="114948FA"/>
    <w:rsid w:val="125E66E4"/>
    <w:rsid w:val="12685FCD"/>
    <w:rsid w:val="128D191E"/>
    <w:rsid w:val="12D6271E"/>
    <w:rsid w:val="12E75B94"/>
    <w:rsid w:val="12F1320A"/>
    <w:rsid w:val="12FC5EFD"/>
    <w:rsid w:val="13223BB5"/>
    <w:rsid w:val="137A4FAD"/>
    <w:rsid w:val="13810255"/>
    <w:rsid w:val="13EF0479"/>
    <w:rsid w:val="13F053CF"/>
    <w:rsid w:val="145324A8"/>
    <w:rsid w:val="14695EAA"/>
    <w:rsid w:val="146F2C7A"/>
    <w:rsid w:val="149E4992"/>
    <w:rsid w:val="14D573D3"/>
    <w:rsid w:val="15052FEC"/>
    <w:rsid w:val="15B50326"/>
    <w:rsid w:val="16170BEA"/>
    <w:rsid w:val="16962C7A"/>
    <w:rsid w:val="16A3101D"/>
    <w:rsid w:val="16CC05DF"/>
    <w:rsid w:val="170E5D26"/>
    <w:rsid w:val="17457E73"/>
    <w:rsid w:val="17694B12"/>
    <w:rsid w:val="17BD71FF"/>
    <w:rsid w:val="17BE59A2"/>
    <w:rsid w:val="18185849"/>
    <w:rsid w:val="185D40D7"/>
    <w:rsid w:val="187C781B"/>
    <w:rsid w:val="188F4B6C"/>
    <w:rsid w:val="199B6134"/>
    <w:rsid w:val="19DC60C6"/>
    <w:rsid w:val="1A442DE9"/>
    <w:rsid w:val="1A5F749D"/>
    <w:rsid w:val="1AFB2E83"/>
    <w:rsid w:val="1B3121E7"/>
    <w:rsid w:val="1BC305D3"/>
    <w:rsid w:val="1BF679EE"/>
    <w:rsid w:val="1C113C73"/>
    <w:rsid w:val="1C805068"/>
    <w:rsid w:val="1CD55680"/>
    <w:rsid w:val="1D15446A"/>
    <w:rsid w:val="1D321E13"/>
    <w:rsid w:val="1DA717A4"/>
    <w:rsid w:val="1DBC044E"/>
    <w:rsid w:val="1DE70498"/>
    <w:rsid w:val="1E48118A"/>
    <w:rsid w:val="1F4849CA"/>
    <w:rsid w:val="1F4A101C"/>
    <w:rsid w:val="1F873477"/>
    <w:rsid w:val="1FE25B40"/>
    <w:rsid w:val="20511755"/>
    <w:rsid w:val="206B48C0"/>
    <w:rsid w:val="20A9456C"/>
    <w:rsid w:val="20B00655"/>
    <w:rsid w:val="21455F84"/>
    <w:rsid w:val="214C6F2C"/>
    <w:rsid w:val="21717341"/>
    <w:rsid w:val="217D4EBE"/>
    <w:rsid w:val="21B10E65"/>
    <w:rsid w:val="22447D7B"/>
    <w:rsid w:val="22552F34"/>
    <w:rsid w:val="229E0B15"/>
    <w:rsid w:val="23A23767"/>
    <w:rsid w:val="23EF1892"/>
    <w:rsid w:val="24131ED5"/>
    <w:rsid w:val="24977600"/>
    <w:rsid w:val="24B831E2"/>
    <w:rsid w:val="24BB79C6"/>
    <w:rsid w:val="24D74796"/>
    <w:rsid w:val="250B120F"/>
    <w:rsid w:val="25114D14"/>
    <w:rsid w:val="252C7220"/>
    <w:rsid w:val="256C2A6E"/>
    <w:rsid w:val="25B95C6E"/>
    <w:rsid w:val="25F67E5A"/>
    <w:rsid w:val="26152EB1"/>
    <w:rsid w:val="26813D30"/>
    <w:rsid w:val="26A50560"/>
    <w:rsid w:val="270F55EE"/>
    <w:rsid w:val="271F52BE"/>
    <w:rsid w:val="272F1A96"/>
    <w:rsid w:val="27366201"/>
    <w:rsid w:val="27651E6B"/>
    <w:rsid w:val="276E48E5"/>
    <w:rsid w:val="27E6663B"/>
    <w:rsid w:val="27F52753"/>
    <w:rsid w:val="28072F22"/>
    <w:rsid w:val="284035F2"/>
    <w:rsid w:val="28553930"/>
    <w:rsid w:val="28740FEB"/>
    <w:rsid w:val="292F5620"/>
    <w:rsid w:val="2973086F"/>
    <w:rsid w:val="297B0CF7"/>
    <w:rsid w:val="2AFB6D6E"/>
    <w:rsid w:val="2B1725AC"/>
    <w:rsid w:val="2B1B3318"/>
    <w:rsid w:val="2B2C7062"/>
    <w:rsid w:val="2B822DA1"/>
    <w:rsid w:val="2BE13903"/>
    <w:rsid w:val="2C3D6859"/>
    <w:rsid w:val="2C6E08C2"/>
    <w:rsid w:val="2CF6154A"/>
    <w:rsid w:val="2DE7275E"/>
    <w:rsid w:val="2E422F06"/>
    <w:rsid w:val="2E606C4B"/>
    <w:rsid w:val="2EA133AF"/>
    <w:rsid w:val="2EDD2DD9"/>
    <w:rsid w:val="2F723467"/>
    <w:rsid w:val="2F922149"/>
    <w:rsid w:val="2FB51A54"/>
    <w:rsid w:val="2FDF18A9"/>
    <w:rsid w:val="30002B75"/>
    <w:rsid w:val="30405CA0"/>
    <w:rsid w:val="306835D0"/>
    <w:rsid w:val="30F62005"/>
    <w:rsid w:val="313E0DD8"/>
    <w:rsid w:val="316B2857"/>
    <w:rsid w:val="31920EFC"/>
    <w:rsid w:val="32153FA4"/>
    <w:rsid w:val="32A0292F"/>
    <w:rsid w:val="32A02B99"/>
    <w:rsid w:val="330F2BAA"/>
    <w:rsid w:val="331D4DE9"/>
    <w:rsid w:val="335450AB"/>
    <w:rsid w:val="337D5F7B"/>
    <w:rsid w:val="33D414D0"/>
    <w:rsid w:val="33DA5945"/>
    <w:rsid w:val="3411197D"/>
    <w:rsid w:val="34603E67"/>
    <w:rsid w:val="34AD26E7"/>
    <w:rsid w:val="35CD358A"/>
    <w:rsid w:val="35E23642"/>
    <w:rsid w:val="36143FD0"/>
    <w:rsid w:val="36232DB0"/>
    <w:rsid w:val="362C0BAC"/>
    <w:rsid w:val="371F01BC"/>
    <w:rsid w:val="37457E46"/>
    <w:rsid w:val="3800212F"/>
    <w:rsid w:val="385F359C"/>
    <w:rsid w:val="388123BB"/>
    <w:rsid w:val="399135F9"/>
    <w:rsid w:val="3A5C0EAC"/>
    <w:rsid w:val="3AE807D4"/>
    <w:rsid w:val="3B223262"/>
    <w:rsid w:val="3B266C42"/>
    <w:rsid w:val="3BA80B19"/>
    <w:rsid w:val="3BE848C4"/>
    <w:rsid w:val="3C3B15E2"/>
    <w:rsid w:val="3C4240EC"/>
    <w:rsid w:val="3CE13968"/>
    <w:rsid w:val="3CFA1BCE"/>
    <w:rsid w:val="3D711B40"/>
    <w:rsid w:val="3DC348D3"/>
    <w:rsid w:val="3DF0138D"/>
    <w:rsid w:val="3E4958A3"/>
    <w:rsid w:val="3E800AA6"/>
    <w:rsid w:val="3EF4725F"/>
    <w:rsid w:val="3F3A1FEB"/>
    <w:rsid w:val="3F6A726A"/>
    <w:rsid w:val="3FFE59B2"/>
    <w:rsid w:val="40607E01"/>
    <w:rsid w:val="40A67243"/>
    <w:rsid w:val="40DE52C8"/>
    <w:rsid w:val="40F313EE"/>
    <w:rsid w:val="413744B8"/>
    <w:rsid w:val="41A24C3E"/>
    <w:rsid w:val="41F11750"/>
    <w:rsid w:val="42156510"/>
    <w:rsid w:val="42253D73"/>
    <w:rsid w:val="422C7D41"/>
    <w:rsid w:val="4249440B"/>
    <w:rsid w:val="42F827BF"/>
    <w:rsid w:val="445A645C"/>
    <w:rsid w:val="44BA6EFA"/>
    <w:rsid w:val="44E4602A"/>
    <w:rsid w:val="45247770"/>
    <w:rsid w:val="45765517"/>
    <w:rsid w:val="457D6C89"/>
    <w:rsid w:val="457F700E"/>
    <w:rsid w:val="45B80788"/>
    <w:rsid w:val="46181376"/>
    <w:rsid w:val="462C6FB5"/>
    <w:rsid w:val="467D1647"/>
    <w:rsid w:val="47596E9F"/>
    <w:rsid w:val="476450CC"/>
    <w:rsid w:val="477115AD"/>
    <w:rsid w:val="47D400B1"/>
    <w:rsid w:val="47E9061B"/>
    <w:rsid w:val="484245C7"/>
    <w:rsid w:val="48883BF9"/>
    <w:rsid w:val="488D7CFE"/>
    <w:rsid w:val="48F16866"/>
    <w:rsid w:val="491133E8"/>
    <w:rsid w:val="491F7C74"/>
    <w:rsid w:val="49243639"/>
    <w:rsid w:val="49323FD7"/>
    <w:rsid w:val="495B5688"/>
    <w:rsid w:val="499C44AC"/>
    <w:rsid w:val="4A0C54A3"/>
    <w:rsid w:val="4AD04C95"/>
    <w:rsid w:val="4AF31F03"/>
    <w:rsid w:val="4B0C6E2E"/>
    <w:rsid w:val="4B5C05B0"/>
    <w:rsid w:val="4B8F3EAC"/>
    <w:rsid w:val="4B916D2A"/>
    <w:rsid w:val="4BEC220B"/>
    <w:rsid w:val="4C12409B"/>
    <w:rsid w:val="4D5601C7"/>
    <w:rsid w:val="4D774028"/>
    <w:rsid w:val="4D84279B"/>
    <w:rsid w:val="4D9B24A2"/>
    <w:rsid w:val="4DBE5CAD"/>
    <w:rsid w:val="4E34228F"/>
    <w:rsid w:val="4EAC5711"/>
    <w:rsid w:val="4EBA57DB"/>
    <w:rsid w:val="4ED432AF"/>
    <w:rsid w:val="4F4E6379"/>
    <w:rsid w:val="4FA87897"/>
    <w:rsid w:val="506C74F2"/>
    <w:rsid w:val="50AC1958"/>
    <w:rsid w:val="51B2004B"/>
    <w:rsid w:val="51BD7D15"/>
    <w:rsid w:val="522D3402"/>
    <w:rsid w:val="52BF6E89"/>
    <w:rsid w:val="539834E7"/>
    <w:rsid w:val="53B80B00"/>
    <w:rsid w:val="53D67233"/>
    <w:rsid w:val="54556AEA"/>
    <w:rsid w:val="55131A57"/>
    <w:rsid w:val="552D3875"/>
    <w:rsid w:val="55622629"/>
    <w:rsid w:val="557958E4"/>
    <w:rsid w:val="55A0213D"/>
    <w:rsid w:val="55CE626F"/>
    <w:rsid w:val="563B4C0B"/>
    <w:rsid w:val="56642ECD"/>
    <w:rsid w:val="56821842"/>
    <w:rsid w:val="568E4DA2"/>
    <w:rsid w:val="56AD1BD9"/>
    <w:rsid w:val="57593CE3"/>
    <w:rsid w:val="577707C0"/>
    <w:rsid w:val="577D71D5"/>
    <w:rsid w:val="57E44E66"/>
    <w:rsid w:val="580C3AB9"/>
    <w:rsid w:val="59D7652F"/>
    <w:rsid w:val="5A3A2DDD"/>
    <w:rsid w:val="5A8A233D"/>
    <w:rsid w:val="5ABB7A77"/>
    <w:rsid w:val="5ABD72ED"/>
    <w:rsid w:val="5B3031CA"/>
    <w:rsid w:val="5B637E94"/>
    <w:rsid w:val="5BD3526B"/>
    <w:rsid w:val="5BE62B50"/>
    <w:rsid w:val="5BF918A2"/>
    <w:rsid w:val="5C37020C"/>
    <w:rsid w:val="5C9155E0"/>
    <w:rsid w:val="5D4452E4"/>
    <w:rsid w:val="5D8D11F8"/>
    <w:rsid w:val="5DA25CF6"/>
    <w:rsid w:val="5DE10EE3"/>
    <w:rsid w:val="5E176F0D"/>
    <w:rsid w:val="5E41542D"/>
    <w:rsid w:val="5EAC049C"/>
    <w:rsid w:val="5FCB7293"/>
    <w:rsid w:val="5FE52F05"/>
    <w:rsid w:val="600452D7"/>
    <w:rsid w:val="60113A80"/>
    <w:rsid w:val="606478FC"/>
    <w:rsid w:val="60D14BE6"/>
    <w:rsid w:val="60FC6105"/>
    <w:rsid w:val="617B2CF6"/>
    <w:rsid w:val="617D751A"/>
    <w:rsid w:val="618038BB"/>
    <w:rsid w:val="618648DC"/>
    <w:rsid w:val="61FD5876"/>
    <w:rsid w:val="62093465"/>
    <w:rsid w:val="62315204"/>
    <w:rsid w:val="62487DE4"/>
    <w:rsid w:val="6279031E"/>
    <w:rsid w:val="62920206"/>
    <w:rsid w:val="62B8336A"/>
    <w:rsid w:val="630F7DF9"/>
    <w:rsid w:val="63BD2EF1"/>
    <w:rsid w:val="64337579"/>
    <w:rsid w:val="643A6F91"/>
    <w:rsid w:val="64441196"/>
    <w:rsid w:val="647C3D75"/>
    <w:rsid w:val="64D766B5"/>
    <w:rsid w:val="64DE058B"/>
    <w:rsid w:val="65077E41"/>
    <w:rsid w:val="65091B75"/>
    <w:rsid w:val="652A1A23"/>
    <w:rsid w:val="65717652"/>
    <w:rsid w:val="65A11F4C"/>
    <w:rsid w:val="65A67D23"/>
    <w:rsid w:val="65BC6440"/>
    <w:rsid w:val="65C36E7F"/>
    <w:rsid w:val="65D21A26"/>
    <w:rsid w:val="66247356"/>
    <w:rsid w:val="663033C6"/>
    <w:rsid w:val="663B7430"/>
    <w:rsid w:val="67204E8B"/>
    <w:rsid w:val="672A0BC3"/>
    <w:rsid w:val="67AF7FBD"/>
    <w:rsid w:val="67B339ED"/>
    <w:rsid w:val="68494705"/>
    <w:rsid w:val="687775B2"/>
    <w:rsid w:val="689E226F"/>
    <w:rsid w:val="69392B0D"/>
    <w:rsid w:val="697A2199"/>
    <w:rsid w:val="697D65C5"/>
    <w:rsid w:val="698971FC"/>
    <w:rsid w:val="6A1B14A7"/>
    <w:rsid w:val="6AD32BB4"/>
    <w:rsid w:val="6AE5012B"/>
    <w:rsid w:val="6AF40D47"/>
    <w:rsid w:val="6B241A17"/>
    <w:rsid w:val="6B5B0FEC"/>
    <w:rsid w:val="6B7636D8"/>
    <w:rsid w:val="6C156F89"/>
    <w:rsid w:val="6CAB5617"/>
    <w:rsid w:val="6D5C4201"/>
    <w:rsid w:val="6DF30B28"/>
    <w:rsid w:val="6E1148C4"/>
    <w:rsid w:val="6E647D53"/>
    <w:rsid w:val="6E713CCA"/>
    <w:rsid w:val="6E81596A"/>
    <w:rsid w:val="6E914282"/>
    <w:rsid w:val="6E9C0F6F"/>
    <w:rsid w:val="6F0E4EC3"/>
    <w:rsid w:val="6FC91DAA"/>
    <w:rsid w:val="6FCB013A"/>
    <w:rsid w:val="70557737"/>
    <w:rsid w:val="71AD7318"/>
    <w:rsid w:val="71B22CD9"/>
    <w:rsid w:val="71B95A25"/>
    <w:rsid w:val="71C37A53"/>
    <w:rsid w:val="71EA5EF0"/>
    <w:rsid w:val="71F9581F"/>
    <w:rsid w:val="72290019"/>
    <w:rsid w:val="72553376"/>
    <w:rsid w:val="726A7902"/>
    <w:rsid w:val="726D70E7"/>
    <w:rsid w:val="72A63D8F"/>
    <w:rsid w:val="72BC394B"/>
    <w:rsid w:val="72D134E1"/>
    <w:rsid w:val="72E32735"/>
    <w:rsid w:val="739C06B8"/>
    <w:rsid w:val="7427011F"/>
    <w:rsid w:val="747D74F0"/>
    <w:rsid w:val="74837D23"/>
    <w:rsid w:val="74C31ECB"/>
    <w:rsid w:val="74E134D0"/>
    <w:rsid w:val="74F72F88"/>
    <w:rsid w:val="75905670"/>
    <w:rsid w:val="75942919"/>
    <w:rsid w:val="75A24683"/>
    <w:rsid w:val="75D60ECB"/>
    <w:rsid w:val="75DE10F7"/>
    <w:rsid w:val="75E55000"/>
    <w:rsid w:val="76870A83"/>
    <w:rsid w:val="772207AC"/>
    <w:rsid w:val="774249AA"/>
    <w:rsid w:val="77540081"/>
    <w:rsid w:val="77AA57AB"/>
    <w:rsid w:val="77F303E4"/>
    <w:rsid w:val="781A799C"/>
    <w:rsid w:val="78210A63"/>
    <w:rsid w:val="784B4C85"/>
    <w:rsid w:val="78B0681C"/>
    <w:rsid w:val="793623C2"/>
    <w:rsid w:val="79723BD2"/>
    <w:rsid w:val="79E537AF"/>
    <w:rsid w:val="7AAA36FF"/>
    <w:rsid w:val="7B1538AF"/>
    <w:rsid w:val="7C9C4E59"/>
    <w:rsid w:val="7CF16C56"/>
    <w:rsid w:val="7D1A5E32"/>
    <w:rsid w:val="7D327E74"/>
    <w:rsid w:val="7D391B9A"/>
    <w:rsid w:val="7D492F64"/>
    <w:rsid w:val="7DFA765C"/>
    <w:rsid w:val="7E2F1D63"/>
    <w:rsid w:val="7FEE4C4C"/>
    <w:rsid w:val="FD36D0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semiHidden="0"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semiHidden="0" w:name="footnote reference"/>
    <w:lsdException w:qFormat="1" w:uiPriority="0" w:semiHidden="0"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74"/>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75"/>
    <w:qFormat/>
    <w:uiPriority w:val="0"/>
    <w:pPr>
      <w:keepNext/>
      <w:keepLines/>
      <w:spacing w:before="260" w:after="260" w:line="416" w:lineRule="auto"/>
      <w:outlineLvl w:val="1"/>
    </w:pPr>
    <w:rPr>
      <w:rFonts w:ascii="Arial" w:hAnsi="Arial" w:eastAsia="黑体"/>
      <w:b/>
      <w:bCs/>
      <w:kern w:val="0"/>
      <w:sz w:val="32"/>
      <w:szCs w:val="32"/>
    </w:rPr>
  </w:style>
  <w:style w:type="paragraph" w:styleId="5">
    <w:name w:val="heading 3"/>
    <w:basedOn w:val="1"/>
    <w:next w:val="6"/>
    <w:link w:val="76"/>
    <w:qFormat/>
    <w:uiPriority w:val="0"/>
    <w:pPr>
      <w:keepNext/>
      <w:keepLines/>
      <w:spacing w:before="260" w:after="260" w:line="416" w:lineRule="auto"/>
      <w:outlineLvl w:val="2"/>
    </w:pPr>
    <w:rPr>
      <w:b/>
      <w:bCs/>
      <w:kern w:val="0"/>
      <w:sz w:val="32"/>
      <w:szCs w:val="32"/>
    </w:rPr>
  </w:style>
  <w:style w:type="paragraph" w:styleId="7">
    <w:name w:val="heading 4"/>
    <w:basedOn w:val="1"/>
    <w:next w:val="1"/>
    <w:qFormat/>
    <w:uiPriority w:val="0"/>
    <w:pPr>
      <w:keepNext/>
      <w:keepLines/>
      <w:widowControl/>
      <w:spacing w:before="120" w:after="120" w:line="360" w:lineRule="auto"/>
      <w:jc w:val="center"/>
      <w:outlineLvl w:val="3"/>
    </w:pPr>
    <w:rPr>
      <w:rFonts w:ascii="Arial" w:hAnsi="Arial" w:eastAsia="黑体"/>
      <w:kern w:val="0"/>
      <w:sz w:val="28"/>
      <w:szCs w:val="20"/>
    </w:rPr>
  </w:style>
  <w:style w:type="paragraph" w:styleId="8">
    <w:name w:val="heading 5"/>
    <w:basedOn w:val="1"/>
    <w:next w:val="6"/>
    <w:link w:val="77"/>
    <w:autoRedefine/>
    <w:qFormat/>
    <w:uiPriority w:val="0"/>
    <w:pPr>
      <w:keepNext/>
      <w:keepLines/>
      <w:numPr>
        <w:ilvl w:val="4"/>
        <w:numId w:val="1"/>
      </w:numPr>
      <w:spacing w:before="280" w:after="290" w:line="376" w:lineRule="auto"/>
      <w:outlineLvl w:val="4"/>
    </w:pPr>
    <w:rPr>
      <w:b/>
      <w:sz w:val="28"/>
    </w:rPr>
  </w:style>
  <w:style w:type="paragraph" w:styleId="9">
    <w:name w:val="heading 6"/>
    <w:basedOn w:val="1"/>
    <w:next w:val="6"/>
    <w:link w:val="78"/>
    <w:autoRedefine/>
    <w:qFormat/>
    <w:uiPriority w:val="0"/>
    <w:pPr>
      <w:keepNext/>
      <w:keepLines/>
      <w:numPr>
        <w:ilvl w:val="5"/>
        <w:numId w:val="1"/>
      </w:numPr>
      <w:spacing w:before="240" w:after="64" w:line="320" w:lineRule="auto"/>
      <w:outlineLvl w:val="5"/>
    </w:pPr>
    <w:rPr>
      <w:rFonts w:ascii="Arial" w:hAnsi="Arial" w:eastAsia="黑体"/>
      <w:b/>
      <w:sz w:val="24"/>
    </w:rPr>
  </w:style>
  <w:style w:type="paragraph" w:styleId="10">
    <w:name w:val="heading 7"/>
    <w:basedOn w:val="1"/>
    <w:next w:val="6"/>
    <w:link w:val="79"/>
    <w:qFormat/>
    <w:uiPriority w:val="0"/>
    <w:pPr>
      <w:keepNext/>
      <w:keepLines/>
      <w:numPr>
        <w:ilvl w:val="6"/>
        <w:numId w:val="1"/>
      </w:numPr>
      <w:spacing w:before="240" w:after="64" w:line="320" w:lineRule="auto"/>
      <w:outlineLvl w:val="6"/>
    </w:pPr>
    <w:rPr>
      <w:b/>
      <w:sz w:val="24"/>
    </w:rPr>
  </w:style>
  <w:style w:type="paragraph" w:styleId="11">
    <w:name w:val="heading 8"/>
    <w:basedOn w:val="1"/>
    <w:next w:val="6"/>
    <w:link w:val="80"/>
    <w:qFormat/>
    <w:uiPriority w:val="0"/>
    <w:pPr>
      <w:keepNext/>
      <w:keepLines/>
      <w:numPr>
        <w:ilvl w:val="7"/>
        <w:numId w:val="1"/>
      </w:numPr>
      <w:spacing w:before="240" w:after="64" w:line="320" w:lineRule="auto"/>
      <w:outlineLvl w:val="7"/>
    </w:pPr>
    <w:rPr>
      <w:rFonts w:ascii="Arial" w:hAnsi="Arial" w:eastAsia="黑体"/>
      <w:sz w:val="24"/>
    </w:rPr>
  </w:style>
  <w:style w:type="paragraph" w:styleId="12">
    <w:name w:val="heading 9"/>
    <w:basedOn w:val="1"/>
    <w:next w:val="6"/>
    <w:link w:val="81"/>
    <w:autoRedefine/>
    <w:qFormat/>
    <w:uiPriority w:val="0"/>
    <w:pPr>
      <w:keepNext/>
      <w:keepLines/>
      <w:numPr>
        <w:ilvl w:val="8"/>
        <w:numId w:val="1"/>
      </w:numPr>
      <w:spacing w:before="240" w:after="64" w:line="320" w:lineRule="auto"/>
      <w:outlineLvl w:val="8"/>
    </w:pPr>
    <w:rPr>
      <w:rFonts w:ascii="Arial" w:hAnsi="Arial" w:eastAsia="黑体"/>
    </w:rPr>
  </w:style>
  <w:style w:type="character" w:default="1" w:styleId="49">
    <w:name w:val="Default Paragraph Font"/>
    <w:semiHidden/>
    <w:unhideWhenUsed/>
    <w:qFormat/>
    <w:uiPriority w:val="1"/>
  </w:style>
  <w:style w:type="table" w:default="1" w:styleId="47">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85"/>
    <w:autoRedefine/>
    <w:qFormat/>
    <w:uiPriority w:val="99"/>
    <w:pPr>
      <w:spacing w:line="380" w:lineRule="exact"/>
    </w:pPr>
    <w:rPr>
      <w:kern w:val="0"/>
      <w:sz w:val="24"/>
    </w:rPr>
  </w:style>
  <w:style w:type="paragraph" w:styleId="6">
    <w:name w:val="Normal Indent"/>
    <w:basedOn w:val="1"/>
    <w:autoRedefine/>
    <w:qFormat/>
    <w:uiPriority w:val="0"/>
    <w:pPr>
      <w:ind w:firstLine="420"/>
    </w:pPr>
    <w:rPr>
      <w:szCs w:val="20"/>
    </w:rPr>
  </w:style>
  <w:style w:type="paragraph" w:styleId="13">
    <w:name w:val="toc 7"/>
    <w:basedOn w:val="1"/>
    <w:next w:val="1"/>
    <w:autoRedefine/>
    <w:unhideWhenUsed/>
    <w:qFormat/>
    <w:uiPriority w:val="39"/>
    <w:pPr>
      <w:ind w:left="2520" w:leftChars="1200"/>
    </w:pPr>
    <w:rPr>
      <w:rFonts w:ascii="Calibri" w:hAnsi="Calibri"/>
      <w:szCs w:val="22"/>
    </w:rPr>
  </w:style>
  <w:style w:type="paragraph" w:styleId="14">
    <w:name w:val="List Number"/>
    <w:basedOn w:val="1"/>
    <w:autoRedefine/>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15">
    <w:name w:val="caption"/>
    <w:basedOn w:val="1"/>
    <w:next w:val="1"/>
    <w:qFormat/>
    <w:uiPriority w:val="0"/>
    <w:pPr>
      <w:spacing w:before="152" w:after="160"/>
    </w:pPr>
    <w:rPr>
      <w:rFonts w:ascii="Arial" w:hAnsi="Arial" w:eastAsia="黑体" w:cs="Arial"/>
      <w:sz w:val="20"/>
      <w:szCs w:val="20"/>
    </w:rPr>
  </w:style>
  <w:style w:type="paragraph" w:styleId="16">
    <w:name w:val="Document Map"/>
    <w:basedOn w:val="1"/>
    <w:link w:val="82"/>
    <w:autoRedefine/>
    <w:unhideWhenUsed/>
    <w:qFormat/>
    <w:uiPriority w:val="0"/>
    <w:pPr>
      <w:shd w:val="clear" w:color="auto" w:fill="000080"/>
    </w:pPr>
    <w:rPr>
      <w:rFonts w:hint="eastAsia" w:ascii="宋体" w:hAnsi="宋体"/>
      <w:kern w:val="0"/>
      <w:sz w:val="20"/>
      <w:szCs w:val="20"/>
    </w:rPr>
  </w:style>
  <w:style w:type="paragraph" w:styleId="17">
    <w:name w:val="annotation text"/>
    <w:basedOn w:val="1"/>
    <w:link w:val="83"/>
    <w:autoRedefine/>
    <w:unhideWhenUsed/>
    <w:qFormat/>
    <w:uiPriority w:val="0"/>
    <w:pPr>
      <w:jc w:val="left"/>
    </w:pPr>
  </w:style>
  <w:style w:type="paragraph" w:styleId="18">
    <w:name w:val="Body Text 3"/>
    <w:basedOn w:val="1"/>
    <w:link w:val="84"/>
    <w:autoRedefine/>
    <w:qFormat/>
    <w:uiPriority w:val="0"/>
    <w:pPr>
      <w:spacing w:line="500" w:lineRule="exact"/>
    </w:pPr>
    <w:rPr>
      <w:b/>
      <w:bCs/>
      <w:kern w:val="0"/>
      <w:sz w:val="24"/>
    </w:rPr>
  </w:style>
  <w:style w:type="paragraph" w:styleId="19">
    <w:name w:val="Body Text Indent"/>
    <w:basedOn w:val="1"/>
    <w:link w:val="86"/>
    <w:qFormat/>
    <w:uiPriority w:val="0"/>
    <w:pPr>
      <w:ind w:firstLine="830" w:firstLineChars="352"/>
    </w:pPr>
    <w:rPr>
      <w:rFonts w:ascii="仿宋_GB2312" w:eastAsia="仿宋_GB2312"/>
      <w:kern w:val="0"/>
      <w:sz w:val="32"/>
      <w:szCs w:val="20"/>
    </w:rPr>
  </w:style>
  <w:style w:type="paragraph" w:styleId="20">
    <w:name w:val="List Number 3"/>
    <w:basedOn w:val="1"/>
    <w:autoRedefine/>
    <w:qFormat/>
    <w:uiPriority w:val="0"/>
    <w:pPr>
      <w:numPr>
        <w:ilvl w:val="0"/>
        <w:numId w:val="2"/>
      </w:numPr>
    </w:pPr>
  </w:style>
  <w:style w:type="paragraph" w:styleId="21">
    <w:name w:val="List 2"/>
    <w:basedOn w:val="1"/>
    <w:autoRedefine/>
    <w:qFormat/>
    <w:uiPriority w:val="0"/>
    <w:pPr>
      <w:ind w:left="100" w:leftChars="200" w:hanging="200" w:hangingChars="200"/>
    </w:pPr>
    <w:rPr>
      <w:sz w:val="28"/>
    </w:rPr>
  </w:style>
  <w:style w:type="paragraph" w:styleId="22">
    <w:name w:val="toc 5"/>
    <w:basedOn w:val="1"/>
    <w:next w:val="1"/>
    <w:autoRedefine/>
    <w:unhideWhenUsed/>
    <w:qFormat/>
    <w:uiPriority w:val="39"/>
    <w:pPr>
      <w:ind w:left="1680" w:leftChars="800"/>
    </w:pPr>
    <w:rPr>
      <w:rFonts w:ascii="Calibri" w:hAnsi="Calibri"/>
      <w:szCs w:val="22"/>
    </w:rPr>
  </w:style>
  <w:style w:type="paragraph" w:styleId="23">
    <w:name w:val="toc 3"/>
    <w:basedOn w:val="1"/>
    <w:next w:val="1"/>
    <w:unhideWhenUsed/>
    <w:qFormat/>
    <w:uiPriority w:val="39"/>
    <w:pPr>
      <w:ind w:left="840" w:leftChars="400"/>
    </w:pPr>
    <w:rPr>
      <w:rFonts w:ascii="Calibri" w:hAnsi="Calibri"/>
      <w:szCs w:val="22"/>
    </w:rPr>
  </w:style>
  <w:style w:type="paragraph" w:styleId="24">
    <w:name w:val="Plain Text"/>
    <w:basedOn w:val="1"/>
    <w:link w:val="87"/>
    <w:autoRedefine/>
    <w:qFormat/>
    <w:uiPriority w:val="0"/>
    <w:rPr>
      <w:rFonts w:ascii="宋体" w:hAnsi="Courier New"/>
      <w:kern w:val="0"/>
      <w:sz w:val="20"/>
      <w:szCs w:val="21"/>
    </w:rPr>
  </w:style>
  <w:style w:type="paragraph" w:styleId="25">
    <w:name w:val="toc 8"/>
    <w:basedOn w:val="1"/>
    <w:next w:val="1"/>
    <w:autoRedefine/>
    <w:unhideWhenUsed/>
    <w:qFormat/>
    <w:uiPriority w:val="39"/>
    <w:pPr>
      <w:ind w:left="2940" w:leftChars="1400"/>
    </w:pPr>
    <w:rPr>
      <w:rFonts w:ascii="Calibri" w:hAnsi="Calibri"/>
      <w:szCs w:val="22"/>
    </w:rPr>
  </w:style>
  <w:style w:type="paragraph" w:styleId="26">
    <w:name w:val="Date"/>
    <w:basedOn w:val="1"/>
    <w:next w:val="1"/>
    <w:link w:val="88"/>
    <w:autoRedefine/>
    <w:qFormat/>
    <w:uiPriority w:val="0"/>
    <w:pPr>
      <w:ind w:left="100" w:leftChars="2500"/>
    </w:pPr>
    <w:rPr>
      <w:rFonts w:ascii="宋体" w:hAnsi="Courier New"/>
      <w:kern w:val="0"/>
      <w:sz w:val="20"/>
      <w:szCs w:val="21"/>
    </w:rPr>
  </w:style>
  <w:style w:type="paragraph" w:styleId="27">
    <w:name w:val="Body Text Indent 2"/>
    <w:basedOn w:val="1"/>
    <w:link w:val="89"/>
    <w:autoRedefine/>
    <w:qFormat/>
    <w:uiPriority w:val="0"/>
    <w:pPr>
      <w:ind w:firstLine="630"/>
    </w:pPr>
    <w:rPr>
      <w:kern w:val="0"/>
      <w:sz w:val="32"/>
      <w:szCs w:val="20"/>
    </w:rPr>
  </w:style>
  <w:style w:type="paragraph" w:styleId="28">
    <w:name w:val="endnote text"/>
    <w:basedOn w:val="1"/>
    <w:link w:val="90"/>
    <w:autoRedefine/>
    <w:unhideWhenUsed/>
    <w:qFormat/>
    <w:uiPriority w:val="99"/>
    <w:pPr>
      <w:snapToGrid w:val="0"/>
      <w:jc w:val="left"/>
    </w:pPr>
  </w:style>
  <w:style w:type="paragraph" w:styleId="29">
    <w:name w:val="Balloon Text"/>
    <w:basedOn w:val="1"/>
    <w:link w:val="91"/>
    <w:autoRedefine/>
    <w:semiHidden/>
    <w:qFormat/>
    <w:uiPriority w:val="0"/>
    <w:rPr>
      <w:kern w:val="0"/>
      <w:sz w:val="18"/>
      <w:szCs w:val="18"/>
    </w:rPr>
  </w:style>
  <w:style w:type="paragraph" w:styleId="30">
    <w:name w:val="footer"/>
    <w:basedOn w:val="1"/>
    <w:link w:val="92"/>
    <w:autoRedefine/>
    <w:unhideWhenUsed/>
    <w:qFormat/>
    <w:uiPriority w:val="99"/>
    <w:pPr>
      <w:tabs>
        <w:tab w:val="center" w:pos="4153"/>
        <w:tab w:val="right" w:pos="8306"/>
      </w:tabs>
      <w:snapToGrid w:val="0"/>
      <w:jc w:val="left"/>
    </w:pPr>
    <w:rPr>
      <w:kern w:val="0"/>
      <w:sz w:val="18"/>
      <w:szCs w:val="18"/>
    </w:rPr>
  </w:style>
  <w:style w:type="paragraph" w:styleId="31">
    <w:name w:val="header"/>
    <w:basedOn w:val="1"/>
    <w:link w:val="93"/>
    <w:unhideWhenUsed/>
    <w:qFormat/>
    <w:uiPriority w:val="99"/>
    <w:pPr>
      <w:pBdr>
        <w:bottom w:val="single" w:color="auto" w:sz="6" w:space="1"/>
      </w:pBdr>
      <w:tabs>
        <w:tab w:val="center" w:pos="0"/>
        <w:tab w:val="left" w:pos="8306"/>
      </w:tabs>
      <w:snapToGrid w:val="0"/>
      <w:jc w:val="center"/>
    </w:pPr>
    <w:rPr>
      <w:sz w:val="18"/>
      <w:szCs w:val="18"/>
    </w:rPr>
  </w:style>
  <w:style w:type="paragraph" w:styleId="32">
    <w:name w:val="toc 1"/>
    <w:basedOn w:val="1"/>
    <w:next w:val="1"/>
    <w:autoRedefine/>
    <w:qFormat/>
    <w:uiPriority w:val="39"/>
    <w:pPr>
      <w:tabs>
        <w:tab w:val="right" w:leader="dot" w:pos="8398"/>
      </w:tabs>
      <w:spacing w:before="120" w:after="120"/>
      <w:ind w:firstLine="240" w:firstLineChars="100"/>
      <w:jc w:val="left"/>
    </w:pPr>
    <w:rPr>
      <w:rFonts w:ascii="宋体" w:hAnsi="宋体"/>
      <w:b/>
      <w:bCs/>
      <w:caps/>
      <w:sz w:val="24"/>
    </w:rPr>
  </w:style>
  <w:style w:type="paragraph" w:styleId="33">
    <w:name w:val="toc 4"/>
    <w:basedOn w:val="1"/>
    <w:next w:val="1"/>
    <w:autoRedefine/>
    <w:unhideWhenUsed/>
    <w:qFormat/>
    <w:uiPriority w:val="39"/>
    <w:pPr>
      <w:ind w:left="1260" w:leftChars="600"/>
    </w:pPr>
    <w:rPr>
      <w:rFonts w:ascii="Calibri" w:hAnsi="Calibri"/>
      <w:szCs w:val="22"/>
    </w:rPr>
  </w:style>
  <w:style w:type="paragraph" w:styleId="34">
    <w:name w:val="List"/>
    <w:basedOn w:val="1"/>
    <w:autoRedefine/>
    <w:qFormat/>
    <w:uiPriority w:val="0"/>
    <w:pPr>
      <w:ind w:left="200" w:hanging="200" w:hangingChars="200"/>
    </w:pPr>
    <w:rPr>
      <w:sz w:val="28"/>
    </w:rPr>
  </w:style>
  <w:style w:type="paragraph" w:styleId="35">
    <w:name w:val="footnote text"/>
    <w:basedOn w:val="1"/>
    <w:link w:val="94"/>
    <w:unhideWhenUsed/>
    <w:qFormat/>
    <w:uiPriority w:val="99"/>
    <w:pPr>
      <w:snapToGrid w:val="0"/>
      <w:jc w:val="left"/>
    </w:pPr>
    <w:rPr>
      <w:sz w:val="18"/>
      <w:szCs w:val="18"/>
    </w:rPr>
  </w:style>
  <w:style w:type="paragraph" w:styleId="36">
    <w:name w:val="toc 6"/>
    <w:basedOn w:val="1"/>
    <w:next w:val="1"/>
    <w:unhideWhenUsed/>
    <w:qFormat/>
    <w:uiPriority w:val="39"/>
    <w:pPr>
      <w:ind w:left="2100" w:leftChars="1000"/>
    </w:pPr>
    <w:rPr>
      <w:rFonts w:ascii="Calibri" w:hAnsi="Calibri"/>
      <w:szCs w:val="22"/>
    </w:rPr>
  </w:style>
  <w:style w:type="paragraph" w:styleId="37">
    <w:name w:val="Body Text Indent 3"/>
    <w:basedOn w:val="1"/>
    <w:link w:val="95"/>
    <w:qFormat/>
    <w:uiPriority w:val="0"/>
    <w:pPr>
      <w:spacing w:after="120"/>
      <w:ind w:left="420" w:leftChars="200"/>
    </w:pPr>
    <w:rPr>
      <w:kern w:val="0"/>
      <w:sz w:val="16"/>
      <w:szCs w:val="16"/>
    </w:rPr>
  </w:style>
  <w:style w:type="paragraph" w:styleId="38">
    <w:name w:val="toc 2"/>
    <w:basedOn w:val="1"/>
    <w:next w:val="1"/>
    <w:autoRedefine/>
    <w:unhideWhenUsed/>
    <w:qFormat/>
    <w:uiPriority w:val="39"/>
    <w:pPr>
      <w:ind w:left="420" w:leftChars="200"/>
    </w:pPr>
  </w:style>
  <w:style w:type="paragraph" w:styleId="39">
    <w:name w:val="toc 9"/>
    <w:basedOn w:val="1"/>
    <w:next w:val="1"/>
    <w:autoRedefine/>
    <w:unhideWhenUsed/>
    <w:qFormat/>
    <w:uiPriority w:val="39"/>
    <w:pPr>
      <w:ind w:left="3360" w:leftChars="1600"/>
    </w:pPr>
    <w:rPr>
      <w:rFonts w:ascii="Calibri" w:hAnsi="Calibri"/>
      <w:szCs w:val="22"/>
    </w:rPr>
  </w:style>
  <w:style w:type="paragraph" w:styleId="40">
    <w:name w:val="Body Text 2"/>
    <w:basedOn w:val="1"/>
    <w:link w:val="96"/>
    <w:autoRedefine/>
    <w:qFormat/>
    <w:uiPriority w:val="0"/>
    <w:pPr>
      <w:spacing w:after="120" w:line="480" w:lineRule="auto"/>
    </w:pPr>
    <w:rPr>
      <w:kern w:val="0"/>
      <w:sz w:val="20"/>
    </w:rPr>
  </w:style>
  <w:style w:type="paragraph" w:styleId="41">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42">
    <w:name w:val="index 1"/>
    <w:basedOn w:val="1"/>
    <w:next w:val="1"/>
    <w:autoRedefine/>
    <w:semiHidden/>
    <w:qFormat/>
    <w:uiPriority w:val="0"/>
    <w:pPr>
      <w:spacing w:line="400" w:lineRule="exact"/>
      <w:ind w:firstLine="420" w:firstLineChars="200"/>
    </w:pPr>
    <w:rPr>
      <w:rFonts w:ascii="宋体" w:hAnsi="Courier New"/>
      <w:b/>
      <w:szCs w:val="20"/>
    </w:rPr>
  </w:style>
  <w:style w:type="paragraph" w:styleId="43">
    <w:name w:val="Title"/>
    <w:basedOn w:val="1"/>
    <w:next w:val="1"/>
    <w:link w:val="97"/>
    <w:autoRedefine/>
    <w:qFormat/>
    <w:uiPriority w:val="10"/>
    <w:pPr>
      <w:spacing w:before="240" w:after="60"/>
      <w:jc w:val="center"/>
      <w:outlineLvl w:val="0"/>
    </w:pPr>
    <w:rPr>
      <w:rFonts w:ascii="Cambria" w:hAnsi="Cambria"/>
      <w:b/>
      <w:bCs/>
      <w:sz w:val="32"/>
      <w:szCs w:val="32"/>
    </w:rPr>
  </w:style>
  <w:style w:type="paragraph" w:styleId="44">
    <w:name w:val="annotation subject"/>
    <w:basedOn w:val="17"/>
    <w:next w:val="17"/>
    <w:link w:val="98"/>
    <w:unhideWhenUsed/>
    <w:qFormat/>
    <w:uiPriority w:val="99"/>
    <w:rPr>
      <w:b/>
      <w:bCs/>
    </w:rPr>
  </w:style>
  <w:style w:type="paragraph" w:styleId="45">
    <w:name w:val="Body Text First Indent"/>
    <w:basedOn w:val="2"/>
    <w:next w:val="1"/>
    <w:autoRedefine/>
    <w:qFormat/>
    <w:uiPriority w:val="0"/>
    <w:pPr>
      <w:spacing w:after="120" w:line="240" w:lineRule="auto"/>
      <w:ind w:firstLine="420" w:firstLineChars="100"/>
    </w:pPr>
    <w:rPr>
      <w:sz w:val="21"/>
    </w:rPr>
  </w:style>
  <w:style w:type="paragraph" w:styleId="46">
    <w:name w:val="Body Text First Indent 2"/>
    <w:basedOn w:val="19"/>
    <w:next w:val="1"/>
    <w:qFormat/>
    <w:uiPriority w:val="0"/>
    <w:pPr>
      <w:spacing w:after="120"/>
      <w:ind w:left="420" w:leftChars="200" w:firstLine="420" w:firstLineChars="200"/>
    </w:pPr>
    <w:rPr>
      <w:szCs w:val="24"/>
    </w:rPr>
  </w:style>
  <w:style w:type="table" w:styleId="48">
    <w:name w:val="Table Grid"/>
    <w:basedOn w:val="4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0">
    <w:name w:val="endnote reference"/>
    <w:autoRedefine/>
    <w:unhideWhenUsed/>
    <w:qFormat/>
    <w:uiPriority w:val="99"/>
    <w:rPr>
      <w:vertAlign w:val="superscript"/>
    </w:rPr>
  </w:style>
  <w:style w:type="character" w:styleId="51">
    <w:name w:val="page number"/>
    <w:autoRedefine/>
    <w:qFormat/>
    <w:uiPriority w:val="0"/>
  </w:style>
  <w:style w:type="character" w:styleId="52">
    <w:name w:val="FollowedHyperlink"/>
    <w:autoRedefine/>
    <w:qFormat/>
    <w:uiPriority w:val="0"/>
    <w:rPr>
      <w:color w:val="000000"/>
      <w:u w:val="none"/>
    </w:rPr>
  </w:style>
  <w:style w:type="character" w:styleId="53">
    <w:name w:val="Hyperlink"/>
    <w:autoRedefine/>
    <w:qFormat/>
    <w:uiPriority w:val="99"/>
    <w:rPr>
      <w:color w:val="000000"/>
      <w:u w:val="none"/>
    </w:rPr>
  </w:style>
  <w:style w:type="character" w:styleId="54">
    <w:name w:val="annotation reference"/>
    <w:unhideWhenUsed/>
    <w:qFormat/>
    <w:uiPriority w:val="0"/>
    <w:rPr>
      <w:sz w:val="21"/>
      <w:szCs w:val="21"/>
    </w:rPr>
  </w:style>
  <w:style w:type="character" w:styleId="55">
    <w:name w:val="footnote reference"/>
    <w:autoRedefine/>
    <w:unhideWhenUsed/>
    <w:qFormat/>
    <w:uiPriority w:val="99"/>
    <w:rPr>
      <w:vertAlign w:val="superscript"/>
    </w:rPr>
  </w:style>
  <w:style w:type="paragraph" w:customStyle="1" w:styleId="56">
    <w:name w:val="Title1"/>
    <w:basedOn w:val="1"/>
    <w:next w:val="1"/>
    <w:autoRedefine/>
    <w:qFormat/>
    <w:uiPriority w:val="0"/>
    <w:pPr>
      <w:jc w:val="left"/>
      <w:outlineLvl w:val="0"/>
      <w:pPrChange w:id="0" w:author="长喜 韦" w:date="2024-05-30T15:52:00Z">
        <w:pPr>
          <w:widowControl w:val="0"/>
          <w:jc w:val="center"/>
          <w:outlineLvl w:val="0"/>
        </w:pPr>
      </w:pPrChange>
    </w:pPr>
    <w:rPr>
      <w:rFonts w:ascii="Calibri Light" w:hAnsi="Calibri Light" w:eastAsia="Arial Unicode MS"/>
      <w:b/>
      <w:rPrChange w:id="1" w:author="长喜 韦" w:date="2024-05-30T15:52:00Z">
        <w:rPr>
          <w:rFonts w:ascii="Calibri Light" w:hAnsi="Calibri Light" w:eastAsia="Arial Unicode MS"/>
          <w:b/>
          <w:kern w:val="2"/>
          <w:sz w:val="21"/>
          <w:szCs w:val="24"/>
          <w:lang w:val="en-US" w:eastAsia="zh-CN" w:bidi="ar-SA"/>
        </w:rPr>
      </w:rPrChange>
    </w:rPr>
  </w:style>
  <w:style w:type="paragraph" w:customStyle="1" w:styleId="57">
    <w:name w:val="无间隔1"/>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58">
    <w:name w:val="Char1"/>
    <w:basedOn w:val="1"/>
    <w:autoRedefine/>
    <w:qFormat/>
    <w:uiPriority w:val="0"/>
    <w:rPr>
      <w:szCs w:val="21"/>
    </w:rPr>
  </w:style>
  <w:style w:type="paragraph" w:customStyle="1" w:styleId="59">
    <w:name w:val="_Style 56"/>
    <w:basedOn w:val="1"/>
    <w:autoRedefine/>
    <w:qFormat/>
    <w:uiPriority w:val="34"/>
    <w:pPr>
      <w:ind w:firstLine="420" w:firstLineChars="200"/>
    </w:pPr>
  </w:style>
  <w:style w:type="paragraph" w:customStyle="1" w:styleId="60">
    <w:name w:val="样式 标题 2 + Times New Roman 四号 非加粗 段前: 5 磅 段后: 0 磅 行距: 固定值 20..."/>
    <w:basedOn w:val="4"/>
    <w:autoRedefine/>
    <w:qFormat/>
    <w:uiPriority w:val="0"/>
    <w:pPr>
      <w:spacing w:before="100" w:after="0" w:line="400" w:lineRule="exact"/>
    </w:pPr>
    <w:rPr>
      <w:rFonts w:ascii="Times New Roman" w:hAnsi="Times New Roman" w:cs="宋体"/>
      <w:b w:val="0"/>
      <w:bCs w:val="0"/>
      <w:sz w:val="28"/>
      <w:szCs w:val="20"/>
    </w:rPr>
  </w:style>
  <w:style w:type="paragraph" w:customStyle="1" w:styleId="61">
    <w:name w:val="默认段落字体 Para Char Char Char Char Char Char Char Char Char1 Char Char Char Char"/>
    <w:basedOn w:val="1"/>
    <w:qFormat/>
    <w:uiPriority w:val="0"/>
    <w:rPr>
      <w:rFonts w:ascii="Tahoma" w:hAnsi="Tahoma"/>
      <w:sz w:val="24"/>
      <w:szCs w:val="20"/>
    </w:rPr>
  </w:style>
  <w:style w:type="paragraph" w:customStyle="1" w:styleId="62">
    <w:name w:val="样式"/>
    <w:autoRedefine/>
    <w:qFormat/>
    <w:uiPriority w:val="0"/>
    <w:pPr>
      <w:widowControl w:val="0"/>
      <w:autoSpaceDE w:val="0"/>
      <w:autoSpaceDN w:val="0"/>
      <w:adjustRightInd w:val="0"/>
      <w:jc w:val="center"/>
    </w:pPr>
    <w:rPr>
      <w:rFonts w:ascii="宋体" w:hAnsi="宋体" w:eastAsia="宋体" w:cs="宋体"/>
      <w:sz w:val="24"/>
      <w:szCs w:val="24"/>
      <w:lang w:val="en-US" w:eastAsia="zh-CN" w:bidi="ar-SA"/>
    </w:rPr>
  </w:style>
  <w:style w:type="paragraph" w:customStyle="1" w:styleId="63">
    <w:name w:val="纯文本1"/>
    <w:basedOn w:val="1"/>
    <w:autoRedefine/>
    <w:qFormat/>
    <w:uiPriority w:val="0"/>
    <w:rPr>
      <w:rFonts w:ascii="宋体" w:hAnsi="Courier New" w:cs="Century"/>
      <w:szCs w:val="21"/>
    </w:rPr>
  </w:style>
  <w:style w:type="paragraph" w:customStyle="1" w:styleId="64">
    <w:name w:val="Table Paragraph"/>
    <w:basedOn w:val="1"/>
    <w:autoRedefine/>
    <w:qFormat/>
    <w:uiPriority w:val="1"/>
    <w:pPr>
      <w:jc w:val="left"/>
    </w:pPr>
    <w:rPr>
      <w:rFonts w:ascii="Calibri" w:hAnsi="Calibri"/>
      <w:kern w:val="0"/>
      <w:sz w:val="22"/>
      <w:szCs w:val="22"/>
      <w:lang w:eastAsia="en-US"/>
    </w:rPr>
  </w:style>
  <w:style w:type="paragraph" w:customStyle="1" w:styleId="65">
    <w:name w:val="表内文字"/>
    <w:basedOn w:val="1"/>
    <w:autoRedefine/>
    <w:qFormat/>
    <w:uiPriority w:val="0"/>
    <w:pPr>
      <w:snapToGrid w:val="0"/>
      <w:spacing w:before="50" w:after="50"/>
      <w:jc w:val="center"/>
    </w:pPr>
    <w:rPr>
      <w:rFonts w:ascii="仿宋_GB2312" w:hAnsi="宋体" w:eastAsia="仿宋_GB2312"/>
      <w:b/>
      <w:color w:val="000000"/>
      <w:sz w:val="32"/>
      <w:szCs w:val="32"/>
    </w:rPr>
  </w:style>
  <w:style w:type="paragraph" w:customStyle="1" w:styleId="66">
    <w:name w:val="表格"/>
    <w:basedOn w:val="1"/>
    <w:autoRedefine/>
    <w:qFormat/>
    <w:uiPriority w:val="0"/>
    <w:pPr>
      <w:spacing w:line="400" w:lineRule="exact"/>
    </w:pPr>
    <w:rPr>
      <w:sz w:val="24"/>
    </w:rPr>
  </w:style>
  <w:style w:type="paragraph" w:customStyle="1" w:styleId="67">
    <w:name w:val="样式 首行缩进:  2 字符"/>
    <w:basedOn w:val="1"/>
    <w:autoRedefine/>
    <w:qFormat/>
    <w:uiPriority w:val="0"/>
    <w:pPr>
      <w:spacing w:line="400" w:lineRule="exact"/>
      <w:ind w:firstLine="200" w:firstLineChars="200"/>
    </w:pPr>
    <w:rPr>
      <w:rFonts w:cs="宋体"/>
      <w:sz w:val="24"/>
    </w:rPr>
  </w:style>
  <w:style w:type="paragraph" w:customStyle="1" w:styleId="68">
    <w:name w:val="xl22"/>
    <w:basedOn w:val="1"/>
    <w:autoRedefine/>
    <w:qFormat/>
    <w:uiPriority w:val="0"/>
    <w:pPr>
      <w:widowControl/>
      <w:spacing w:before="100" w:beforeAutospacing="1" w:after="100" w:afterAutospacing="1"/>
      <w:jc w:val="left"/>
    </w:pPr>
    <w:rPr>
      <w:rFonts w:ascii="Arial Unicode MS" w:hAnsi="Arial Unicode MS" w:eastAsia="Arial Unicode MS" w:cs="Arial Unicode MS"/>
      <w:kern w:val="0"/>
      <w:sz w:val="20"/>
      <w:szCs w:val="20"/>
    </w:rPr>
  </w:style>
  <w:style w:type="paragraph" w:customStyle="1" w:styleId="69">
    <w:name w:val="样式 标题 3 + (中文) 黑体 小四 非加粗 段前: 7.8 磅 段后: 0 磅 行距: 固定值 20 磅"/>
    <w:basedOn w:val="5"/>
    <w:autoRedefine/>
    <w:qFormat/>
    <w:uiPriority w:val="0"/>
    <w:pPr>
      <w:spacing w:before="0" w:after="0" w:line="400" w:lineRule="exact"/>
    </w:pPr>
    <w:rPr>
      <w:rFonts w:eastAsia="黑体" w:cs="宋体"/>
      <w:b w:val="0"/>
      <w:bCs w:val="0"/>
      <w:sz w:val="24"/>
      <w:szCs w:val="20"/>
    </w:rPr>
  </w:style>
  <w:style w:type="paragraph" w:customStyle="1" w:styleId="70">
    <w:name w:val="正文首行缩进两字符"/>
    <w:basedOn w:val="1"/>
    <w:autoRedefine/>
    <w:qFormat/>
    <w:uiPriority w:val="0"/>
    <w:pPr>
      <w:spacing w:line="360" w:lineRule="auto"/>
      <w:ind w:firstLine="200" w:firstLineChars="200"/>
    </w:pPr>
  </w:style>
  <w:style w:type="paragraph" w:customStyle="1" w:styleId="71">
    <w:name w:val="正文段"/>
    <w:basedOn w:val="1"/>
    <w:autoRedefine/>
    <w:qFormat/>
    <w:uiPriority w:val="0"/>
    <w:pPr>
      <w:widowControl/>
      <w:snapToGrid w:val="0"/>
      <w:spacing w:after="50" w:afterLines="50"/>
      <w:ind w:firstLine="200" w:firstLineChars="200"/>
    </w:pPr>
    <w:rPr>
      <w:kern w:val="0"/>
      <w:sz w:val="24"/>
      <w:szCs w:val="20"/>
    </w:rPr>
  </w:style>
  <w:style w:type="paragraph" w:customStyle="1" w:styleId="72">
    <w:name w:val="列表段落1"/>
    <w:basedOn w:val="1"/>
    <w:autoRedefine/>
    <w:qFormat/>
    <w:uiPriority w:val="34"/>
    <w:pPr>
      <w:ind w:firstLine="420" w:firstLineChars="200"/>
    </w:pPr>
  </w:style>
  <w:style w:type="paragraph" w:customStyle="1" w:styleId="73">
    <w:name w:val="Default"/>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74">
    <w:name w:val="标题 1 字符1"/>
    <w:link w:val="3"/>
    <w:autoRedefine/>
    <w:qFormat/>
    <w:uiPriority w:val="0"/>
    <w:rPr>
      <w:rFonts w:ascii="Times New Roman" w:hAnsi="Times New Roman" w:eastAsia="宋体" w:cs="Times New Roman"/>
      <w:b/>
      <w:bCs/>
      <w:kern w:val="44"/>
      <w:sz w:val="44"/>
      <w:szCs w:val="44"/>
    </w:rPr>
  </w:style>
  <w:style w:type="character" w:customStyle="1" w:styleId="75">
    <w:name w:val="标题 2 字符"/>
    <w:link w:val="4"/>
    <w:autoRedefine/>
    <w:qFormat/>
    <w:uiPriority w:val="0"/>
    <w:rPr>
      <w:rFonts w:ascii="Arial" w:hAnsi="Arial" w:eastAsia="黑体" w:cs="Times New Roman"/>
      <w:b/>
      <w:bCs/>
      <w:sz w:val="32"/>
      <w:szCs w:val="32"/>
    </w:rPr>
  </w:style>
  <w:style w:type="character" w:customStyle="1" w:styleId="76">
    <w:name w:val="标题 3 字符"/>
    <w:link w:val="5"/>
    <w:autoRedefine/>
    <w:qFormat/>
    <w:uiPriority w:val="0"/>
    <w:rPr>
      <w:rFonts w:ascii="Times New Roman" w:hAnsi="Times New Roman" w:eastAsia="宋体" w:cs="Times New Roman"/>
      <w:b/>
      <w:bCs/>
      <w:sz w:val="32"/>
      <w:szCs w:val="32"/>
    </w:rPr>
  </w:style>
  <w:style w:type="character" w:customStyle="1" w:styleId="77">
    <w:name w:val="标题 5 字符"/>
    <w:link w:val="8"/>
    <w:autoRedefine/>
    <w:qFormat/>
    <w:uiPriority w:val="0"/>
    <w:rPr>
      <w:b/>
      <w:kern w:val="2"/>
      <w:sz w:val="28"/>
      <w:szCs w:val="24"/>
    </w:rPr>
  </w:style>
  <w:style w:type="character" w:customStyle="1" w:styleId="78">
    <w:name w:val="标题 6 字符"/>
    <w:link w:val="9"/>
    <w:autoRedefine/>
    <w:qFormat/>
    <w:uiPriority w:val="0"/>
    <w:rPr>
      <w:rFonts w:ascii="Arial" w:hAnsi="Arial" w:eastAsia="黑体"/>
      <w:b/>
      <w:kern w:val="2"/>
      <w:sz w:val="24"/>
      <w:szCs w:val="24"/>
    </w:rPr>
  </w:style>
  <w:style w:type="character" w:customStyle="1" w:styleId="79">
    <w:name w:val="标题 7 字符"/>
    <w:link w:val="10"/>
    <w:autoRedefine/>
    <w:qFormat/>
    <w:uiPriority w:val="0"/>
    <w:rPr>
      <w:rFonts w:ascii="Times New Roman" w:hAnsi="Times New Roman"/>
      <w:b/>
      <w:kern w:val="2"/>
      <w:sz w:val="24"/>
      <w:szCs w:val="24"/>
    </w:rPr>
  </w:style>
  <w:style w:type="character" w:customStyle="1" w:styleId="80">
    <w:name w:val="标题 8 字符"/>
    <w:link w:val="11"/>
    <w:autoRedefine/>
    <w:qFormat/>
    <w:uiPriority w:val="0"/>
    <w:rPr>
      <w:rFonts w:ascii="Arial" w:hAnsi="Arial" w:eastAsia="黑体"/>
      <w:kern w:val="2"/>
      <w:sz w:val="24"/>
      <w:szCs w:val="24"/>
    </w:rPr>
  </w:style>
  <w:style w:type="character" w:customStyle="1" w:styleId="81">
    <w:name w:val="标题 9 字符"/>
    <w:link w:val="12"/>
    <w:autoRedefine/>
    <w:qFormat/>
    <w:uiPriority w:val="0"/>
    <w:rPr>
      <w:rFonts w:ascii="Arial" w:hAnsi="Arial" w:eastAsia="黑体"/>
      <w:kern w:val="2"/>
      <w:sz w:val="21"/>
      <w:szCs w:val="24"/>
    </w:rPr>
  </w:style>
  <w:style w:type="character" w:customStyle="1" w:styleId="82">
    <w:name w:val="文档结构图 字符"/>
    <w:link w:val="16"/>
    <w:autoRedefine/>
    <w:qFormat/>
    <w:uiPriority w:val="0"/>
    <w:rPr>
      <w:rFonts w:hint="eastAsia" w:ascii="宋体" w:hAnsi="宋体" w:eastAsia="宋体" w:cs="宋体"/>
    </w:rPr>
  </w:style>
  <w:style w:type="character" w:customStyle="1" w:styleId="83">
    <w:name w:val="批注文字 字符2"/>
    <w:link w:val="17"/>
    <w:autoRedefine/>
    <w:qFormat/>
    <w:uiPriority w:val="0"/>
    <w:rPr>
      <w:rFonts w:ascii="Times New Roman" w:hAnsi="Times New Roman"/>
      <w:kern w:val="2"/>
      <w:sz w:val="21"/>
      <w:szCs w:val="24"/>
    </w:rPr>
  </w:style>
  <w:style w:type="character" w:customStyle="1" w:styleId="84">
    <w:name w:val="正文文本 3 字符"/>
    <w:link w:val="18"/>
    <w:autoRedefine/>
    <w:qFormat/>
    <w:uiPriority w:val="0"/>
    <w:rPr>
      <w:rFonts w:ascii="Times New Roman" w:hAnsi="Times New Roman" w:eastAsia="宋体" w:cs="Times New Roman"/>
      <w:b/>
      <w:bCs/>
      <w:sz w:val="24"/>
      <w:szCs w:val="24"/>
    </w:rPr>
  </w:style>
  <w:style w:type="character" w:customStyle="1" w:styleId="85">
    <w:name w:val="正文文本 字符"/>
    <w:link w:val="2"/>
    <w:autoRedefine/>
    <w:qFormat/>
    <w:uiPriority w:val="99"/>
    <w:rPr>
      <w:rFonts w:ascii="Times New Roman" w:hAnsi="Times New Roman" w:eastAsia="宋体" w:cs="Times New Roman"/>
      <w:sz w:val="24"/>
      <w:szCs w:val="24"/>
    </w:rPr>
  </w:style>
  <w:style w:type="character" w:customStyle="1" w:styleId="86">
    <w:name w:val="正文文本缩进 字符1"/>
    <w:link w:val="19"/>
    <w:autoRedefine/>
    <w:qFormat/>
    <w:uiPriority w:val="0"/>
    <w:rPr>
      <w:rFonts w:ascii="仿宋_GB2312" w:hAnsi="Times New Roman" w:eastAsia="仿宋_GB2312" w:cs="Times New Roman"/>
      <w:sz w:val="32"/>
      <w:szCs w:val="20"/>
    </w:rPr>
  </w:style>
  <w:style w:type="character" w:customStyle="1" w:styleId="87">
    <w:name w:val="纯文本 字符2"/>
    <w:link w:val="24"/>
    <w:autoRedefine/>
    <w:qFormat/>
    <w:uiPriority w:val="0"/>
    <w:rPr>
      <w:rFonts w:ascii="宋体" w:hAnsi="Courier New" w:eastAsia="宋体" w:cs="Courier New"/>
      <w:szCs w:val="21"/>
    </w:rPr>
  </w:style>
  <w:style w:type="character" w:customStyle="1" w:styleId="88">
    <w:name w:val="日期 字符"/>
    <w:link w:val="26"/>
    <w:autoRedefine/>
    <w:qFormat/>
    <w:uiPriority w:val="0"/>
    <w:rPr>
      <w:rFonts w:ascii="宋体" w:hAnsi="Courier New" w:eastAsia="宋体" w:cs="Courier New"/>
      <w:szCs w:val="21"/>
    </w:rPr>
  </w:style>
  <w:style w:type="character" w:customStyle="1" w:styleId="89">
    <w:name w:val="正文文本缩进 2 字符"/>
    <w:link w:val="27"/>
    <w:autoRedefine/>
    <w:qFormat/>
    <w:uiPriority w:val="0"/>
    <w:rPr>
      <w:rFonts w:ascii="Times New Roman" w:hAnsi="Times New Roman" w:eastAsia="宋体" w:cs="Times New Roman"/>
      <w:sz w:val="32"/>
      <w:szCs w:val="20"/>
    </w:rPr>
  </w:style>
  <w:style w:type="character" w:customStyle="1" w:styleId="90">
    <w:name w:val="尾注文本 字符"/>
    <w:link w:val="28"/>
    <w:autoRedefine/>
    <w:semiHidden/>
    <w:qFormat/>
    <w:uiPriority w:val="99"/>
    <w:rPr>
      <w:rFonts w:ascii="Times New Roman" w:hAnsi="Times New Roman"/>
      <w:kern w:val="2"/>
      <w:sz w:val="21"/>
      <w:szCs w:val="24"/>
    </w:rPr>
  </w:style>
  <w:style w:type="character" w:customStyle="1" w:styleId="91">
    <w:name w:val="批注框文本 字符"/>
    <w:link w:val="29"/>
    <w:autoRedefine/>
    <w:semiHidden/>
    <w:qFormat/>
    <w:uiPriority w:val="0"/>
    <w:rPr>
      <w:rFonts w:ascii="Times New Roman" w:hAnsi="Times New Roman" w:eastAsia="宋体" w:cs="Times New Roman"/>
      <w:sz w:val="18"/>
      <w:szCs w:val="18"/>
    </w:rPr>
  </w:style>
  <w:style w:type="character" w:customStyle="1" w:styleId="92">
    <w:name w:val="页脚 字符1"/>
    <w:link w:val="30"/>
    <w:autoRedefine/>
    <w:qFormat/>
    <w:uiPriority w:val="99"/>
    <w:rPr>
      <w:sz w:val="18"/>
      <w:szCs w:val="18"/>
    </w:rPr>
  </w:style>
  <w:style w:type="character" w:customStyle="1" w:styleId="93">
    <w:name w:val="页眉 字符"/>
    <w:link w:val="31"/>
    <w:autoRedefine/>
    <w:qFormat/>
    <w:uiPriority w:val="99"/>
    <w:rPr>
      <w:rFonts w:ascii="Times New Roman" w:hAnsi="Times New Roman"/>
      <w:kern w:val="2"/>
      <w:sz w:val="18"/>
      <w:szCs w:val="18"/>
    </w:rPr>
  </w:style>
  <w:style w:type="character" w:customStyle="1" w:styleId="94">
    <w:name w:val="脚注文本 字符"/>
    <w:link w:val="35"/>
    <w:autoRedefine/>
    <w:semiHidden/>
    <w:qFormat/>
    <w:uiPriority w:val="99"/>
    <w:rPr>
      <w:rFonts w:ascii="Times New Roman" w:hAnsi="Times New Roman"/>
      <w:kern w:val="2"/>
      <w:sz w:val="18"/>
      <w:szCs w:val="18"/>
    </w:rPr>
  </w:style>
  <w:style w:type="character" w:customStyle="1" w:styleId="95">
    <w:name w:val="正文文本缩进 3 字符"/>
    <w:link w:val="37"/>
    <w:autoRedefine/>
    <w:qFormat/>
    <w:uiPriority w:val="0"/>
    <w:rPr>
      <w:rFonts w:ascii="Times New Roman" w:hAnsi="Times New Roman" w:eastAsia="宋体" w:cs="Times New Roman"/>
      <w:sz w:val="16"/>
      <w:szCs w:val="16"/>
    </w:rPr>
  </w:style>
  <w:style w:type="character" w:customStyle="1" w:styleId="96">
    <w:name w:val="正文文本 2 字符"/>
    <w:link w:val="40"/>
    <w:autoRedefine/>
    <w:qFormat/>
    <w:uiPriority w:val="0"/>
    <w:rPr>
      <w:rFonts w:ascii="Times New Roman" w:hAnsi="Times New Roman" w:eastAsia="宋体" w:cs="Times New Roman"/>
      <w:szCs w:val="24"/>
    </w:rPr>
  </w:style>
  <w:style w:type="character" w:customStyle="1" w:styleId="97">
    <w:name w:val="标题 字符"/>
    <w:link w:val="43"/>
    <w:autoRedefine/>
    <w:qFormat/>
    <w:uiPriority w:val="10"/>
    <w:rPr>
      <w:rFonts w:ascii="Cambria" w:hAnsi="Cambria" w:cs="Times New Roman"/>
      <w:b/>
      <w:bCs/>
      <w:kern w:val="2"/>
      <w:sz w:val="32"/>
      <w:szCs w:val="32"/>
    </w:rPr>
  </w:style>
  <w:style w:type="character" w:customStyle="1" w:styleId="98">
    <w:name w:val="批注主题 字符"/>
    <w:link w:val="44"/>
    <w:autoRedefine/>
    <w:semiHidden/>
    <w:qFormat/>
    <w:uiPriority w:val="99"/>
    <w:rPr>
      <w:rFonts w:ascii="Times New Roman" w:hAnsi="Times New Roman"/>
      <w:b/>
      <w:bCs/>
      <w:kern w:val="2"/>
      <w:sz w:val="21"/>
      <w:szCs w:val="24"/>
    </w:rPr>
  </w:style>
  <w:style w:type="character" w:customStyle="1" w:styleId="99">
    <w:name w:val="批注文字 Char1"/>
    <w:autoRedefine/>
    <w:qFormat/>
    <w:locked/>
    <w:uiPriority w:val="0"/>
    <w:rPr>
      <w:rFonts w:ascii="Times New Roman" w:hAnsi="Times New Roman"/>
      <w:kern w:val="2"/>
      <w:sz w:val="21"/>
      <w:szCs w:val="24"/>
    </w:rPr>
  </w:style>
  <w:style w:type="character" w:customStyle="1" w:styleId="100">
    <w:name w:val="case31"/>
    <w:autoRedefine/>
    <w:qFormat/>
    <w:uiPriority w:val="0"/>
    <w:rPr>
      <w:rFonts w:hint="default" w:ascii="_x000B__x000C_" w:hAnsi="_x000B__x000C_"/>
      <w:sz w:val="21"/>
      <w:szCs w:val="21"/>
    </w:rPr>
  </w:style>
  <w:style w:type="character" w:customStyle="1" w:styleId="101">
    <w:name w:val="批注文字 Char"/>
    <w:autoRedefine/>
    <w:qFormat/>
    <w:uiPriority w:val="0"/>
    <w:rPr>
      <w:rFonts w:ascii="Times New Roman" w:hAnsi="Times New Roman"/>
      <w:kern w:val="2"/>
      <w:sz w:val="21"/>
      <w:szCs w:val="24"/>
    </w:rPr>
  </w:style>
  <w:style w:type="character" w:customStyle="1" w:styleId="102">
    <w:name w:val="纯文本 Char"/>
    <w:autoRedefine/>
    <w:qFormat/>
    <w:uiPriority w:val="0"/>
    <w:rPr>
      <w:rFonts w:ascii="宋体" w:hAnsi="Courier New" w:eastAsia="宋体"/>
      <w:kern w:val="2"/>
      <w:sz w:val="21"/>
      <w:lang w:val="en-US" w:eastAsia="zh-CN" w:bidi="ar-SA"/>
    </w:rPr>
  </w:style>
  <w:style w:type="character" w:customStyle="1" w:styleId="103">
    <w:name w:val="纯文本 字符1"/>
    <w:autoRedefine/>
    <w:qFormat/>
    <w:uiPriority w:val="0"/>
    <w:rPr>
      <w:rFonts w:ascii="宋体" w:hAnsi="Courier New"/>
    </w:rPr>
  </w:style>
  <w:style w:type="character" w:customStyle="1" w:styleId="104">
    <w:name w:val="批注文字 字符1"/>
    <w:autoRedefine/>
    <w:qFormat/>
    <w:uiPriority w:val="0"/>
    <w:rPr>
      <w:rFonts w:ascii="Times New Roman" w:hAnsi="Times New Roman"/>
      <w:kern w:val="2"/>
      <w:sz w:val="21"/>
      <w:szCs w:val="24"/>
    </w:rPr>
  </w:style>
  <w:style w:type="character" w:customStyle="1" w:styleId="105">
    <w:name w:val="正文文本 Char1"/>
    <w:autoRedefine/>
    <w:semiHidden/>
    <w:qFormat/>
    <w:locked/>
    <w:uiPriority w:val="99"/>
    <w:rPr>
      <w:sz w:val="24"/>
      <w:szCs w:val="24"/>
    </w:rPr>
  </w:style>
  <w:style w:type="character" w:customStyle="1" w:styleId="106">
    <w:name w:val="apple-style-span"/>
    <w:autoRedefine/>
    <w:qFormat/>
    <w:uiPriority w:val="0"/>
  </w:style>
  <w:style w:type="character" w:customStyle="1" w:styleId="107">
    <w:name w:val="textcontents"/>
    <w:autoRedefine/>
    <w:qFormat/>
    <w:uiPriority w:val="0"/>
  </w:style>
  <w:style w:type="character" w:customStyle="1" w:styleId="108">
    <w:name w:val="普通文字 Char Char2"/>
    <w:autoRedefine/>
    <w:qFormat/>
    <w:uiPriority w:val="0"/>
    <w:rPr>
      <w:rFonts w:ascii="宋体" w:hAnsi="Courier New" w:eastAsia="宋体"/>
      <w:kern w:val="2"/>
      <w:sz w:val="21"/>
      <w:lang w:val="en-US" w:eastAsia="zh-CN" w:bidi="ar-SA"/>
    </w:rPr>
  </w:style>
  <w:style w:type="character" w:customStyle="1" w:styleId="109">
    <w:name w:val="标题 5 Char"/>
    <w:autoRedefine/>
    <w:qFormat/>
    <w:uiPriority w:val="9"/>
    <w:rPr>
      <w:b/>
      <w:kern w:val="2"/>
      <w:sz w:val="28"/>
      <w:szCs w:val="24"/>
    </w:rPr>
  </w:style>
  <w:style w:type="character" w:customStyle="1" w:styleId="110">
    <w:name w:val="批注文字 字符"/>
    <w:autoRedefine/>
    <w:qFormat/>
    <w:uiPriority w:val="0"/>
    <w:rPr>
      <w:rFonts w:ascii="Times New Roman" w:hAnsi="Times New Roman"/>
      <w:kern w:val="2"/>
      <w:sz w:val="21"/>
      <w:szCs w:val="24"/>
    </w:rPr>
  </w:style>
  <w:style w:type="character" w:customStyle="1" w:styleId="111">
    <w:name w:val="标题 1 字符"/>
    <w:autoRedefine/>
    <w:qFormat/>
    <w:uiPriority w:val="9"/>
    <w:rPr>
      <w:rFonts w:ascii="Times New Roman" w:hAnsi="Times New Roman" w:eastAsia="宋体" w:cs="Times New Roman"/>
      <w:b/>
      <w:bCs/>
      <w:kern w:val="44"/>
      <w:sz w:val="44"/>
      <w:szCs w:val="44"/>
    </w:rPr>
  </w:style>
  <w:style w:type="character" w:customStyle="1" w:styleId="112">
    <w:name w:val="纯文本 字符"/>
    <w:autoRedefine/>
    <w:qFormat/>
    <w:uiPriority w:val="0"/>
    <w:rPr>
      <w:rFonts w:ascii="宋体" w:hAnsi="Courier New" w:eastAsia="宋体" w:cs="Courier New"/>
      <w:szCs w:val="21"/>
    </w:rPr>
  </w:style>
  <w:style w:type="character" w:customStyle="1" w:styleId="113">
    <w:name w:val="headline-content4"/>
    <w:autoRedefine/>
    <w:qFormat/>
    <w:uiPriority w:val="0"/>
  </w:style>
  <w:style w:type="character" w:customStyle="1" w:styleId="114">
    <w:name w:val="正文文本 (26) + 间距 0 pt"/>
    <w:autoRedefine/>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115">
    <w:name w:val="正文文本缩进 字符"/>
    <w:autoRedefine/>
    <w:qFormat/>
    <w:uiPriority w:val="0"/>
    <w:rPr>
      <w:rFonts w:ascii="仿宋_GB2312" w:hAnsi="Times New Roman" w:eastAsia="仿宋_GB2312" w:cs="Times New Roman"/>
      <w:sz w:val="32"/>
      <w:szCs w:val="20"/>
    </w:rPr>
  </w:style>
  <w:style w:type="character" w:customStyle="1" w:styleId="116">
    <w:name w:val="页脚 字符"/>
    <w:autoRedefine/>
    <w:qFormat/>
    <w:uiPriority w:val="99"/>
  </w:style>
  <w:style w:type="character" w:customStyle="1" w:styleId="117">
    <w:name w:val="标题 1 Char1"/>
    <w:autoRedefine/>
    <w:qFormat/>
    <w:uiPriority w:val="0"/>
    <w:rPr>
      <w:rFonts w:eastAsia="宋体"/>
      <w:b/>
      <w:bCs/>
      <w:kern w:val="44"/>
      <w:sz w:val="44"/>
      <w:szCs w:val="44"/>
      <w:lang w:val="en-US" w:eastAsia="zh-CN" w:bidi="ar-SA"/>
    </w:rPr>
  </w:style>
  <w:style w:type="character" w:customStyle="1" w:styleId="118">
    <w:name w:val="font31"/>
    <w:autoRedefine/>
    <w:qFormat/>
    <w:uiPriority w:val="0"/>
    <w:rPr>
      <w:rFonts w:ascii="方正书宋_GBK" w:hAnsi="方正书宋_GBK" w:eastAsia="方正书宋_GBK" w:cs="方正书宋_GBK"/>
      <w:color w:val="000000"/>
      <w:sz w:val="21"/>
      <w:szCs w:val="21"/>
      <w:u w:val="none"/>
    </w:rPr>
  </w:style>
  <w:style w:type="character" w:customStyle="1" w:styleId="119">
    <w:name w:val="font61"/>
    <w:autoRedefine/>
    <w:qFormat/>
    <w:uiPriority w:val="0"/>
    <w:rPr>
      <w:rFonts w:hint="default" w:ascii="Times New Roman" w:hAnsi="Times New Roman" w:cs="Times New Roman"/>
      <w:color w:val="000000"/>
      <w:sz w:val="21"/>
      <w:szCs w:val="21"/>
      <w:u w:val="none"/>
    </w:rPr>
  </w:style>
  <w:style w:type="character" w:customStyle="1" w:styleId="120">
    <w:name w:val="font11"/>
    <w:autoRedefine/>
    <w:qFormat/>
    <w:uiPriority w:val="0"/>
    <w:rPr>
      <w:rFonts w:hint="eastAsia" w:ascii="宋体" w:hAnsi="宋体" w:eastAsia="宋体" w:cs="宋体"/>
      <w:color w:val="000000"/>
      <w:sz w:val="21"/>
      <w:szCs w:val="21"/>
      <w:u w:val="none"/>
    </w:rPr>
  </w:style>
  <w:style w:type="table" w:customStyle="1" w:styleId="121">
    <w:name w:val="Table Normal"/>
    <w:autoRedefine/>
    <w:semiHidden/>
    <w:qFormat/>
    <w:uiPriority w:val="2"/>
    <w:pPr>
      <w:widowControl w:val="0"/>
    </w:pPr>
    <w:rPr>
      <w:rFonts w:ascii="Calibri" w:hAnsi="Calibri" w:eastAsia="Times New Roman"/>
      <w:sz w:val="22"/>
      <w:szCs w:val="22"/>
      <w:lang w:eastAsia="en-US"/>
    </w:rPr>
    <w:tblPr>
      <w:tblCellMar>
        <w:top w:w="0" w:type="dxa"/>
        <w:left w:w="0" w:type="dxa"/>
        <w:bottom w:w="0" w:type="dxa"/>
        <w:right w:w="0" w:type="dxa"/>
      </w:tblCellMar>
    </w:tblPr>
  </w:style>
  <w:style w:type="paragraph" w:styleId="122">
    <w:name w:val="List Paragraph"/>
    <w:basedOn w:val="1"/>
    <w:autoRedefine/>
    <w:qFormat/>
    <w:uiPriority w:val="34"/>
    <w:pPr>
      <w:ind w:firstLine="420" w:firstLineChars="200"/>
    </w:pPr>
    <w:rPr>
      <w:szCs w:val="22"/>
    </w:rPr>
  </w:style>
  <w:style w:type="character" w:customStyle="1" w:styleId="123">
    <w:name w:val="font51"/>
    <w:autoRedefine/>
    <w:qFormat/>
    <w:uiPriority w:val="0"/>
    <w:rPr>
      <w:rFonts w:hint="default" w:ascii="Times New Roman" w:hAnsi="Times New Roman" w:cs="Times New Roman"/>
      <w:b/>
      <w:color w:val="000000"/>
      <w:sz w:val="18"/>
      <w:szCs w:val="18"/>
      <w:u w:val="none"/>
    </w:rPr>
  </w:style>
  <w:style w:type="paragraph" w:customStyle="1" w:styleId="124">
    <w:name w:val="列表段落2"/>
    <w:basedOn w:val="1"/>
    <w:autoRedefine/>
    <w:qFormat/>
    <w:uiPriority w:val="0"/>
    <w:pPr>
      <w:ind w:firstLine="420" w:firstLineChars="200"/>
    </w:pPr>
    <w:rPr>
      <w:rFonts w:ascii="Calibri" w:hAnsi="Calibri"/>
      <w:szCs w:val="22"/>
    </w:rPr>
  </w:style>
  <w:style w:type="character" w:customStyle="1" w:styleId="125">
    <w:name w:val="font21"/>
    <w:autoRedefine/>
    <w:qFormat/>
    <w:uiPriority w:val="0"/>
    <w:rPr>
      <w:rFonts w:hint="eastAsia" w:ascii="Courier New" w:hAnsi="Courier New" w:eastAsia="Courier New" w:cs="Courier New"/>
      <w:color w:val="000000"/>
      <w:sz w:val="28"/>
      <w:szCs w:val="28"/>
      <w:u w:val="none"/>
    </w:rPr>
  </w:style>
  <w:style w:type="character" w:customStyle="1" w:styleId="126">
    <w:name w:val="font41"/>
    <w:autoRedefine/>
    <w:qFormat/>
    <w:uiPriority w:val="0"/>
    <w:rPr>
      <w:rFonts w:hint="eastAsia" w:ascii="黑体" w:hAnsi="宋体" w:eastAsia="黑体" w:cs="黑体"/>
      <w:color w:val="000000"/>
      <w:sz w:val="18"/>
      <w:szCs w:val="18"/>
      <w:u w:val="none"/>
    </w:rPr>
  </w:style>
  <w:style w:type="paragraph" w:customStyle="1" w:styleId="127">
    <w:name w:val="修订1"/>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128">
    <w:name w:val="修订2"/>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129">
    <w:name w:val="修订3"/>
    <w:autoRedefine/>
    <w:hidden/>
    <w:semiHidden/>
    <w:qFormat/>
    <w:uiPriority w:val="99"/>
    <w:rPr>
      <w:rFonts w:ascii="Times New Roman" w:hAnsi="Times New Roman" w:eastAsia="宋体" w:cs="Times New Roman"/>
      <w:kern w:val="2"/>
      <w:sz w:val="21"/>
      <w:szCs w:val="24"/>
      <w:lang w:val="en-US" w:eastAsia="zh-CN" w:bidi="ar-SA"/>
    </w:rPr>
  </w:style>
  <w:style w:type="character" w:customStyle="1" w:styleId="130">
    <w:name w:val="纯文本 Char2"/>
    <w:autoRedefine/>
    <w:qFormat/>
    <w:uiPriority w:val="0"/>
    <w:rPr>
      <w:rFonts w:ascii="宋体" w:hAnsi="Courier New" w:eastAsia="宋体" w:cs="Courier New"/>
      <w:szCs w:val="21"/>
    </w:rPr>
  </w:style>
  <w:style w:type="character" w:customStyle="1" w:styleId="131">
    <w:name w:val="标题 1 Char"/>
    <w:autoRedefine/>
    <w:qFormat/>
    <w:uiPriority w:val="0"/>
    <w:rPr>
      <w:rFonts w:ascii="Times New Roman" w:hAnsi="Times New Roman" w:eastAsia="宋体" w:cs="Times New Roman"/>
      <w:b/>
      <w:bCs/>
      <w:kern w:val="44"/>
      <w:sz w:val="44"/>
      <w:szCs w:val="44"/>
    </w:rPr>
  </w:style>
  <w:style w:type="character" w:customStyle="1" w:styleId="132">
    <w:name w:val="font71"/>
    <w:basedOn w:val="49"/>
    <w:qFormat/>
    <w:uiPriority w:val="0"/>
    <w:rPr>
      <w:rFonts w:hint="eastAsia" w:ascii="宋体" w:hAnsi="宋体" w:eastAsia="宋体" w:cs="宋体"/>
      <w:color w:val="000000"/>
      <w:sz w:val="24"/>
      <w:szCs w:val="24"/>
      <w:u w:val="none"/>
      <w:vertAlign w:val="superscript"/>
    </w:rPr>
  </w:style>
  <w:style w:type="paragraph" w:customStyle="1" w:styleId="133">
    <w:name w:val="修订4"/>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132</Pages>
  <Words>64530</Words>
  <Characters>69151</Characters>
  <Lines>558</Lines>
  <Paragraphs>157</Paragraphs>
  <TotalTime>74</TotalTime>
  <ScaleCrop>false</ScaleCrop>
  <LinksUpToDate>false</LinksUpToDate>
  <CharactersWithSpaces>75539</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2024-05-30T08:07:00Z</dcterms:created>
  <dc:creator>Administrator</dc:creator>
  <cp:lastModifiedBy>FROM</cp:lastModifiedBy>
  <cp:lastPrinted>2024-09-29T23:51:00Z</cp:lastPrinted>
  <dcterms:modified xsi:type="dcterms:W3CDTF">2024-09-30T06:16:21Z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0FB11698BBF247D5B9DED86D56B535F9_13</vt:lpwstr>
  </property>
  <property fmtid="{D5CDD505-2E9C-101B-9397-08002B2CF9AE}" pid="4" name="commondata">
    <vt:lpwstr>eyJoZGlkIjoiZDBiOGZhYWQ5NWI3MDgyYTM5NWU2ZGE3NmNjNDlmOGQifQ==</vt:lpwstr>
  </property>
</Properties>
</file>