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BD22B1">
      <w:pPr>
        <w:jc w:val="center"/>
        <w:rPr>
          <w:rFonts w:ascii="宋体" w:hAnsi="宋体" w:cs="宋体"/>
          <w:b/>
          <w:bCs/>
          <w:color w:val="auto"/>
          <w:sz w:val="44"/>
          <w:szCs w:val="44"/>
        </w:rPr>
      </w:pPr>
      <w:bookmarkStart w:id="182" w:name="_GoBack"/>
      <w:bookmarkEnd w:id="182"/>
      <w:bookmarkStart w:id="0" w:name="_Toc7014_WPSOffice_Level1"/>
      <w:bookmarkStart w:id="1" w:name="_Toc10319"/>
      <w:r>
        <w:rPr>
          <w:rFonts w:hint="eastAsia" w:ascii="宋体" w:hAnsi="宋体" w:cs="宋体"/>
          <w:b/>
          <w:color w:val="auto"/>
          <w:sz w:val="56"/>
          <w:szCs w:val="56"/>
        </w:rPr>
        <w:t>欧邦工程管理集团有限公司</w:t>
      </w:r>
    </w:p>
    <w:p w14:paraId="70B42434">
      <w:pPr>
        <w:pStyle w:val="19"/>
        <w:rPr>
          <w:rFonts w:ascii="宋体" w:hAnsi="宋体" w:cs="宋体"/>
          <w:b/>
          <w:bCs/>
          <w:color w:val="auto"/>
          <w:sz w:val="52"/>
          <w:szCs w:val="52"/>
        </w:rPr>
      </w:pPr>
    </w:p>
    <w:p w14:paraId="20E7C2D8">
      <w:pPr>
        <w:pStyle w:val="19"/>
        <w:rPr>
          <w:rFonts w:ascii="宋体" w:hAnsi="宋体" w:cs="宋体"/>
          <w:b/>
          <w:bCs/>
          <w:color w:val="auto"/>
          <w:sz w:val="52"/>
          <w:szCs w:val="52"/>
        </w:rPr>
      </w:pPr>
    </w:p>
    <w:p w14:paraId="09BA6245">
      <w:pPr>
        <w:pStyle w:val="19"/>
        <w:rPr>
          <w:rFonts w:ascii="宋体" w:hAnsi="宋体" w:cs="宋体"/>
          <w:b/>
          <w:bCs/>
          <w:color w:val="auto"/>
          <w:sz w:val="52"/>
          <w:szCs w:val="52"/>
        </w:rPr>
      </w:pPr>
    </w:p>
    <w:p w14:paraId="27B73291">
      <w:pPr>
        <w:ind w:left="558" w:right="683"/>
        <w:jc w:val="center"/>
        <w:rPr>
          <w:rFonts w:ascii="宋体" w:hAnsi="宋体" w:cs="宋体"/>
          <w:b/>
          <w:color w:val="auto"/>
          <w:sz w:val="56"/>
          <w:szCs w:val="56"/>
        </w:rPr>
      </w:pPr>
      <w:r>
        <w:rPr>
          <w:rFonts w:hint="eastAsia" w:ascii="宋体" w:hAnsi="宋体" w:cs="宋体"/>
          <w:b/>
          <w:color w:val="auto"/>
          <w:spacing w:val="93"/>
          <w:sz w:val="56"/>
          <w:szCs w:val="56"/>
        </w:rPr>
        <w:t>竞争性磋商文件</w:t>
      </w:r>
    </w:p>
    <w:p w14:paraId="58A316B6">
      <w:pPr>
        <w:jc w:val="center"/>
        <w:rPr>
          <w:rFonts w:ascii="宋体" w:hAnsi="宋体" w:cs="宋体"/>
          <w:b/>
          <w:bCs/>
          <w:color w:val="auto"/>
          <w:sz w:val="52"/>
          <w:szCs w:val="52"/>
        </w:rPr>
      </w:pPr>
    </w:p>
    <w:p w14:paraId="0A2FACDA">
      <w:pPr>
        <w:jc w:val="center"/>
        <w:rPr>
          <w:rFonts w:ascii="宋体" w:hAnsi="宋体" w:cs="宋体"/>
          <w:b/>
          <w:bCs/>
          <w:color w:val="auto"/>
          <w:sz w:val="52"/>
          <w:szCs w:val="52"/>
        </w:rPr>
      </w:pPr>
    </w:p>
    <w:p w14:paraId="3B2EF8BD">
      <w:pPr>
        <w:jc w:val="center"/>
        <w:rPr>
          <w:rFonts w:ascii="宋体" w:hAnsi="宋体" w:cs="宋体"/>
          <w:b/>
          <w:bCs/>
          <w:color w:val="auto"/>
          <w:sz w:val="52"/>
          <w:szCs w:val="52"/>
        </w:rPr>
      </w:pPr>
    </w:p>
    <w:p w14:paraId="50E7ADD0">
      <w:pPr>
        <w:ind w:left="3196" w:leftChars="760" w:hanging="1600" w:hangingChars="500"/>
        <w:jc w:val="left"/>
        <w:rPr>
          <w:rFonts w:ascii="宋体" w:hAnsi="宋体" w:cs="宋体"/>
          <w:color w:val="auto"/>
          <w:sz w:val="32"/>
          <w:szCs w:val="32"/>
        </w:rPr>
      </w:pPr>
      <w:r>
        <w:rPr>
          <w:rFonts w:hint="eastAsia" w:ascii="宋体" w:hAnsi="宋体" w:cs="宋体"/>
          <w:color w:val="auto"/>
          <w:sz w:val="32"/>
          <w:szCs w:val="32"/>
        </w:rPr>
        <w:t>项 目 名 称：医疗废物转运处理服务采购</w:t>
      </w:r>
    </w:p>
    <w:p w14:paraId="319B7E0B">
      <w:pPr>
        <w:ind w:firstLine="1600" w:firstLineChars="500"/>
        <w:rPr>
          <w:rFonts w:ascii="宋体" w:hAnsi="宋体" w:cs="宋体"/>
          <w:color w:val="auto"/>
          <w:sz w:val="32"/>
          <w:szCs w:val="32"/>
        </w:rPr>
      </w:pPr>
      <w:r>
        <w:rPr>
          <w:rFonts w:hint="eastAsia" w:ascii="宋体" w:hAnsi="宋体" w:cs="宋体"/>
          <w:color w:val="auto"/>
          <w:sz w:val="32"/>
          <w:szCs w:val="32"/>
        </w:rPr>
        <w:t>项 目 编 号： GLZC2025-C3-990113-OBGC</w:t>
      </w:r>
    </w:p>
    <w:p w14:paraId="23AEC093">
      <w:pPr>
        <w:ind w:firstLine="1600" w:firstLineChars="500"/>
        <w:rPr>
          <w:rFonts w:ascii="宋体" w:hAnsi="宋体" w:cs="宋体"/>
          <w:color w:val="auto"/>
          <w:sz w:val="32"/>
          <w:szCs w:val="32"/>
        </w:rPr>
      </w:pPr>
    </w:p>
    <w:p w14:paraId="08C48A41">
      <w:pPr>
        <w:jc w:val="center"/>
        <w:rPr>
          <w:rFonts w:ascii="宋体" w:hAnsi="宋体" w:cs="宋体"/>
          <w:color w:val="auto"/>
          <w:sz w:val="32"/>
          <w:szCs w:val="32"/>
        </w:rPr>
      </w:pPr>
    </w:p>
    <w:p w14:paraId="1AB0C3C7">
      <w:pPr>
        <w:rPr>
          <w:rFonts w:ascii="宋体" w:hAnsi="宋体" w:cs="宋体"/>
          <w:color w:val="auto"/>
          <w:sz w:val="32"/>
          <w:szCs w:val="32"/>
        </w:rPr>
      </w:pPr>
    </w:p>
    <w:p w14:paraId="3A03EDAD">
      <w:pPr>
        <w:pStyle w:val="19"/>
        <w:rPr>
          <w:color w:val="auto"/>
        </w:rPr>
      </w:pPr>
    </w:p>
    <w:p w14:paraId="52B52DEF">
      <w:pPr>
        <w:rPr>
          <w:rFonts w:ascii="宋体" w:hAnsi="宋体" w:cs="宋体"/>
          <w:color w:val="auto"/>
          <w:sz w:val="32"/>
          <w:szCs w:val="32"/>
        </w:rPr>
      </w:pPr>
    </w:p>
    <w:p w14:paraId="5EF67CAA">
      <w:pPr>
        <w:ind w:firstLine="1600" w:firstLineChars="500"/>
        <w:rPr>
          <w:rFonts w:ascii="宋体" w:hAnsi="宋体" w:cs="宋体"/>
          <w:color w:val="auto"/>
          <w:sz w:val="32"/>
          <w:szCs w:val="32"/>
        </w:rPr>
      </w:pPr>
      <w:r>
        <w:rPr>
          <w:rFonts w:hint="eastAsia" w:ascii="宋体" w:hAnsi="宋体" w:cs="宋体"/>
          <w:color w:val="auto"/>
          <w:sz w:val="32"/>
          <w:szCs w:val="32"/>
        </w:rPr>
        <w:t>采购代理机构：欧邦工程管理集团有限公司</w:t>
      </w:r>
    </w:p>
    <w:p w14:paraId="6A4E42ED">
      <w:pPr>
        <w:pStyle w:val="12"/>
        <w:rPr>
          <w:rFonts w:ascii="宋体" w:hAnsi="宋体" w:cs="宋体"/>
          <w:color w:val="auto"/>
        </w:rPr>
      </w:pPr>
    </w:p>
    <w:p w14:paraId="53227C95">
      <w:pPr>
        <w:ind w:firstLine="3840" w:firstLineChars="1200"/>
        <w:rPr>
          <w:rFonts w:ascii="宋体" w:hAnsi="宋体" w:cs="宋体"/>
          <w:color w:val="auto"/>
          <w:sz w:val="48"/>
          <w:szCs w:val="48"/>
        </w:rPr>
        <w:sectPr>
          <w:footerReference r:id="rId3" w:type="default"/>
          <w:pgSz w:w="11906" w:h="16838"/>
          <w:pgMar w:top="1440" w:right="935" w:bottom="1440" w:left="777" w:header="851" w:footer="992" w:gutter="0"/>
          <w:pgNumType w:fmt="numberInDash" w:start="1"/>
          <w:cols w:space="720" w:num="1"/>
          <w:docGrid w:type="linesAndChars" w:linePitch="312" w:charSpace="0"/>
        </w:sectPr>
      </w:pPr>
      <w:r>
        <w:rPr>
          <w:rFonts w:hint="eastAsia" w:ascii="宋体" w:hAnsi="宋体" w:cs="宋体"/>
          <w:color w:val="auto"/>
          <w:sz w:val="32"/>
          <w:szCs w:val="32"/>
        </w:rPr>
        <w:t>2025年</w:t>
      </w:r>
      <w:r>
        <w:rPr>
          <w:rFonts w:hint="eastAsia" w:ascii="宋体" w:hAnsi="宋体" w:cs="宋体"/>
          <w:color w:val="auto"/>
          <w:sz w:val="32"/>
          <w:szCs w:val="32"/>
          <w:lang w:val="en-US" w:eastAsia="zh-CN"/>
        </w:rPr>
        <w:t>4</w:t>
      </w:r>
      <w:r>
        <w:rPr>
          <w:rFonts w:hint="eastAsia" w:ascii="宋体" w:hAnsi="宋体" w:cs="宋体"/>
          <w:color w:val="auto"/>
          <w:sz w:val="32"/>
          <w:szCs w:val="32"/>
        </w:rPr>
        <w:t>月</w:t>
      </w:r>
      <w:r>
        <w:rPr>
          <w:rFonts w:hint="eastAsia" w:ascii="宋体" w:hAnsi="宋体" w:cs="宋体"/>
          <w:color w:val="auto"/>
          <w:sz w:val="32"/>
          <w:szCs w:val="32"/>
          <w:lang w:val="en-US" w:eastAsia="zh-CN"/>
        </w:rPr>
        <w:t>10</w:t>
      </w:r>
      <w:r>
        <w:rPr>
          <w:rFonts w:hint="eastAsia" w:ascii="宋体" w:hAnsi="宋体" w:cs="宋体"/>
          <w:color w:val="auto"/>
          <w:sz w:val="32"/>
          <w:szCs w:val="32"/>
        </w:rPr>
        <w:t>日</w:t>
      </w:r>
    </w:p>
    <w:p w14:paraId="26C3A696">
      <w:pPr>
        <w:jc w:val="center"/>
        <w:rPr>
          <w:rFonts w:ascii="宋体" w:hAnsi="宋体" w:cs="宋体"/>
          <w:b/>
          <w:bCs/>
          <w:color w:val="auto"/>
          <w:sz w:val="36"/>
          <w:szCs w:val="36"/>
        </w:rPr>
      </w:pPr>
      <w:r>
        <w:rPr>
          <w:rFonts w:hint="eastAsia" w:ascii="宋体" w:hAnsi="宋体" w:cs="宋体"/>
          <w:b/>
          <w:bCs/>
          <w:color w:val="auto"/>
          <w:sz w:val="36"/>
          <w:szCs w:val="36"/>
          <w:lang w:val="zh-CN"/>
        </w:rPr>
        <w:t>目录</w:t>
      </w:r>
    </w:p>
    <w:p w14:paraId="54D53C62">
      <w:pPr>
        <w:pStyle w:val="22"/>
        <w:tabs>
          <w:tab w:val="right" w:leader="dot" w:pos="10194"/>
        </w:tabs>
        <w:rPr>
          <w:rFonts w:ascii="宋体" w:hAnsi="宋体" w:cs="宋体"/>
          <w:color w:val="auto"/>
          <w:sz w:val="30"/>
          <w:szCs w:val="30"/>
        </w:rPr>
      </w:pPr>
      <w:r>
        <w:rPr>
          <w:rFonts w:hint="eastAsia" w:ascii="宋体" w:hAnsi="宋体" w:cs="宋体"/>
          <w:b/>
          <w:bCs/>
          <w:color w:val="auto"/>
          <w:sz w:val="30"/>
          <w:szCs w:val="30"/>
        </w:rPr>
        <w:fldChar w:fldCharType="begin"/>
      </w:r>
      <w:r>
        <w:rPr>
          <w:rFonts w:hint="eastAsia" w:ascii="宋体" w:hAnsi="宋体" w:cs="宋体"/>
          <w:b/>
          <w:bCs/>
          <w:color w:val="auto"/>
          <w:sz w:val="30"/>
          <w:szCs w:val="30"/>
        </w:rPr>
        <w:instrText xml:space="preserve">TOC \o "1-1" \h \u </w:instrText>
      </w:r>
      <w:r>
        <w:rPr>
          <w:rFonts w:hint="eastAsia" w:ascii="宋体" w:hAnsi="宋体" w:cs="宋体"/>
          <w:b/>
          <w:bCs/>
          <w:color w:val="auto"/>
          <w:sz w:val="30"/>
          <w:szCs w:val="30"/>
        </w:rPr>
        <w:fldChar w:fldCharType="separate"/>
      </w:r>
      <w:r>
        <w:rPr>
          <w:rFonts w:hint="eastAsia"/>
          <w:color w:val="auto"/>
        </w:rPr>
        <w:fldChar w:fldCharType="begin"/>
      </w:r>
      <w:r>
        <w:rPr>
          <w:color w:val="auto"/>
        </w:rPr>
        <w:instrText xml:space="preserve"> HYPERLINK \l "_Toc17502" </w:instrText>
      </w:r>
      <w:r>
        <w:rPr>
          <w:rFonts w:hint="eastAsia"/>
          <w:color w:val="auto"/>
        </w:rPr>
        <w:fldChar w:fldCharType="separate"/>
      </w:r>
      <w:r>
        <w:rPr>
          <w:rFonts w:hint="eastAsia" w:ascii="宋体" w:hAnsi="宋体" w:cs="宋体"/>
          <w:color w:val="auto"/>
          <w:sz w:val="30"/>
          <w:szCs w:val="30"/>
        </w:rPr>
        <w:t>第一章 竞争性磋商公告</w:t>
      </w:r>
      <w:r>
        <w:rPr>
          <w:rFonts w:hint="eastAsia" w:ascii="宋体" w:hAnsi="宋体" w:cs="宋体"/>
          <w:color w:val="auto"/>
          <w:sz w:val="30"/>
          <w:szCs w:val="30"/>
        </w:rPr>
        <w:tab/>
      </w:r>
      <w:r>
        <w:rPr>
          <w:rFonts w:hint="eastAsia" w:ascii="宋体" w:hAnsi="宋体" w:cs="宋体"/>
          <w:color w:val="auto"/>
          <w:sz w:val="30"/>
          <w:szCs w:val="30"/>
        </w:rPr>
        <w:fldChar w:fldCharType="begin"/>
      </w:r>
      <w:r>
        <w:rPr>
          <w:rFonts w:hint="eastAsia" w:ascii="宋体" w:hAnsi="宋体" w:cs="宋体"/>
          <w:color w:val="auto"/>
          <w:sz w:val="30"/>
          <w:szCs w:val="30"/>
        </w:rPr>
        <w:instrText xml:space="preserve"> PAGEREF _Toc17502 \h </w:instrText>
      </w:r>
      <w:r>
        <w:rPr>
          <w:rFonts w:hint="eastAsia" w:ascii="宋体" w:hAnsi="宋体" w:cs="宋体"/>
          <w:color w:val="auto"/>
          <w:sz w:val="30"/>
          <w:szCs w:val="30"/>
        </w:rPr>
        <w:fldChar w:fldCharType="separate"/>
      </w:r>
      <w:r>
        <w:rPr>
          <w:rFonts w:hint="eastAsia" w:ascii="宋体" w:hAnsi="宋体" w:cs="宋体"/>
          <w:color w:val="auto"/>
          <w:sz w:val="30"/>
          <w:szCs w:val="30"/>
        </w:rPr>
        <w:t>1</w:t>
      </w:r>
      <w:r>
        <w:rPr>
          <w:rFonts w:hint="eastAsia" w:ascii="宋体" w:hAnsi="宋体" w:cs="宋体"/>
          <w:color w:val="auto"/>
          <w:sz w:val="30"/>
          <w:szCs w:val="30"/>
        </w:rPr>
        <w:fldChar w:fldCharType="end"/>
      </w:r>
      <w:r>
        <w:rPr>
          <w:rFonts w:hint="eastAsia" w:ascii="宋体" w:hAnsi="宋体" w:cs="宋体"/>
          <w:color w:val="auto"/>
          <w:sz w:val="30"/>
          <w:szCs w:val="30"/>
        </w:rPr>
        <w:fldChar w:fldCharType="end"/>
      </w:r>
    </w:p>
    <w:p w14:paraId="23A5CBD2">
      <w:pPr>
        <w:pStyle w:val="22"/>
        <w:tabs>
          <w:tab w:val="right" w:leader="dot" w:pos="10194"/>
        </w:tabs>
        <w:rPr>
          <w:rFonts w:ascii="宋体" w:hAnsi="宋体" w:cs="宋体"/>
          <w:color w:val="auto"/>
          <w:sz w:val="30"/>
          <w:szCs w:val="30"/>
        </w:rPr>
      </w:pPr>
      <w:r>
        <w:rPr>
          <w:rFonts w:hint="eastAsia"/>
          <w:color w:val="auto"/>
        </w:rPr>
        <w:fldChar w:fldCharType="begin"/>
      </w:r>
      <w:r>
        <w:rPr>
          <w:color w:val="auto"/>
        </w:rPr>
        <w:instrText xml:space="preserve"> HYPERLINK \l "_Toc8849" </w:instrText>
      </w:r>
      <w:r>
        <w:rPr>
          <w:rFonts w:hint="eastAsia"/>
          <w:color w:val="auto"/>
        </w:rPr>
        <w:fldChar w:fldCharType="separate"/>
      </w:r>
      <w:r>
        <w:rPr>
          <w:rFonts w:hint="eastAsia" w:ascii="宋体" w:hAnsi="宋体" w:cs="宋体"/>
          <w:color w:val="auto"/>
          <w:sz w:val="30"/>
          <w:szCs w:val="30"/>
        </w:rPr>
        <w:t>第二章供应商须知</w:t>
      </w:r>
      <w:r>
        <w:rPr>
          <w:rFonts w:hint="eastAsia" w:ascii="宋体" w:hAnsi="宋体" w:cs="宋体"/>
          <w:color w:val="auto"/>
          <w:sz w:val="30"/>
          <w:szCs w:val="30"/>
        </w:rPr>
        <w:tab/>
      </w:r>
      <w:r>
        <w:rPr>
          <w:rFonts w:hint="eastAsia" w:ascii="宋体" w:hAnsi="宋体" w:cs="宋体"/>
          <w:color w:val="auto"/>
          <w:sz w:val="30"/>
          <w:szCs w:val="30"/>
        </w:rPr>
        <w:fldChar w:fldCharType="begin"/>
      </w:r>
      <w:r>
        <w:rPr>
          <w:rFonts w:hint="eastAsia" w:ascii="宋体" w:hAnsi="宋体" w:cs="宋体"/>
          <w:color w:val="auto"/>
          <w:sz w:val="30"/>
          <w:szCs w:val="30"/>
        </w:rPr>
        <w:instrText xml:space="preserve"> PAGEREF _Toc8849 \h </w:instrText>
      </w:r>
      <w:r>
        <w:rPr>
          <w:rFonts w:hint="eastAsia" w:ascii="宋体" w:hAnsi="宋体" w:cs="宋体"/>
          <w:color w:val="auto"/>
          <w:sz w:val="30"/>
          <w:szCs w:val="30"/>
        </w:rPr>
        <w:fldChar w:fldCharType="separate"/>
      </w:r>
      <w:r>
        <w:rPr>
          <w:rFonts w:hint="eastAsia" w:ascii="宋体" w:hAnsi="宋体" w:cs="宋体"/>
          <w:color w:val="auto"/>
          <w:sz w:val="30"/>
          <w:szCs w:val="30"/>
        </w:rPr>
        <w:t>4</w:t>
      </w:r>
      <w:r>
        <w:rPr>
          <w:rFonts w:hint="eastAsia" w:ascii="宋体" w:hAnsi="宋体" w:cs="宋体"/>
          <w:color w:val="auto"/>
          <w:sz w:val="30"/>
          <w:szCs w:val="30"/>
        </w:rPr>
        <w:fldChar w:fldCharType="end"/>
      </w:r>
      <w:r>
        <w:rPr>
          <w:rFonts w:hint="eastAsia" w:ascii="宋体" w:hAnsi="宋体" w:cs="宋体"/>
          <w:color w:val="auto"/>
          <w:sz w:val="30"/>
          <w:szCs w:val="30"/>
        </w:rPr>
        <w:fldChar w:fldCharType="end"/>
      </w:r>
    </w:p>
    <w:p w14:paraId="4BFDB590">
      <w:pPr>
        <w:pStyle w:val="22"/>
        <w:tabs>
          <w:tab w:val="right" w:leader="dot" w:pos="10194"/>
        </w:tabs>
        <w:rPr>
          <w:rFonts w:hint="eastAsia" w:ascii="宋体" w:hAnsi="宋体" w:eastAsia="宋体" w:cs="宋体"/>
          <w:color w:val="auto"/>
          <w:sz w:val="30"/>
          <w:szCs w:val="30"/>
          <w:lang w:val="en-US" w:eastAsia="zh-CN"/>
        </w:rPr>
      </w:pPr>
      <w:r>
        <w:rPr>
          <w:rFonts w:hint="eastAsia"/>
          <w:color w:val="auto"/>
        </w:rPr>
        <w:fldChar w:fldCharType="begin"/>
      </w:r>
      <w:r>
        <w:rPr>
          <w:color w:val="auto"/>
        </w:rPr>
        <w:instrText xml:space="preserve"> HYPERLINK \l "_Toc10892" </w:instrText>
      </w:r>
      <w:r>
        <w:rPr>
          <w:rFonts w:hint="eastAsia"/>
          <w:color w:val="auto"/>
        </w:rPr>
        <w:fldChar w:fldCharType="separate"/>
      </w:r>
      <w:r>
        <w:rPr>
          <w:rFonts w:hint="eastAsia" w:ascii="宋体" w:hAnsi="宋体" w:cs="宋体"/>
          <w:color w:val="auto"/>
          <w:sz w:val="30"/>
          <w:szCs w:val="30"/>
        </w:rPr>
        <w:t>第三章 采购需求</w:t>
      </w:r>
      <w:r>
        <w:rPr>
          <w:rFonts w:hint="eastAsia" w:ascii="宋体" w:hAnsi="宋体" w:cs="宋体"/>
          <w:color w:val="auto"/>
          <w:sz w:val="30"/>
          <w:szCs w:val="30"/>
        </w:rPr>
        <w:tab/>
      </w:r>
      <w:r>
        <w:rPr>
          <w:rFonts w:hint="eastAsia" w:ascii="宋体" w:hAnsi="宋体" w:cs="宋体"/>
          <w:color w:val="auto"/>
          <w:sz w:val="30"/>
          <w:szCs w:val="30"/>
          <w:lang w:val="en-US" w:eastAsia="zh-CN"/>
        </w:rPr>
        <w:t>2</w:t>
      </w:r>
      <w:r>
        <w:rPr>
          <w:rFonts w:hint="eastAsia" w:ascii="宋体" w:hAnsi="宋体" w:cs="宋体"/>
          <w:color w:val="auto"/>
          <w:sz w:val="30"/>
          <w:szCs w:val="30"/>
        </w:rPr>
        <w:fldChar w:fldCharType="end"/>
      </w:r>
      <w:r>
        <w:rPr>
          <w:rFonts w:hint="eastAsia" w:ascii="宋体" w:hAnsi="宋体" w:cs="宋体"/>
          <w:color w:val="auto"/>
          <w:sz w:val="30"/>
          <w:szCs w:val="30"/>
          <w:lang w:val="en-US" w:eastAsia="zh-CN"/>
        </w:rPr>
        <w:t>5</w:t>
      </w:r>
    </w:p>
    <w:p w14:paraId="4BE4E297">
      <w:pPr>
        <w:pStyle w:val="22"/>
        <w:tabs>
          <w:tab w:val="right" w:leader="dot" w:pos="10194"/>
        </w:tabs>
        <w:rPr>
          <w:rFonts w:ascii="宋体" w:hAnsi="宋体" w:cs="宋体"/>
          <w:color w:val="auto"/>
          <w:sz w:val="30"/>
          <w:szCs w:val="30"/>
        </w:rPr>
      </w:pPr>
      <w:r>
        <w:rPr>
          <w:color w:val="auto"/>
        </w:rPr>
        <w:fldChar w:fldCharType="begin"/>
      </w:r>
      <w:r>
        <w:rPr>
          <w:color w:val="auto"/>
        </w:rPr>
        <w:instrText xml:space="preserve"> HYPERLINK \l "_Toc24716" </w:instrText>
      </w:r>
      <w:r>
        <w:rPr>
          <w:color w:val="auto"/>
        </w:rPr>
        <w:fldChar w:fldCharType="separate"/>
      </w:r>
      <w:r>
        <w:rPr>
          <w:rFonts w:hint="eastAsia" w:ascii="宋体" w:hAnsi="宋体" w:cs="宋体"/>
          <w:color w:val="auto"/>
          <w:sz w:val="30"/>
          <w:szCs w:val="30"/>
        </w:rPr>
        <w:t>第四章评审办法</w:t>
      </w:r>
      <w:r>
        <w:rPr>
          <w:rFonts w:hint="eastAsia" w:ascii="宋体" w:hAnsi="宋体" w:cs="宋体"/>
          <w:color w:val="auto"/>
          <w:sz w:val="30"/>
          <w:szCs w:val="30"/>
        </w:rPr>
        <w:tab/>
      </w:r>
      <w:r>
        <w:rPr>
          <w:rFonts w:hint="eastAsia" w:ascii="宋体" w:hAnsi="宋体" w:cs="宋体"/>
          <w:color w:val="auto"/>
          <w:sz w:val="30"/>
          <w:szCs w:val="30"/>
          <w:lang w:val="en-US" w:eastAsia="zh-CN"/>
        </w:rPr>
        <w:t>2</w:t>
      </w:r>
      <w:r>
        <w:rPr>
          <w:rFonts w:hint="eastAsia" w:ascii="宋体" w:hAnsi="宋体" w:cs="宋体"/>
          <w:color w:val="auto"/>
          <w:sz w:val="30"/>
          <w:szCs w:val="30"/>
        </w:rPr>
        <w:fldChar w:fldCharType="end"/>
      </w:r>
      <w:r>
        <w:rPr>
          <w:rFonts w:hint="eastAsia" w:ascii="宋体" w:hAnsi="宋体" w:cs="宋体"/>
          <w:color w:val="auto"/>
          <w:sz w:val="30"/>
          <w:szCs w:val="30"/>
          <w:lang w:val="en-US" w:eastAsia="zh-CN"/>
        </w:rPr>
        <w:t>7</w:t>
      </w:r>
    </w:p>
    <w:p w14:paraId="18F9A5E6">
      <w:pPr>
        <w:pStyle w:val="22"/>
        <w:tabs>
          <w:tab w:val="right" w:leader="dot" w:pos="10194"/>
        </w:tabs>
        <w:rPr>
          <w:rFonts w:hint="eastAsia" w:ascii="宋体" w:hAnsi="宋体" w:eastAsia="宋体" w:cs="宋体"/>
          <w:color w:val="auto"/>
          <w:sz w:val="30"/>
          <w:szCs w:val="30"/>
          <w:lang w:eastAsia="zh-CN"/>
        </w:rPr>
      </w:pPr>
      <w:r>
        <w:rPr>
          <w:color w:val="auto"/>
        </w:rPr>
        <w:fldChar w:fldCharType="begin"/>
      </w:r>
      <w:r>
        <w:rPr>
          <w:color w:val="auto"/>
        </w:rPr>
        <w:instrText xml:space="preserve"> HYPERLINK \l "_Toc25360" </w:instrText>
      </w:r>
      <w:r>
        <w:rPr>
          <w:color w:val="auto"/>
        </w:rPr>
        <w:fldChar w:fldCharType="separate"/>
      </w:r>
      <w:r>
        <w:rPr>
          <w:rFonts w:hint="eastAsia" w:ascii="宋体" w:hAnsi="宋体" w:cs="宋体"/>
          <w:color w:val="auto"/>
          <w:sz w:val="30"/>
          <w:szCs w:val="30"/>
        </w:rPr>
        <w:t>第五章采购合同（合同主要条款及格式）</w:t>
      </w:r>
      <w:r>
        <w:rPr>
          <w:rFonts w:hint="eastAsia" w:ascii="宋体" w:hAnsi="宋体" w:cs="宋体"/>
          <w:color w:val="auto"/>
          <w:sz w:val="30"/>
          <w:szCs w:val="30"/>
        </w:rPr>
        <w:tab/>
      </w:r>
      <w:r>
        <w:rPr>
          <w:rFonts w:hint="eastAsia" w:ascii="宋体" w:hAnsi="宋体" w:cs="宋体"/>
          <w:color w:val="auto"/>
          <w:sz w:val="30"/>
          <w:szCs w:val="30"/>
        </w:rPr>
        <w:fldChar w:fldCharType="end"/>
      </w:r>
      <w:r>
        <w:rPr>
          <w:rFonts w:hint="eastAsia" w:ascii="宋体" w:hAnsi="宋体" w:cs="宋体"/>
          <w:bCs/>
          <w:color w:val="auto"/>
          <w:sz w:val="30"/>
          <w:szCs w:val="30"/>
        </w:rPr>
        <w:t>3</w:t>
      </w:r>
      <w:r>
        <w:rPr>
          <w:rFonts w:hint="eastAsia" w:ascii="宋体" w:hAnsi="宋体" w:cs="宋体"/>
          <w:bCs/>
          <w:color w:val="auto"/>
          <w:sz w:val="30"/>
          <w:szCs w:val="30"/>
          <w:lang w:val="en-US" w:eastAsia="zh-CN"/>
        </w:rPr>
        <w:t>1</w:t>
      </w:r>
    </w:p>
    <w:p w14:paraId="55F821C0">
      <w:pPr>
        <w:pStyle w:val="22"/>
        <w:tabs>
          <w:tab w:val="right" w:leader="dot" w:pos="10194"/>
        </w:tabs>
        <w:rPr>
          <w:rFonts w:hint="default" w:ascii="宋体" w:hAnsi="宋体" w:eastAsia="宋体" w:cs="宋体"/>
          <w:color w:val="auto"/>
          <w:sz w:val="30"/>
          <w:szCs w:val="30"/>
          <w:lang w:val="en-US" w:eastAsia="zh-CN"/>
        </w:rPr>
      </w:pPr>
      <w:r>
        <w:rPr>
          <w:color w:val="auto"/>
        </w:rPr>
        <w:fldChar w:fldCharType="begin"/>
      </w:r>
      <w:r>
        <w:rPr>
          <w:color w:val="auto"/>
        </w:rPr>
        <w:instrText xml:space="preserve"> HYPERLINK \l "_Toc16171" </w:instrText>
      </w:r>
      <w:r>
        <w:rPr>
          <w:color w:val="auto"/>
        </w:rPr>
        <w:fldChar w:fldCharType="separate"/>
      </w:r>
      <w:r>
        <w:rPr>
          <w:rFonts w:hint="eastAsia" w:ascii="宋体" w:hAnsi="宋体" w:cs="宋体"/>
          <w:color w:val="auto"/>
          <w:sz w:val="30"/>
          <w:szCs w:val="30"/>
        </w:rPr>
        <w:t>第六章 响应文件（格式）</w:t>
      </w:r>
      <w:r>
        <w:rPr>
          <w:rFonts w:hint="eastAsia" w:ascii="宋体" w:hAnsi="宋体" w:cs="宋体"/>
          <w:color w:val="auto"/>
          <w:sz w:val="30"/>
          <w:szCs w:val="30"/>
        </w:rPr>
        <w:tab/>
      </w:r>
      <w:r>
        <w:rPr>
          <w:rFonts w:hint="eastAsia" w:ascii="宋体" w:hAnsi="宋体" w:cs="宋体"/>
          <w:color w:val="auto"/>
          <w:sz w:val="30"/>
          <w:szCs w:val="30"/>
        </w:rPr>
        <w:fldChar w:fldCharType="end"/>
      </w:r>
      <w:r>
        <w:rPr>
          <w:rFonts w:hint="eastAsia" w:ascii="宋体" w:hAnsi="宋体" w:cs="宋体"/>
          <w:bCs/>
          <w:color w:val="auto"/>
          <w:sz w:val="30"/>
          <w:szCs w:val="30"/>
          <w:lang w:val="en-US" w:eastAsia="zh-CN"/>
        </w:rPr>
        <w:t>37</w:t>
      </w:r>
    </w:p>
    <w:p w14:paraId="1EEDBE2B">
      <w:pPr>
        <w:jc w:val="center"/>
        <w:rPr>
          <w:rFonts w:ascii="宋体" w:hAnsi="宋体" w:cs="宋体"/>
          <w:b/>
          <w:bCs/>
          <w:color w:val="auto"/>
          <w:sz w:val="32"/>
          <w:szCs w:val="32"/>
        </w:rPr>
      </w:pPr>
      <w:r>
        <w:rPr>
          <w:rFonts w:hint="eastAsia" w:ascii="宋体" w:hAnsi="宋体" w:cs="宋体"/>
          <w:bCs/>
          <w:color w:val="auto"/>
          <w:sz w:val="30"/>
          <w:szCs w:val="30"/>
        </w:rPr>
        <w:fldChar w:fldCharType="end"/>
      </w:r>
    </w:p>
    <w:p w14:paraId="76C21EF4">
      <w:pPr>
        <w:rPr>
          <w:rFonts w:ascii="宋体" w:hAnsi="宋体" w:cs="宋体"/>
          <w:b/>
          <w:bCs/>
          <w:color w:val="auto"/>
          <w:sz w:val="32"/>
          <w:szCs w:val="32"/>
        </w:rPr>
        <w:sectPr>
          <w:footerReference r:id="rId4" w:type="default"/>
          <w:pgSz w:w="11906" w:h="16838"/>
          <w:pgMar w:top="1440" w:right="935" w:bottom="1440" w:left="777" w:header="851" w:footer="992" w:gutter="0"/>
          <w:pgNumType w:fmt="numberInDash"/>
          <w:cols w:space="720" w:num="1"/>
          <w:docGrid w:type="linesAndChars" w:linePitch="312" w:charSpace="0"/>
        </w:sectPr>
      </w:pPr>
    </w:p>
    <w:p w14:paraId="4D0F8371">
      <w:pPr>
        <w:pStyle w:val="3"/>
        <w:numPr>
          <w:ilvl w:val="0"/>
          <w:numId w:val="1"/>
        </w:numPr>
        <w:rPr>
          <w:color w:val="auto"/>
        </w:rPr>
      </w:pPr>
      <w:bookmarkStart w:id="2" w:name="_Toc29067"/>
      <w:bookmarkStart w:id="3" w:name="_Toc26809"/>
      <w:bookmarkStart w:id="4" w:name="_Toc17502"/>
      <w:bookmarkStart w:id="5" w:name="_Toc28359011"/>
      <w:bookmarkStart w:id="6" w:name="_Toc30170"/>
      <w:bookmarkStart w:id="7" w:name="_Toc35393797"/>
      <w:r>
        <w:rPr>
          <w:rFonts w:hint="eastAsia"/>
          <w:color w:val="auto"/>
        </w:rPr>
        <w:t>竞争性磋商公告</w:t>
      </w:r>
      <w:bookmarkEnd w:id="2"/>
      <w:bookmarkEnd w:id="3"/>
      <w:bookmarkEnd w:id="4"/>
      <w:bookmarkEnd w:id="5"/>
      <w:bookmarkEnd w:id="6"/>
      <w:bookmarkEnd w:id="7"/>
    </w:p>
    <w:p w14:paraId="0A086469">
      <w:pPr>
        <w:spacing w:line="360" w:lineRule="exact"/>
        <w:rPr>
          <w:rFonts w:ascii="宋体" w:hAnsi="宋体" w:cs="宋体"/>
          <w:color w:val="auto"/>
        </w:rPr>
      </w:pPr>
    </w:p>
    <w:tbl>
      <w:tblPr>
        <w:tblStyle w:val="30"/>
        <w:tblpPr w:leftFromText="180" w:rightFromText="180" w:vertAnchor="text" w:tblpX="38" w:tblpY="134"/>
        <w:tblOverlap w:val="never"/>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14:paraId="4435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9620" w:type="dxa"/>
          </w:tcPr>
          <w:p w14:paraId="217CE42A">
            <w:pPr>
              <w:spacing w:line="360" w:lineRule="exact"/>
              <w:ind w:firstLine="420" w:firstLineChars="200"/>
              <w:rPr>
                <w:rFonts w:ascii="宋体" w:hAnsi="宋体" w:cs="宋体"/>
                <w:color w:val="auto"/>
                <w:szCs w:val="21"/>
              </w:rPr>
            </w:pPr>
            <w:r>
              <w:rPr>
                <w:rFonts w:hint="eastAsia" w:ascii="宋体" w:hAnsi="宋体" w:cs="宋体"/>
                <w:color w:val="auto"/>
                <w:szCs w:val="21"/>
              </w:rPr>
              <w:t>项目概况</w:t>
            </w:r>
          </w:p>
          <w:p w14:paraId="13E42A3B">
            <w:pPr>
              <w:spacing w:line="360" w:lineRule="exact"/>
              <w:ind w:firstLine="420" w:firstLineChars="200"/>
              <w:rPr>
                <w:rFonts w:ascii="宋体" w:hAnsi="宋体" w:cs="宋体"/>
                <w:color w:val="auto"/>
                <w:szCs w:val="21"/>
              </w:rPr>
            </w:pPr>
            <w:r>
              <w:rPr>
                <w:rFonts w:hint="eastAsia" w:ascii="宋体" w:hAnsi="宋体" w:cs="宋体"/>
                <w:color w:val="auto"/>
                <w:szCs w:val="21"/>
                <w:u w:val="single"/>
              </w:rPr>
              <w:t>医疗废物转运处理服务采购</w:t>
            </w:r>
            <w:r>
              <w:rPr>
                <w:rFonts w:hint="eastAsia" w:ascii="宋体" w:hAnsi="宋体" w:cs="宋体"/>
                <w:color w:val="auto"/>
                <w:szCs w:val="21"/>
              </w:rPr>
              <w:t>的潜在供应商应在“政采云”平台（https://www.zcygov.cn）获取磋商文件，并于</w:t>
            </w:r>
            <w:r>
              <w:rPr>
                <w:rFonts w:hint="eastAsia" w:ascii="宋体" w:hAnsi="宋体" w:cs="宋体"/>
                <w:color w:val="auto"/>
                <w:szCs w:val="21"/>
                <w:u w:val="single"/>
              </w:rPr>
              <w:t>2025年</w:t>
            </w:r>
            <w:r>
              <w:rPr>
                <w:rFonts w:hint="eastAsia" w:ascii="宋体" w:hAnsi="宋体" w:cs="宋体"/>
                <w:color w:val="auto"/>
                <w:szCs w:val="21"/>
                <w:u w:val="single"/>
                <w:lang w:val="en-US" w:eastAsia="zh-CN"/>
              </w:rPr>
              <w:t>4</w:t>
            </w:r>
            <w:r>
              <w:rPr>
                <w:rFonts w:hint="eastAsia" w:ascii="宋体" w:hAnsi="宋体" w:cs="宋体"/>
                <w:color w:val="auto"/>
                <w:szCs w:val="21"/>
                <w:u w:val="single"/>
              </w:rPr>
              <w:t>月</w:t>
            </w:r>
            <w:r>
              <w:rPr>
                <w:rFonts w:hint="eastAsia" w:ascii="宋体" w:hAnsi="宋体" w:cs="宋体"/>
                <w:color w:val="auto"/>
                <w:szCs w:val="21"/>
                <w:u w:val="single"/>
                <w:lang w:val="en-US" w:eastAsia="zh-CN"/>
              </w:rPr>
              <w:t>10</w:t>
            </w:r>
            <w:r>
              <w:rPr>
                <w:rFonts w:hint="eastAsia" w:ascii="宋体" w:hAnsi="宋体" w:cs="宋体"/>
                <w:color w:val="auto"/>
                <w:szCs w:val="21"/>
                <w:u w:val="single"/>
              </w:rPr>
              <w:t>日</w:t>
            </w:r>
            <w:r>
              <w:rPr>
                <w:rFonts w:hint="eastAsia" w:ascii="宋体" w:hAnsi="宋体" w:cs="宋体"/>
                <w:bCs/>
                <w:color w:val="auto"/>
                <w:szCs w:val="21"/>
                <w:u w:val="single"/>
              </w:rPr>
              <w:t>9时30分</w:t>
            </w:r>
            <w:r>
              <w:rPr>
                <w:rFonts w:hint="eastAsia" w:ascii="宋体" w:hAnsi="宋体" w:cs="宋体"/>
                <w:bCs/>
                <w:color w:val="auto"/>
                <w:szCs w:val="21"/>
              </w:rPr>
              <w:t>（北京时间）前提交响应文件</w:t>
            </w:r>
            <w:r>
              <w:rPr>
                <w:rFonts w:hint="eastAsia" w:ascii="宋体" w:hAnsi="宋体" w:cs="宋体"/>
                <w:color w:val="auto"/>
                <w:szCs w:val="21"/>
              </w:rPr>
              <w:t>。</w:t>
            </w:r>
          </w:p>
        </w:tc>
      </w:tr>
    </w:tbl>
    <w:p w14:paraId="3B74CDD3">
      <w:pPr>
        <w:spacing w:line="360" w:lineRule="exact"/>
        <w:rPr>
          <w:rFonts w:ascii="宋体" w:hAnsi="宋体" w:cs="宋体"/>
          <w:color w:val="auto"/>
          <w:szCs w:val="21"/>
        </w:rPr>
      </w:pPr>
      <w:bookmarkStart w:id="8" w:name="_Toc35393629"/>
      <w:bookmarkStart w:id="9" w:name="_Toc28359012"/>
      <w:bookmarkStart w:id="10" w:name="_Toc28359089"/>
      <w:bookmarkStart w:id="11" w:name="_Toc35393798"/>
      <w:r>
        <w:rPr>
          <w:rFonts w:hint="eastAsia" w:ascii="宋体" w:hAnsi="宋体" w:cs="宋体"/>
          <w:color w:val="auto"/>
          <w:szCs w:val="21"/>
        </w:rPr>
        <w:t>一、项目基本情况</w:t>
      </w:r>
      <w:bookmarkEnd w:id="8"/>
      <w:bookmarkEnd w:id="9"/>
      <w:bookmarkEnd w:id="10"/>
      <w:bookmarkEnd w:id="11"/>
    </w:p>
    <w:p w14:paraId="4AEC6FF8">
      <w:pPr>
        <w:spacing w:line="360" w:lineRule="exact"/>
        <w:ind w:firstLine="420" w:firstLineChars="200"/>
        <w:rPr>
          <w:rFonts w:ascii="宋体" w:hAnsi="宋体" w:cs="宋体"/>
          <w:color w:val="auto"/>
          <w:szCs w:val="21"/>
        </w:rPr>
      </w:pPr>
      <w:r>
        <w:rPr>
          <w:rFonts w:hint="eastAsia" w:ascii="宋体" w:hAnsi="宋体" w:cs="宋体"/>
          <w:color w:val="auto"/>
          <w:szCs w:val="21"/>
        </w:rPr>
        <w:t>项目编号： GLZC2025-C3-990113-OBGC</w:t>
      </w:r>
    </w:p>
    <w:p w14:paraId="5D9D79E2">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项目名称：医疗废物转运处理服务采购</w:t>
      </w:r>
    </w:p>
    <w:p w14:paraId="2D413D45">
      <w:pPr>
        <w:spacing w:line="360" w:lineRule="exact"/>
        <w:ind w:firstLine="420" w:firstLineChars="200"/>
        <w:rPr>
          <w:rFonts w:ascii="宋体" w:hAnsi="宋体" w:cs="宋体"/>
          <w:color w:val="auto"/>
          <w:szCs w:val="21"/>
        </w:rPr>
      </w:pPr>
      <w:r>
        <w:rPr>
          <w:rFonts w:hint="eastAsia" w:ascii="宋体" w:hAnsi="宋体" w:cs="宋体"/>
          <w:color w:val="auto"/>
          <w:szCs w:val="21"/>
        </w:rPr>
        <w:t>采购方式：竞争性磋商</w:t>
      </w:r>
    </w:p>
    <w:p w14:paraId="62351F7F">
      <w:pPr>
        <w:spacing w:line="360" w:lineRule="exact"/>
        <w:ind w:firstLine="420" w:firstLineChars="200"/>
        <w:rPr>
          <w:rFonts w:ascii="宋体" w:hAnsi="宋体" w:cs="宋体"/>
          <w:color w:val="auto"/>
          <w:szCs w:val="21"/>
        </w:rPr>
      </w:pPr>
      <w:r>
        <w:rPr>
          <w:rFonts w:hint="eastAsia" w:ascii="宋体" w:hAnsi="宋体" w:cs="宋体"/>
          <w:color w:val="auto"/>
          <w:szCs w:val="21"/>
        </w:rPr>
        <w:t>预算金额：柒拾壹万壹仟柒佰伍拾元整（¥711750.00元）</w:t>
      </w:r>
      <w:r>
        <w:rPr>
          <w:rFonts w:hint="eastAsia" w:ascii="宋体" w:hAnsi="宋体" w:eastAsia="宋体" w:cs="宋体"/>
          <w:color w:val="auto"/>
          <w:szCs w:val="21"/>
        </w:rPr>
        <w:t>/</w:t>
      </w:r>
      <w:r>
        <w:rPr>
          <w:rFonts w:hint="eastAsia" w:ascii="宋体" w:hAnsi="宋体" w:cs="宋体"/>
          <w:color w:val="auto"/>
          <w:szCs w:val="21"/>
          <w:lang w:eastAsia="zh-CN"/>
        </w:rPr>
        <w:t>年</w:t>
      </w:r>
      <w:r>
        <w:rPr>
          <w:rFonts w:hint="eastAsia" w:ascii="宋体" w:hAnsi="宋体" w:cs="宋体"/>
          <w:color w:val="auto"/>
          <w:szCs w:val="21"/>
        </w:rPr>
        <w:t>，处置费按3元/床/日，拟按照650张床位结算。</w:t>
      </w:r>
    </w:p>
    <w:p w14:paraId="01397B5D">
      <w:pPr>
        <w:spacing w:line="360" w:lineRule="exact"/>
        <w:ind w:firstLine="420" w:firstLineChars="200"/>
        <w:rPr>
          <w:rFonts w:ascii="宋体" w:hAnsi="宋体" w:cs="宋体"/>
          <w:color w:val="auto"/>
          <w:szCs w:val="21"/>
          <w:u w:val="single"/>
        </w:rPr>
      </w:pPr>
      <w:r>
        <w:rPr>
          <w:rFonts w:hint="eastAsia" w:ascii="宋体" w:hAnsi="宋体" w:cs="宋体"/>
          <w:color w:val="auto"/>
          <w:szCs w:val="21"/>
        </w:rPr>
        <w:t>最高控制价：</w:t>
      </w:r>
      <w:bookmarkStart w:id="12" w:name="OLE_LINK4"/>
      <w:r>
        <w:rPr>
          <w:rFonts w:hint="eastAsia" w:ascii="宋体" w:hAnsi="宋体" w:cs="宋体"/>
          <w:color w:val="auto"/>
          <w:szCs w:val="21"/>
        </w:rPr>
        <w:t>柒拾壹万壹仟柒佰伍拾元整（¥711750.00元）</w:t>
      </w:r>
      <w:r>
        <w:rPr>
          <w:rFonts w:hint="eastAsia" w:ascii="宋体" w:hAnsi="宋体" w:eastAsia="宋体" w:cs="宋体"/>
          <w:color w:val="auto"/>
          <w:szCs w:val="21"/>
        </w:rPr>
        <w:t>/</w:t>
      </w:r>
      <w:r>
        <w:rPr>
          <w:rFonts w:hint="eastAsia" w:ascii="宋体" w:hAnsi="宋体" w:cs="宋体"/>
          <w:color w:val="auto"/>
          <w:szCs w:val="21"/>
          <w:lang w:eastAsia="zh-CN"/>
        </w:rPr>
        <w:t>年</w:t>
      </w:r>
      <w:r>
        <w:rPr>
          <w:rFonts w:hint="eastAsia" w:ascii="宋体" w:hAnsi="宋体" w:cs="宋体"/>
          <w:color w:val="auto"/>
          <w:szCs w:val="21"/>
        </w:rPr>
        <w:t>，</w:t>
      </w:r>
      <w:bookmarkEnd w:id="12"/>
      <w:r>
        <w:rPr>
          <w:rFonts w:hint="eastAsia" w:ascii="宋体" w:hAnsi="宋体" w:cs="宋体"/>
          <w:color w:val="auto"/>
          <w:szCs w:val="21"/>
        </w:rPr>
        <w:t>处置费按3元/床/日，拟按照650张床位结算。</w:t>
      </w:r>
      <w:r>
        <w:rPr>
          <w:rFonts w:hint="eastAsia" w:ascii="宋体" w:hAnsi="宋体" w:cs="宋体"/>
          <w:b/>
          <w:bCs/>
          <w:color w:val="auto"/>
          <w:szCs w:val="21"/>
        </w:rPr>
        <w:t>采购需求</w:t>
      </w:r>
      <w:r>
        <w:rPr>
          <w:rFonts w:hint="eastAsia" w:ascii="宋体" w:hAnsi="宋体" w:cs="宋体"/>
          <w:color w:val="auto"/>
          <w:szCs w:val="21"/>
        </w:rPr>
        <w:t>：</w:t>
      </w:r>
    </w:p>
    <w:tbl>
      <w:tblPr>
        <w:tblStyle w:val="29"/>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2"/>
        <w:gridCol w:w="1039"/>
        <w:gridCol w:w="1114"/>
        <w:gridCol w:w="3499"/>
      </w:tblGrid>
      <w:tr w14:paraId="113D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42" w:type="dxa"/>
            <w:tcBorders>
              <w:top w:val="single" w:color="auto" w:sz="4" w:space="0"/>
              <w:left w:val="single" w:color="auto" w:sz="4" w:space="0"/>
              <w:bottom w:val="single" w:color="auto" w:sz="4" w:space="0"/>
              <w:right w:val="single" w:color="auto" w:sz="4" w:space="0"/>
            </w:tcBorders>
            <w:vAlign w:val="center"/>
          </w:tcPr>
          <w:p w14:paraId="79F1EB2E">
            <w:pPr>
              <w:spacing w:line="360" w:lineRule="exact"/>
              <w:jc w:val="center"/>
              <w:rPr>
                <w:rFonts w:ascii="宋体" w:hAnsi="宋体" w:cs="宋体"/>
                <w:color w:val="auto"/>
                <w:szCs w:val="21"/>
              </w:rPr>
            </w:pPr>
            <w:r>
              <w:rPr>
                <w:rFonts w:hint="eastAsia" w:ascii="宋体" w:hAnsi="宋体" w:cs="宋体"/>
                <w:color w:val="auto"/>
                <w:szCs w:val="21"/>
              </w:rPr>
              <w:t>服务名称</w:t>
            </w:r>
          </w:p>
        </w:tc>
        <w:tc>
          <w:tcPr>
            <w:tcW w:w="1039" w:type="dxa"/>
            <w:tcBorders>
              <w:top w:val="single" w:color="auto" w:sz="4" w:space="0"/>
              <w:left w:val="nil"/>
              <w:bottom w:val="single" w:color="auto" w:sz="4" w:space="0"/>
              <w:right w:val="single" w:color="auto" w:sz="4" w:space="0"/>
            </w:tcBorders>
            <w:vAlign w:val="center"/>
          </w:tcPr>
          <w:p w14:paraId="7801F8CE">
            <w:pPr>
              <w:spacing w:line="360" w:lineRule="exact"/>
              <w:jc w:val="center"/>
              <w:rPr>
                <w:rFonts w:ascii="宋体" w:hAnsi="宋体" w:cs="宋体"/>
                <w:color w:val="auto"/>
                <w:szCs w:val="21"/>
              </w:rPr>
            </w:pPr>
            <w:r>
              <w:rPr>
                <w:rFonts w:hint="eastAsia" w:ascii="宋体" w:hAnsi="宋体" w:cs="宋体"/>
                <w:color w:val="auto"/>
                <w:szCs w:val="21"/>
              </w:rPr>
              <w:t>数量</w:t>
            </w:r>
          </w:p>
        </w:tc>
        <w:tc>
          <w:tcPr>
            <w:tcW w:w="1114" w:type="dxa"/>
            <w:tcBorders>
              <w:top w:val="single" w:color="auto" w:sz="4" w:space="0"/>
              <w:left w:val="nil"/>
              <w:bottom w:val="single" w:color="auto" w:sz="4" w:space="0"/>
              <w:right w:val="single" w:color="auto" w:sz="4" w:space="0"/>
            </w:tcBorders>
            <w:vAlign w:val="center"/>
          </w:tcPr>
          <w:p w14:paraId="7C9E6056">
            <w:pPr>
              <w:spacing w:line="360" w:lineRule="exact"/>
              <w:rPr>
                <w:rFonts w:ascii="宋体" w:hAnsi="宋体" w:cs="宋体"/>
                <w:color w:val="auto"/>
                <w:szCs w:val="21"/>
              </w:rPr>
            </w:pPr>
            <w:r>
              <w:rPr>
                <w:rFonts w:hint="eastAsia" w:ascii="宋体" w:hAnsi="宋体" w:cs="宋体"/>
                <w:color w:val="auto"/>
                <w:szCs w:val="21"/>
              </w:rPr>
              <w:t>单位</w:t>
            </w:r>
          </w:p>
        </w:tc>
        <w:tc>
          <w:tcPr>
            <w:tcW w:w="3499" w:type="dxa"/>
            <w:tcBorders>
              <w:top w:val="single" w:color="auto" w:sz="4" w:space="0"/>
              <w:left w:val="nil"/>
              <w:bottom w:val="single" w:color="auto" w:sz="4" w:space="0"/>
              <w:right w:val="single" w:color="auto" w:sz="4" w:space="0"/>
            </w:tcBorders>
            <w:vAlign w:val="center"/>
          </w:tcPr>
          <w:p w14:paraId="43A1AF23">
            <w:pPr>
              <w:spacing w:line="360" w:lineRule="exact"/>
              <w:jc w:val="center"/>
              <w:rPr>
                <w:rFonts w:ascii="宋体" w:hAnsi="宋体" w:cs="宋体"/>
                <w:color w:val="auto"/>
                <w:szCs w:val="21"/>
              </w:rPr>
            </w:pPr>
            <w:r>
              <w:rPr>
                <w:rFonts w:hint="eastAsia" w:ascii="宋体" w:hAnsi="宋体" w:cs="宋体"/>
                <w:color w:val="auto"/>
                <w:szCs w:val="21"/>
              </w:rPr>
              <w:t>简要规格描述或项目基本概况</w:t>
            </w:r>
          </w:p>
          <w:p w14:paraId="1A449BE0">
            <w:pPr>
              <w:spacing w:line="360" w:lineRule="exact"/>
              <w:jc w:val="center"/>
              <w:rPr>
                <w:rFonts w:ascii="宋体" w:hAnsi="宋体" w:cs="宋体"/>
                <w:color w:val="auto"/>
                <w:szCs w:val="21"/>
              </w:rPr>
            </w:pPr>
            <w:r>
              <w:rPr>
                <w:rFonts w:hint="eastAsia" w:ascii="宋体" w:hAnsi="宋体" w:cs="宋体"/>
                <w:color w:val="auto"/>
                <w:szCs w:val="21"/>
              </w:rPr>
              <w:t>介绍、用途</w:t>
            </w:r>
          </w:p>
        </w:tc>
      </w:tr>
      <w:tr w14:paraId="2951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exact"/>
          <w:jc w:val="center"/>
        </w:trPr>
        <w:tc>
          <w:tcPr>
            <w:tcW w:w="3342" w:type="dxa"/>
            <w:tcBorders>
              <w:top w:val="single" w:color="auto" w:sz="4" w:space="0"/>
              <w:left w:val="single" w:color="auto" w:sz="4" w:space="0"/>
              <w:bottom w:val="single" w:color="auto" w:sz="4" w:space="0"/>
              <w:right w:val="single" w:color="auto" w:sz="4" w:space="0"/>
            </w:tcBorders>
            <w:vAlign w:val="center"/>
          </w:tcPr>
          <w:p w14:paraId="3906C744">
            <w:pPr>
              <w:spacing w:line="360" w:lineRule="exact"/>
              <w:jc w:val="center"/>
              <w:rPr>
                <w:rFonts w:ascii="宋体" w:hAnsi="宋体" w:cs="宋体"/>
                <w:color w:val="auto"/>
                <w:szCs w:val="21"/>
              </w:rPr>
            </w:pPr>
            <w:r>
              <w:rPr>
                <w:rFonts w:hint="eastAsia" w:ascii="宋体" w:hAnsi="宋体" w:cs="宋体"/>
                <w:color w:val="auto"/>
                <w:szCs w:val="21"/>
              </w:rPr>
              <w:t>医疗废物转运处理服务采购</w:t>
            </w:r>
          </w:p>
        </w:tc>
        <w:tc>
          <w:tcPr>
            <w:tcW w:w="1039" w:type="dxa"/>
            <w:tcBorders>
              <w:top w:val="single" w:color="auto" w:sz="4" w:space="0"/>
              <w:left w:val="nil"/>
              <w:bottom w:val="single" w:color="auto" w:sz="4" w:space="0"/>
              <w:right w:val="single" w:color="auto" w:sz="4" w:space="0"/>
            </w:tcBorders>
            <w:vAlign w:val="center"/>
          </w:tcPr>
          <w:p w14:paraId="23E17653">
            <w:pPr>
              <w:spacing w:line="360" w:lineRule="exact"/>
              <w:jc w:val="center"/>
              <w:rPr>
                <w:rFonts w:ascii="宋体" w:hAnsi="宋体" w:cs="宋体"/>
                <w:color w:val="auto"/>
                <w:szCs w:val="21"/>
              </w:rPr>
            </w:pPr>
            <w:r>
              <w:rPr>
                <w:rFonts w:hint="eastAsia" w:ascii="宋体" w:hAnsi="宋体" w:cs="宋体"/>
                <w:color w:val="auto"/>
                <w:szCs w:val="21"/>
              </w:rPr>
              <w:t>1</w:t>
            </w:r>
          </w:p>
        </w:tc>
        <w:tc>
          <w:tcPr>
            <w:tcW w:w="1114" w:type="dxa"/>
            <w:tcBorders>
              <w:top w:val="single" w:color="auto" w:sz="4" w:space="0"/>
              <w:left w:val="nil"/>
              <w:bottom w:val="single" w:color="auto" w:sz="4" w:space="0"/>
              <w:right w:val="single" w:color="auto" w:sz="4" w:space="0"/>
            </w:tcBorders>
            <w:vAlign w:val="center"/>
          </w:tcPr>
          <w:p w14:paraId="35BC4E6F">
            <w:pPr>
              <w:spacing w:line="360" w:lineRule="exact"/>
              <w:jc w:val="center"/>
              <w:rPr>
                <w:rFonts w:ascii="宋体" w:hAnsi="宋体" w:cs="宋体"/>
                <w:color w:val="auto"/>
                <w:szCs w:val="21"/>
              </w:rPr>
            </w:pPr>
            <w:r>
              <w:rPr>
                <w:rFonts w:hint="eastAsia" w:ascii="宋体" w:hAnsi="宋体" w:cs="宋体"/>
                <w:color w:val="auto"/>
                <w:szCs w:val="21"/>
              </w:rPr>
              <w:t>项</w:t>
            </w:r>
          </w:p>
        </w:tc>
        <w:tc>
          <w:tcPr>
            <w:tcW w:w="3499" w:type="dxa"/>
            <w:tcBorders>
              <w:top w:val="single" w:color="auto" w:sz="4" w:space="0"/>
              <w:left w:val="nil"/>
              <w:bottom w:val="single" w:color="auto" w:sz="4" w:space="0"/>
              <w:right w:val="single" w:color="auto" w:sz="4" w:space="0"/>
            </w:tcBorders>
            <w:vAlign w:val="center"/>
          </w:tcPr>
          <w:p w14:paraId="1EEF8453">
            <w:pPr>
              <w:spacing w:line="360" w:lineRule="exact"/>
              <w:jc w:val="center"/>
              <w:rPr>
                <w:rFonts w:ascii="宋体" w:hAnsi="宋体" w:cs="宋体"/>
                <w:color w:val="auto"/>
                <w:szCs w:val="21"/>
              </w:rPr>
            </w:pPr>
            <w:r>
              <w:rPr>
                <w:rFonts w:hint="eastAsia" w:ascii="宋体" w:hAnsi="宋体" w:cs="宋体"/>
                <w:color w:val="auto"/>
                <w:szCs w:val="21"/>
              </w:rPr>
              <w:t>医疗废物转运处理服务。</w:t>
            </w:r>
          </w:p>
        </w:tc>
      </w:tr>
    </w:tbl>
    <w:p w14:paraId="7FF16AC4">
      <w:pPr>
        <w:spacing w:line="360" w:lineRule="exact"/>
        <w:ind w:firstLine="420" w:firstLineChars="200"/>
        <w:rPr>
          <w:rFonts w:ascii="宋体" w:hAnsi="宋体" w:cs="宋体"/>
          <w:color w:val="auto"/>
          <w:szCs w:val="21"/>
        </w:rPr>
      </w:pPr>
      <w:r>
        <w:rPr>
          <w:rFonts w:hint="eastAsia" w:ascii="宋体" w:hAnsi="宋体" w:cs="宋体"/>
          <w:color w:val="auto"/>
          <w:szCs w:val="21"/>
        </w:rPr>
        <w:t>采购需求的详细内容，详见竞争性磋商文件。</w:t>
      </w:r>
    </w:p>
    <w:p w14:paraId="01064870">
      <w:pPr>
        <w:spacing w:line="360" w:lineRule="exact"/>
        <w:ind w:firstLine="420" w:firstLineChars="200"/>
        <w:rPr>
          <w:rFonts w:ascii="宋体" w:hAnsi="宋体" w:cs="宋体"/>
          <w:color w:val="auto"/>
          <w:szCs w:val="21"/>
        </w:rPr>
      </w:pPr>
      <w:r>
        <w:rPr>
          <w:rFonts w:hint="eastAsia" w:ascii="宋体" w:hAnsi="宋体" w:cs="宋体"/>
          <w:color w:val="auto"/>
          <w:szCs w:val="21"/>
        </w:rPr>
        <w:t>合同履行期限：</w:t>
      </w:r>
      <w:r>
        <w:rPr>
          <w:rFonts w:hint="eastAsia" w:ascii="宋体" w:hAnsi="宋体" w:cs="宋体"/>
          <w:color w:val="auto"/>
          <w:szCs w:val="21"/>
          <w:u w:val="single"/>
        </w:rPr>
        <w:t>自签订合同之日起</w:t>
      </w:r>
      <w:r>
        <w:rPr>
          <w:rFonts w:hint="eastAsia" w:ascii="宋体" w:hAnsi="宋体" w:cs="宋体"/>
          <w:color w:val="auto"/>
          <w:szCs w:val="21"/>
          <w:u w:val="single"/>
          <w:lang w:val="en-US" w:eastAsia="zh-CN"/>
        </w:rPr>
        <w:t>1+1</w:t>
      </w:r>
      <w:r>
        <w:rPr>
          <w:rFonts w:hint="eastAsia" w:ascii="宋体" w:hAnsi="宋体" w:cs="宋体"/>
          <w:color w:val="auto"/>
          <w:szCs w:val="21"/>
          <w:u w:val="single"/>
        </w:rPr>
        <w:t xml:space="preserve">年（365天）； 服务期限内每天8:30－17:30 </w:t>
      </w:r>
      <w:r>
        <w:rPr>
          <w:rFonts w:hint="eastAsia" w:ascii="宋体" w:hAnsi="宋体" w:cs="宋体"/>
          <w:color w:val="auto"/>
          <w:szCs w:val="21"/>
          <w:u w:val="single"/>
          <w:lang w:val="en-US" w:eastAsia="zh-CN"/>
        </w:rPr>
        <w:t>.成交人第1年合同期满，经采购人综合评定履约过程服务质量良好的可续签第2年合同</w:t>
      </w:r>
      <w:r>
        <w:rPr>
          <w:rFonts w:hint="eastAsia" w:ascii="宋体" w:hAnsi="宋体" w:cs="宋体"/>
          <w:color w:val="auto"/>
          <w:szCs w:val="21"/>
        </w:rPr>
        <w:t>。</w:t>
      </w:r>
    </w:p>
    <w:p w14:paraId="3B5D13F3">
      <w:pPr>
        <w:spacing w:line="360" w:lineRule="exact"/>
        <w:ind w:firstLine="422" w:firstLineChars="200"/>
        <w:rPr>
          <w:rFonts w:ascii="宋体" w:hAnsi="宋体" w:cs="宋体"/>
          <w:b/>
          <w:bCs/>
          <w:color w:val="auto"/>
          <w:szCs w:val="21"/>
        </w:rPr>
      </w:pPr>
      <w:r>
        <w:rPr>
          <w:rFonts w:hint="eastAsia" w:ascii="宋体" w:hAnsi="宋体" w:cs="宋体"/>
          <w:b/>
          <w:bCs/>
          <w:color w:val="auto"/>
          <w:szCs w:val="21"/>
        </w:rPr>
        <w:t>本项目不接受联合体参与磋商。</w:t>
      </w:r>
    </w:p>
    <w:p w14:paraId="34B74445">
      <w:pPr>
        <w:spacing w:line="360" w:lineRule="exact"/>
        <w:rPr>
          <w:rFonts w:ascii="宋体" w:hAnsi="宋体" w:cs="宋体"/>
          <w:color w:val="auto"/>
          <w:szCs w:val="21"/>
        </w:rPr>
      </w:pPr>
      <w:bookmarkStart w:id="13" w:name="_Toc35393630"/>
      <w:bookmarkStart w:id="14" w:name="_Toc28359013"/>
      <w:bookmarkStart w:id="15" w:name="_Toc35393799"/>
      <w:bookmarkStart w:id="16" w:name="_Toc28359090"/>
      <w:r>
        <w:rPr>
          <w:rFonts w:hint="eastAsia" w:ascii="宋体" w:hAnsi="宋体" w:cs="宋体"/>
          <w:color w:val="auto"/>
          <w:szCs w:val="21"/>
        </w:rPr>
        <w:t>二、申请人的资格要求：</w:t>
      </w:r>
      <w:bookmarkEnd w:id="13"/>
      <w:bookmarkEnd w:id="14"/>
      <w:bookmarkEnd w:id="15"/>
      <w:bookmarkEnd w:id="16"/>
    </w:p>
    <w:p w14:paraId="7861834C">
      <w:pPr>
        <w:spacing w:line="360" w:lineRule="exact"/>
        <w:ind w:firstLine="420" w:firstLineChars="200"/>
        <w:rPr>
          <w:rFonts w:ascii="宋体" w:hAnsi="宋体" w:cs="宋体"/>
          <w:color w:val="auto"/>
          <w:szCs w:val="21"/>
        </w:rPr>
      </w:pPr>
      <w:r>
        <w:rPr>
          <w:rFonts w:hint="eastAsia" w:ascii="宋体" w:hAnsi="宋体" w:cs="宋体"/>
          <w:color w:val="auto"/>
          <w:szCs w:val="21"/>
        </w:rPr>
        <w:t>1.满足《中华人民共和国政府采购法》第二十二条规定；</w:t>
      </w:r>
    </w:p>
    <w:p w14:paraId="6DB7A2F8">
      <w:pPr>
        <w:spacing w:line="360" w:lineRule="exact"/>
        <w:ind w:firstLine="420" w:firstLineChars="200"/>
        <w:rPr>
          <w:rFonts w:ascii="宋体" w:hAnsi="宋体" w:cs="宋体"/>
          <w:color w:val="auto"/>
          <w:szCs w:val="21"/>
        </w:rPr>
      </w:pPr>
      <w:r>
        <w:rPr>
          <w:rFonts w:hint="eastAsia" w:ascii="宋体" w:hAnsi="宋体" w:cs="宋体"/>
          <w:color w:val="auto"/>
          <w:szCs w:val="21"/>
        </w:rPr>
        <w:t>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27D31D2B">
      <w:pPr>
        <w:spacing w:line="360" w:lineRule="exact"/>
        <w:ind w:firstLine="420" w:firstLineChars="200"/>
        <w:rPr>
          <w:rFonts w:ascii="宋体" w:hAnsi="宋体" w:cs="宋体"/>
          <w:b/>
          <w:bCs/>
          <w:color w:val="auto"/>
          <w:szCs w:val="21"/>
        </w:rPr>
      </w:pPr>
      <w:bookmarkStart w:id="17" w:name="_Toc28359014"/>
      <w:bookmarkStart w:id="18" w:name="_Toc28359091"/>
      <w:r>
        <w:rPr>
          <w:rFonts w:hint="eastAsia" w:ascii="宋体" w:hAnsi="宋体" w:cs="宋体"/>
          <w:color w:val="auto"/>
          <w:szCs w:val="21"/>
        </w:rPr>
        <w:t>3.落实政府采购政策需满足的资格要求：</w:t>
      </w:r>
      <w:r>
        <w:rPr>
          <w:rFonts w:hint="eastAsia" w:ascii="宋体" w:hAnsi="宋体" w:cs="宋体"/>
          <w:color w:val="auto"/>
          <w:kern w:val="0"/>
          <w:szCs w:val="21"/>
        </w:rPr>
        <w:t>无</w:t>
      </w:r>
      <w:r>
        <w:rPr>
          <w:rFonts w:hint="eastAsia" w:ascii="宋体" w:hAnsi="宋体" w:cs="宋体"/>
          <w:color w:val="auto"/>
          <w:szCs w:val="21"/>
        </w:rPr>
        <w:t>。</w:t>
      </w:r>
    </w:p>
    <w:p w14:paraId="748F91DF">
      <w:pPr>
        <w:spacing w:line="360" w:lineRule="exact"/>
        <w:ind w:firstLine="420" w:firstLineChars="200"/>
        <w:rPr>
          <w:rFonts w:ascii="宋体" w:hAnsi="宋体" w:cs="宋体"/>
          <w:color w:val="auto"/>
          <w:szCs w:val="21"/>
        </w:rPr>
      </w:pPr>
      <w:r>
        <w:rPr>
          <w:rFonts w:hint="eastAsia" w:ascii="宋体" w:hAnsi="宋体" w:cs="宋体"/>
          <w:color w:val="auto"/>
          <w:szCs w:val="21"/>
        </w:rPr>
        <w:t>4.本项目的特定资格要求：</w:t>
      </w:r>
      <w:bookmarkStart w:id="19" w:name="_Toc35393800"/>
      <w:bookmarkStart w:id="20" w:name="_Toc35393631"/>
    </w:p>
    <w:p w14:paraId="3F65BE49">
      <w:pPr>
        <w:spacing w:line="360" w:lineRule="auto"/>
        <w:ind w:firstLine="420" w:firstLineChars="200"/>
        <w:rPr>
          <w:rFonts w:ascii="宋体" w:hAnsi="宋体" w:cs="宋体"/>
          <w:color w:val="auto"/>
          <w:szCs w:val="21"/>
        </w:rPr>
      </w:pPr>
      <w:r>
        <w:rPr>
          <w:rFonts w:hint="eastAsia" w:ascii="宋体" w:hAnsi="宋体" w:cs="宋体"/>
          <w:color w:val="auto"/>
          <w:szCs w:val="21"/>
        </w:rPr>
        <w:t>4.1具有《危险废物经营许可证》医疗废物HW01资质，具备收集、贮存、处置经营资质，包含感染性医疗废物、损伤性医疗废物、病理性医疗废物、化学性医疗废物、药物性医疗废物。</w:t>
      </w:r>
    </w:p>
    <w:p w14:paraId="49A3AAC1">
      <w:pPr>
        <w:spacing w:line="360" w:lineRule="auto"/>
        <w:ind w:firstLine="420" w:firstLineChars="200"/>
        <w:rPr>
          <w:rFonts w:ascii="宋体" w:hAnsi="宋体" w:cs="宋体"/>
          <w:color w:val="auto"/>
          <w:szCs w:val="21"/>
        </w:rPr>
      </w:pPr>
      <w:r>
        <w:rPr>
          <w:rFonts w:hint="eastAsia" w:ascii="宋体" w:hAnsi="宋体" w:cs="宋体"/>
          <w:color w:val="auto"/>
          <w:szCs w:val="21"/>
        </w:rPr>
        <w:t>4.2提供《道路运输经营许可证》，经营范围含危险货物运输（医疗废物）。</w:t>
      </w:r>
    </w:p>
    <w:p w14:paraId="113A0B04">
      <w:pPr>
        <w:widowControl/>
        <w:shd w:val="clear" w:color="auto" w:fill="FFFFFF"/>
        <w:spacing w:line="360" w:lineRule="atLeast"/>
        <w:ind w:firstLine="420"/>
        <w:jc w:val="left"/>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4.3拟投入收集、运输人员：</w:t>
      </w:r>
      <w:bookmarkStart w:id="21" w:name="OLE_LINK6"/>
      <w:r>
        <w:rPr>
          <w:rFonts w:hint="eastAsia" w:ascii="宋体" w:hAnsi="宋体" w:cs="宋体"/>
          <w:color w:val="auto"/>
          <w:kern w:val="0"/>
          <w:szCs w:val="21"/>
          <w:shd w:val="clear" w:color="auto" w:fill="FFFFFF"/>
        </w:rPr>
        <w:t>服务本项目人员</w:t>
      </w:r>
      <w:bookmarkEnd w:id="21"/>
      <w:r>
        <w:rPr>
          <w:rFonts w:hint="eastAsia" w:ascii="宋体" w:hAnsi="宋体" w:cs="宋体"/>
          <w:color w:val="auto"/>
          <w:kern w:val="0"/>
          <w:szCs w:val="21"/>
          <w:shd w:val="clear" w:color="auto" w:fill="FFFFFF"/>
        </w:rPr>
        <w:t>必须同时具有危险货物运输驾驶员、押运人员从业资格证双证。提供证件扫描件等证明材料。</w:t>
      </w:r>
    </w:p>
    <w:p w14:paraId="462C513F">
      <w:pPr>
        <w:spacing w:line="360" w:lineRule="exact"/>
        <w:ind w:firstLine="420" w:firstLineChars="200"/>
        <w:rPr>
          <w:rFonts w:ascii="宋体" w:hAnsi="宋体" w:cs="宋体"/>
          <w:b/>
          <w:bCs/>
          <w:color w:val="auto"/>
          <w:szCs w:val="21"/>
        </w:rPr>
      </w:pPr>
      <w:r>
        <w:rPr>
          <w:rFonts w:hint="eastAsia" w:ascii="宋体" w:hAnsi="宋体" w:cs="宋体"/>
          <w:color w:val="auto"/>
          <w:kern w:val="0"/>
          <w:szCs w:val="21"/>
          <w:shd w:val="clear" w:color="auto" w:fill="FFFFFF"/>
        </w:rPr>
        <w:t>4.4拟投入装卸管理人员：竞标单位至少具有1名道路运输企业安全生产管理人员。提供证件扫描件等证明材料</w:t>
      </w:r>
      <w:r>
        <w:rPr>
          <w:rFonts w:hint="eastAsia" w:ascii="宋体" w:hAnsi="宋体" w:cs="宋体"/>
          <w:color w:val="auto"/>
          <w:szCs w:val="21"/>
        </w:rPr>
        <w:t>。</w:t>
      </w:r>
    </w:p>
    <w:bookmarkEnd w:id="17"/>
    <w:bookmarkEnd w:id="18"/>
    <w:bookmarkEnd w:id="19"/>
    <w:bookmarkEnd w:id="20"/>
    <w:p w14:paraId="6CDC74A2">
      <w:pPr>
        <w:spacing w:line="360" w:lineRule="exact"/>
        <w:rPr>
          <w:rFonts w:ascii="宋体" w:hAnsi="宋体" w:cs="宋体"/>
          <w:color w:val="auto"/>
          <w:szCs w:val="21"/>
        </w:rPr>
      </w:pPr>
      <w:bookmarkStart w:id="22" w:name="_Toc35393623"/>
      <w:bookmarkStart w:id="23" w:name="_Toc35393792"/>
      <w:bookmarkStart w:id="24" w:name="_Toc28359018"/>
      <w:bookmarkStart w:id="25" w:name="_Toc28359095"/>
      <w:bookmarkStart w:id="26" w:name="_Toc35393805"/>
      <w:bookmarkStart w:id="27" w:name="_Toc35393636"/>
      <w:r>
        <w:rPr>
          <w:rFonts w:hint="eastAsia" w:ascii="宋体" w:hAnsi="宋体" w:cs="宋体"/>
          <w:color w:val="auto"/>
          <w:szCs w:val="21"/>
        </w:rPr>
        <w:t>三、获取采购文件</w:t>
      </w:r>
      <w:bookmarkEnd w:id="22"/>
      <w:bookmarkEnd w:id="23"/>
    </w:p>
    <w:p w14:paraId="73ACD2CE">
      <w:pPr>
        <w:spacing w:line="360" w:lineRule="exact"/>
        <w:ind w:firstLine="420" w:firstLineChars="200"/>
        <w:rPr>
          <w:rFonts w:ascii="宋体" w:hAnsi="宋体" w:cs="宋体"/>
          <w:color w:val="auto"/>
          <w:szCs w:val="21"/>
        </w:rPr>
      </w:pPr>
      <w:r>
        <w:rPr>
          <w:rFonts w:hint="eastAsia" w:ascii="宋体" w:hAnsi="宋体" w:cs="宋体"/>
          <w:color w:val="auto"/>
          <w:szCs w:val="21"/>
        </w:rPr>
        <w:t>1.时间：</w:t>
      </w:r>
      <w:r>
        <w:rPr>
          <w:rFonts w:hint="eastAsia" w:ascii="宋体" w:hAnsi="宋体"/>
          <w:color w:val="auto"/>
          <w:szCs w:val="21"/>
        </w:rPr>
        <w:t>202</w:t>
      </w:r>
      <w:r>
        <w:rPr>
          <w:rFonts w:hint="eastAsia" w:ascii="宋体" w:hAnsi="宋体"/>
          <w:color w:val="auto"/>
          <w:szCs w:val="21"/>
          <w:lang w:val="en-US" w:eastAsia="zh-CN"/>
        </w:rPr>
        <w:t>5</w:t>
      </w:r>
      <w:r>
        <w:rPr>
          <w:rFonts w:hint="eastAsia" w:ascii="宋体" w:hAnsi="宋体"/>
          <w:color w:val="auto"/>
          <w:szCs w:val="21"/>
        </w:rPr>
        <w:t>年</w:t>
      </w:r>
      <w:r>
        <w:rPr>
          <w:rFonts w:hint="eastAsia" w:ascii="宋体" w:hAnsi="宋体"/>
          <w:color w:val="auto"/>
          <w:szCs w:val="21"/>
          <w:lang w:val="en-US" w:eastAsia="zh-CN"/>
        </w:rPr>
        <w:t>4</w:t>
      </w:r>
      <w:r>
        <w:rPr>
          <w:rFonts w:hint="eastAsia" w:ascii="宋体" w:hAnsi="宋体"/>
          <w:color w:val="auto"/>
          <w:szCs w:val="21"/>
        </w:rPr>
        <w:t>月</w:t>
      </w:r>
      <w:r>
        <w:rPr>
          <w:rFonts w:hint="eastAsia" w:ascii="宋体" w:hAnsi="宋体"/>
          <w:color w:val="auto"/>
          <w:szCs w:val="21"/>
          <w:lang w:val="en-US" w:eastAsia="zh-CN"/>
        </w:rPr>
        <w:t>10</w:t>
      </w:r>
      <w:r>
        <w:rPr>
          <w:rFonts w:hint="eastAsia" w:ascii="宋体" w:hAnsi="宋体"/>
          <w:color w:val="auto"/>
          <w:szCs w:val="21"/>
        </w:rPr>
        <w:t>日</w:t>
      </w:r>
      <w:r>
        <w:rPr>
          <w:rFonts w:ascii="宋体" w:hAnsi="宋体"/>
          <w:color w:val="auto"/>
          <w:szCs w:val="21"/>
        </w:rPr>
        <w:t>至202</w:t>
      </w:r>
      <w:r>
        <w:rPr>
          <w:rFonts w:hint="eastAsia" w:ascii="宋体" w:hAnsi="宋体"/>
          <w:color w:val="auto"/>
          <w:szCs w:val="21"/>
          <w:lang w:val="en-US" w:eastAsia="zh-CN"/>
        </w:rPr>
        <w:t>5</w:t>
      </w:r>
      <w:r>
        <w:rPr>
          <w:rFonts w:ascii="宋体" w:hAnsi="宋体"/>
          <w:color w:val="auto"/>
          <w:szCs w:val="21"/>
        </w:rPr>
        <w:t>年</w:t>
      </w:r>
      <w:r>
        <w:rPr>
          <w:rFonts w:hint="eastAsia" w:ascii="宋体" w:hAnsi="宋体"/>
          <w:color w:val="auto"/>
          <w:szCs w:val="21"/>
          <w:lang w:val="en-US" w:eastAsia="zh-CN"/>
        </w:rPr>
        <w:t>4</w:t>
      </w:r>
      <w:r>
        <w:rPr>
          <w:rFonts w:ascii="宋体" w:hAnsi="宋体"/>
          <w:color w:val="auto"/>
          <w:szCs w:val="21"/>
        </w:rPr>
        <w:t>月</w:t>
      </w:r>
      <w:r>
        <w:rPr>
          <w:rFonts w:hint="eastAsia" w:ascii="宋体" w:hAnsi="宋体"/>
          <w:color w:val="auto"/>
          <w:szCs w:val="21"/>
          <w:lang w:val="en-US" w:eastAsia="zh-CN"/>
        </w:rPr>
        <w:t>21</w:t>
      </w:r>
      <w:r>
        <w:rPr>
          <w:rFonts w:ascii="宋体" w:hAnsi="宋体"/>
          <w:color w:val="auto"/>
          <w:szCs w:val="21"/>
        </w:rPr>
        <w:t>日，每天上午00:00至12:00，下午12:0</w:t>
      </w:r>
      <w:r>
        <w:rPr>
          <w:rFonts w:hint="eastAsia" w:ascii="宋体" w:hAnsi="宋体"/>
          <w:color w:val="auto"/>
          <w:szCs w:val="21"/>
        </w:rPr>
        <w:t>1</w:t>
      </w:r>
      <w:r>
        <w:rPr>
          <w:rFonts w:ascii="宋体" w:hAnsi="宋体"/>
          <w:color w:val="auto"/>
          <w:szCs w:val="21"/>
        </w:rPr>
        <w:t>至23:59（北京时间，法定节假日除外）</w:t>
      </w:r>
      <w:r>
        <w:rPr>
          <w:rFonts w:hint="eastAsia" w:ascii="宋体" w:hAnsi="宋体" w:cs="宋体"/>
          <w:color w:val="auto"/>
          <w:szCs w:val="21"/>
        </w:rPr>
        <w:t>。</w:t>
      </w:r>
    </w:p>
    <w:p w14:paraId="43C0E564">
      <w:pPr>
        <w:spacing w:line="360" w:lineRule="exact"/>
        <w:rPr>
          <w:rFonts w:ascii="宋体" w:hAnsi="宋体" w:cs="宋体"/>
          <w:color w:val="auto"/>
          <w:szCs w:val="21"/>
        </w:rPr>
      </w:pPr>
      <w:bookmarkStart w:id="28" w:name="_Toc28359005"/>
      <w:bookmarkStart w:id="29" w:name="_Toc28359082"/>
      <w:bookmarkStart w:id="30" w:name="_Toc35393793"/>
      <w:bookmarkStart w:id="31" w:name="_Toc35393624"/>
      <w:r>
        <w:rPr>
          <w:rFonts w:hint="eastAsia" w:ascii="宋体" w:hAnsi="宋体" w:cs="宋体"/>
          <w:color w:val="auto"/>
          <w:szCs w:val="21"/>
        </w:rPr>
        <w:t xml:space="preserve">    2.地点（网址）：广西政府采购云平台线上获取 </w:t>
      </w:r>
    </w:p>
    <w:p w14:paraId="21BFF19B">
      <w:pPr>
        <w:spacing w:line="360" w:lineRule="exact"/>
        <w:rPr>
          <w:rFonts w:ascii="宋体" w:hAnsi="宋体" w:cs="宋体"/>
          <w:color w:val="auto"/>
          <w:szCs w:val="21"/>
        </w:rPr>
      </w:pPr>
      <w:r>
        <w:rPr>
          <w:rFonts w:hint="eastAsia" w:ascii="宋体" w:hAnsi="宋体" w:cs="宋体"/>
          <w:color w:val="auto"/>
          <w:szCs w:val="21"/>
        </w:rPr>
        <w:t>   3.方式：潜在供应商登录“政采云”平台（www.zcygov.cn）免费获取竞争性磋商文件电子版。供应商应在“政采云”平台进行“申请获取采购文件”操作，否则，将导致无法在线编制响应文件并参与竞标，其不利后果由供应商自行承担。 </w:t>
      </w:r>
    </w:p>
    <w:p w14:paraId="21F183BF">
      <w:pPr>
        <w:spacing w:line="360" w:lineRule="exact"/>
        <w:rPr>
          <w:rFonts w:ascii="宋体" w:hAnsi="宋体" w:cs="宋体"/>
          <w:color w:val="auto"/>
          <w:szCs w:val="21"/>
        </w:rPr>
      </w:pPr>
      <w:r>
        <w:rPr>
          <w:rFonts w:hint="eastAsia" w:ascii="宋体" w:hAnsi="宋体" w:cs="宋体"/>
          <w:color w:val="auto"/>
          <w:szCs w:val="21"/>
        </w:rPr>
        <w:t>   4.售价（元）：0 </w:t>
      </w:r>
    </w:p>
    <w:p w14:paraId="587990DD">
      <w:pPr>
        <w:spacing w:line="360" w:lineRule="exact"/>
        <w:rPr>
          <w:rFonts w:ascii="宋体" w:hAnsi="宋体" w:cs="宋体"/>
          <w:color w:val="auto"/>
          <w:szCs w:val="21"/>
        </w:rPr>
      </w:pPr>
      <w:r>
        <w:rPr>
          <w:rFonts w:hint="eastAsia" w:ascii="宋体" w:hAnsi="宋体" w:cs="宋体"/>
          <w:color w:val="auto"/>
          <w:szCs w:val="21"/>
        </w:rPr>
        <w:t>四、响应文件</w:t>
      </w:r>
      <w:bookmarkEnd w:id="28"/>
      <w:bookmarkEnd w:id="29"/>
      <w:r>
        <w:rPr>
          <w:rFonts w:hint="eastAsia" w:ascii="宋体" w:hAnsi="宋体" w:cs="宋体"/>
          <w:color w:val="auto"/>
          <w:szCs w:val="21"/>
        </w:rPr>
        <w:t>提交时间和地点</w:t>
      </w:r>
      <w:bookmarkEnd w:id="30"/>
      <w:bookmarkEnd w:id="31"/>
    </w:p>
    <w:p w14:paraId="60F7F916">
      <w:pPr>
        <w:spacing w:line="360" w:lineRule="exact"/>
        <w:ind w:firstLine="420" w:firstLineChars="200"/>
        <w:rPr>
          <w:rFonts w:ascii="宋体" w:hAnsi="宋体" w:cs="宋体"/>
          <w:bCs/>
          <w:color w:val="auto"/>
          <w:szCs w:val="21"/>
        </w:rPr>
      </w:pPr>
      <w:r>
        <w:rPr>
          <w:rFonts w:hint="eastAsia" w:ascii="宋体" w:hAnsi="宋体" w:cs="宋体"/>
          <w:bCs/>
          <w:color w:val="auto"/>
          <w:szCs w:val="21"/>
        </w:rPr>
        <w:t>截止时间：</w:t>
      </w:r>
      <w:r>
        <w:rPr>
          <w:rFonts w:hint="eastAsia" w:ascii="宋体" w:hAnsi="宋体" w:cs="宋体"/>
          <w:color w:val="auto"/>
          <w:szCs w:val="21"/>
        </w:rPr>
        <w:t>2025年</w:t>
      </w:r>
      <w:r>
        <w:rPr>
          <w:rFonts w:hint="eastAsia" w:ascii="宋体" w:hAnsi="宋体" w:cs="宋体"/>
          <w:color w:val="auto"/>
          <w:szCs w:val="21"/>
          <w:lang w:val="en-US" w:eastAsia="zh-CN"/>
        </w:rPr>
        <w:t>4</w:t>
      </w:r>
      <w:r>
        <w:rPr>
          <w:rFonts w:hint="eastAsia" w:ascii="宋体" w:hAnsi="宋体" w:cs="宋体"/>
          <w:color w:val="auto"/>
          <w:szCs w:val="21"/>
        </w:rPr>
        <w:t>月</w:t>
      </w:r>
      <w:r>
        <w:rPr>
          <w:rFonts w:hint="eastAsia" w:ascii="宋体" w:hAnsi="宋体" w:cs="宋体"/>
          <w:color w:val="auto"/>
          <w:szCs w:val="21"/>
          <w:lang w:val="en-US" w:eastAsia="zh-CN"/>
        </w:rPr>
        <w:t>21</w:t>
      </w:r>
      <w:r>
        <w:rPr>
          <w:rFonts w:hint="eastAsia" w:ascii="宋体" w:hAnsi="宋体" w:cs="宋体"/>
          <w:color w:val="auto"/>
          <w:szCs w:val="21"/>
        </w:rPr>
        <w:t>日09时30分(</w:t>
      </w:r>
      <w:r>
        <w:rPr>
          <w:rFonts w:hint="eastAsia" w:ascii="宋体" w:hAnsi="宋体" w:cs="宋体"/>
          <w:bCs/>
          <w:color w:val="auto"/>
          <w:szCs w:val="21"/>
        </w:rPr>
        <w:t>北京时间）。</w:t>
      </w:r>
    </w:p>
    <w:p w14:paraId="200B9E01">
      <w:pPr>
        <w:spacing w:line="360" w:lineRule="exact"/>
        <w:ind w:firstLine="420" w:firstLineChars="200"/>
        <w:rPr>
          <w:rFonts w:ascii="宋体" w:hAnsi="宋体" w:cs="宋体"/>
          <w:color w:val="auto"/>
          <w:szCs w:val="21"/>
        </w:rPr>
      </w:pPr>
      <w:r>
        <w:rPr>
          <w:rFonts w:hint="eastAsia" w:ascii="宋体" w:hAnsi="宋体" w:cs="宋体"/>
          <w:color w:val="auto"/>
          <w:szCs w:val="21"/>
        </w:rPr>
        <w:t>地点：通过政采云平台实行在线响应。</w:t>
      </w:r>
    </w:p>
    <w:p w14:paraId="05DCFA1E">
      <w:pPr>
        <w:spacing w:line="360" w:lineRule="exact"/>
        <w:rPr>
          <w:rFonts w:ascii="宋体" w:hAnsi="宋体" w:cs="宋体"/>
          <w:color w:val="auto"/>
          <w:szCs w:val="21"/>
        </w:rPr>
      </w:pPr>
      <w:r>
        <w:rPr>
          <w:rFonts w:hint="eastAsia" w:ascii="宋体" w:hAnsi="宋体" w:cs="宋体"/>
          <w:color w:val="auto"/>
          <w:szCs w:val="21"/>
        </w:rPr>
        <w:t>五、开启</w:t>
      </w:r>
    </w:p>
    <w:p w14:paraId="726B1522">
      <w:pPr>
        <w:spacing w:line="360" w:lineRule="exact"/>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lang w:eastAsia="zh-CN"/>
        </w:rPr>
        <w:t>2025年4月21日</w:t>
      </w:r>
      <w:r>
        <w:rPr>
          <w:rFonts w:hint="eastAsia" w:ascii="宋体" w:hAnsi="宋体" w:cs="宋体"/>
          <w:color w:val="auto"/>
          <w:szCs w:val="21"/>
        </w:rPr>
        <w:t>09时30分(北京时间）截标后。</w:t>
      </w:r>
    </w:p>
    <w:p w14:paraId="1D491BF2">
      <w:pPr>
        <w:spacing w:line="360" w:lineRule="exact"/>
        <w:rPr>
          <w:rFonts w:ascii="宋体" w:hAnsi="宋体" w:cs="宋体"/>
          <w:color w:val="auto"/>
          <w:szCs w:val="21"/>
        </w:rPr>
      </w:pPr>
      <w:r>
        <w:rPr>
          <w:rFonts w:hint="eastAsia" w:ascii="宋体" w:hAnsi="宋体" w:cs="宋体"/>
          <w:color w:val="auto"/>
          <w:szCs w:val="21"/>
        </w:rPr>
        <w:t>地点：通过政采云平台实行在线解密开启。</w:t>
      </w:r>
    </w:p>
    <w:p w14:paraId="1FA93CC7">
      <w:pPr>
        <w:spacing w:line="360" w:lineRule="exact"/>
        <w:rPr>
          <w:rFonts w:ascii="宋体" w:hAnsi="宋体" w:cs="宋体"/>
          <w:color w:val="auto"/>
          <w:szCs w:val="21"/>
        </w:rPr>
      </w:pPr>
      <w:bookmarkStart w:id="32" w:name="_Toc35393794"/>
      <w:bookmarkStart w:id="33" w:name="_Toc28359084"/>
      <w:bookmarkStart w:id="34" w:name="_Toc35393625"/>
      <w:bookmarkStart w:id="35" w:name="_Toc28359007"/>
      <w:r>
        <w:rPr>
          <w:rFonts w:hint="eastAsia" w:ascii="宋体" w:hAnsi="宋体" w:cs="宋体"/>
          <w:color w:val="auto"/>
          <w:szCs w:val="21"/>
        </w:rPr>
        <w:t>六、公告期限</w:t>
      </w:r>
      <w:bookmarkEnd w:id="32"/>
      <w:bookmarkEnd w:id="33"/>
      <w:bookmarkEnd w:id="34"/>
      <w:bookmarkEnd w:id="35"/>
    </w:p>
    <w:p w14:paraId="24F8D3C4">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自本公告发布之日起5个工作日。</w:t>
      </w:r>
    </w:p>
    <w:p w14:paraId="2FC3582D">
      <w:pPr>
        <w:spacing w:line="360" w:lineRule="exact"/>
        <w:rPr>
          <w:rFonts w:ascii="宋体" w:hAnsi="宋体" w:cs="宋体"/>
          <w:color w:val="auto"/>
          <w:szCs w:val="21"/>
        </w:rPr>
      </w:pPr>
      <w:bookmarkStart w:id="36" w:name="_Toc35393795"/>
      <w:bookmarkStart w:id="37" w:name="_Toc35393626"/>
      <w:r>
        <w:rPr>
          <w:rFonts w:hint="eastAsia" w:ascii="宋体" w:hAnsi="宋体" w:cs="宋体"/>
          <w:color w:val="auto"/>
          <w:szCs w:val="21"/>
        </w:rPr>
        <w:t>七、其他补充事宜</w:t>
      </w:r>
      <w:bookmarkEnd w:id="36"/>
      <w:bookmarkEnd w:id="37"/>
    </w:p>
    <w:p w14:paraId="30DCF3BB">
      <w:pPr>
        <w:spacing w:line="360" w:lineRule="exact"/>
        <w:ind w:firstLine="422" w:firstLineChars="200"/>
        <w:rPr>
          <w:rFonts w:ascii="宋体" w:hAnsi="宋体" w:cs="宋体"/>
          <w:color w:val="auto"/>
          <w:szCs w:val="21"/>
        </w:rPr>
      </w:pPr>
      <w:r>
        <w:rPr>
          <w:rFonts w:hint="eastAsia" w:ascii="宋体" w:hAnsi="宋体" w:cs="宋体"/>
          <w:b/>
          <w:bCs/>
          <w:color w:val="auto"/>
          <w:szCs w:val="21"/>
        </w:rPr>
        <w:t>1.本项目无需缴纳磋商保证金。</w:t>
      </w:r>
    </w:p>
    <w:p w14:paraId="3BD1FB3C">
      <w:pPr>
        <w:spacing w:line="360" w:lineRule="exact"/>
        <w:ind w:firstLine="420" w:firstLineChars="200"/>
        <w:rPr>
          <w:rFonts w:ascii="宋体" w:hAnsi="宋体" w:cs="宋体"/>
          <w:color w:val="auto"/>
          <w:szCs w:val="21"/>
        </w:rPr>
      </w:pPr>
      <w:r>
        <w:rPr>
          <w:rFonts w:hint="eastAsia" w:ascii="宋体" w:hAnsi="宋体" w:cs="宋体"/>
          <w:color w:val="auto"/>
          <w:szCs w:val="21"/>
        </w:rPr>
        <w:t>2.本项目信息发布媒体：</w:t>
      </w:r>
    </w:p>
    <w:p w14:paraId="1142E294">
      <w:pPr>
        <w:spacing w:line="360" w:lineRule="exact"/>
        <w:ind w:firstLine="420" w:firstLineChars="200"/>
        <w:rPr>
          <w:rFonts w:ascii="宋体" w:hAnsi="宋体" w:cs="宋体"/>
          <w:color w:val="auto"/>
          <w:szCs w:val="21"/>
        </w:rPr>
      </w:pPr>
      <w:r>
        <w:rPr>
          <w:rFonts w:hint="eastAsia" w:ascii="宋体" w:hAnsi="宋体" w:cs="宋体"/>
          <w:color w:val="auto"/>
          <w:szCs w:val="21"/>
        </w:rPr>
        <w:t>中国政府采购网（http://www.ccgp.gov.cn）</w:t>
      </w:r>
    </w:p>
    <w:p w14:paraId="66238E85">
      <w:pPr>
        <w:spacing w:line="360" w:lineRule="exact"/>
        <w:ind w:firstLine="420" w:firstLineChars="200"/>
        <w:rPr>
          <w:rFonts w:ascii="宋体" w:hAnsi="宋体" w:cs="宋体"/>
          <w:color w:val="auto"/>
          <w:szCs w:val="21"/>
        </w:rPr>
      </w:pPr>
      <w:r>
        <w:rPr>
          <w:rFonts w:hint="eastAsia" w:ascii="宋体" w:hAnsi="宋体" w:cs="宋体"/>
          <w:color w:val="auto"/>
          <w:szCs w:val="21"/>
        </w:rPr>
        <w:t>广西壮族自治区政府采购网（http://www.ccgp-guangxi.gov.cn/）</w:t>
      </w:r>
    </w:p>
    <w:p w14:paraId="196A461F">
      <w:pPr>
        <w:spacing w:line="360" w:lineRule="exact"/>
        <w:ind w:firstLine="420" w:firstLineChars="200"/>
        <w:rPr>
          <w:rFonts w:ascii="宋体" w:hAnsi="宋体" w:cs="宋体"/>
          <w:color w:val="auto"/>
          <w:szCs w:val="21"/>
        </w:rPr>
      </w:pPr>
      <w:r>
        <w:rPr>
          <w:rFonts w:hint="eastAsia" w:ascii="宋体" w:hAnsi="宋体" w:cs="宋体"/>
          <w:color w:val="auto"/>
          <w:szCs w:val="21"/>
        </w:rPr>
        <w:t>桂林市政府采购网（zfcg.czj.guilin.gov.cn）</w:t>
      </w:r>
    </w:p>
    <w:p w14:paraId="584ED420">
      <w:pPr>
        <w:pStyle w:val="46"/>
        <w:numPr>
          <w:ilvl w:val="0"/>
          <w:numId w:val="2"/>
        </w:numPr>
        <w:spacing w:line="360" w:lineRule="exact"/>
        <w:ind w:firstLine="480"/>
        <w:rPr>
          <w:rFonts w:ascii="宋体" w:hAnsi="宋体" w:cs="宋体"/>
          <w:color w:val="auto"/>
          <w:sz w:val="21"/>
          <w:szCs w:val="21"/>
        </w:rPr>
      </w:pPr>
      <w:r>
        <w:rPr>
          <w:rFonts w:hint="eastAsia" w:ascii="宋体" w:hAnsi="宋体" w:cs="宋体"/>
          <w:color w:val="auto"/>
          <w:sz w:val="21"/>
          <w:szCs w:val="21"/>
        </w:rPr>
        <w:t>磋商响应文件解密时间：截标时间后</w:t>
      </w:r>
      <w:r>
        <w:rPr>
          <w:rFonts w:hint="eastAsia" w:ascii="宋体" w:hAnsi="宋体" w:cs="宋体"/>
          <w:color w:val="auto"/>
          <w:sz w:val="21"/>
          <w:szCs w:val="21"/>
          <w:u w:val="single"/>
        </w:rPr>
        <w:t>30</w:t>
      </w:r>
      <w:r>
        <w:rPr>
          <w:rFonts w:hint="eastAsia" w:ascii="宋体" w:hAnsi="宋体" w:cs="宋体"/>
          <w:color w:val="auto"/>
          <w:sz w:val="21"/>
          <w:szCs w:val="21"/>
        </w:rPr>
        <w:t>分钟内（</w:t>
      </w:r>
      <w:r>
        <w:rPr>
          <w:rFonts w:hint="eastAsia" w:ascii="宋体" w:hAnsi="宋体" w:cs="宋体"/>
          <w:color w:val="auto"/>
          <w:sz w:val="21"/>
          <w:szCs w:val="21"/>
          <w:u w:val="single"/>
          <w:lang w:eastAsia="zh-CN"/>
        </w:rPr>
        <w:t>2025年4月21日</w:t>
      </w:r>
      <w:r>
        <w:rPr>
          <w:rFonts w:hint="eastAsia" w:ascii="宋体" w:hAnsi="宋体" w:cs="宋体"/>
          <w:color w:val="auto"/>
          <w:sz w:val="21"/>
          <w:szCs w:val="21"/>
          <w:u w:val="single"/>
        </w:rPr>
        <w:t>上午9时30分至10时00分</w:t>
      </w:r>
      <w:r>
        <w:rPr>
          <w:rFonts w:hint="eastAsia" w:ascii="宋体" w:hAnsi="宋体" w:cs="宋体"/>
          <w:color w:val="auto"/>
          <w:sz w:val="21"/>
          <w:szCs w:val="21"/>
        </w:rPr>
        <w:t>)磋商供应商可以登录政采云平台，用“项目采购-开标评标”功能进行解密电子磋商响应文件。</w:t>
      </w:r>
    </w:p>
    <w:p w14:paraId="08D4F956">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4.本项目需要落实的政府采购政策：</w:t>
      </w:r>
    </w:p>
    <w:p w14:paraId="4246490D">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4.1《政府采购促进中小企业发展管理办法》（财库[2020]46号）；本项目属于非专门面向中小企业采购。</w:t>
      </w:r>
    </w:p>
    <w:p w14:paraId="5142CC02">
      <w:pPr>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 xml:space="preserve"> 4.2《关于政府采购支持监狱企业发展有关问题的通知》（财库[2014]68号）。 </w:t>
      </w:r>
    </w:p>
    <w:p w14:paraId="43E08613">
      <w:pPr>
        <w:spacing w:line="36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4.3《关于促进残疾人就业政府采购政策的通知》（财库[2017]141号）。</w:t>
      </w:r>
    </w:p>
    <w:p w14:paraId="40E84277">
      <w:pPr>
        <w:spacing w:line="360" w:lineRule="exact"/>
        <w:ind w:firstLine="420" w:firstLineChars="200"/>
        <w:rPr>
          <w:rFonts w:hint="eastAsia" w:eastAsia="宋体"/>
          <w:color w:val="auto"/>
          <w:lang w:val="en-US" w:eastAsia="zh-CN"/>
        </w:rPr>
      </w:pPr>
      <w:r>
        <w:rPr>
          <w:rFonts w:hint="eastAsia" w:ascii="宋体" w:hAnsi="宋体" w:cs="宋体"/>
          <w:color w:val="auto"/>
          <w:kern w:val="0"/>
          <w:szCs w:val="21"/>
          <w:lang w:val="en-US" w:eastAsia="zh-CN"/>
        </w:rPr>
        <w:t>5.</w:t>
      </w:r>
      <w:r>
        <w:rPr>
          <w:rFonts w:hint="eastAsia" w:ascii="宋体" w:hAnsi="宋体" w:cs="宋体"/>
          <w:color w:val="auto"/>
          <w:kern w:val="0"/>
          <w:szCs w:val="21"/>
        </w:rPr>
        <w:t>本项目所属行业为</w:t>
      </w:r>
      <w:r>
        <w:rPr>
          <w:rFonts w:hint="eastAsia" w:ascii="宋体" w:hAnsi="宋体" w:cs="宋体"/>
          <w:color w:val="auto"/>
          <w:kern w:val="0"/>
          <w:szCs w:val="21"/>
          <w:lang w:eastAsia="zh-CN"/>
        </w:rPr>
        <w:t>“其他未列明行业“。</w:t>
      </w:r>
    </w:p>
    <w:p w14:paraId="3EB0222F">
      <w:pPr>
        <w:spacing w:line="360" w:lineRule="exact"/>
        <w:ind w:firstLine="420"/>
        <w:rPr>
          <w:rFonts w:ascii="宋体" w:hAnsi="宋体" w:cs="宋体"/>
          <w:color w:val="auto"/>
          <w:szCs w:val="21"/>
        </w:rPr>
      </w:pPr>
      <w:r>
        <w:rPr>
          <w:rFonts w:hint="eastAsia" w:ascii="宋体" w:hAnsi="宋体" w:cs="宋体"/>
          <w:color w:val="auto"/>
          <w:szCs w:val="21"/>
          <w:lang w:val="en-US" w:eastAsia="zh-CN"/>
        </w:rPr>
        <w:t>6</w:t>
      </w:r>
      <w:r>
        <w:rPr>
          <w:rFonts w:hint="eastAsia" w:ascii="宋体" w:hAnsi="宋体" w:cs="宋体"/>
          <w:color w:val="auto"/>
          <w:szCs w:val="21"/>
        </w:rPr>
        <w:t>.资格条件特别说明：</w:t>
      </w:r>
    </w:p>
    <w:p w14:paraId="2919C908">
      <w:pPr>
        <w:spacing w:line="360" w:lineRule="exact"/>
        <w:ind w:firstLine="420"/>
        <w:rPr>
          <w:rFonts w:ascii="宋体" w:hAnsi="宋体" w:cs="宋体"/>
          <w:color w:val="auto"/>
          <w:szCs w:val="21"/>
        </w:rPr>
      </w:pPr>
      <w:r>
        <w:rPr>
          <w:rFonts w:hint="eastAsia" w:ascii="宋体" w:hAnsi="宋体" w:cs="宋体"/>
          <w:color w:val="auto"/>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AD19F1A">
      <w:pPr>
        <w:spacing w:line="360" w:lineRule="exact"/>
        <w:ind w:firstLine="420"/>
        <w:rPr>
          <w:rFonts w:ascii="宋体" w:hAnsi="宋体" w:cs="宋体"/>
          <w:color w:val="auto"/>
        </w:rPr>
      </w:pPr>
      <w:r>
        <w:rPr>
          <w:rFonts w:hint="eastAsia" w:ascii="宋体" w:hAnsi="宋体" w:cs="宋体"/>
          <w:color w:val="auto"/>
        </w:rPr>
        <w:t>（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DE65FA3">
      <w:pPr>
        <w:spacing w:line="360" w:lineRule="exact"/>
        <w:ind w:left="420" w:leftChars="200"/>
        <w:rPr>
          <w:rFonts w:ascii="宋体" w:hAnsi="宋体" w:cs="宋体"/>
          <w:bCs/>
          <w:color w:val="auto"/>
          <w:szCs w:val="21"/>
        </w:rPr>
      </w:pPr>
      <w:r>
        <w:rPr>
          <w:rFonts w:hint="eastAsia" w:ascii="宋体" w:hAnsi="宋体" w:cs="宋体"/>
          <w:bCs/>
          <w:color w:val="auto"/>
          <w:szCs w:val="21"/>
          <w:lang w:val="en-US" w:eastAsia="zh-CN"/>
        </w:rPr>
        <w:t>7</w:t>
      </w:r>
      <w:r>
        <w:rPr>
          <w:rFonts w:hint="eastAsia" w:ascii="宋体" w:hAnsi="宋体" w:cs="宋体"/>
          <w:bCs/>
          <w:color w:val="auto"/>
          <w:szCs w:val="21"/>
        </w:rPr>
        <w:t>.</w:t>
      </w:r>
      <w:r>
        <w:rPr>
          <w:rFonts w:ascii="宋体" w:hAnsi="宋体" w:cs="宋体"/>
          <w:bCs/>
          <w:color w:val="auto"/>
          <w:szCs w:val="21"/>
        </w:rPr>
        <w:t>“</w:t>
      </w:r>
      <w:r>
        <w:rPr>
          <w:rFonts w:hint="eastAsia" w:ascii="宋体" w:hAnsi="宋体" w:cs="宋体"/>
          <w:bCs/>
          <w:color w:val="auto"/>
          <w:szCs w:val="21"/>
        </w:rPr>
        <w:t>政采云</w:t>
      </w:r>
      <w:r>
        <w:rPr>
          <w:rFonts w:ascii="宋体" w:hAnsi="宋体" w:cs="宋体"/>
          <w:bCs/>
          <w:color w:val="auto"/>
          <w:szCs w:val="21"/>
        </w:rPr>
        <w:t>”</w:t>
      </w:r>
      <w:r>
        <w:rPr>
          <w:rFonts w:hint="eastAsia" w:ascii="宋体" w:hAnsi="宋体" w:cs="宋体"/>
          <w:bCs/>
          <w:color w:val="auto"/>
          <w:szCs w:val="21"/>
        </w:rPr>
        <w:t>平台电子竞标相关事宜：</w:t>
      </w:r>
    </w:p>
    <w:p w14:paraId="333B2220">
      <w:pPr>
        <w:adjustRightInd w:val="0"/>
        <w:snapToGrid w:val="0"/>
        <w:spacing w:line="360" w:lineRule="exact"/>
        <w:ind w:firstLine="420"/>
        <w:rPr>
          <w:rFonts w:ascii="宋体" w:hAnsi="宋体" w:cs="宋体"/>
          <w:bCs/>
          <w:color w:val="auto"/>
          <w:szCs w:val="21"/>
        </w:rPr>
      </w:pPr>
      <w:r>
        <w:rPr>
          <w:rFonts w:hint="eastAsia" w:ascii="宋体" w:hAnsi="宋体" w:cs="宋体"/>
          <w:bCs/>
          <w:color w:val="auto"/>
          <w:szCs w:val="21"/>
        </w:rPr>
        <w:t>（1）本项目实行全流程电子化采购，供应商通过“政采云”平台参与电子竞标，并应做好以下相关准备工作：①在“政采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以便供应商采用CA证书对其响应文件电子签章或电子签名；③下载“广西壮族自治区全流程电子招投标项目管理系统--供应商客户端”（操作方法详见广西壮族自治区政府采购网—办事服务—下载专区，以下称“政采云电子投标客户端”）并安装成功，供应商应当在响应文件提交截止时间前在“政采云”平台完成的身份认证，确保能够对相关数据电文进行加密和使用电子签章；④自备计算机和网络设备并确保能接入互联网（费用由供应商自行承担，设备确保可进行视频通话和读取政采云</w:t>
      </w:r>
      <w:r>
        <w:rPr>
          <w:rFonts w:hint="eastAsia" w:ascii="宋体" w:hAnsi="宋体" w:cs="宋体"/>
          <w:color w:val="auto"/>
        </w:rPr>
        <w:t>桂林市妇女儿童医院</w:t>
      </w:r>
      <w:r>
        <w:rPr>
          <w:rFonts w:hint="eastAsia" w:ascii="宋体" w:hAnsi="宋体" w:cs="宋体"/>
          <w:bCs/>
          <w:color w:val="auto"/>
          <w:szCs w:val="21"/>
        </w:rPr>
        <w:t>造成的一切后果，由供应商自行承担。</w:t>
      </w:r>
    </w:p>
    <w:p w14:paraId="200B0567">
      <w:pPr>
        <w:adjustRightInd w:val="0"/>
        <w:snapToGrid w:val="0"/>
        <w:spacing w:line="360" w:lineRule="exact"/>
        <w:ind w:firstLine="420"/>
        <w:rPr>
          <w:rFonts w:ascii="宋体" w:hAnsi="宋体" w:cs="宋体"/>
          <w:bCs/>
          <w:color w:val="auto"/>
          <w:szCs w:val="21"/>
        </w:rPr>
      </w:pPr>
      <w:r>
        <w:rPr>
          <w:rFonts w:hint="eastAsia" w:ascii="宋体" w:hAnsi="宋体" w:cs="宋体"/>
          <w:bCs/>
          <w:color w:val="auto"/>
          <w:szCs w:val="21"/>
        </w:rPr>
        <w:t>（2）电子竞标具体操作流程参考《政府采购项目电子交易管理操作指南-供应商》（详见桂林市政府采购网—采购资讯—重要通知）；如遇平台技术问题详询95763。</w:t>
      </w:r>
    </w:p>
    <w:p w14:paraId="2ED46078">
      <w:pPr>
        <w:adjustRightInd w:val="0"/>
        <w:snapToGrid w:val="0"/>
        <w:spacing w:line="360" w:lineRule="exact"/>
        <w:ind w:firstLine="420"/>
        <w:rPr>
          <w:color w:val="auto"/>
        </w:rPr>
      </w:pPr>
      <w:r>
        <w:rPr>
          <w:rFonts w:hint="eastAsia" w:ascii="宋体" w:hAnsi="宋体" w:cs="宋体"/>
          <w:bCs/>
          <w:color w:val="auto"/>
          <w:szCs w:val="21"/>
        </w:rPr>
        <w:t>（3）</w:t>
      </w:r>
      <w:r>
        <w:rPr>
          <w:rFonts w:hint="eastAsia" w:ascii="宋体" w:hAnsi="宋体" w:cs="宋体"/>
          <w:color w:val="auto"/>
          <w:kern w:val="0"/>
          <w:szCs w:val="21"/>
        </w:rPr>
        <w:t>电子响应文件的制作、加密、</w:t>
      </w:r>
      <w:r>
        <w:rPr>
          <w:rFonts w:hint="eastAsia" w:ascii="宋体" w:hAnsi="宋体" w:cs="宋体"/>
          <w:color w:val="auto"/>
          <w:szCs w:val="21"/>
        </w:rPr>
        <w:t>提交、解密等相关事宜详见第二章 “供应商须知”。</w:t>
      </w:r>
    </w:p>
    <w:p w14:paraId="0DEDBAF6">
      <w:pPr>
        <w:spacing w:line="360" w:lineRule="exact"/>
        <w:rPr>
          <w:rFonts w:ascii="宋体" w:hAnsi="宋体" w:cs="宋体"/>
          <w:b/>
          <w:color w:val="auto"/>
          <w:szCs w:val="21"/>
        </w:rPr>
      </w:pPr>
      <w:r>
        <w:rPr>
          <w:rFonts w:hint="eastAsia" w:ascii="宋体" w:hAnsi="宋体" w:cs="宋体"/>
          <w:b/>
          <w:color w:val="auto"/>
          <w:szCs w:val="21"/>
        </w:rPr>
        <w:t>八、</w:t>
      </w:r>
      <w:bookmarkEnd w:id="24"/>
      <w:bookmarkEnd w:id="25"/>
      <w:bookmarkEnd w:id="26"/>
      <w:bookmarkEnd w:id="27"/>
      <w:r>
        <w:rPr>
          <w:rFonts w:hint="eastAsia" w:ascii="宋体" w:hAnsi="宋体" w:cs="宋体"/>
          <w:b/>
          <w:color w:val="auto"/>
          <w:szCs w:val="21"/>
        </w:rPr>
        <w:t>凡对本次采购提出询问，请按以下方式联系。</w:t>
      </w:r>
      <w:bookmarkStart w:id="38" w:name="_Toc35393806"/>
      <w:bookmarkStart w:id="39" w:name="_Toc28359096"/>
      <w:bookmarkStart w:id="40" w:name="_Toc35393637"/>
      <w:bookmarkStart w:id="41" w:name="_Toc28359019"/>
    </w:p>
    <w:p w14:paraId="571BDFF7">
      <w:pPr>
        <w:spacing w:line="360" w:lineRule="exact"/>
        <w:ind w:firstLine="420" w:firstLineChars="200"/>
        <w:rPr>
          <w:rFonts w:ascii="宋体" w:hAnsi="宋体" w:cs="宋体"/>
          <w:bCs/>
          <w:color w:val="auto"/>
          <w:szCs w:val="21"/>
        </w:rPr>
      </w:pPr>
      <w:r>
        <w:rPr>
          <w:rFonts w:hint="eastAsia" w:ascii="宋体" w:hAnsi="宋体" w:cs="宋体"/>
          <w:bCs/>
          <w:color w:val="auto"/>
          <w:szCs w:val="21"/>
        </w:rPr>
        <w:t>1.采购人信息</w:t>
      </w:r>
      <w:bookmarkEnd w:id="38"/>
      <w:bookmarkEnd w:id="39"/>
      <w:bookmarkEnd w:id="40"/>
      <w:bookmarkEnd w:id="41"/>
    </w:p>
    <w:p w14:paraId="16700DE3">
      <w:pPr>
        <w:spacing w:line="360" w:lineRule="exact"/>
        <w:ind w:firstLine="420" w:firstLineChars="200"/>
        <w:jc w:val="left"/>
        <w:rPr>
          <w:rFonts w:ascii="宋体" w:hAnsi="宋体" w:cs="宋体"/>
          <w:color w:val="auto"/>
          <w:szCs w:val="21"/>
        </w:rPr>
      </w:pPr>
      <w:bookmarkStart w:id="42" w:name="_Toc28359020"/>
      <w:bookmarkStart w:id="43" w:name="_Toc28359097"/>
      <w:bookmarkStart w:id="44" w:name="_Toc35393638"/>
      <w:bookmarkStart w:id="45" w:name="_Toc35393807"/>
      <w:r>
        <w:rPr>
          <w:rFonts w:hint="eastAsia" w:ascii="宋体" w:hAnsi="宋体" w:cs="宋体"/>
          <w:color w:val="auto"/>
          <w:szCs w:val="21"/>
        </w:rPr>
        <w:t>名  称：桂林市妇女儿童医院 </w:t>
      </w:r>
    </w:p>
    <w:p w14:paraId="6926A1D9">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地  址：桂林市叠彩区凤北路20号 </w:t>
      </w:r>
    </w:p>
    <w:p w14:paraId="2FABBFFD">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联系方式：</w:t>
      </w:r>
      <w:r>
        <w:rPr>
          <w:rFonts w:hint="eastAsia" w:ascii="宋体" w:hAnsi="宋体" w:cs="宋体"/>
          <w:color w:val="auto"/>
          <w:szCs w:val="21"/>
          <w:lang w:val="en-US" w:eastAsia="zh-CN"/>
        </w:rPr>
        <w:t>汪</w:t>
      </w:r>
      <w:r>
        <w:rPr>
          <w:rFonts w:hint="eastAsia" w:ascii="宋体" w:hAnsi="宋体" w:cs="宋体"/>
          <w:color w:val="auto"/>
          <w:szCs w:val="21"/>
        </w:rPr>
        <w:t xml:space="preserve">老师 </w:t>
      </w:r>
      <w:r>
        <w:rPr>
          <w:rFonts w:hint="eastAsia" w:ascii="宋体" w:hAnsi="宋体" w:cs="宋体"/>
          <w:color w:val="auto"/>
          <w:lang w:val="en-US" w:eastAsia="zh-CN"/>
        </w:rPr>
        <w:t>18978320106</w:t>
      </w:r>
      <w:r>
        <w:rPr>
          <w:rFonts w:hint="eastAsia" w:ascii="宋体" w:hAnsi="宋体" w:cs="宋体"/>
          <w:color w:val="auto"/>
          <w:szCs w:val="21"/>
        </w:rPr>
        <w:t> </w:t>
      </w:r>
    </w:p>
    <w:p w14:paraId="5D66F6A3">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2.采购代理机构信息</w:t>
      </w:r>
      <w:bookmarkEnd w:id="42"/>
      <w:bookmarkEnd w:id="43"/>
      <w:bookmarkEnd w:id="44"/>
      <w:bookmarkEnd w:id="45"/>
    </w:p>
    <w:p w14:paraId="78713CF7">
      <w:pPr>
        <w:spacing w:line="360" w:lineRule="exact"/>
        <w:ind w:firstLine="420" w:firstLineChars="200"/>
        <w:rPr>
          <w:rFonts w:ascii="宋体" w:hAnsi="宋体" w:cs="宋体"/>
          <w:color w:val="auto"/>
          <w:szCs w:val="21"/>
        </w:rPr>
      </w:pPr>
      <w:r>
        <w:rPr>
          <w:rFonts w:hint="eastAsia" w:ascii="宋体" w:hAnsi="宋体" w:cs="宋体"/>
          <w:color w:val="auto"/>
          <w:szCs w:val="21"/>
        </w:rPr>
        <w:t>名    称：欧邦工程管理集团有限公司</w:t>
      </w:r>
    </w:p>
    <w:p w14:paraId="2FF6C248">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地　　址：桂林市七星区穿山街道办莫家里二路文化室四楼</w:t>
      </w:r>
    </w:p>
    <w:p w14:paraId="4BCC1796">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联系方式：0773-2567907</w:t>
      </w:r>
    </w:p>
    <w:p w14:paraId="6FE5B8B8">
      <w:pPr>
        <w:spacing w:line="360" w:lineRule="exact"/>
        <w:ind w:firstLine="420" w:firstLineChars="200"/>
        <w:jc w:val="left"/>
        <w:rPr>
          <w:rFonts w:ascii="宋体" w:hAnsi="宋体" w:cs="宋体"/>
          <w:color w:val="auto"/>
          <w:szCs w:val="21"/>
        </w:rPr>
      </w:pPr>
      <w:bookmarkStart w:id="46" w:name="_Toc35393639"/>
      <w:bookmarkStart w:id="47" w:name="_Toc28359021"/>
      <w:bookmarkStart w:id="48" w:name="_Toc28359098"/>
      <w:bookmarkStart w:id="49" w:name="_Toc35393808"/>
      <w:r>
        <w:rPr>
          <w:rFonts w:hint="eastAsia" w:ascii="宋体" w:hAnsi="宋体" w:cs="宋体"/>
          <w:color w:val="auto"/>
          <w:szCs w:val="21"/>
        </w:rPr>
        <w:t>3.项目联系方式</w:t>
      </w:r>
      <w:bookmarkEnd w:id="46"/>
      <w:bookmarkEnd w:id="47"/>
      <w:bookmarkEnd w:id="48"/>
      <w:bookmarkEnd w:id="49"/>
    </w:p>
    <w:p w14:paraId="39600C3C">
      <w:pPr>
        <w:pStyle w:val="17"/>
        <w:spacing w:line="360" w:lineRule="exact"/>
        <w:ind w:firstLine="567" w:firstLineChars="270"/>
        <w:rPr>
          <w:rFonts w:hAnsi="宋体"/>
          <w:color w:val="auto"/>
          <w:u w:val="single"/>
        </w:rPr>
      </w:pPr>
      <w:r>
        <w:rPr>
          <w:rFonts w:hint="eastAsia" w:hAnsi="宋体"/>
          <w:color w:val="auto"/>
        </w:rPr>
        <w:t>项目联系人：林雪青、秦志伟</w:t>
      </w:r>
    </w:p>
    <w:p w14:paraId="7873A8D9">
      <w:pPr>
        <w:spacing w:line="360" w:lineRule="exact"/>
        <w:ind w:firstLine="420" w:firstLineChars="200"/>
        <w:jc w:val="left"/>
        <w:rPr>
          <w:rFonts w:ascii="宋体" w:hAnsi="宋体" w:cs="宋体"/>
          <w:color w:val="auto"/>
          <w:szCs w:val="21"/>
        </w:rPr>
      </w:pPr>
      <w:r>
        <w:rPr>
          <w:rFonts w:hint="eastAsia" w:ascii="宋体" w:hAnsi="宋体"/>
          <w:color w:val="auto"/>
        </w:rPr>
        <w:t>联系方式：</w:t>
      </w:r>
      <w:r>
        <w:rPr>
          <w:rFonts w:ascii="宋体" w:hAnsi="宋体"/>
          <w:color w:val="auto"/>
        </w:rPr>
        <w:t>0773-</w:t>
      </w:r>
      <w:r>
        <w:rPr>
          <w:rFonts w:hint="eastAsia" w:ascii="宋体" w:hAnsi="宋体"/>
          <w:color w:val="auto"/>
        </w:rPr>
        <w:t>2567907、2567912</w:t>
      </w:r>
    </w:p>
    <w:p w14:paraId="3435BD40">
      <w:pPr>
        <w:pStyle w:val="12"/>
        <w:spacing w:line="500" w:lineRule="exact"/>
        <w:rPr>
          <w:rFonts w:ascii="宋体" w:hAnsi="宋体" w:cs="宋体"/>
          <w:color w:val="auto"/>
          <w:szCs w:val="21"/>
        </w:rPr>
      </w:pPr>
    </w:p>
    <w:p w14:paraId="30A4AB74">
      <w:pPr>
        <w:pStyle w:val="12"/>
        <w:spacing w:line="500" w:lineRule="exact"/>
        <w:rPr>
          <w:rFonts w:ascii="宋体" w:hAnsi="宋体" w:cs="宋体"/>
          <w:color w:val="auto"/>
          <w:szCs w:val="21"/>
        </w:rPr>
      </w:pPr>
    </w:p>
    <w:p w14:paraId="29E4489B">
      <w:pPr>
        <w:spacing w:line="500" w:lineRule="exact"/>
        <w:jc w:val="right"/>
        <w:rPr>
          <w:rFonts w:ascii="宋体" w:hAnsi="宋体" w:cs="宋体"/>
          <w:color w:val="auto"/>
          <w:szCs w:val="21"/>
        </w:rPr>
      </w:pPr>
      <w:r>
        <w:rPr>
          <w:rFonts w:hint="eastAsia" w:ascii="宋体" w:hAnsi="宋体" w:cs="宋体"/>
          <w:color w:val="auto"/>
          <w:szCs w:val="21"/>
        </w:rPr>
        <w:t>欧邦工程管理集团有限公司</w:t>
      </w:r>
    </w:p>
    <w:p w14:paraId="451BEA23">
      <w:pPr>
        <w:spacing w:line="500" w:lineRule="exact"/>
        <w:jc w:val="right"/>
        <w:rPr>
          <w:rFonts w:hint="eastAsia" w:ascii="宋体" w:hAnsi="宋体" w:eastAsia="宋体" w:cs="宋体"/>
          <w:color w:val="auto"/>
          <w:szCs w:val="21"/>
          <w:lang w:eastAsia="zh-CN"/>
        </w:rPr>
        <w:sectPr>
          <w:footerReference r:id="rId5" w:type="default"/>
          <w:pgSz w:w="11906" w:h="16838"/>
          <w:pgMar w:top="1304" w:right="924" w:bottom="851" w:left="1797" w:header="737" w:footer="567" w:gutter="0"/>
          <w:pgNumType w:start="1"/>
          <w:cols w:space="720" w:num="1"/>
          <w:docGrid w:type="lines" w:linePitch="312" w:charSpace="0"/>
        </w:sectPr>
      </w:pPr>
      <w:r>
        <w:rPr>
          <w:rFonts w:hint="eastAsia" w:ascii="宋体" w:hAnsi="宋体" w:cs="宋体"/>
          <w:color w:val="auto"/>
          <w:szCs w:val="21"/>
          <w:lang w:eastAsia="zh-CN"/>
        </w:rPr>
        <w:t>2025年4月</w:t>
      </w:r>
      <w:r>
        <w:rPr>
          <w:rFonts w:hint="eastAsia" w:ascii="宋体" w:hAnsi="宋体" w:cs="宋体"/>
          <w:color w:val="auto"/>
          <w:szCs w:val="21"/>
          <w:lang w:val="en-US" w:eastAsia="zh-CN"/>
        </w:rPr>
        <w:t>10</w:t>
      </w:r>
      <w:r>
        <w:rPr>
          <w:rFonts w:hint="eastAsia" w:ascii="宋体" w:hAnsi="宋体" w:cs="宋体"/>
          <w:color w:val="auto"/>
          <w:szCs w:val="21"/>
          <w:lang w:eastAsia="zh-CN"/>
        </w:rPr>
        <w:t>日</w:t>
      </w:r>
    </w:p>
    <w:p w14:paraId="0FD1EFEC">
      <w:pPr>
        <w:pStyle w:val="3"/>
        <w:rPr>
          <w:color w:val="auto"/>
        </w:rPr>
      </w:pPr>
      <w:bookmarkStart w:id="50" w:name="_Toc8849"/>
      <w:bookmarkStart w:id="51" w:name="_Toc10668"/>
      <w:r>
        <w:rPr>
          <w:rFonts w:hint="eastAsia"/>
          <w:color w:val="auto"/>
        </w:rPr>
        <w:t>第二章供应商须知</w:t>
      </w:r>
      <w:bookmarkEnd w:id="0"/>
      <w:bookmarkEnd w:id="1"/>
      <w:bookmarkEnd w:id="50"/>
      <w:bookmarkEnd w:id="51"/>
      <w:bookmarkStart w:id="52" w:name="_Toc9508"/>
      <w:bookmarkStart w:id="53" w:name="_Toc13547"/>
      <w:bookmarkStart w:id="54" w:name="_Toc25063"/>
    </w:p>
    <w:p w14:paraId="72E4EBD5">
      <w:pPr>
        <w:pStyle w:val="3"/>
        <w:spacing w:line="400" w:lineRule="exact"/>
        <w:ind w:left="425"/>
        <w:rPr>
          <w:rFonts w:ascii="宋体" w:hAnsi="宋体" w:cs="宋体"/>
          <w:bCs w:val="0"/>
          <w:color w:val="auto"/>
          <w:sz w:val="24"/>
          <w:szCs w:val="24"/>
        </w:rPr>
      </w:pPr>
      <w:bookmarkStart w:id="55" w:name="_Toc15488"/>
      <w:r>
        <w:rPr>
          <w:rFonts w:hint="eastAsia" w:ascii="宋体" w:hAnsi="宋体" w:cs="宋体"/>
          <w:bCs w:val="0"/>
          <w:color w:val="auto"/>
          <w:sz w:val="24"/>
          <w:szCs w:val="24"/>
        </w:rPr>
        <w:t>供 应 商 须 知 前 附 表</w:t>
      </w:r>
      <w:bookmarkEnd w:id="52"/>
      <w:bookmarkEnd w:id="53"/>
      <w:bookmarkEnd w:id="54"/>
      <w:bookmarkEnd w:id="55"/>
    </w:p>
    <w:tbl>
      <w:tblPr>
        <w:tblStyle w:val="29"/>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652"/>
        <w:gridCol w:w="7035"/>
      </w:tblGrid>
      <w:tr w14:paraId="4E5D1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Align w:val="center"/>
          </w:tcPr>
          <w:p w14:paraId="00744BC2">
            <w:pPr>
              <w:spacing w:line="360" w:lineRule="auto"/>
              <w:jc w:val="center"/>
              <w:rPr>
                <w:rFonts w:ascii="宋体" w:hAnsi="宋体" w:cs="宋体"/>
                <w:color w:val="auto"/>
                <w:szCs w:val="21"/>
              </w:rPr>
            </w:pPr>
            <w:r>
              <w:rPr>
                <w:rFonts w:hint="eastAsia" w:ascii="宋体" w:hAnsi="宋体" w:cs="宋体"/>
                <w:color w:val="auto"/>
                <w:szCs w:val="21"/>
              </w:rPr>
              <w:t>序号</w:t>
            </w:r>
          </w:p>
        </w:tc>
        <w:tc>
          <w:tcPr>
            <w:tcW w:w="942" w:type="dxa"/>
            <w:vAlign w:val="center"/>
          </w:tcPr>
          <w:p w14:paraId="72528F81">
            <w:pPr>
              <w:spacing w:line="360" w:lineRule="auto"/>
              <w:jc w:val="center"/>
              <w:rPr>
                <w:rFonts w:ascii="宋体" w:hAnsi="宋体" w:cs="宋体"/>
                <w:color w:val="auto"/>
                <w:szCs w:val="21"/>
              </w:rPr>
            </w:pPr>
            <w:r>
              <w:rPr>
                <w:rFonts w:hint="eastAsia" w:ascii="宋体" w:hAnsi="宋体" w:cs="宋体"/>
                <w:color w:val="auto"/>
                <w:szCs w:val="21"/>
              </w:rPr>
              <w:t>条款号</w:t>
            </w:r>
          </w:p>
        </w:tc>
        <w:tc>
          <w:tcPr>
            <w:tcW w:w="1652" w:type="dxa"/>
            <w:vAlign w:val="center"/>
          </w:tcPr>
          <w:p w14:paraId="197CD5C6">
            <w:pPr>
              <w:spacing w:line="360" w:lineRule="auto"/>
              <w:jc w:val="center"/>
              <w:rPr>
                <w:rFonts w:ascii="宋体" w:hAnsi="宋体" w:cs="宋体"/>
                <w:color w:val="auto"/>
                <w:szCs w:val="21"/>
              </w:rPr>
            </w:pPr>
            <w:r>
              <w:rPr>
                <w:rFonts w:hint="eastAsia" w:ascii="宋体" w:hAnsi="宋体" w:cs="宋体"/>
                <w:color w:val="auto"/>
                <w:szCs w:val="21"/>
              </w:rPr>
              <w:t>条款名称</w:t>
            </w:r>
          </w:p>
        </w:tc>
        <w:tc>
          <w:tcPr>
            <w:tcW w:w="7035" w:type="dxa"/>
            <w:vAlign w:val="center"/>
          </w:tcPr>
          <w:p w14:paraId="61C0BF27">
            <w:pPr>
              <w:spacing w:line="360" w:lineRule="auto"/>
              <w:jc w:val="center"/>
              <w:rPr>
                <w:rFonts w:ascii="宋体" w:hAnsi="宋体" w:cs="宋体"/>
                <w:color w:val="auto"/>
                <w:szCs w:val="21"/>
              </w:rPr>
            </w:pPr>
            <w:r>
              <w:rPr>
                <w:rFonts w:hint="eastAsia" w:ascii="宋体" w:hAnsi="宋体" w:cs="宋体"/>
                <w:color w:val="auto"/>
                <w:szCs w:val="21"/>
              </w:rPr>
              <w:t>内容、要求</w:t>
            </w:r>
          </w:p>
        </w:tc>
      </w:tr>
      <w:tr w14:paraId="3B045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14:paraId="4F9368BF">
            <w:pPr>
              <w:spacing w:line="360" w:lineRule="auto"/>
              <w:jc w:val="center"/>
              <w:rPr>
                <w:rFonts w:ascii="宋体" w:hAnsi="宋体" w:cs="宋体"/>
                <w:color w:val="auto"/>
                <w:szCs w:val="21"/>
              </w:rPr>
            </w:pPr>
            <w:r>
              <w:rPr>
                <w:rFonts w:hint="eastAsia" w:ascii="宋体" w:hAnsi="宋体" w:cs="宋体"/>
                <w:color w:val="auto"/>
                <w:szCs w:val="21"/>
              </w:rPr>
              <w:t>1</w:t>
            </w:r>
          </w:p>
        </w:tc>
        <w:tc>
          <w:tcPr>
            <w:tcW w:w="942" w:type="dxa"/>
            <w:vAlign w:val="center"/>
          </w:tcPr>
          <w:p w14:paraId="432831FE">
            <w:pPr>
              <w:spacing w:line="360" w:lineRule="auto"/>
              <w:jc w:val="center"/>
              <w:rPr>
                <w:rFonts w:ascii="宋体" w:hAnsi="宋体" w:cs="宋体"/>
                <w:color w:val="auto"/>
                <w:szCs w:val="21"/>
              </w:rPr>
            </w:pPr>
            <w:r>
              <w:rPr>
                <w:rFonts w:hint="eastAsia" w:ascii="宋体" w:hAnsi="宋体" w:cs="宋体"/>
                <w:color w:val="auto"/>
                <w:szCs w:val="21"/>
              </w:rPr>
              <w:t>1.1</w:t>
            </w:r>
          </w:p>
        </w:tc>
        <w:tc>
          <w:tcPr>
            <w:tcW w:w="1652" w:type="dxa"/>
            <w:vAlign w:val="center"/>
          </w:tcPr>
          <w:p w14:paraId="007B75BF">
            <w:pPr>
              <w:spacing w:line="360" w:lineRule="auto"/>
              <w:jc w:val="center"/>
              <w:rPr>
                <w:rFonts w:ascii="宋体" w:hAnsi="宋体" w:cs="宋体"/>
                <w:color w:val="auto"/>
                <w:szCs w:val="21"/>
              </w:rPr>
            </w:pPr>
            <w:r>
              <w:rPr>
                <w:rFonts w:hint="eastAsia" w:ascii="宋体" w:hAnsi="宋体" w:cs="宋体"/>
                <w:color w:val="auto"/>
                <w:szCs w:val="21"/>
              </w:rPr>
              <w:t>项目名称及项目编号</w:t>
            </w:r>
          </w:p>
        </w:tc>
        <w:tc>
          <w:tcPr>
            <w:tcW w:w="7035" w:type="dxa"/>
          </w:tcPr>
          <w:p w14:paraId="2BB768D4">
            <w:pPr>
              <w:rPr>
                <w:rFonts w:ascii="宋体" w:hAnsi="宋体" w:cs="宋体"/>
                <w:color w:val="auto"/>
                <w:szCs w:val="21"/>
              </w:rPr>
            </w:pPr>
            <w:r>
              <w:rPr>
                <w:rFonts w:hint="eastAsia" w:ascii="宋体" w:hAnsi="宋体" w:cs="宋体"/>
                <w:color w:val="auto"/>
                <w:szCs w:val="21"/>
              </w:rPr>
              <w:t>项目名称：医疗废物转运处理服务采购</w:t>
            </w:r>
          </w:p>
          <w:p w14:paraId="6545E085">
            <w:pPr>
              <w:rPr>
                <w:rFonts w:ascii="宋体" w:hAnsi="宋体" w:cs="宋体"/>
                <w:color w:val="auto"/>
                <w:szCs w:val="21"/>
              </w:rPr>
            </w:pPr>
            <w:r>
              <w:rPr>
                <w:rFonts w:hint="eastAsia" w:ascii="宋体" w:hAnsi="宋体" w:cs="宋体"/>
                <w:color w:val="auto"/>
                <w:szCs w:val="21"/>
              </w:rPr>
              <w:t>项目编号：GLZC2025-C3-990113-OBGC</w:t>
            </w:r>
          </w:p>
        </w:tc>
      </w:tr>
      <w:tr w14:paraId="5092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59AEF51B">
            <w:pPr>
              <w:spacing w:line="360" w:lineRule="auto"/>
              <w:jc w:val="center"/>
              <w:rPr>
                <w:rFonts w:ascii="宋体" w:hAnsi="宋体" w:cs="宋体"/>
                <w:color w:val="auto"/>
                <w:szCs w:val="21"/>
              </w:rPr>
            </w:pPr>
            <w:r>
              <w:rPr>
                <w:rFonts w:hint="eastAsia" w:ascii="宋体" w:hAnsi="宋体" w:cs="宋体"/>
                <w:color w:val="auto"/>
                <w:szCs w:val="21"/>
              </w:rPr>
              <w:t>2</w:t>
            </w:r>
          </w:p>
        </w:tc>
        <w:tc>
          <w:tcPr>
            <w:tcW w:w="942" w:type="dxa"/>
            <w:vAlign w:val="center"/>
          </w:tcPr>
          <w:p w14:paraId="13BEEBF5">
            <w:pPr>
              <w:spacing w:line="360" w:lineRule="auto"/>
              <w:jc w:val="center"/>
              <w:rPr>
                <w:rFonts w:ascii="宋体" w:hAnsi="宋体" w:cs="宋体"/>
                <w:color w:val="auto"/>
                <w:szCs w:val="21"/>
              </w:rPr>
            </w:pPr>
            <w:r>
              <w:rPr>
                <w:rFonts w:hint="eastAsia" w:ascii="宋体" w:hAnsi="宋体" w:cs="宋体"/>
                <w:color w:val="auto"/>
                <w:szCs w:val="21"/>
              </w:rPr>
              <w:t>3</w:t>
            </w:r>
          </w:p>
        </w:tc>
        <w:tc>
          <w:tcPr>
            <w:tcW w:w="1652" w:type="dxa"/>
            <w:vAlign w:val="center"/>
          </w:tcPr>
          <w:p w14:paraId="220B19CC">
            <w:pPr>
              <w:spacing w:line="360" w:lineRule="auto"/>
              <w:jc w:val="center"/>
              <w:rPr>
                <w:rFonts w:ascii="宋体" w:hAnsi="宋体" w:cs="宋体"/>
                <w:color w:val="auto"/>
                <w:szCs w:val="21"/>
              </w:rPr>
            </w:pPr>
            <w:r>
              <w:rPr>
                <w:rFonts w:hint="eastAsia" w:ascii="宋体" w:hAnsi="宋体" w:cs="宋体"/>
                <w:color w:val="auto"/>
                <w:szCs w:val="21"/>
              </w:rPr>
              <w:t>供应商资格</w:t>
            </w:r>
          </w:p>
        </w:tc>
        <w:tc>
          <w:tcPr>
            <w:tcW w:w="7035" w:type="dxa"/>
            <w:vAlign w:val="center"/>
          </w:tcPr>
          <w:p w14:paraId="49FAC4F7">
            <w:pPr>
              <w:rPr>
                <w:rFonts w:ascii="宋体" w:hAnsi="宋体" w:cs="宋体"/>
                <w:color w:val="auto"/>
                <w:szCs w:val="21"/>
              </w:rPr>
            </w:pPr>
            <w:r>
              <w:rPr>
                <w:rFonts w:hint="eastAsia" w:ascii="宋体" w:hAnsi="宋体" w:cs="宋体"/>
                <w:color w:val="auto"/>
                <w:szCs w:val="21"/>
              </w:rPr>
              <w:t>3.1.满足《中华人民共和国政府采购法》第二十二条规定；</w:t>
            </w:r>
          </w:p>
          <w:p w14:paraId="3F98A2E7">
            <w:pPr>
              <w:rPr>
                <w:rFonts w:ascii="宋体" w:hAnsi="宋体" w:cs="宋体"/>
                <w:color w:val="auto"/>
                <w:szCs w:val="21"/>
              </w:rPr>
            </w:pPr>
            <w:r>
              <w:rPr>
                <w:rFonts w:hint="eastAsia" w:ascii="宋体" w:hAnsi="宋体" w:cs="宋体"/>
                <w:color w:val="auto"/>
                <w:szCs w:val="21"/>
              </w:rPr>
              <w:t>3.2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66CFB1C1">
            <w:pPr>
              <w:rPr>
                <w:rFonts w:ascii="宋体" w:hAnsi="宋体" w:cs="宋体"/>
                <w:color w:val="auto"/>
                <w:szCs w:val="21"/>
              </w:rPr>
            </w:pPr>
            <w:r>
              <w:rPr>
                <w:rFonts w:hint="eastAsia" w:ascii="宋体" w:hAnsi="宋体" w:cs="宋体"/>
                <w:color w:val="auto"/>
                <w:szCs w:val="21"/>
              </w:rPr>
              <w:t>3.3.落实政府采购政策需满足的资格要求：</w:t>
            </w:r>
            <w:r>
              <w:rPr>
                <w:rFonts w:hint="eastAsia" w:ascii="宋体" w:hAnsi="宋体" w:cs="宋体"/>
                <w:color w:val="auto"/>
                <w:kern w:val="0"/>
                <w:szCs w:val="21"/>
              </w:rPr>
              <w:t>本项目属于非专门面向中小企业采购</w:t>
            </w:r>
            <w:r>
              <w:rPr>
                <w:rFonts w:hint="eastAsia" w:ascii="宋体" w:hAnsi="宋体" w:cs="宋体"/>
                <w:color w:val="auto"/>
                <w:szCs w:val="21"/>
              </w:rPr>
              <w:t>。</w:t>
            </w:r>
          </w:p>
          <w:p w14:paraId="2409A59E">
            <w:pPr>
              <w:spacing w:line="360" w:lineRule="auto"/>
              <w:ind w:firstLine="420" w:firstLineChars="200"/>
              <w:rPr>
                <w:rFonts w:ascii="宋体" w:hAnsi="宋体" w:cs="宋体"/>
                <w:color w:val="auto"/>
                <w:szCs w:val="21"/>
              </w:rPr>
            </w:pPr>
            <w:r>
              <w:rPr>
                <w:rFonts w:hint="eastAsia" w:ascii="宋体" w:hAnsi="宋体" w:cs="宋体"/>
                <w:color w:val="auto"/>
                <w:szCs w:val="21"/>
              </w:rPr>
              <w:t>3.4.本项目的特定资格要求：</w:t>
            </w:r>
          </w:p>
          <w:p w14:paraId="4220361E">
            <w:pPr>
              <w:spacing w:line="360" w:lineRule="auto"/>
              <w:ind w:firstLine="420" w:firstLineChars="200"/>
              <w:rPr>
                <w:rFonts w:ascii="宋体" w:hAnsi="宋体" w:cs="宋体"/>
                <w:color w:val="auto"/>
                <w:szCs w:val="21"/>
              </w:rPr>
            </w:pPr>
            <w:r>
              <w:rPr>
                <w:rFonts w:hint="eastAsia" w:ascii="宋体" w:hAnsi="宋体" w:cs="宋体"/>
                <w:color w:val="auto"/>
                <w:szCs w:val="21"/>
              </w:rPr>
              <w:t>3.4.1具有《危险废物经营许可证》医疗废物HW01资质，具备收集、贮存、处置经营资质，包含感染性医疗废物、损伤性医疗废物、病理性医疗废物、化学性医疗废物、药物性医疗废物。</w:t>
            </w:r>
          </w:p>
          <w:p w14:paraId="4C1399DD">
            <w:pPr>
              <w:spacing w:line="360" w:lineRule="auto"/>
              <w:ind w:firstLine="420" w:firstLineChars="200"/>
              <w:rPr>
                <w:rFonts w:ascii="宋体" w:hAnsi="宋体" w:cs="宋体"/>
                <w:color w:val="auto"/>
                <w:szCs w:val="21"/>
              </w:rPr>
            </w:pPr>
            <w:r>
              <w:rPr>
                <w:rFonts w:hint="eastAsia" w:ascii="宋体" w:hAnsi="宋体" w:cs="宋体"/>
                <w:color w:val="auto"/>
                <w:szCs w:val="21"/>
              </w:rPr>
              <w:t>3.4.2提供《道路运输经营许可证》，经营范围含危险货物运输（医疗废物）。</w:t>
            </w:r>
          </w:p>
          <w:p w14:paraId="3CFD8084">
            <w:pPr>
              <w:widowControl/>
              <w:shd w:val="clear" w:color="auto" w:fill="FFFFFF"/>
              <w:spacing w:line="360" w:lineRule="atLeast"/>
              <w:ind w:firstLine="420"/>
              <w:jc w:val="left"/>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3.4.3拟投入收集、运输人员：服务本项目人员必须同时具有危险货物运输驾驶员、押运人员从业资格证双证。提供证件扫描件等证明材料。</w:t>
            </w:r>
          </w:p>
          <w:p w14:paraId="605D10F8">
            <w:pPr>
              <w:ind w:firstLine="420" w:firstLineChars="200"/>
              <w:rPr>
                <w:rFonts w:ascii="宋体" w:hAnsi="宋体" w:cs="宋体"/>
                <w:color w:val="auto"/>
                <w:szCs w:val="21"/>
              </w:rPr>
            </w:pPr>
            <w:r>
              <w:rPr>
                <w:rFonts w:hint="eastAsia" w:ascii="宋体" w:hAnsi="宋体" w:cs="宋体"/>
                <w:color w:val="auto"/>
                <w:kern w:val="0"/>
                <w:szCs w:val="21"/>
                <w:shd w:val="clear" w:color="auto" w:fill="FFFFFF"/>
              </w:rPr>
              <w:t>3.4.4拟投入装卸管理人员：竞标单位至少具有1名道路运输企业安全生产管理人员。提供证件扫描件等证明材料</w:t>
            </w:r>
            <w:r>
              <w:rPr>
                <w:rFonts w:hint="eastAsia" w:ascii="宋体" w:hAnsi="宋体" w:cs="宋体"/>
                <w:color w:val="auto"/>
                <w:szCs w:val="21"/>
              </w:rPr>
              <w:t>。</w:t>
            </w:r>
          </w:p>
          <w:p w14:paraId="31BEBD52">
            <w:pPr>
              <w:ind w:firstLine="420" w:firstLineChars="200"/>
              <w:rPr>
                <w:rFonts w:ascii="宋体" w:hAnsi="宋体" w:cs="宋体"/>
                <w:color w:val="auto"/>
                <w:szCs w:val="21"/>
              </w:rPr>
            </w:pPr>
            <w:r>
              <w:rPr>
                <w:rFonts w:hint="eastAsia" w:ascii="宋体" w:hAnsi="宋体" w:cs="宋体"/>
                <w:color w:val="auto"/>
                <w:szCs w:val="21"/>
              </w:rPr>
              <w:t>3.3.5.本项目不接受联合体。</w:t>
            </w:r>
          </w:p>
        </w:tc>
      </w:tr>
      <w:tr w14:paraId="51FE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14:paraId="0075A755">
            <w:pPr>
              <w:spacing w:line="360" w:lineRule="auto"/>
              <w:jc w:val="center"/>
              <w:rPr>
                <w:rFonts w:ascii="宋体" w:hAnsi="宋体" w:cs="宋体"/>
                <w:color w:val="auto"/>
                <w:szCs w:val="21"/>
              </w:rPr>
            </w:pPr>
            <w:r>
              <w:rPr>
                <w:rFonts w:hint="eastAsia" w:ascii="宋体" w:hAnsi="宋体" w:cs="宋体"/>
                <w:color w:val="auto"/>
                <w:szCs w:val="21"/>
              </w:rPr>
              <w:t>3</w:t>
            </w:r>
          </w:p>
        </w:tc>
        <w:tc>
          <w:tcPr>
            <w:tcW w:w="942" w:type="dxa"/>
            <w:vAlign w:val="center"/>
          </w:tcPr>
          <w:p w14:paraId="29BC4AA0">
            <w:pPr>
              <w:spacing w:line="360" w:lineRule="auto"/>
              <w:jc w:val="center"/>
              <w:rPr>
                <w:rFonts w:ascii="宋体" w:hAnsi="宋体" w:cs="宋体"/>
                <w:color w:val="auto"/>
                <w:szCs w:val="21"/>
              </w:rPr>
            </w:pPr>
            <w:r>
              <w:rPr>
                <w:rFonts w:hint="eastAsia" w:ascii="宋体" w:hAnsi="宋体" w:cs="宋体"/>
                <w:color w:val="auto"/>
                <w:szCs w:val="21"/>
              </w:rPr>
              <w:t>4</w:t>
            </w:r>
          </w:p>
        </w:tc>
        <w:tc>
          <w:tcPr>
            <w:tcW w:w="1652" w:type="dxa"/>
            <w:vAlign w:val="center"/>
          </w:tcPr>
          <w:p w14:paraId="002D336D">
            <w:pPr>
              <w:spacing w:line="360" w:lineRule="auto"/>
              <w:jc w:val="center"/>
              <w:rPr>
                <w:rFonts w:ascii="宋体" w:hAnsi="宋体" w:cs="宋体"/>
                <w:color w:val="auto"/>
                <w:szCs w:val="21"/>
              </w:rPr>
            </w:pPr>
            <w:r>
              <w:rPr>
                <w:rFonts w:hint="eastAsia" w:ascii="宋体" w:hAnsi="宋体" w:cs="宋体"/>
                <w:color w:val="auto"/>
                <w:szCs w:val="21"/>
              </w:rPr>
              <w:t>磋商费用</w:t>
            </w:r>
          </w:p>
        </w:tc>
        <w:tc>
          <w:tcPr>
            <w:tcW w:w="7035" w:type="dxa"/>
            <w:vAlign w:val="center"/>
          </w:tcPr>
          <w:p w14:paraId="639C0E6B">
            <w:pPr>
              <w:spacing w:line="360" w:lineRule="auto"/>
              <w:rPr>
                <w:rFonts w:ascii="宋体" w:hAnsi="宋体" w:cs="宋体"/>
                <w:color w:val="auto"/>
                <w:szCs w:val="21"/>
              </w:rPr>
            </w:pPr>
            <w:r>
              <w:rPr>
                <w:rFonts w:hint="eastAsia" w:ascii="宋体" w:hAnsi="宋体" w:cs="宋体"/>
                <w:color w:val="auto"/>
                <w:szCs w:val="21"/>
              </w:rPr>
              <w:t xml:space="preserve">不论磋商结果如何，供应商均应自行承担所有与磋商有关的全部费用。 </w:t>
            </w:r>
          </w:p>
        </w:tc>
      </w:tr>
      <w:tr w14:paraId="76C2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502E7A31">
            <w:pPr>
              <w:spacing w:line="360" w:lineRule="auto"/>
              <w:jc w:val="center"/>
              <w:rPr>
                <w:rFonts w:ascii="宋体" w:hAnsi="宋体" w:cs="宋体"/>
                <w:color w:val="auto"/>
                <w:szCs w:val="21"/>
              </w:rPr>
            </w:pPr>
            <w:r>
              <w:rPr>
                <w:rFonts w:hint="eastAsia" w:ascii="宋体" w:hAnsi="宋体" w:cs="宋体"/>
                <w:color w:val="auto"/>
                <w:szCs w:val="21"/>
              </w:rPr>
              <w:t>4</w:t>
            </w:r>
          </w:p>
        </w:tc>
        <w:tc>
          <w:tcPr>
            <w:tcW w:w="942" w:type="dxa"/>
            <w:vAlign w:val="center"/>
          </w:tcPr>
          <w:p w14:paraId="4D9B8A13">
            <w:pPr>
              <w:spacing w:line="360" w:lineRule="auto"/>
              <w:jc w:val="center"/>
              <w:rPr>
                <w:rFonts w:ascii="宋体" w:hAnsi="宋体" w:cs="宋体"/>
                <w:color w:val="auto"/>
                <w:position w:val="-2"/>
                <w:szCs w:val="21"/>
              </w:rPr>
            </w:pPr>
            <w:r>
              <w:rPr>
                <w:rFonts w:hint="eastAsia" w:ascii="宋体" w:hAnsi="宋体" w:cs="宋体"/>
                <w:color w:val="auto"/>
                <w:position w:val="-2"/>
                <w:szCs w:val="21"/>
              </w:rPr>
              <w:t>13</w:t>
            </w:r>
          </w:p>
        </w:tc>
        <w:tc>
          <w:tcPr>
            <w:tcW w:w="1652" w:type="dxa"/>
            <w:vAlign w:val="center"/>
          </w:tcPr>
          <w:p w14:paraId="6E5A4D4E">
            <w:pPr>
              <w:spacing w:line="360" w:lineRule="auto"/>
              <w:jc w:val="center"/>
              <w:rPr>
                <w:rFonts w:ascii="宋体" w:hAnsi="宋体" w:cs="宋体"/>
                <w:color w:val="auto"/>
                <w:position w:val="-2"/>
                <w:szCs w:val="21"/>
              </w:rPr>
            </w:pPr>
            <w:r>
              <w:rPr>
                <w:rFonts w:hint="eastAsia" w:ascii="宋体" w:hAnsi="宋体" w:cs="宋体"/>
                <w:color w:val="auto"/>
                <w:szCs w:val="21"/>
              </w:rPr>
              <w:t>磋商报价及采购预算金额</w:t>
            </w:r>
          </w:p>
        </w:tc>
        <w:tc>
          <w:tcPr>
            <w:tcW w:w="7035" w:type="dxa"/>
            <w:vAlign w:val="center"/>
          </w:tcPr>
          <w:p w14:paraId="67CCF307">
            <w:pPr>
              <w:rPr>
                <w:rFonts w:ascii="宋体" w:hAnsi="宋体" w:cs="宋体"/>
                <w:color w:val="auto"/>
                <w:szCs w:val="21"/>
              </w:rPr>
            </w:pPr>
            <w:r>
              <w:rPr>
                <w:rFonts w:hint="eastAsia" w:ascii="宋体" w:hAnsi="宋体" w:cs="宋体"/>
                <w:color w:val="auto"/>
                <w:szCs w:val="21"/>
              </w:rPr>
              <w:t>13.1 磋商报价应按磋商文件中相关附表格式填写。预算金额：柒拾壹万壹仟柒佰伍拾元整（¥711750.00元）</w:t>
            </w:r>
            <w:r>
              <w:rPr>
                <w:rFonts w:hint="eastAsia" w:ascii="宋体" w:hAnsi="宋体" w:eastAsia="宋体" w:cs="宋体"/>
                <w:color w:val="auto"/>
                <w:szCs w:val="21"/>
              </w:rPr>
              <w:t>/</w:t>
            </w:r>
            <w:r>
              <w:rPr>
                <w:rFonts w:hint="eastAsia" w:ascii="宋体" w:hAnsi="宋体" w:cs="宋体"/>
                <w:color w:val="auto"/>
                <w:szCs w:val="21"/>
                <w:lang w:eastAsia="zh-CN"/>
              </w:rPr>
              <w:t>年</w:t>
            </w:r>
            <w:r>
              <w:rPr>
                <w:rFonts w:hint="eastAsia" w:ascii="宋体" w:hAnsi="宋体" w:cs="宋体"/>
                <w:color w:val="auto"/>
                <w:szCs w:val="21"/>
              </w:rPr>
              <w:t>，处置费按3元/床·日计。具体结算金额</w:t>
            </w:r>
            <w:r>
              <w:rPr>
                <w:rFonts w:ascii="宋体" w:hAnsi="宋体" w:cs="Arial"/>
                <w:color w:val="auto"/>
                <w:szCs w:val="21"/>
              </w:rPr>
              <w:t>按实际采购量的金额为准，即：结算金额=</w:t>
            </w:r>
            <w:r>
              <w:rPr>
                <w:rFonts w:hint="eastAsia" w:ascii="宋体" w:hAnsi="宋体" w:cs="Arial"/>
                <w:color w:val="auto"/>
                <w:szCs w:val="21"/>
              </w:rPr>
              <w:t>成交</w:t>
            </w:r>
            <w:r>
              <w:rPr>
                <w:rFonts w:ascii="宋体" w:hAnsi="宋体" w:cs="Arial"/>
                <w:color w:val="auto"/>
                <w:szCs w:val="21"/>
              </w:rPr>
              <w:t>单价×实际采购数量）</w:t>
            </w:r>
            <w:r>
              <w:rPr>
                <w:rFonts w:hint="eastAsia" w:ascii="宋体" w:hAnsi="宋体" w:cs="宋体"/>
                <w:color w:val="auto"/>
                <w:szCs w:val="21"/>
              </w:rPr>
              <w:t>。供应商单项合计报价超出采购预算单价限价合计金额的或单项单价报价超出对应采购预算单项单价限价的，响应文件按无效处理。</w:t>
            </w:r>
          </w:p>
          <w:p w14:paraId="57B9A412">
            <w:pPr>
              <w:snapToGrid w:val="0"/>
              <w:spacing w:line="360" w:lineRule="auto"/>
              <w:jc w:val="left"/>
              <w:rPr>
                <w:rFonts w:ascii="宋体" w:hAnsi="宋体" w:cs="宋体"/>
                <w:color w:val="auto"/>
                <w:szCs w:val="21"/>
              </w:rPr>
            </w:pPr>
            <w:r>
              <w:rPr>
                <w:rFonts w:hint="eastAsia" w:ascii="宋体" w:hAnsi="宋体" w:cs="宋体"/>
                <w:color w:val="auto"/>
                <w:szCs w:val="21"/>
              </w:rPr>
              <w:t>13.2供应商必须就“采购需求”中所有内容作完整唯一报价，否则，其响应文件无效；响应文件只允许有一个报价，有选择的或有条件的报价将不予接受。</w:t>
            </w:r>
          </w:p>
          <w:p w14:paraId="0B0115E9">
            <w:pPr>
              <w:snapToGrid w:val="0"/>
              <w:spacing w:line="360" w:lineRule="auto"/>
              <w:jc w:val="left"/>
              <w:rPr>
                <w:rFonts w:ascii="宋体" w:hAnsi="宋体" w:cs="宋体"/>
                <w:color w:val="auto"/>
                <w:szCs w:val="21"/>
              </w:rPr>
            </w:pPr>
            <w:r>
              <w:rPr>
                <w:rFonts w:hint="eastAsia" w:ascii="宋体" w:hAnsi="宋体" w:cs="宋体"/>
                <w:color w:val="auto"/>
                <w:szCs w:val="21"/>
              </w:rPr>
              <w:t>13.4</w:t>
            </w:r>
            <w:r>
              <w:rPr>
                <w:rFonts w:hint="eastAsia" w:ascii="宋体" w:hAnsi="宋体" w:cs="宋体"/>
                <w:color w:val="auto"/>
                <w:kern w:val="0"/>
                <w:szCs w:val="21"/>
              </w:rPr>
              <w:t>供应商应在规定时间内在政采云系统上提交最后报价，超出评委设定的最后报价时限或其最后报价超出采购预算导致已通过评审的响应文件无效的，按供应商在提交响应文件截止时间后撤回响应文件处理。</w:t>
            </w:r>
          </w:p>
        </w:tc>
      </w:tr>
      <w:tr w14:paraId="716FD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6A938DA6">
            <w:pPr>
              <w:spacing w:line="360" w:lineRule="auto"/>
              <w:jc w:val="center"/>
              <w:rPr>
                <w:rFonts w:ascii="宋体" w:hAnsi="宋体" w:cs="宋体"/>
                <w:color w:val="auto"/>
                <w:szCs w:val="21"/>
              </w:rPr>
            </w:pPr>
            <w:r>
              <w:rPr>
                <w:rFonts w:hint="eastAsia" w:ascii="宋体" w:hAnsi="宋体" w:cs="宋体"/>
                <w:color w:val="auto"/>
                <w:szCs w:val="21"/>
              </w:rPr>
              <w:t>5</w:t>
            </w:r>
          </w:p>
        </w:tc>
        <w:tc>
          <w:tcPr>
            <w:tcW w:w="942" w:type="dxa"/>
            <w:vAlign w:val="center"/>
          </w:tcPr>
          <w:p w14:paraId="2158B4DC">
            <w:pPr>
              <w:spacing w:line="360" w:lineRule="auto"/>
              <w:jc w:val="center"/>
              <w:rPr>
                <w:rFonts w:ascii="宋体" w:hAnsi="宋体" w:cs="宋体"/>
                <w:color w:val="auto"/>
                <w:position w:val="-2"/>
                <w:szCs w:val="21"/>
              </w:rPr>
            </w:pPr>
            <w:r>
              <w:rPr>
                <w:rFonts w:hint="eastAsia" w:ascii="宋体" w:hAnsi="宋体" w:cs="宋体"/>
                <w:color w:val="auto"/>
                <w:position w:val="-2"/>
                <w:szCs w:val="21"/>
              </w:rPr>
              <w:t>14.1</w:t>
            </w:r>
          </w:p>
        </w:tc>
        <w:tc>
          <w:tcPr>
            <w:tcW w:w="1652" w:type="dxa"/>
            <w:vAlign w:val="center"/>
          </w:tcPr>
          <w:p w14:paraId="06750A5C">
            <w:pPr>
              <w:spacing w:line="360" w:lineRule="auto"/>
              <w:jc w:val="center"/>
              <w:rPr>
                <w:rFonts w:ascii="宋体" w:hAnsi="宋体" w:cs="宋体"/>
                <w:color w:val="auto"/>
                <w:position w:val="-2"/>
                <w:szCs w:val="21"/>
              </w:rPr>
            </w:pPr>
            <w:r>
              <w:rPr>
                <w:rFonts w:hint="eastAsia" w:ascii="宋体" w:hAnsi="宋体" w:cs="宋体"/>
                <w:color w:val="auto"/>
                <w:position w:val="-2"/>
                <w:szCs w:val="21"/>
              </w:rPr>
              <w:t>响应文件有效期</w:t>
            </w:r>
          </w:p>
        </w:tc>
        <w:tc>
          <w:tcPr>
            <w:tcW w:w="7035" w:type="dxa"/>
          </w:tcPr>
          <w:p w14:paraId="468EB807">
            <w:pPr>
              <w:tabs>
                <w:tab w:val="left" w:pos="1305"/>
              </w:tabs>
              <w:spacing w:line="360" w:lineRule="auto"/>
              <w:rPr>
                <w:rFonts w:ascii="宋体" w:hAnsi="宋体" w:cs="宋体"/>
                <w:color w:val="auto"/>
                <w:szCs w:val="21"/>
              </w:rPr>
            </w:pPr>
            <w:r>
              <w:rPr>
                <w:rFonts w:hint="eastAsia" w:ascii="宋体" w:hAnsi="宋体" w:cs="宋体"/>
                <w:color w:val="auto"/>
                <w:szCs w:val="21"/>
              </w:rPr>
              <w:t>响应文件递交截止时间之日起90天，有效期不足的响应文件将被拒绝。</w:t>
            </w:r>
          </w:p>
        </w:tc>
      </w:tr>
      <w:tr w14:paraId="64A26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2" w:type="dxa"/>
            <w:vAlign w:val="center"/>
          </w:tcPr>
          <w:p w14:paraId="5AD3D311">
            <w:pPr>
              <w:spacing w:line="360" w:lineRule="auto"/>
              <w:jc w:val="center"/>
              <w:rPr>
                <w:rFonts w:ascii="宋体" w:hAnsi="宋体" w:cs="宋体"/>
                <w:color w:val="auto"/>
                <w:szCs w:val="21"/>
              </w:rPr>
            </w:pPr>
            <w:r>
              <w:rPr>
                <w:rFonts w:hint="eastAsia" w:ascii="宋体" w:hAnsi="宋体" w:cs="宋体"/>
                <w:color w:val="auto"/>
                <w:szCs w:val="21"/>
              </w:rPr>
              <w:t>6</w:t>
            </w:r>
          </w:p>
        </w:tc>
        <w:tc>
          <w:tcPr>
            <w:tcW w:w="942" w:type="dxa"/>
            <w:vAlign w:val="center"/>
          </w:tcPr>
          <w:p w14:paraId="090EEAF8">
            <w:pPr>
              <w:spacing w:line="360" w:lineRule="auto"/>
              <w:jc w:val="center"/>
              <w:rPr>
                <w:rFonts w:ascii="宋体" w:hAnsi="宋体" w:cs="宋体"/>
                <w:color w:val="auto"/>
                <w:position w:val="-2"/>
                <w:szCs w:val="21"/>
              </w:rPr>
            </w:pPr>
            <w:r>
              <w:rPr>
                <w:rFonts w:hint="eastAsia" w:ascii="宋体" w:hAnsi="宋体" w:cs="宋体"/>
                <w:color w:val="auto"/>
                <w:position w:val="-2"/>
                <w:szCs w:val="21"/>
              </w:rPr>
              <w:t>15</w:t>
            </w:r>
          </w:p>
        </w:tc>
        <w:tc>
          <w:tcPr>
            <w:tcW w:w="1652" w:type="dxa"/>
            <w:vAlign w:val="center"/>
          </w:tcPr>
          <w:p w14:paraId="70D65F50">
            <w:pPr>
              <w:spacing w:line="360" w:lineRule="auto"/>
              <w:jc w:val="center"/>
              <w:rPr>
                <w:rFonts w:ascii="宋体" w:hAnsi="宋体" w:cs="宋体"/>
                <w:color w:val="auto"/>
                <w:position w:val="-2"/>
                <w:szCs w:val="21"/>
              </w:rPr>
            </w:pPr>
            <w:r>
              <w:rPr>
                <w:rFonts w:hint="eastAsia" w:ascii="宋体" w:hAnsi="宋体" w:cs="宋体"/>
                <w:color w:val="auto"/>
                <w:position w:val="-2"/>
                <w:szCs w:val="21"/>
              </w:rPr>
              <w:t>磋商保证金</w:t>
            </w:r>
          </w:p>
        </w:tc>
        <w:tc>
          <w:tcPr>
            <w:tcW w:w="7035" w:type="dxa"/>
          </w:tcPr>
          <w:p w14:paraId="0C14FF77">
            <w:pPr>
              <w:tabs>
                <w:tab w:val="left" w:pos="1305"/>
              </w:tabs>
              <w:spacing w:line="360" w:lineRule="auto"/>
              <w:rPr>
                <w:rFonts w:ascii="宋体" w:hAnsi="宋体" w:cs="宋体"/>
                <w:color w:val="auto"/>
                <w:szCs w:val="21"/>
              </w:rPr>
            </w:pPr>
            <w:r>
              <w:rPr>
                <w:rFonts w:hint="eastAsia" w:ascii="宋体" w:hAnsi="宋体" w:cs="宋体"/>
                <w:color w:val="auto"/>
                <w:szCs w:val="21"/>
              </w:rPr>
              <w:t>本项目无需缴纳磋商保证金</w:t>
            </w:r>
          </w:p>
        </w:tc>
      </w:tr>
      <w:tr w14:paraId="3ED7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14:paraId="7F4D7D53">
            <w:pPr>
              <w:spacing w:line="360" w:lineRule="auto"/>
              <w:jc w:val="center"/>
              <w:rPr>
                <w:rFonts w:ascii="宋体" w:hAnsi="宋体" w:cs="宋体"/>
                <w:color w:val="auto"/>
                <w:szCs w:val="21"/>
              </w:rPr>
            </w:pPr>
            <w:r>
              <w:rPr>
                <w:rFonts w:hint="eastAsia" w:ascii="宋体" w:hAnsi="宋体" w:cs="宋体"/>
                <w:color w:val="auto"/>
                <w:szCs w:val="21"/>
              </w:rPr>
              <w:t>7</w:t>
            </w:r>
          </w:p>
        </w:tc>
        <w:tc>
          <w:tcPr>
            <w:tcW w:w="942" w:type="dxa"/>
            <w:vAlign w:val="center"/>
          </w:tcPr>
          <w:p w14:paraId="065785E4">
            <w:pPr>
              <w:spacing w:line="360" w:lineRule="auto"/>
              <w:jc w:val="center"/>
              <w:rPr>
                <w:rFonts w:ascii="宋体" w:hAnsi="宋体" w:cs="宋体"/>
                <w:color w:val="auto"/>
                <w:szCs w:val="21"/>
              </w:rPr>
            </w:pPr>
            <w:r>
              <w:rPr>
                <w:rFonts w:hint="eastAsia" w:ascii="宋体" w:hAnsi="宋体" w:cs="宋体"/>
                <w:color w:val="auto"/>
                <w:szCs w:val="21"/>
              </w:rPr>
              <w:t>16</w:t>
            </w:r>
          </w:p>
        </w:tc>
        <w:tc>
          <w:tcPr>
            <w:tcW w:w="1652" w:type="dxa"/>
            <w:vAlign w:val="center"/>
          </w:tcPr>
          <w:p w14:paraId="34E6442F">
            <w:pPr>
              <w:pStyle w:val="5"/>
              <w:spacing w:line="360" w:lineRule="auto"/>
              <w:jc w:val="center"/>
              <w:rPr>
                <w:rFonts w:ascii="宋体" w:hAnsi="宋体" w:cs="宋体"/>
                <w:b w:val="0"/>
                <w:bCs/>
                <w:color w:val="auto"/>
                <w:sz w:val="21"/>
                <w:szCs w:val="21"/>
              </w:rPr>
            </w:pPr>
            <w:bookmarkStart w:id="56" w:name="_Toc27452"/>
            <w:bookmarkStart w:id="57" w:name="_Toc19911"/>
            <w:r>
              <w:rPr>
                <w:rFonts w:hint="eastAsia" w:ascii="宋体" w:hAnsi="宋体" w:cs="宋体"/>
                <w:b w:val="0"/>
                <w:bCs/>
                <w:color w:val="auto"/>
                <w:sz w:val="21"/>
                <w:szCs w:val="21"/>
              </w:rPr>
              <w:t>竞争性磋商响应文件的制作</w:t>
            </w:r>
            <w:bookmarkEnd w:id="56"/>
            <w:bookmarkEnd w:id="57"/>
          </w:p>
          <w:p w14:paraId="2513089D">
            <w:pPr>
              <w:spacing w:line="360" w:lineRule="auto"/>
              <w:jc w:val="center"/>
              <w:rPr>
                <w:rFonts w:ascii="宋体" w:hAnsi="宋体" w:cs="宋体"/>
                <w:color w:val="auto"/>
                <w:szCs w:val="21"/>
              </w:rPr>
            </w:pPr>
          </w:p>
        </w:tc>
        <w:tc>
          <w:tcPr>
            <w:tcW w:w="7035" w:type="dxa"/>
            <w:vAlign w:val="center"/>
          </w:tcPr>
          <w:p w14:paraId="5CF6B87E">
            <w:pPr>
              <w:spacing w:line="360" w:lineRule="auto"/>
              <w:rPr>
                <w:rFonts w:ascii="宋体" w:hAnsi="宋体" w:cs="宋体"/>
                <w:color w:val="auto"/>
                <w:szCs w:val="21"/>
              </w:rPr>
            </w:pPr>
            <w:r>
              <w:rPr>
                <w:rFonts w:hint="eastAsia" w:ascii="宋体" w:hAnsi="宋体" w:cs="宋体"/>
                <w:color w:val="auto"/>
                <w:szCs w:val="21"/>
              </w:rPr>
              <w:t>16.1 电子磋商响应文件中须加盖供应商公章部分均采用 CA 证书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74E162CA">
            <w:pPr>
              <w:spacing w:line="360" w:lineRule="auto"/>
              <w:rPr>
                <w:rFonts w:ascii="宋体" w:hAnsi="宋体" w:cs="宋体"/>
                <w:color w:val="auto"/>
                <w:szCs w:val="21"/>
              </w:rPr>
            </w:pPr>
            <w:r>
              <w:rPr>
                <w:rFonts w:hint="eastAsia" w:ascii="宋体" w:hAnsi="宋体" w:cs="宋体"/>
                <w:color w:val="auto"/>
                <w:szCs w:val="21"/>
              </w:rPr>
              <w:t>16.2供应商法人（负责人）或授权代表持有政采云个人CA证书签章的，应在响应文件中涉及到签字的位置使用个人CA证书签章，没有办理政采云个人CA证书签章的可在响应文件中涉及到签字的位置手写签字后扫描或者拍照做成 PDF 的格式上传即可。</w:t>
            </w:r>
          </w:p>
          <w:p w14:paraId="053CC620">
            <w:pPr>
              <w:spacing w:line="360" w:lineRule="auto"/>
              <w:rPr>
                <w:rFonts w:ascii="宋体" w:hAnsi="宋体" w:cs="宋体"/>
                <w:color w:val="auto"/>
                <w:szCs w:val="21"/>
              </w:rPr>
            </w:pPr>
            <w:r>
              <w:rPr>
                <w:rFonts w:hint="eastAsia" w:ascii="宋体" w:hAnsi="宋体" w:cs="宋体"/>
                <w:color w:val="auto"/>
                <w:szCs w:val="21"/>
              </w:rPr>
              <w:t>16.3 磋商响应文件不得涂改，若有修改错漏处，须法定代表人（负责人）或授权委托人签字（或个人CA证书签章）。磋商响应文件因字迹潦草或表达不清所引起的后果由供应商负责。</w:t>
            </w:r>
          </w:p>
          <w:p w14:paraId="4F490133">
            <w:pPr>
              <w:spacing w:line="360" w:lineRule="auto"/>
              <w:rPr>
                <w:rFonts w:ascii="宋体" w:hAnsi="宋体" w:cs="宋体"/>
                <w:color w:val="auto"/>
                <w:szCs w:val="21"/>
              </w:rPr>
            </w:pPr>
            <w:r>
              <w:rPr>
                <w:rFonts w:hint="eastAsia" w:ascii="宋体" w:hAnsi="宋体" w:cs="宋体"/>
                <w:color w:val="auto"/>
                <w:szCs w:val="21"/>
              </w:rPr>
              <w:t xml:space="preserve">16.4磋商前准备 </w:t>
            </w:r>
          </w:p>
          <w:p w14:paraId="68A61D9E">
            <w:pPr>
              <w:spacing w:line="360" w:lineRule="auto"/>
              <w:rPr>
                <w:rFonts w:ascii="宋体" w:hAnsi="宋体" w:cs="宋体"/>
                <w:color w:val="auto"/>
                <w:szCs w:val="21"/>
              </w:rPr>
            </w:pPr>
            <w:r>
              <w:rPr>
                <w:rFonts w:hint="eastAsia" w:ascii="宋体" w:hAnsi="宋体" w:cs="宋体"/>
                <w:color w:val="auto"/>
                <w:szCs w:val="21"/>
              </w:rPr>
              <w:t xml:space="preserve">16.4.1本项目实行在线磋商，采用电子磋商响应文件。若供应商参与磋商，自行承担磋商一切费用。 </w:t>
            </w:r>
          </w:p>
          <w:p w14:paraId="5C79A9EF">
            <w:pPr>
              <w:spacing w:line="360" w:lineRule="auto"/>
              <w:rPr>
                <w:rFonts w:ascii="宋体" w:hAnsi="宋体" w:cs="宋体"/>
                <w:color w:val="auto"/>
                <w:szCs w:val="21"/>
              </w:rPr>
            </w:pPr>
            <w:r>
              <w:rPr>
                <w:rFonts w:hint="eastAsia" w:ascii="宋体" w:hAnsi="宋体" w:cs="宋体"/>
                <w:color w:val="auto"/>
                <w:szCs w:val="21"/>
              </w:rPr>
              <w:t xml:space="preserve">16.4.2各供应商应在截标前应确保成为政采云平台正式注册入库供应商，并完成 CA 数字证书申领。因未注册入库、未办理 CA 数字证书等原因造成无法磋商或磋商失败等后果由供应商自行承担。 </w:t>
            </w:r>
          </w:p>
          <w:p w14:paraId="28F07D02">
            <w:pPr>
              <w:spacing w:line="360" w:lineRule="auto"/>
              <w:rPr>
                <w:rFonts w:ascii="宋体" w:hAnsi="宋体" w:cs="宋体"/>
                <w:color w:val="auto"/>
                <w:szCs w:val="21"/>
              </w:rPr>
            </w:pPr>
            <w:r>
              <w:rPr>
                <w:rFonts w:hint="eastAsia" w:ascii="宋体" w:hAnsi="宋体" w:cs="宋体"/>
                <w:color w:val="auto"/>
                <w:szCs w:val="21"/>
              </w:rPr>
              <w:t>16.4.3供应商将政采云电子交易客户端下载、安装完成后，可通过账号密码或 CA 登录客户端进行响应文件制作。客户端请至网站下载专区查看，如有问题可拨打政采云客户服务热线 95763 进行咨询。</w:t>
            </w:r>
          </w:p>
        </w:tc>
      </w:tr>
      <w:tr w14:paraId="6E3FC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14:paraId="39600E5E">
            <w:pPr>
              <w:spacing w:line="360" w:lineRule="auto"/>
              <w:jc w:val="center"/>
              <w:rPr>
                <w:rFonts w:ascii="宋体" w:hAnsi="宋体" w:cs="宋体"/>
                <w:color w:val="auto"/>
                <w:szCs w:val="21"/>
              </w:rPr>
            </w:pPr>
            <w:r>
              <w:rPr>
                <w:rFonts w:hint="eastAsia" w:ascii="宋体" w:hAnsi="宋体" w:cs="宋体"/>
                <w:color w:val="auto"/>
                <w:szCs w:val="21"/>
              </w:rPr>
              <w:t>8</w:t>
            </w:r>
          </w:p>
        </w:tc>
        <w:tc>
          <w:tcPr>
            <w:tcW w:w="942" w:type="dxa"/>
            <w:vAlign w:val="center"/>
          </w:tcPr>
          <w:p w14:paraId="41A34043">
            <w:pPr>
              <w:spacing w:line="360" w:lineRule="auto"/>
              <w:jc w:val="center"/>
              <w:rPr>
                <w:rFonts w:ascii="宋体" w:hAnsi="宋体" w:cs="宋体"/>
                <w:color w:val="auto"/>
                <w:szCs w:val="21"/>
              </w:rPr>
            </w:pPr>
            <w:r>
              <w:rPr>
                <w:rFonts w:hint="eastAsia" w:ascii="宋体" w:hAnsi="宋体" w:cs="宋体"/>
                <w:color w:val="auto"/>
                <w:szCs w:val="21"/>
              </w:rPr>
              <w:t>18.1</w:t>
            </w:r>
          </w:p>
        </w:tc>
        <w:tc>
          <w:tcPr>
            <w:tcW w:w="1652" w:type="dxa"/>
            <w:vAlign w:val="center"/>
          </w:tcPr>
          <w:p w14:paraId="52115724">
            <w:pPr>
              <w:spacing w:line="360" w:lineRule="auto"/>
              <w:jc w:val="center"/>
              <w:rPr>
                <w:rFonts w:ascii="宋体" w:hAnsi="宋体" w:cs="宋体"/>
                <w:color w:val="auto"/>
                <w:szCs w:val="21"/>
              </w:rPr>
            </w:pPr>
            <w:r>
              <w:rPr>
                <w:rFonts w:hint="eastAsia" w:ascii="宋体" w:hAnsi="宋体" w:cs="宋体"/>
                <w:color w:val="auto"/>
                <w:szCs w:val="21"/>
              </w:rPr>
              <w:t>响应文件递交截止时间</w:t>
            </w:r>
          </w:p>
        </w:tc>
        <w:tc>
          <w:tcPr>
            <w:tcW w:w="7035" w:type="dxa"/>
            <w:vAlign w:val="center"/>
          </w:tcPr>
          <w:p w14:paraId="4132AE02">
            <w:pPr>
              <w:spacing w:line="360" w:lineRule="auto"/>
              <w:rPr>
                <w:rFonts w:ascii="宋体" w:hAnsi="宋体" w:cs="宋体"/>
                <w:color w:val="auto"/>
                <w:szCs w:val="21"/>
              </w:rPr>
            </w:pPr>
            <w:r>
              <w:rPr>
                <w:rFonts w:hint="eastAsia" w:ascii="宋体" w:hAnsi="宋体" w:cs="宋体"/>
                <w:color w:val="auto"/>
                <w:szCs w:val="21"/>
                <w:u w:val="single"/>
              </w:rPr>
              <w:t>于</w:t>
            </w:r>
            <w:r>
              <w:rPr>
                <w:rFonts w:hint="eastAsia" w:ascii="宋体" w:hAnsi="宋体" w:cs="宋体"/>
                <w:color w:val="auto"/>
                <w:szCs w:val="21"/>
                <w:u w:val="single"/>
                <w:lang w:eastAsia="zh-CN"/>
              </w:rPr>
              <w:t>2025年4月21日</w:t>
            </w:r>
            <w:r>
              <w:rPr>
                <w:rFonts w:hint="eastAsia" w:ascii="宋体" w:hAnsi="宋体" w:cs="宋体"/>
                <w:color w:val="auto"/>
                <w:szCs w:val="21"/>
                <w:u w:val="single"/>
              </w:rPr>
              <w:t>9时30分</w:t>
            </w:r>
            <w:r>
              <w:rPr>
                <w:rFonts w:hint="eastAsia" w:ascii="宋体" w:hAnsi="宋体" w:cs="宋体"/>
                <w:color w:val="auto"/>
                <w:szCs w:val="21"/>
              </w:rPr>
              <w:t>之前将电子磋商响应文件上传到政采云平台。应按照本项目磋商文件和政采云平台的要求编制、加密传输磋商响应文件。供应商在使用系统进行投标的过程中遇到涉及平台使用的任何问题，可致电政采云平台技术支持热线咨询，联系方式：95763。</w:t>
            </w:r>
          </w:p>
        </w:tc>
      </w:tr>
      <w:tr w14:paraId="57E8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14:paraId="7E3A1649">
            <w:pPr>
              <w:spacing w:line="360" w:lineRule="auto"/>
              <w:jc w:val="center"/>
              <w:rPr>
                <w:rFonts w:ascii="宋体" w:hAnsi="宋体" w:cs="宋体"/>
                <w:color w:val="auto"/>
                <w:position w:val="-2"/>
                <w:szCs w:val="21"/>
              </w:rPr>
            </w:pPr>
            <w:r>
              <w:rPr>
                <w:rFonts w:hint="eastAsia" w:ascii="宋体" w:hAnsi="宋体" w:cs="宋体"/>
                <w:color w:val="auto"/>
                <w:position w:val="-2"/>
                <w:szCs w:val="21"/>
              </w:rPr>
              <w:t>9</w:t>
            </w:r>
          </w:p>
        </w:tc>
        <w:tc>
          <w:tcPr>
            <w:tcW w:w="942" w:type="dxa"/>
            <w:vAlign w:val="center"/>
          </w:tcPr>
          <w:p w14:paraId="3F292C19">
            <w:pPr>
              <w:spacing w:line="360" w:lineRule="auto"/>
              <w:jc w:val="center"/>
              <w:rPr>
                <w:rFonts w:ascii="宋体" w:hAnsi="宋体" w:cs="宋体"/>
                <w:color w:val="auto"/>
                <w:position w:val="-2"/>
                <w:szCs w:val="21"/>
              </w:rPr>
            </w:pPr>
            <w:r>
              <w:rPr>
                <w:rFonts w:hint="eastAsia" w:ascii="宋体" w:hAnsi="宋体" w:cs="宋体"/>
                <w:color w:val="auto"/>
                <w:position w:val="-2"/>
                <w:szCs w:val="21"/>
              </w:rPr>
              <w:t>18.2</w:t>
            </w:r>
          </w:p>
        </w:tc>
        <w:tc>
          <w:tcPr>
            <w:tcW w:w="1652" w:type="dxa"/>
            <w:vAlign w:val="center"/>
          </w:tcPr>
          <w:p w14:paraId="3B7F0EFD">
            <w:pPr>
              <w:spacing w:line="360" w:lineRule="auto"/>
              <w:jc w:val="center"/>
              <w:rPr>
                <w:rFonts w:ascii="宋体" w:hAnsi="宋体" w:cs="宋体"/>
                <w:color w:val="auto"/>
                <w:position w:val="-2"/>
                <w:szCs w:val="21"/>
              </w:rPr>
            </w:pPr>
            <w:r>
              <w:rPr>
                <w:rFonts w:hint="eastAsia" w:ascii="宋体" w:hAnsi="宋体" w:cs="宋体"/>
                <w:color w:val="auto"/>
                <w:szCs w:val="21"/>
              </w:rPr>
              <w:t>磋商响应文件解密时间</w:t>
            </w:r>
          </w:p>
        </w:tc>
        <w:tc>
          <w:tcPr>
            <w:tcW w:w="7035" w:type="dxa"/>
            <w:vAlign w:val="center"/>
          </w:tcPr>
          <w:p w14:paraId="3FD83583">
            <w:pPr>
              <w:pStyle w:val="11"/>
              <w:rPr>
                <w:rFonts w:ascii="宋体" w:hAnsi="宋体" w:cs="宋体"/>
                <w:color w:val="auto"/>
                <w:szCs w:val="21"/>
              </w:rPr>
            </w:pPr>
            <w:r>
              <w:rPr>
                <w:rFonts w:hint="eastAsia" w:ascii="宋体" w:hAnsi="宋体" w:cs="宋体"/>
                <w:color w:val="auto"/>
                <w:szCs w:val="21"/>
              </w:rPr>
              <w:t>磋商响应文件解密时间</w:t>
            </w:r>
            <w:r>
              <w:rPr>
                <w:rFonts w:hint="eastAsia" w:ascii="宋体" w:hAnsi="宋体" w:cs="宋体"/>
                <w:color w:val="auto"/>
              </w:rPr>
              <w:t>：截标时间后</w:t>
            </w:r>
            <w:r>
              <w:rPr>
                <w:rFonts w:hint="eastAsia" w:ascii="宋体" w:hAnsi="宋体" w:cs="宋体"/>
                <w:color w:val="auto"/>
                <w:u w:val="single"/>
              </w:rPr>
              <w:t>30</w:t>
            </w:r>
            <w:r>
              <w:rPr>
                <w:rFonts w:hint="eastAsia" w:ascii="宋体" w:hAnsi="宋体" w:cs="宋体"/>
                <w:color w:val="auto"/>
              </w:rPr>
              <w:t>分钟内（</w:t>
            </w:r>
            <w:r>
              <w:rPr>
                <w:rFonts w:hint="eastAsia" w:ascii="宋体" w:hAnsi="宋体" w:cs="宋体"/>
                <w:color w:val="auto"/>
                <w:szCs w:val="21"/>
                <w:u w:val="single"/>
                <w:lang w:eastAsia="zh-CN"/>
              </w:rPr>
              <w:t>2025年4月21日</w:t>
            </w:r>
            <w:r>
              <w:rPr>
                <w:rFonts w:hint="eastAsia" w:ascii="宋体" w:hAnsi="宋体" w:cs="宋体"/>
                <w:color w:val="auto"/>
                <w:szCs w:val="21"/>
                <w:u w:val="single"/>
              </w:rPr>
              <w:t>09时30分</w:t>
            </w:r>
            <w:r>
              <w:rPr>
                <w:rFonts w:hint="eastAsia" w:ascii="宋体" w:hAnsi="宋体" w:cs="宋体"/>
                <w:color w:val="auto"/>
                <w:u w:val="single"/>
              </w:rPr>
              <w:t>至10时00分</w:t>
            </w:r>
            <w:r>
              <w:rPr>
                <w:rFonts w:hint="eastAsia" w:ascii="宋体" w:hAnsi="宋体" w:cs="宋体"/>
                <w:color w:val="auto"/>
              </w:rPr>
              <w:t>)磋商供应商可以登录政采云平台，用“项目采购-开标评标”功能进行解密磋商响应文件。</w:t>
            </w:r>
            <w:r>
              <w:rPr>
                <w:rFonts w:hint="eastAsia" w:ascii="宋体" w:hAnsi="宋体" w:cs="宋体"/>
                <w:b/>
                <w:bCs/>
                <w:color w:val="auto"/>
                <w:szCs w:val="21"/>
              </w:rPr>
              <w:t>若磋商供应商在规定时间内无法解密或解密失败，</w:t>
            </w:r>
            <w:r>
              <w:rPr>
                <w:rFonts w:ascii="宋体" w:hAnsi="宋体" w:cs="宋体"/>
                <w:b/>
                <w:bCs/>
                <w:color w:val="auto"/>
                <w:kern w:val="0"/>
                <w:szCs w:val="21"/>
              </w:rPr>
              <w:t>视为供应商放弃</w:t>
            </w:r>
            <w:r>
              <w:rPr>
                <w:rFonts w:hint="eastAsia" w:ascii="宋体" w:hAnsi="宋体" w:cs="宋体"/>
                <w:b/>
                <w:bCs/>
                <w:color w:val="auto"/>
                <w:kern w:val="0"/>
                <w:szCs w:val="21"/>
              </w:rPr>
              <w:t>磋商</w:t>
            </w:r>
            <w:r>
              <w:rPr>
                <w:rFonts w:hint="eastAsia" w:ascii="宋体" w:hAnsi="宋体" w:cs="宋体"/>
                <w:b/>
                <w:bCs/>
                <w:color w:val="auto"/>
                <w:szCs w:val="21"/>
              </w:rPr>
              <w:t>，造成响应无效的后果由供应商自行承担。</w:t>
            </w:r>
          </w:p>
        </w:tc>
      </w:tr>
      <w:tr w14:paraId="0564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14:paraId="78D0E296">
            <w:pPr>
              <w:spacing w:line="360" w:lineRule="auto"/>
              <w:jc w:val="center"/>
              <w:rPr>
                <w:rFonts w:ascii="宋体" w:hAnsi="宋体" w:cs="宋体"/>
                <w:color w:val="auto"/>
                <w:szCs w:val="21"/>
              </w:rPr>
            </w:pPr>
            <w:r>
              <w:rPr>
                <w:rFonts w:hint="eastAsia" w:ascii="宋体" w:hAnsi="宋体" w:cs="宋体"/>
                <w:color w:val="auto"/>
                <w:szCs w:val="21"/>
              </w:rPr>
              <w:t>10</w:t>
            </w:r>
          </w:p>
        </w:tc>
        <w:tc>
          <w:tcPr>
            <w:tcW w:w="942" w:type="dxa"/>
            <w:vAlign w:val="center"/>
          </w:tcPr>
          <w:p w14:paraId="34F829F2">
            <w:pPr>
              <w:spacing w:line="360" w:lineRule="auto"/>
              <w:ind w:firstLine="105" w:firstLineChars="50"/>
              <w:jc w:val="center"/>
              <w:rPr>
                <w:rFonts w:ascii="宋体" w:hAnsi="宋体" w:cs="宋体"/>
                <w:color w:val="auto"/>
                <w:position w:val="-2"/>
                <w:szCs w:val="21"/>
              </w:rPr>
            </w:pPr>
            <w:r>
              <w:rPr>
                <w:rFonts w:hint="eastAsia" w:ascii="宋体" w:hAnsi="宋体" w:cs="宋体"/>
                <w:color w:val="auto"/>
                <w:position w:val="-2"/>
                <w:szCs w:val="21"/>
              </w:rPr>
              <w:t>19.1</w:t>
            </w:r>
          </w:p>
        </w:tc>
        <w:tc>
          <w:tcPr>
            <w:tcW w:w="1652" w:type="dxa"/>
            <w:vAlign w:val="center"/>
          </w:tcPr>
          <w:p w14:paraId="31E45050">
            <w:pPr>
              <w:spacing w:line="360" w:lineRule="auto"/>
              <w:jc w:val="center"/>
              <w:rPr>
                <w:rFonts w:ascii="宋体" w:hAnsi="宋体" w:cs="宋体"/>
                <w:color w:val="auto"/>
                <w:szCs w:val="21"/>
              </w:rPr>
            </w:pPr>
            <w:r>
              <w:rPr>
                <w:rFonts w:hint="eastAsia" w:ascii="宋体" w:hAnsi="宋体" w:cs="宋体"/>
                <w:color w:val="auto"/>
                <w:szCs w:val="21"/>
              </w:rPr>
              <w:t>磋商小组组成</w:t>
            </w:r>
          </w:p>
        </w:tc>
        <w:tc>
          <w:tcPr>
            <w:tcW w:w="7035" w:type="dxa"/>
            <w:vAlign w:val="center"/>
          </w:tcPr>
          <w:p w14:paraId="2A2250C9">
            <w:pPr>
              <w:spacing w:line="360" w:lineRule="auto"/>
              <w:ind w:left="15" w:hanging="14" w:hangingChars="7"/>
              <w:rPr>
                <w:rFonts w:ascii="宋体" w:hAnsi="宋体" w:cs="宋体"/>
                <w:color w:val="auto"/>
                <w:szCs w:val="21"/>
              </w:rPr>
            </w:pPr>
            <w:r>
              <w:rPr>
                <w:rFonts w:hint="eastAsia" w:ascii="宋体" w:hAnsi="宋体" w:cs="宋体"/>
                <w:color w:val="auto"/>
                <w:szCs w:val="21"/>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auto"/>
                <w:szCs w:val="21"/>
                <w:u w:val="single"/>
              </w:rPr>
              <w:t xml:space="preserve">3 </w:t>
            </w:r>
            <w:r>
              <w:rPr>
                <w:rFonts w:hint="eastAsia" w:ascii="宋体" w:hAnsi="宋体" w:cs="宋体"/>
                <w:color w:val="auto"/>
                <w:szCs w:val="21"/>
              </w:rPr>
              <w:t>人，其中采购人代表</w:t>
            </w:r>
            <w:r>
              <w:rPr>
                <w:rFonts w:hint="eastAsia" w:ascii="宋体" w:hAnsi="宋体" w:cs="宋体"/>
                <w:color w:val="auto"/>
                <w:szCs w:val="21"/>
                <w:u w:val="single"/>
              </w:rPr>
              <w:t xml:space="preserve">1 </w:t>
            </w:r>
            <w:r>
              <w:rPr>
                <w:rFonts w:hint="eastAsia" w:ascii="宋体" w:hAnsi="宋体" w:cs="宋体"/>
                <w:color w:val="auto"/>
                <w:szCs w:val="21"/>
              </w:rPr>
              <w:t>人，专家</w:t>
            </w:r>
            <w:r>
              <w:rPr>
                <w:rFonts w:hint="eastAsia" w:ascii="宋体" w:hAnsi="宋体" w:cs="宋体"/>
                <w:color w:val="auto"/>
                <w:szCs w:val="21"/>
                <w:u w:val="single"/>
              </w:rPr>
              <w:t xml:space="preserve">2 </w:t>
            </w:r>
            <w:r>
              <w:rPr>
                <w:rFonts w:hint="eastAsia" w:ascii="宋体" w:hAnsi="宋体" w:cs="宋体"/>
                <w:color w:val="auto"/>
                <w:szCs w:val="21"/>
              </w:rPr>
              <w:t>人。</w:t>
            </w:r>
          </w:p>
        </w:tc>
      </w:tr>
      <w:tr w14:paraId="170A4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14:paraId="2D2B02D3">
            <w:pPr>
              <w:spacing w:line="360" w:lineRule="auto"/>
              <w:jc w:val="center"/>
              <w:rPr>
                <w:rFonts w:ascii="宋体" w:hAnsi="宋体" w:cs="宋体"/>
                <w:color w:val="auto"/>
                <w:szCs w:val="21"/>
              </w:rPr>
            </w:pPr>
            <w:r>
              <w:rPr>
                <w:rFonts w:hint="eastAsia" w:ascii="宋体" w:hAnsi="宋体" w:cs="宋体"/>
                <w:color w:val="auto"/>
                <w:szCs w:val="21"/>
              </w:rPr>
              <w:t>11</w:t>
            </w:r>
          </w:p>
        </w:tc>
        <w:tc>
          <w:tcPr>
            <w:tcW w:w="942" w:type="dxa"/>
            <w:vAlign w:val="center"/>
          </w:tcPr>
          <w:p w14:paraId="47DF2442">
            <w:pPr>
              <w:spacing w:line="360" w:lineRule="auto"/>
              <w:jc w:val="center"/>
              <w:rPr>
                <w:rFonts w:ascii="宋体" w:hAnsi="宋体" w:cs="宋体"/>
                <w:color w:val="auto"/>
                <w:szCs w:val="21"/>
              </w:rPr>
            </w:pPr>
            <w:r>
              <w:rPr>
                <w:rFonts w:hint="eastAsia" w:ascii="宋体" w:hAnsi="宋体" w:cs="宋体"/>
                <w:color w:val="auto"/>
                <w:szCs w:val="21"/>
              </w:rPr>
              <w:t>19.2</w:t>
            </w:r>
          </w:p>
        </w:tc>
        <w:tc>
          <w:tcPr>
            <w:tcW w:w="1652" w:type="dxa"/>
            <w:vAlign w:val="center"/>
          </w:tcPr>
          <w:p w14:paraId="7067970B">
            <w:pPr>
              <w:spacing w:line="360" w:lineRule="auto"/>
              <w:jc w:val="center"/>
              <w:rPr>
                <w:rFonts w:ascii="宋体" w:hAnsi="宋体" w:cs="宋体"/>
                <w:color w:val="auto"/>
                <w:szCs w:val="21"/>
              </w:rPr>
            </w:pPr>
            <w:r>
              <w:rPr>
                <w:rFonts w:hint="eastAsia" w:ascii="宋体" w:hAnsi="宋体" w:cs="宋体"/>
                <w:color w:val="auto"/>
                <w:szCs w:val="21"/>
              </w:rPr>
              <w:t>磋商时间、地点、人员</w:t>
            </w:r>
          </w:p>
        </w:tc>
        <w:tc>
          <w:tcPr>
            <w:tcW w:w="7035" w:type="dxa"/>
          </w:tcPr>
          <w:p w14:paraId="53FCBF2F">
            <w:pPr>
              <w:spacing w:line="360" w:lineRule="auto"/>
              <w:ind w:left="315" w:hanging="315" w:hangingChars="150"/>
              <w:jc w:val="left"/>
              <w:rPr>
                <w:rFonts w:ascii="宋体" w:hAnsi="宋体" w:cs="宋体"/>
                <w:color w:val="auto"/>
                <w:szCs w:val="21"/>
              </w:rPr>
            </w:pPr>
            <w:r>
              <w:rPr>
                <w:rFonts w:hint="eastAsia" w:ascii="宋体" w:hAnsi="宋体" w:cs="宋体"/>
                <w:color w:val="auto"/>
                <w:szCs w:val="21"/>
              </w:rPr>
              <w:t>19.2.1磋商时间：响应文件递交截止时间后。</w:t>
            </w:r>
          </w:p>
          <w:p w14:paraId="79842AA0">
            <w:pPr>
              <w:spacing w:line="360" w:lineRule="auto"/>
              <w:jc w:val="left"/>
              <w:rPr>
                <w:rFonts w:ascii="宋体" w:hAnsi="宋体" w:cs="宋体"/>
                <w:color w:val="auto"/>
                <w:szCs w:val="21"/>
              </w:rPr>
            </w:pPr>
            <w:r>
              <w:rPr>
                <w:rFonts w:hint="eastAsia" w:ascii="宋体" w:hAnsi="宋体" w:cs="宋体"/>
                <w:color w:val="auto"/>
                <w:szCs w:val="21"/>
              </w:rPr>
              <w:t>19.2.2磋商地点：本项目需要磋商供应商代表在截标当天截标后，按磋商小组要求及时登陆政采云平台等候在线磋商。</w:t>
            </w:r>
          </w:p>
          <w:p w14:paraId="28CA780B">
            <w:pPr>
              <w:spacing w:line="360" w:lineRule="auto"/>
              <w:ind w:left="15" w:hanging="14" w:hangingChars="7"/>
              <w:jc w:val="left"/>
              <w:rPr>
                <w:rFonts w:ascii="宋体" w:hAnsi="宋体" w:cs="宋体"/>
                <w:color w:val="auto"/>
                <w:szCs w:val="21"/>
              </w:rPr>
            </w:pPr>
            <w:r>
              <w:rPr>
                <w:rFonts w:hint="eastAsia" w:ascii="宋体" w:hAnsi="宋体" w:cs="宋体"/>
                <w:color w:val="auto"/>
                <w:szCs w:val="21"/>
              </w:rPr>
              <w:t>19.2.3磋商参加人员：供应商法定代表人、负责人、自然人或相应的委托代理人持有效身份证原件和供应商政采云平台CA数字证书参加磋商。请供应商按时到达指定地点等候磋商。</w:t>
            </w:r>
          </w:p>
          <w:p w14:paraId="7A37E352">
            <w:pPr>
              <w:tabs>
                <w:tab w:val="left" w:pos="1140"/>
              </w:tabs>
              <w:spacing w:line="360" w:lineRule="auto"/>
              <w:jc w:val="left"/>
              <w:rPr>
                <w:rFonts w:ascii="宋体" w:hAnsi="宋体" w:cs="宋体"/>
                <w:color w:val="auto"/>
                <w:szCs w:val="21"/>
              </w:rPr>
            </w:pPr>
            <w:r>
              <w:rPr>
                <w:rFonts w:hint="eastAsia" w:ascii="宋体" w:hAnsi="宋体" w:cs="宋体"/>
                <w:color w:val="auto"/>
                <w:szCs w:val="21"/>
              </w:rPr>
              <w:t>19.2.4响应文件递交截止时间后，由磋商小组在评标室内线上开启响应文件。</w:t>
            </w:r>
          </w:p>
        </w:tc>
      </w:tr>
      <w:tr w14:paraId="486B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5E3F2C18">
            <w:pPr>
              <w:spacing w:line="360" w:lineRule="auto"/>
              <w:jc w:val="center"/>
              <w:rPr>
                <w:rFonts w:ascii="宋体" w:hAnsi="宋体" w:cs="宋体"/>
                <w:color w:val="auto"/>
                <w:szCs w:val="21"/>
              </w:rPr>
            </w:pPr>
            <w:r>
              <w:rPr>
                <w:rFonts w:hint="eastAsia" w:ascii="宋体" w:hAnsi="宋体" w:cs="宋体"/>
                <w:color w:val="auto"/>
                <w:kern w:val="0"/>
                <w:szCs w:val="21"/>
              </w:rPr>
              <w:t>12</w:t>
            </w:r>
          </w:p>
        </w:tc>
        <w:tc>
          <w:tcPr>
            <w:tcW w:w="942" w:type="dxa"/>
            <w:vAlign w:val="center"/>
          </w:tcPr>
          <w:p w14:paraId="41981094">
            <w:pPr>
              <w:spacing w:line="360" w:lineRule="auto"/>
              <w:jc w:val="center"/>
              <w:rPr>
                <w:rFonts w:ascii="宋体" w:hAnsi="宋体" w:cs="宋体"/>
                <w:color w:val="auto"/>
                <w:szCs w:val="21"/>
              </w:rPr>
            </w:pPr>
            <w:r>
              <w:rPr>
                <w:rFonts w:hint="eastAsia" w:ascii="宋体" w:hAnsi="宋体" w:cs="宋体"/>
                <w:color w:val="auto"/>
                <w:szCs w:val="21"/>
              </w:rPr>
              <w:t>20.2</w:t>
            </w:r>
          </w:p>
        </w:tc>
        <w:tc>
          <w:tcPr>
            <w:tcW w:w="1652" w:type="dxa"/>
            <w:vAlign w:val="center"/>
          </w:tcPr>
          <w:p w14:paraId="215EED3C">
            <w:pPr>
              <w:pStyle w:val="17"/>
              <w:spacing w:line="360" w:lineRule="auto"/>
              <w:jc w:val="center"/>
              <w:rPr>
                <w:rFonts w:hAnsi="宋体" w:cs="宋体"/>
                <w:color w:val="auto"/>
                <w:kern w:val="0"/>
                <w:szCs w:val="21"/>
              </w:rPr>
            </w:pPr>
            <w:r>
              <w:rPr>
                <w:rFonts w:hint="eastAsia" w:hAnsi="宋体" w:cs="宋体"/>
                <w:color w:val="auto"/>
                <w:kern w:val="0"/>
                <w:szCs w:val="21"/>
              </w:rPr>
              <w:t>评审办法</w:t>
            </w:r>
          </w:p>
        </w:tc>
        <w:tc>
          <w:tcPr>
            <w:tcW w:w="7035" w:type="dxa"/>
            <w:vAlign w:val="center"/>
          </w:tcPr>
          <w:p w14:paraId="42842E13">
            <w:pPr>
              <w:tabs>
                <w:tab w:val="left" w:pos="1140"/>
              </w:tabs>
              <w:spacing w:line="360" w:lineRule="auto"/>
              <w:rPr>
                <w:rFonts w:ascii="宋体" w:hAnsi="宋体" w:cs="宋体"/>
                <w:color w:val="auto"/>
                <w:szCs w:val="21"/>
              </w:rPr>
            </w:pPr>
            <w:r>
              <w:rPr>
                <w:rFonts w:hint="eastAsia" w:ascii="宋体" w:hAnsi="宋体" w:cs="宋体"/>
                <w:color w:val="auto"/>
                <w:szCs w:val="21"/>
              </w:rPr>
              <w:t>具体详见第四章评审办法。</w:t>
            </w:r>
          </w:p>
        </w:tc>
      </w:tr>
      <w:tr w14:paraId="3E38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042554CF">
            <w:pPr>
              <w:spacing w:line="360" w:lineRule="auto"/>
              <w:jc w:val="center"/>
              <w:rPr>
                <w:rFonts w:ascii="宋体" w:hAnsi="宋体" w:cs="宋体"/>
                <w:color w:val="auto"/>
                <w:szCs w:val="21"/>
              </w:rPr>
            </w:pPr>
            <w:r>
              <w:rPr>
                <w:rFonts w:hint="eastAsia" w:ascii="宋体" w:hAnsi="宋体" w:cs="宋体"/>
                <w:color w:val="auto"/>
                <w:szCs w:val="21"/>
              </w:rPr>
              <w:t>13</w:t>
            </w:r>
          </w:p>
        </w:tc>
        <w:tc>
          <w:tcPr>
            <w:tcW w:w="942" w:type="dxa"/>
            <w:vAlign w:val="center"/>
          </w:tcPr>
          <w:p w14:paraId="041006D2">
            <w:pPr>
              <w:spacing w:line="360" w:lineRule="auto"/>
              <w:jc w:val="center"/>
              <w:rPr>
                <w:rFonts w:ascii="宋体" w:hAnsi="宋体" w:cs="宋体"/>
                <w:color w:val="auto"/>
                <w:szCs w:val="21"/>
              </w:rPr>
            </w:pPr>
            <w:r>
              <w:rPr>
                <w:rFonts w:hint="eastAsia" w:ascii="宋体" w:hAnsi="宋体" w:cs="宋体"/>
                <w:color w:val="auto"/>
                <w:szCs w:val="21"/>
              </w:rPr>
              <w:t>26</w:t>
            </w:r>
          </w:p>
        </w:tc>
        <w:tc>
          <w:tcPr>
            <w:tcW w:w="1652" w:type="dxa"/>
            <w:vAlign w:val="center"/>
          </w:tcPr>
          <w:p w14:paraId="2010C7DF">
            <w:pPr>
              <w:spacing w:line="360" w:lineRule="auto"/>
              <w:jc w:val="center"/>
              <w:rPr>
                <w:rFonts w:ascii="宋体" w:hAnsi="宋体" w:cs="宋体"/>
                <w:color w:val="auto"/>
                <w:szCs w:val="21"/>
              </w:rPr>
            </w:pPr>
            <w:r>
              <w:rPr>
                <w:rFonts w:hint="eastAsia" w:ascii="宋体" w:hAnsi="宋体" w:cs="宋体"/>
                <w:color w:val="auto"/>
                <w:szCs w:val="21"/>
              </w:rPr>
              <w:t>信用查询</w:t>
            </w:r>
          </w:p>
        </w:tc>
        <w:tc>
          <w:tcPr>
            <w:tcW w:w="7035" w:type="dxa"/>
            <w:vAlign w:val="center"/>
          </w:tcPr>
          <w:p w14:paraId="64E8B669">
            <w:pPr>
              <w:spacing w:line="360" w:lineRule="auto"/>
              <w:ind w:left="15" w:hanging="14" w:hangingChars="7"/>
              <w:rPr>
                <w:rFonts w:ascii="宋体" w:hAnsi="宋体" w:cs="宋体"/>
                <w:color w:val="auto"/>
                <w:szCs w:val="21"/>
              </w:rPr>
            </w:pPr>
            <w:r>
              <w:rPr>
                <w:rFonts w:hint="eastAsia" w:ascii="宋体" w:hAnsi="宋体" w:cs="宋体"/>
                <w:color w:val="auto"/>
                <w:szCs w:val="21"/>
              </w:rPr>
              <w:t>根据《关于做好政府采购有关信用主体标识码登记及在政府采购活动中查询使用信用记录有关问题的通知》（桂财采〔2016〕37</w:t>
            </w:r>
            <w:r>
              <w:rPr>
                <w:rFonts w:hint="eastAsia"/>
                <w:color w:val="auto"/>
              </w:rPr>
              <w:t>号</w:t>
            </w:r>
            <w:r>
              <w:rPr>
                <w:rFonts w:hint="eastAsia" w:ascii="宋体" w:hAnsi="宋体" w:cs="宋体"/>
                <w:color w:val="auto"/>
                <w:szCs w:val="21"/>
              </w:rPr>
              <w:t>），由采购代理机构对第一成交候选人进行信用查询：</w:t>
            </w:r>
          </w:p>
          <w:p w14:paraId="7BB55129">
            <w:pPr>
              <w:spacing w:line="360" w:lineRule="auto"/>
              <w:ind w:left="15" w:hanging="14" w:hangingChars="7"/>
              <w:rPr>
                <w:rFonts w:ascii="宋体" w:hAnsi="宋体" w:cs="宋体"/>
                <w:color w:val="auto"/>
                <w:szCs w:val="21"/>
              </w:rPr>
            </w:pPr>
            <w:r>
              <w:rPr>
                <w:rFonts w:hint="eastAsia" w:ascii="宋体" w:hAnsi="宋体" w:cs="宋体"/>
                <w:color w:val="auto"/>
                <w:szCs w:val="21"/>
              </w:rPr>
              <w:t>⑴查询渠道：“信用中国”网站(www.creditchina.gov.cn)、中国政府采购网(www.ccgp.gov.cn)等；</w:t>
            </w:r>
          </w:p>
          <w:p w14:paraId="229329A5">
            <w:pPr>
              <w:spacing w:line="360" w:lineRule="auto"/>
              <w:ind w:left="315" w:hanging="315" w:hangingChars="150"/>
              <w:rPr>
                <w:rFonts w:ascii="宋体" w:hAnsi="宋体" w:cs="宋体"/>
                <w:color w:val="auto"/>
                <w:szCs w:val="21"/>
              </w:rPr>
            </w:pPr>
            <w:r>
              <w:rPr>
                <w:rFonts w:hint="eastAsia" w:ascii="宋体" w:hAnsi="宋体" w:cs="宋体"/>
                <w:color w:val="auto"/>
                <w:szCs w:val="21"/>
              </w:rPr>
              <w:t>⑵查询时间：成交通知书发出前；</w:t>
            </w:r>
          </w:p>
          <w:p w14:paraId="3F9EBA1B">
            <w:pPr>
              <w:spacing w:line="360" w:lineRule="auto"/>
              <w:ind w:left="15" w:hanging="14" w:hangingChars="7"/>
              <w:rPr>
                <w:rFonts w:ascii="宋体" w:hAnsi="宋体" w:cs="宋体"/>
                <w:color w:val="auto"/>
                <w:szCs w:val="21"/>
              </w:rPr>
            </w:pPr>
            <w:r>
              <w:rPr>
                <w:rFonts w:hint="eastAsia" w:ascii="宋体" w:hAnsi="宋体" w:cs="宋体"/>
                <w:color w:val="auto"/>
                <w:szCs w:val="21"/>
              </w:rPr>
              <w:t>⑶信用信息查询记录和证据留存方式：在查询网站中直接打印查询记录，打印材料作为采购活动资料保存；</w:t>
            </w:r>
          </w:p>
          <w:p w14:paraId="47CC1C17">
            <w:pPr>
              <w:spacing w:line="360" w:lineRule="auto"/>
              <w:ind w:left="15" w:hanging="14" w:hangingChars="7"/>
              <w:rPr>
                <w:rFonts w:ascii="宋体" w:hAnsi="宋体" w:cs="宋体"/>
                <w:color w:val="auto"/>
                <w:szCs w:val="21"/>
              </w:rPr>
            </w:pPr>
            <w:r>
              <w:rPr>
                <w:rFonts w:hint="eastAsia" w:ascii="宋体" w:hAnsi="宋体" w:cs="宋体"/>
                <w:color w:val="auto"/>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p w14:paraId="0A1CD1B7">
            <w:pPr>
              <w:spacing w:line="360" w:lineRule="auto"/>
              <w:rPr>
                <w:rFonts w:ascii="宋体" w:hAnsi="宋体" w:cs="宋体"/>
                <w:color w:val="auto"/>
                <w:szCs w:val="21"/>
              </w:rPr>
            </w:pPr>
            <w:r>
              <w:rPr>
                <w:rFonts w:hint="eastAsia" w:ascii="宋体" w:hAnsi="宋体" w:cs="宋体"/>
                <w:color w:val="auto"/>
                <w:szCs w:val="21"/>
              </w:rPr>
              <w:t>两个以上的自然人、法人或者其他组织组成一个联合体，以一个供应商的身份共同参加政府采购活动的，对所有联合体成员进行信用记录查询，联合体成员存在不良信用记录的，视同联合体存在不良信用记录。</w:t>
            </w:r>
          </w:p>
        </w:tc>
      </w:tr>
      <w:tr w14:paraId="3C148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14:paraId="597C419A">
            <w:pPr>
              <w:spacing w:line="360" w:lineRule="auto"/>
              <w:jc w:val="center"/>
              <w:rPr>
                <w:rFonts w:ascii="宋体" w:hAnsi="宋体" w:cs="宋体"/>
                <w:color w:val="auto"/>
                <w:szCs w:val="21"/>
              </w:rPr>
            </w:pPr>
            <w:r>
              <w:rPr>
                <w:rFonts w:hint="eastAsia" w:ascii="宋体" w:hAnsi="宋体" w:cs="宋体"/>
                <w:color w:val="auto"/>
                <w:szCs w:val="21"/>
              </w:rPr>
              <w:t>14</w:t>
            </w:r>
          </w:p>
        </w:tc>
        <w:tc>
          <w:tcPr>
            <w:tcW w:w="942" w:type="dxa"/>
            <w:vAlign w:val="center"/>
          </w:tcPr>
          <w:p w14:paraId="22F422E2">
            <w:pPr>
              <w:spacing w:line="360" w:lineRule="auto"/>
              <w:jc w:val="center"/>
              <w:rPr>
                <w:rFonts w:ascii="宋体" w:hAnsi="宋体" w:cs="宋体"/>
                <w:color w:val="auto"/>
                <w:szCs w:val="21"/>
              </w:rPr>
            </w:pPr>
            <w:r>
              <w:rPr>
                <w:rFonts w:hint="eastAsia" w:ascii="宋体" w:hAnsi="宋体" w:cs="宋体"/>
                <w:color w:val="auto"/>
                <w:szCs w:val="21"/>
              </w:rPr>
              <w:t>27</w:t>
            </w:r>
          </w:p>
        </w:tc>
        <w:tc>
          <w:tcPr>
            <w:tcW w:w="1652" w:type="dxa"/>
            <w:vAlign w:val="center"/>
          </w:tcPr>
          <w:p w14:paraId="694FE751">
            <w:pPr>
              <w:spacing w:line="360" w:lineRule="auto"/>
              <w:jc w:val="center"/>
              <w:rPr>
                <w:rFonts w:ascii="宋体" w:hAnsi="宋体" w:cs="宋体"/>
                <w:color w:val="auto"/>
                <w:szCs w:val="21"/>
              </w:rPr>
            </w:pPr>
            <w:r>
              <w:rPr>
                <w:rFonts w:hint="eastAsia" w:ascii="宋体" w:hAnsi="宋体" w:cs="宋体"/>
                <w:color w:val="auto"/>
                <w:szCs w:val="21"/>
              </w:rPr>
              <w:t>成交结果公告</w:t>
            </w:r>
          </w:p>
          <w:p w14:paraId="6A9DD51B">
            <w:pPr>
              <w:spacing w:line="360" w:lineRule="auto"/>
              <w:jc w:val="center"/>
              <w:rPr>
                <w:rFonts w:ascii="宋体" w:hAnsi="宋体" w:cs="宋体"/>
                <w:color w:val="auto"/>
                <w:szCs w:val="21"/>
              </w:rPr>
            </w:pPr>
            <w:r>
              <w:rPr>
                <w:rFonts w:hint="eastAsia" w:ascii="宋体" w:hAnsi="宋体" w:cs="宋体"/>
                <w:color w:val="auto"/>
                <w:szCs w:val="21"/>
              </w:rPr>
              <w:t>及成交通知书</w:t>
            </w:r>
          </w:p>
        </w:tc>
        <w:tc>
          <w:tcPr>
            <w:tcW w:w="7035" w:type="dxa"/>
          </w:tcPr>
          <w:p w14:paraId="0B17AA7A">
            <w:pPr>
              <w:spacing w:line="360" w:lineRule="auto"/>
              <w:rPr>
                <w:rFonts w:ascii="宋体" w:hAnsi="宋体" w:cs="宋体"/>
                <w:color w:val="auto"/>
                <w:szCs w:val="21"/>
              </w:rPr>
            </w:pPr>
            <w:r>
              <w:rPr>
                <w:rFonts w:hint="eastAsia" w:ascii="宋体" w:hAnsi="宋体" w:cs="宋体"/>
                <w:color w:val="auto"/>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228266E3">
            <w:pPr>
              <w:spacing w:line="360" w:lineRule="auto"/>
              <w:rPr>
                <w:rFonts w:ascii="宋体" w:hAnsi="宋体" w:cs="宋体"/>
                <w:color w:val="auto"/>
                <w:szCs w:val="21"/>
              </w:rPr>
            </w:pPr>
            <w:r>
              <w:rPr>
                <w:rFonts w:hint="eastAsia" w:ascii="宋体" w:hAnsi="宋体" w:cs="宋体"/>
                <w:color w:val="auto"/>
                <w:szCs w:val="21"/>
              </w:rPr>
              <w:t>27.2在发布成交公告的同时，采购代理机构向成交供应商发出成交通知书。成交供应商自接到通知之日起七个工作日内，办理成交通知书领取手续。</w:t>
            </w:r>
          </w:p>
        </w:tc>
      </w:tr>
      <w:tr w14:paraId="5A86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62" w:type="dxa"/>
            <w:vAlign w:val="center"/>
          </w:tcPr>
          <w:p w14:paraId="0D9861A1">
            <w:pPr>
              <w:spacing w:line="360" w:lineRule="auto"/>
              <w:jc w:val="center"/>
              <w:rPr>
                <w:rFonts w:ascii="宋体" w:hAnsi="宋体" w:cs="宋体"/>
                <w:color w:val="auto"/>
                <w:szCs w:val="21"/>
              </w:rPr>
            </w:pPr>
            <w:r>
              <w:rPr>
                <w:rFonts w:hint="eastAsia" w:ascii="宋体" w:hAnsi="宋体" w:cs="宋体"/>
                <w:color w:val="auto"/>
                <w:szCs w:val="21"/>
              </w:rPr>
              <w:t>15</w:t>
            </w:r>
          </w:p>
        </w:tc>
        <w:tc>
          <w:tcPr>
            <w:tcW w:w="942" w:type="dxa"/>
            <w:vAlign w:val="center"/>
          </w:tcPr>
          <w:p w14:paraId="27006356">
            <w:pPr>
              <w:spacing w:line="360" w:lineRule="auto"/>
              <w:jc w:val="center"/>
              <w:rPr>
                <w:rFonts w:ascii="宋体" w:hAnsi="宋体" w:cs="宋体"/>
                <w:color w:val="auto"/>
                <w:szCs w:val="21"/>
              </w:rPr>
            </w:pPr>
            <w:r>
              <w:rPr>
                <w:rFonts w:hint="eastAsia" w:ascii="宋体" w:hAnsi="宋体" w:cs="宋体"/>
                <w:color w:val="auto"/>
                <w:szCs w:val="21"/>
              </w:rPr>
              <w:t>28</w:t>
            </w:r>
          </w:p>
        </w:tc>
        <w:tc>
          <w:tcPr>
            <w:tcW w:w="1652" w:type="dxa"/>
            <w:vAlign w:val="center"/>
          </w:tcPr>
          <w:p w14:paraId="120496E6">
            <w:pPr>
              <w:spacing w:line="360" w:lineRule="auto"/>
              <w:jc w:val="center"/>
              <w:rPr>
                <w:rFonts w:ascii="宋体" w:hAnsi="宋体" w:cs="宋体"/>
                <w:color w:val="auto"/>
                <w:szCs w:val="21"/>
              </w:rPr>
            </w:pPr>
            <w:r>
              <w:rPr>
                <w:rFonts w:hint="eastAsia" w:ascii="宋体" w:hAnsi="宋体" w:cs="宋体"/>
                <w:color w:val="auto"/>
                <w:szCs w:val="21"/>
              </w:rPr>
              <w:t>履约保证金</w:t>
            </w:r>
          </w:p>
        </w:tc>
        <w:tc>
          <w:tcPr>
            <w:tcW w:w="7035" w:type="dxa"/>
            <w:vAlign w:val="center"/>
          </w:tcPr>
          <w:p w14:paraId="12C1EF61">
            <w:pPr>
              <w:widowControl/>
              <w:jc w:val="left"/>
              <w:rPr>
                <w:rFonts w:hint="eastAsia" w:ascii="宋体" w:hAnsi="宋体" w:eastAsia="宋体" w:cs="宋体"/>
                <w:color w:val="auto"/>
                <w:szCs w:val="21"/>
                <w:lang w:val="en-US" w:eastAsia="zh-CN"/>
              </w:rPr>
            </w:pPr>
            <w:r>
              <w:rPr>
                <w:rFonts w:hint="eastAsia" w:hAnsi="宋体"/>
                <w:color w:val="auto"/>
                <w:szCs w:val="21"/>
              </w:rPr>
              <w:t>无。</w:t>
            </w:r>
            <w:r>
              <w:rPr>
                <w:rFonts w:hint="eastAsia" w:hAnsi="宋体"/>
                <w:color w:val="auto"/>
                <w:szCs w:val="21"/>
                <w:lang w:val="en-US" w:eastAsia="zh-CN"/>
              </w:rPr>
              <w:t xml:space="preserve"> </w:t>
            </w:r>
          </w:p>
        </w:tc>
      </w:tr>
      <w:tr w14:paraId="1AB4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488C0EE7">
            <w:pPr>
              <w:spacing w:line="360" w:lineRule="auto"/>
              <w:jc w:val="center"/>
              <w:rPr>
                <w:rFonts w:ascii="宋体" w:hAnsi="宋体" w:cs="宋体"/>
                <w:color w:val="auto"/>
                <w:szCs w:val="21"/>
              </w:rPr>
            </w:pPr>
            <w:r>
              <w:rPr>
                <w:rFonts w:hint="eastAsia" w:ascii="宋体" w:hAnsi="宋体" w:cs="宋体"/>
                <w:color w:val="auto"/>
                <w:szCs w:val="21"/>
              </w:rPr>
              <w:t>16</w:t>
            </w:r>
          </w:p>
        </w:tc>
        <w:tc>
          <w:tcPr>
            <w:tcW w:w="942" w:type="dxa"/>
            <w:vAlign w:val="center"/>
          </w:tcPr>
          <w:p w14:paraId="3C95AB88">
            <w:pPr>
              <w:spacing w:line="360" w:lineRule="auto"/>
              <w:jc w:val="center"/>
              <w:rPr>
                <w:rFonts w:ascii="宋体" w:hAnsi="宋体" w:cs="宋体"/>
                <w:color w:val="auto"/>
                <w:szCs w:val="21"/>
              </w:rPr>
            </w:pPr>
            <w:r>
              <w:rPr>
                <w:rFonts w:hint="eastAsia" w:ascii="宋体" w:hAnsi="宋体" w:cs="宋体"/>
                <w:color w:val="auto"/>
                <w:szCs w:val="21"/>
              </w:rPr>
              <w:t>29.1</w:t>
            </w:r>
          </w:p>
        </w:tc>
        <w:tc>
          <w:tcPr>
            <w:tcW w:w="1652" w:type="dxa"/>
            <w:vAlign w:val="center"/>
          </w:tcPr>
          <w:p w14:paraId="4A5EE776">
            <w:pPr>
              <w:spacing w:line="360" w:lineRule="auto"/>
              <w:jc w:val="center"/>
              <w:rPr>
                <w:rFonts w:ascii="宋体" w:hAnsi="宋体" w:cs="宋体"/>
                <w:color w:val="auto"/>
                <w:szCs w:val="21"/>
              </w:rPr>
            </w:pPr>
            <w:r>
              <w:rPr>
                <w:rFonts w:hint="eastAsia" w:ascii="宋体" w:hAnsi="宋体" w:cs="宋体"/>
                <w:color w:val="auto"/>
                <w:szCs w:val="21"/>
              </w:rPr>
              <w:t>签订合同时间</w:t>
            </w:r>
          </w:p>
        </w:tc>
        <w:tc>
          <w:tcPr>
            <w:tcW w:w="7035" w:type="dxa"/>
          </w:tcPr>
          <w:p w14:paraId="4A33C499">
            <w:pPr>
              <w:spacing w:line="360" w:lineRule="auto"/>
              <w:rPr>
                <w:rFonts w:ascii="宋体" w:hAnsi="宋体" w:cs="宋体"/>
                <w:color w:val="auto"/>
                <w:szCs w:val="21"/>
              </w:rPr>
            </w:pPr>
            <w:r>
              <w:rPr>
                <w:rFonts w:hint="eastAsia" w:ascii="宋体" w:hAnsi="宋体" w:cs="宋体"/>
                <w:bCs/>
                <w:color w:val="auto"/>
                <w:kern w:val="0"/>
                <w:szCs w:val="21"/>
              </w:rPr>
              <w:t>成交通知书发出之日起八个工作日内签订合同</w:t>
            </w:r>
            <w:r>
              <w:rPr>
                <w:rFonts w:hint="eastAsia" w:ascii="宋体" w:hAnsi="宋体" w:cs="宋体"/>
                <w:color w:val="auto"/>
              </w:rPr>
              <w:t>。</w:t>
            </w:r>
            <w:r>
              <w:rPr>
                <w:rFonts w:hint="eastAsia" w:ascii="宋体" w:hAnsi="宋体" w:cs="宋体"/>
                <w:color w:val="auto"/>
                <w:szCs w:val="21"/>
              </w:rPr>
              <w:t>成交供应商领取成交通知书后，应按规定与采购人签订合同。</w:t>
            </w:r>
          </w:p>
        </w:tc>
      </w:tr>
      <w:tr w14:paraId="60E0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0182BD1C">
            <w:pPr>
              <w:spacing w:line="360" w:lineRule="auto"/>
              <w:jc w:val="center"/>
              <w:rPr>
                <w:rFonts w:ascii="宋体" w:hAnsi="宋体" w:cs="宋体"/>
                <w:color w:val="auto"/>
                <w:szCs w:val="21"/>
              </w:rPr>
            </w:pPr>
            <w:r>
              <w:rPr>
                <w:rFonts w:hint="eastAsia" w:ascii="宋体" w:hAnsi="宋体" w:cs="宋体"/>
                <w:color w:val="auto"/>
                <w:szCs w:val="21"/>
              </w:rPr>
              <w:t>17</w:t>
            </w:r>
          </w:p>
        </w:tc>
        <w:tc>
          <w:tcPr>
            <w:tcW w:w="942" w:type="dxa"/>
            <w:vAlign w:val="center"/>
          </w:tcPr>
          <w:p w14:paraId="3CDE309F">
            <w:pPr>
              <w:spacing w:line="360" w:lineRule="auto"/>
              <w:jc w:val="center"/>
              <w:rPr>
                <w:rFonts w:ascii="宋体" w:hAnsi="宋体" w:cs="宋体"/>
                <w:color w:val="auto"/>
                <w:szCs w:val="21"/>
              </w:rPr>
            </w:pPr>
            <w:r>
              <w:rPr>
                <w:rFonts w:hint="eastAsia" w:ascii="宋体" w:hAnsi="宋体" w:cs="宋体"/>
                <w:color w:val="auto"/>
                <w:szCs w:val="21"/>
              </w:rPr>
              <w:t>29.3</w:t>
            </w:r>
          </w:p>
        </w:tc>
        <w:tc>
          <w:tcPr>
            <w:tcW w:w="1652" w:type="dxa"/>
            <w:vAlign w:val="center"/>
          </w:tcPr>
          <w:p w14:paraId="6C658BCE">
            <w:pPr>
              <w:spacing w:line="360" w:lineRule="auto"/>
              <w:jc w:val="center"/>
              <w:rPr>
                <w:rFonts w:ascii="宋体" w:hAnsi="宋体" w:cs="宋体"/>
                <w:color w:val="auto"/>
                <w:szCs w:val="21"/>
              </w:rPr>
            </w:pPr>
            <w:r>
              <w:rPr>
                <w:rFonts w:hint="eastAsia" w:ascii="宋体" w:hAnsi="宋体" w:cs="宋体"/>
                <w:color w:val="auto"/>
                <w:szCs w:val="21"/>
              </w:rPr>
              <w:t>合同备案存档</w:t>
            </w:r>
          </w:p>
        </w:tc>
        <w:tc>
          <w:tcPr>
            <w:tcW w:w="7035" w:type="dxa"/>
            <w:vAlign w:val="center"/>
          </w:tcPr>
          <w:p w14:paraId="7ED658B2">
            <w:pPr>
              <w:spacing w:line="360" w:lineRule="auto"/>
              <w:rPr>
                <w:rFonts w:ascii="宋体" w:hAnsi="宋体" w:cs="宋体"/>
                <w:color w:val="auto"/>
                <w:szCs w:val="21"/>
              </w:rPr>
            </w:pPr>
            <w:r>
              <w:rPr>
                <w:rFonts w:hint="eastAsia" w:ascii="宋体" w:hAnsi="宋体" w:cs="宋体"/>
                <w:color w:val="auto"/>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欧邦工程管理集团有限公司存档。</w:t>
            </w:r>
          </w:p>
        </w:tc>
      </w:tr>
      <w:tr w14:paraId="57AC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14:paraId="7684FA60">
            <w:pPr>
              <w:spacing w:line="360" w:lineRule="auto"/>
              <w:jc w:val="center"/>
              <w:rPr>
                <w:rFonts w:ascii="宋体" w:hAnsi="宋体" w:cs="宋体"/>
                <w:color w:val="auto"/>
                <w:szCs w:val="21"/>
              </w:rPr>
            </w:pPr>
            <w:r>
              <w:rPr>
                <w:rFonts w:hint="eastAsia" w:ascii="宋体" w:hAnsi="宋体" w:cs="宋体"/>
                <w:color w:val="auto"/>
                <w:szCs w:val="21"/>
              </w:rPr>
              <w:t>18</w:t>
            </w:r>
          </w:p>
        </w:tc>
        <w:tc>
          <w:tcPr>
            <w:tcW w:w="942" w:type="dxa"/>
            <w:vAlign w:val="center"/>
          </w:tcPr>
          <w:p w14:paraId="6FE81A18">
            <w:pPr>
              <w:spacing w:line="360" w:lineRule="auto"/>
              <w:jc w:val="center"/>
              <w:rPr>
                <w:rFonts w:ascii="宋体" w:hAnsi="宋体" w:cs="宋体"/>
                <w:color w:val="auto"/>
                <w:szCs w:val="21"/>
              </w:rPr>
            </w:pPr>
            <w:r>
              <w:rPr>
                <w:rFonts w:hint="eastAsia" w:ascii="宋体" w:hAnsi="宋体" w:cs="宋体"/>
                <w:color w:val="auto"/>
                <w:szCs w:val="21"/>
              </w:rPr>
              <w:t>30</w:t>
            </w:r>
          </w:p>
        </w:tc>
        <w:tc>
          <w:tcPr>
            <w:tcW w:w="1652" w:type="dxa"/>
            <w:vAlign w:val="center"/>
          </w:tcPr>
          <w:p w14:paraId="4E260934">
            <w:pPr>
              <w:spacing w:line="360" w:lineRule="auto"/>
              <w:jc w:val="center"/>
              <w:rPr>
                <w:rFonts w:ascii="宋体" w:hAnsi="宋体" w:cs="宋体"/>
                <w:color w:val="auto"/>
                <w:szCs w:val="21"/>
              </w:rPr>
            </w:pPr>
            <w:r>
              <w:rPr>
                <w:rFonts w:hint="eastAsia" w:ascii="宋体" w:hAnsi="宋体" w:cs="宋体"/>
                <w:color w:val="auto"/>
                <w:szCs w:val="21"/>
              </w:rPr>
              <w:t>采购代理服务费</w:t>
            </w:r>
          </w:p>
        </w:tc>
        <w:tc>
          <w:tcPr>
            <w:tcW w:w="7035" w:type="dxa"/>
          </w:tcPr>
          <w:p w14:paraId="11B8B57D">
            <w:pPr>
              <w:spacing w:line="360" w:lineRule="auto"/>
              <w:rPr>
                <w:rFonts w:ascii="宋体" w:hAnsi="宋体" w:cs="宋体"/>
                <w:color w:val="auto"/>
                <w:szCs w:val="21"/>
              </w:rPr>
            </w:pPr>
            <w:r>
              <w:rPr>
                <w:rFonts w:hint="eastAsia" w:ascii="宋体" w:hAnsi="宋体" w:cs="宋体"/>
                <w:color w:val="auto"/>
              </w:rPr>
              <w:t>本项目</w:t>
            </w:r>
            <w:r>
              <w:rPr>
                <w:rFonts w:hint="eastAsia" w:ascii="宋体" w:hAnsi="宋体"/>
                <w:color w:val="auto"/>
              </w:rPr>
              <w:t>采购代理服务费按本须知第30.2条</w:t>
            </w:r>
            <w:r>
              <w:rPr>
                <w:rFonts w:hint="eastAsia" w:ascii="宋体" w:hAnsi="宋体" w:cs="宋体"/>
                <w:color w:val="auto"/>
              </w:rPr>
              <w:t>招标代理服务费标准参照计价格[2002]1980号《招标代理服务收费管理暂行办法》和《招标代理服务收费管理暂行办法》（桂价费[2</w:t>
            </w:r>
            <w:r>
              <w:rPr>
                <w:rFonts w:hint="eastAsia" w:ascii="宋体" w:hAnsi="宋体" w:cs="宋体"/>
                <w:color w:val="auto"/>
                <w:szCs w:val="21"/>
              </w:rPr>
              <w:t>005]283号文）服务类收费标准下浮30%计算，由成交供应商在领取成交通知书前，向采购代理机构一次性支付（如不足6000.00元按6000.00元收取）。</w:t>
            </w:r>
            <w:r>
              <w:rPr>
                <w:rFonts w:hint="eastAsia" w:ascii="宋体" w:hAnsi="宋体"/>
                <w:color w:val="auto"/>
              </w:rPr>
              <w:t>根据本项目采购代理协议该“采购代理服务费”由中标人在成交公告发出之日起5个工作日内一次性向采购代理机构付清（否则，该不利后果由成交人承担）</w:t>
            </w:r>
            <w:r>
              <w:rPr>
                <w:rFonts w:hint="eastAsia" w:ascii="宋体" w:hAnsi="宋体"/>
                <w:color w:val="auto"/>
                <w:szCs w:val="21"/>
              </w:rPr>
              <w:t>。</w:t>
            </w:r>
          </w:p>
        </w:tc>
      </w:tr>
      <w:tr w14:paraId="568B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14:paraId="71F3E481">
            <w:pPr>
              <w:spacing w:line="360" w:lineRule="auto"/>
              <w:jc w:val="center"/>
              <w:rPr>
                <w:rFonts w:ascii="宋体" w:hAnsi="宋体" w:cs="宋体"/>
                <w:color w:val="auto"/>
                <w:szCs w:val="21"/>
              </w:rPr>
            </w:pPr>
            <w:r>
              <w:rPr>
                <w:rFonts w:hint="eastAsia" w:ascii="宋体" w:hAnsi="宋体" w:cs="宋体"/>
                <w:color w:val="auto"/>
                <w:szCs w:val="21"/>
              </w:rPr>
              <w:t>19</w:t>
            </w:r>
          </w:p>
        </w:tc>
        <w:tc>
          <w:tcPr>
            <w:tcW w:w="942" w:type="dxa"/>
            <w:vAlign w:val="center"/>
          </w:tcPr>
          <w:p w14:paraId="3AD47B6F">
            <w:pPr>
              <w:spacing w:line="360" w:lineRule="auto"/>
              <w:jc w:val="center"/>
              <w:rPr>
                <w:rFonts w:ascii="宋体" w:hAnsi="宋体" w:cs="宋体"/>
                <w:color w:val="auto"/>
                <w:szCs w:val="21"/>
              </w:rPr>
            </w:pPr>
            <w:r>
              <w:rPr>
                <w:rFonts w:hint="eastAsia" w:ascii="宋体" w:hAnsi="宋体" w:cs="宋体"/>
                <w:color w:val="auto"/>
                <w:szCs w:val="21"/>
              </w:rPr>
              <w:t>31</w:t>
            </w:r>
          </w:p>
        </w:tc>
        <w:tc>
          <w:tcPr>
            <w:tcW w:w="1652" w:type="dxa"/>
            <w:vAlign w:val="center"/>
          </w:tcPr>
          <w:p w14:paraId="26813327">
            <w:pPr>
              <w:spacing w:line="360" w:lineRule="auto"/>
              <w:jc w:val="center"/>
              <w:rPr>
                <w:rFonts w:ascii="宋体" w:hAnsi="宋体" w:cs="宋体"/>
                <w:color w:val="auto"/>
                <w:szCs w:val="21"/>
              </w:rPr>
            </w:pPr>
            <w:r>
              <w:rPr>
                <w:rFonts w:hint="eastAsia" w:ascii="宋体" w:hAnsi="宋体" w:cs="宋体"/>
                <w:color w:val="auto"/>
                <w:szCs w:val="21"/>
              </w:rPr>
              <w:t>解释权</w:t>
            </w:r>
          </w:p>
        </w:tc>
        <w:tc>
          <w:tcPr>
            <w:tcW w:w="7035" w:type="dxa"/>
          </w:tcPr>
          <w:p w14:paraId="4D5744E7">
            <w:pPr>
              <w:spacing w:line="360" w:lineRule="auto"/>
              <w:rPr>
                <w:rFonts w:ascii="宋体" w:hAnsi="宋体" w:cs="宋体"/>
                <w:color w:val="auto"/>
                <w:szCs w:val="21"/>
              </w:rPr>
            </w:pPr>
            <w:r>
              <w:rPr>
                <w:rFonts w:hint="eastAsia" w:ascii="宋体" w:hAnsi="宋体" w:cs="宋体"/>
                <w:color w:val="auto"/>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145E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14:paraId="4DA37FD3">
            <w:pPr>
              <w:spacing w:line="360" w:lineRule="auto"/>
              <w:jc w:val="center"/>
              <w:rPr>
                <w:rFonts w:ascii="宋体" w:hAnsi="宋体" w:cs="宋体"/>
                <w:color w:val="auto"/>
                <w:szCs w:val="21"/>
              </w:rPr>
            </w:pPr>
            <w:r>
              <w:rPr>
                <w:rFonts w:hint="eastAsia" w:ascii="宋体" w:hAnsi="宋体" w:cs="宋体"/>
                <w:color w:val="auto"/>
                <w:szCs w:val="21"/>
              </w:rPr>
              <w:t>20</w:t>
            </w:r>
          </w:p>
        </w:tc>
        <w:tc>
          <w:tcPr>
            <w:tcW w:w="942" w:type="dxa"/>
            <w:vAlign w:val="center"/>
          </w:tcPr>
          <w:p w14:paraId="44CC6290">
            <w:pPr>
              <w:spacing w:line="360" w:lineRule="auto"/>
              <w:jc w:val="center"/>
              <w:rPr>
                <w:rFonts w:ascii="宋体" w:hAnsi="宋体" w:cs="宋体"/>
                <w:color w:val="auto"/>
                <w:szCs w:val="21"/>
              </w:rPr>
            </w:pPr>
            <w:r>
              <w:rPr>
                <w:rFonts w:hint="eastAsia" w:ascii="宋体" w:hAnsi="宋体" w:cs="宋体"/>
                <w:color w:val="auto"/>
                <w:szCs w:val="21"/>
              </w:rPr>
              <w:t>32</w:t>
            </w:r>
          </w:p>
        </w:tc>
        <w:tc>
          <w:tcPr>
            <w:tcW w:w="1652" w:type="dxa"/>
            <w:vAlign w:val="center"/>
          </w:tcPr>
          <w:p w14:paraId="74EE7C54">
            <w:pPr>
              <w:spacing w:line="360" w:lineRule="auto"/>
              <w:jc w:val="center"/>
              <w:rPr>
                <w:rFonts w:ascii="宋体" w:hAnsi="宋体" w:cs="宋体"/>
                <w:color w:val="auto"/>
                <w:szCs w:val="21"/>
              </w:rPr>
            </w:pPr>
            <w:r>
              <w:rPr>
                <w:rFonts w:hint="eastAsia" w:ascii="宋体" w:hAnsi="宋体" w:cs="宋体"/>
                <w:color w:val="auto"/>
                <w:szCs w:val="21"/>
              </w:rPr>
              <w:t>监督管理机构</w:t>
            </w:r>
          </w:p>
        </w:tc>
        <w:tc>
          <w:tcPr>
            <w:tcW w:w="7035" w:type="dxa"/>
            <w:vAlign w:val="center"/>
          </w:tcPr>
          <w:p w14:paraId="439D2E2F">
            <w:pPr>
              <w:spacing w:line="340" w:lineRule="exact"/>
              <w:rPr>
                <w:rFonts w:ascii="宋体" w:hAnsi="宋体" w:cs="宋体"/>
                <w:color w:val="auto"/>
                <w:kern w:val="0"/>
                <w:szCs w:val="21"/>
              </w:rPr>
            </w:pPr>
            <w:r>
              <w:rPr>
                <w:rFonts w:hint="eastAsia" w:ascii="宋体" w:hAnsi="宋体" w:cs="宋体"/>
                <w:color w:val="auto"/>
                <w:kern w:val="0"/>
                <w:szCs w:val="21"/>
              </w:rPr>
              <w:t>桂林市政府采购管理办公室</w:t>
            </w:r>
          </w:p>
          <w:p w14:paraId="76073EBA">
            <w:pPr>
              <w:spacing w:line="340" w:lineRule="exact"/>
              <w:rPr>
                <w:rFonts w:ascii="宋体" w:hAnsi="宋体" w:cs="宋体"/>
                <w:color w:val="auto"/>
                <w:szCs w:val="21"/>
              </w:rPr>
            </w:pPr>
            <w:r>
              <w:rPr>
                <w:rFonts w:hint="eastAsia" w:ascii="宋体" w:hAnsi="宋体" w:cs="宋体"/>
                <w:color w:val="auto"/>
                <w:kern w:val="0"/>
                <w:szCs w:val="21"/>
              </w:rPr>
              <w:t>联系电话：0773-</w:t>
            </w:r>
            <w:r>
              <w:rPr>
                <w:rFonts w:hint="eastAsia" w:ascii="宋体" w:hAnsi="宋体"/>
                <w:color w:val="auto"/>
                <w:kern w:val="0"/>
                <w:szCs w:val="21"/>
              </w:rPr>
              <w:t>2829504</w:t>
            </w:r>
          </w:p>
        </w:tc>
      </w:tr>
    </w:tbl>
    <w:p w14:paraId="647E5BBC">
      <w:pPr>
        <w:rPr>
          <w:rFonts w:ascii="宋体" w:hAnsi="宋体" w:cs="宋体"/>
          <w:color w:val="auto"/>
        </w:rPr>
      </w:pPr>
    </w:p>
    <w:p w14:paraId="557E8A48">
      <w:pPr>
        <w:pStyle w:val="45"/>
        <w:rPr>
          <w:color w:val="auto"/>
        </w:rPr>
      </w:pPr>
      <w:bookmarkStart w:id="58" w:name="_Toc10058"/>
      <w:bookmarkStart w:id="59" w:name="_Toc22792"/>
    </w:p>
    <w:p w14:paraId="2E05B14F">
      <w:pPr>
        <w:pStyle w:val="19"/>
        <w:rPr>
          <w:rFonts w:ascii="宋体" w:hAnsi="宋体" w:cs="宋体"/>
          <w:b/>
          <w:color w:val="auto"/>
          <w:szCs w:val="28"/>
        </w:rPr>
      </w:pPr>
    </w:p>
    <w:p w14:paraId="24A50705">
      <w:pPr>
        <w:pStyle w:val="19"/>
        <w:rPr>
          <w:rFonts w:ascii="宋体" w:hAnsi="宋体" w:cs="宋体"/>
          <w:b/>
          <w:color w:val="auto"/>
          <w:szCs w:val="28"/>
        </w:rPr>
      </w:pPr>
    </w:p>
    <w:p w14:paraId="33F13546">
      <w:pPr>
        <w:pStyle w:val="19"/>
        <w:rPr>
          <w:rFonts w:ascii="宋体" w:hAnsi="宋体" w:cs="宋体"/>
          <w:b/>
          <w:color w:val="auto"/>
          <w:szCs w:val="28"/>
        </w:rPr>
      </w:pPr>
    </w:p>
    <w:p w14:paraId="71B21A00">
      <w:pPr>
        <w:pStyle w:val="19"/>
        <w:rPr>
          <w:rFonts w:ascii="宋体" w:hAnsi="宋体" w:cs="宋体"/>
          <w:b/>
          <w:color w:val="auto"/>
          <w:szCs w:val="28"/>
        </w:rPr>
      </w:pPr>
    </w:p>
    <w:p w14:paraId="3BEB12D1">
      <w:pPr>
        <w:pStyle w:val="19"/>
        <w:rPr>
          <w:rFonts w:ascii="宋体" w:hAnsi="宋体" w:cs="宋体"/>
          <w:b/>
          <w:color w:val="auto"/>
          <w:szCs w:val="28"/>
        </w:rPr>
      </w:pPr>
    </w:p>
    <w:p w14:paraId="6095C0FC">
      <w:pPr>
        <w:pStyle w:val="19"/>
        <w:rPr>
          <w:rFonts w:ascii="宋体" w:hAnsi="宋体" w:cs="宋体"/>
          <w:b/>
          <w:color w:val="auto"/>
          <w:szCs w:val="28"/>
        </w:rPr>
      </w:pPr>
    </w:p>
    <w:p w14:paraId="14E53FFA">
      <w:pPr>
        <w:pStyle w:val="19"/>
        <w:rPr>
          <w:rFonts w:ascii="宋体" w:hAnsi="宋体" w:cs="宋体"/>
          <w:b/>
          <w:color w:val="auto"/>
          <w:szCs w:val="28"/>
        </w:rPr>
      </w:pPr>
    </w:p>
    <w:p w14:paraId="30EF792D">
      <w:pPr>
        <w:pStyle w:val="19"/>
        <w:rPr>
          <w:rFonts w:ascii="宋体" w:hAnsi="宋体" w:cs="宋体"/>
          <w:b/>
          <w:color w:val="auto"/>
          <w:szCs w:val="28"/>
        </w:rPr>
      </w:pPr>
    </w:p>
    <w:p w14:paraId="179EB94F">
      <w:pPr>
        <w:pStyle w:val="19"/>
        <w:rPr>
          <w:rFonts w:ascii="宋体" w:hAnsi="宋体" w:cs="宋体"/>
          <w:b/>
          <w:color w:val="auto"/>
          <w:szCs w:val="28"/>
        </w:rPr>
      </w:pPr>
    </w:p>
    <w:p w14:paraId="1FFB742F">
      <w:pPr>
        <w:pStyle w:val="19"/>
        <w:rPr>
          <w:rFonts w:ascii="宋体" w:hAnsi="宋体" w:cs="宋体"/>
          <w:b/>
          <w:color w:val="auto"/>
          <w:szCs w:val="28"/>
        </w:rPr>
      </w:pPr>
    </w:p>
    <w:p w14:paraId="0A0FB742">
      <w:pPr>
        <w:pStyle w:val="19"/>
        <w:rPr>
          <w:rFonts w:ascii="宋体" w:hAnsi="宋体" w:cs="宋体"/>
          <w:b/>
          <w:color w:val="auto"/>
          <w:szCs w:val="28"/>
        </w:rPr>
      </w:pPr>
    </w:p>
    <w:p w14:paraId="663DA526">
      <w:pPr>
        <w:pStyle w:val="19"/>
        <w:rPr>
          <w:rFonts w:ascii="宋体" w:hAnsi="宋体" w:cs="宋体"/>
          <w:b/>
          <w:color w:val="auto"/>
          <w:szCs w:val="28"/>
        </w:rPr>
      </w:pPr>
    </w:p>
    <w:p w14:paraId="139BF874">
      <w:pPr>
        <w:pStyle w:val="19"/>
        <w:rPr>
          <w:rFonts w:ascii="宋体" w:hAnsi="宋体" w:cs="宋体"/>
          <w:b/>
          <w:color w:val="auto"/>
          <w:szCs w:val="28"/>
        </w:rPr>
      </w:pPr>
    </w:p>
    <w:p w14:paraId="3BB03F96">
      <w:pPr>
        <w:pStyle w:val="19"/>
        <w:rPr>
          <w:rFonts w:ascii="宋体" w:hAnsi="宋体" w:cs="宋体"/>
          <w:b/>
          <w:color w:val="auto"/>
          <w:szCs w:val="28"/>
        </w:rPr>
      </w:pPr>
    </w:p>
    <w:p w14:paraId="42E55585">
      <w:pPr>
        <w:pStyle w:val="19"/>
        <w:rPr>
          <w:rFonts w:ascii="宋体" w:hAnsi="宋体" w:cs="宋体"/>
          <w:b/>
          <w:color w:val="auto"/>
          <w:szCs w:val="28"/>
        </w:rPr>
      </w:pPr>
    </w:p>
    <w:p w14:paraId="6431930A">
      <w:pPr>
        <w:pStyle w:val="19"/>
        <w:rPr>
          <w:rFonts w:ascii="宋体" w:hAnsi="宋体" w:cs="宋体"/>
          <w:b/>
          <w:color w:val="auto"/>
          <w:szCs w:val="28"/>
        </w:rPr>
      </w:pPr>
    </w:p>
    <w:p w14:paraId="11453A0D">
      <w:pPr>
        <w:pStyle w:val="19"/>
        <w:rPr>
          <w:rFonts w:ascii="宋体" w:hAnsi="宋体" w:cs="宋体"/>
          <w:b/>
          <w:color w:val="auto"/>
          <w:szCs w:val="28"/>
        </w:rPr>
      </w:pPr>
    </w:p>
    <w:p w14:paraId="4A99F168">
      <w:pPr>
        <w:pStyle w:val="19"/>
        <w:rPr>
          <w:rFonts w:ascii="宋体" w:hAnsi="宋体" w:cs="宋体"/>
          <w:b/>
          <w:color w:val="auto"/>
          <w:szCs w:val="28"/>
        </w:rPr>
      </w:pPr>
    </w:p>
    <w:p w14:paraId="58F69935">
      <w:pPr>
        <w:pStyle w:val="19"/>
        <w:rPr>
          <w:rFonts w:ascii="宋体" w:hAnsi="宋体" w:cs="宋体"/>
          <w:b/>
          <w:color w:val="auto"/>
          <w:szCs w:val="28"/>
        </w:rPr>
      </w:pPr>
    </w:p>
    <w:p w14:paraId="002463DA">
      <w:pPr>
        <w:pStyle w:val="19"/>
        <w:rPr>
          <w:rFonts w:ascii="宋体" w:hAnsi="宋体" w:cs="宋体"/>
          <w:b/>
          <w:color w:val="auto"/>
          <w:szCs w:val="28"/>
        </w:rPr>
      </w:pPr>
    </w:p>
    <w:p w14:paraId="61B7B694">
      <w:pPr>
        <w:pStyle w:val="19"/>
        <w:rPr>
          <w:rFonts w:ascii="宋体" w:hAnsi="宋体" w:cs="宋体"/>
          <w:b/>
          <w:color w:val="auto"/>
          <w:szCs w:val="28"/>
        </w:rPr>
      </w:pPr>
    </w:p>
    <w:p w14:paraId="6634E33F">
      <w:pPr>
        <w:pStyle w:val="19"/>
        <w:rPr>
          <w:rFonts w:ascii="宋体" w:hAnsi="宋体" w:cs="宋体"/>
          <w:b/>
          <w:color w:val="auto"/>
          <w:szCs w:val="28"/>
        </w:rPr>
      </w:pPr>
    </w:p>
    <w:p w14:paraId="28F1F0FD">
      <w:pPr>
        <w:pStyle w:val="19"/>
        <w:rPr>
          <w:rFonts w:ascii="宋体" w:hAnsi="宋体" w:cs="宋体"/>
          <w:b/>
          <w:color w:val="auto"/>
          <w:szCs w:val="28"/>
        </w:rPr>
      </w:pPr>
    </w:p>
    <w:p w14:paraId="762C043C">
      <w:pPr>
        <w:pStyle w:val="19"/>
        <w:rPr>
          <w:rFonts w:ascii="宋体" w:hAnsi="宋体" w:cs="宋体"/>
          <w:b/>
          <w:color w:val="auto"/>
          <w:szCs w:val="28"/>
        </w:rPr>
      </w:pPr>
    </w:p>
    <w:p w14:paraId="4EDCADA0">
      <w:pPr>
        <w:pStyle w:val="19"/>
        <w:rPr>
          <w:rFonts w:ascii="宋体" w:hAnsi="宋体" w:cs="宋体"/>
          <w:b/>
          <w:color w:val="auto"/>
          <w:szCs w:val="28"/>
        </w:rPr>
      </w:pPr>
    </w:p>
    <w:p w14:paraId="4475362F">
      <w:pPr>
        <w:pStyle w:val="19"/>
        <w:rPr>
          <w:rFonts w:ascii="宋体" w:hAnsi="宋体" w:cs="宋体"/>
          <w:b/>
          <w:color w:val="auto"/>
          <w:szCs w:val="28"/>
        </w:rPr>
      </w:pPr>
    </w:p>
    <w:p w14:paraId="080D9CE2">
      <w:pPr>
        <w:pStyle w:val="19"/>
        <w:rPr>
          <w:rFonts w:ascii="宋体" w:hAnsi="宋体" w:cs="宋体"/>
          <w:b/>
          <w:color w:val="auto"/>
          <w:szCs w:val="28"/>
        </w:rPr>
      </w:pPr>
    </w:p>
    <w:p w14:paraId="34D40441">
      <w:pPr>
        <w:pStyle w:val="19"/>
        <w:rPr>
          <w:rFonts w:ascii="宋体" w:hAnsi="宋体" w:cs="宋体"/>
          <w:b/>
          <w:color w:val="auto"/>
          <w:szCs w:val="28"/>
        </w:rPr>
      </w:pPr>
    </w:p>
    <w:p w14:paraId="0A18CF2A">
      <w:pPr>
        <w:pStyle w:val="19"/>
        <w:rPr>
          <w:rFonts w:ascii="宋体" w:hAnsi="宋体" w:cs="宋体"/>
          <w:b/>
          <w:color w:val="auto"/>
          <w:szCs w:val="28"/>
        </w:rPr>
      </w:pPr>
    </w:p>
    <w:p w14:paraId="23F76B81">
      <w:pPr>
        <w:pStyle w:val="19"/>
        <w:rPr>
          <w:rFonts w:ascii="宋体" w:hAnsi="宋体" w:cs="宋体"/>
          <w:b/>
          <w:color w:val="auto"/>
          <w:szCs w:val="28"/>
        </w:rPr>
      </w:pPr>
    </w:p>
    <w:p w14:paraId="32C902FA">
      <w:pPr>
        <w:pStyle w:val="19"/>
        <w:rPr>
          <w:rFonts w:ascii="宋体" w:hAnsi="宋体" w:cs="宋体"/>
          <w:b/>
          <w:color w:val="auto"/>
          <w:szCs w:val="28"/>
        </w:rPr>
      </w:pPr>
    </w:p>
    <w:p w14:paraId="316A49BA">
      <w:pPr>
        <w:pStyle w:val="19"/>
        <w:rPr>
          <w:rFonts w:ascii="宋体" w:hAnsi="宋体" w:cs="宋体"/>
          <w:b/>
          <w:color w:val="auto"/>
          <w:szCs w:val="28"/>
        </w:rPr>
      </w:pPr>
    </w:p>
    <w:p w14:paraId="22D6ED60">
      <w:pPr>
        <w:pStyle w:val="4"/>
        <w:jc w:val="center"/>
        <w:rPr>
          <w:rFonts w:ascii="宋体" w:hAnsi="宋体" w:cs="宋体"/>
          <w:b/>
          <w:bCs w:val="0"/>
          <w:color w:val="auto"/>
          <w:szCs w:val="28"/>
        </w:rPr>
      </w:pPr>
    </w:p>
    <w:p w14:paraId="1EFD9ECF">
      <w:pPr>
        <w:pStyle w:val="4"/>
        <w:jc w:val="center"/>
        <w:rPr>
          <w:rFonts w:ascii="宋体" w:hAnsi="宋体" w:cs="宋体"/>
          <w:b/>
          <w:bCs w:val="0"/>
          <w:color w:val="auto"/>
          <w:szCs w:val="28"/>
        </w:rPr>
      </w:pPr>
      <w:r>
        <w:rPr>
          <w:rFonts w:hint="eastAsia" w:ascii="宋体" w:hAnsi="宋体" w:cs="宋体"/>
          <w:b/>
          <w:bCs w:val="0"/>
          <w:color w:val="auto"/>
          <w:szCs w:val="28"/>
        </w:rPr>
        <w:t>一、总则</w:t>
      </w:r>
      <w:bookmarkEnd w:id="58"/>
      <w:bookmarkEnd w:id="59"/>
    </w:p>
    <w:p w14:paraId="40C56D7E">
      <w:pPr>
        <w:pStyle w:val="5"/>
        <w:spacing w:line="360" w:lineRule="auto"/>
        <w:ind w:firstLine="420" w:firstLineChars="200"/>
        <w:rPr>
          <w:rFonts w:ascii="宋体" w:hAnsi="宋体" w:cs="宋体"/>
          <w:color w:val="auto"/>
          <w:sz w:val="21"/>
          <w:szCs w:val="21"/>
        </w:rPr>
      </w:pPr>
      <w:bookmarkStart w:id="60" w:name="_Toc6626"/>
      <w:bookmarkStart w:id="61" w:name="_Toc24721"/>
      <w:r>
        <w:rPr>
          <w:rFonts w:hint="eastAsia" w:ascii="宋体" w:hAnsi="宋体" w:cs="宋体"/>
          <w:color w:val="auto"/>
          <w:sz w:val="21"/>
          <w:szCs w:val="21"/>
        </w:rPr>
        <w:t>1. 适应范围</w:t>
      </w:r>
      <w:bookmarkEnd w:id="60"/>
      <w:bookmarkEnd w:id="61"/>
    </w:p>
    <w:p w14:paraId="4B35C4BE">
      <w:pPr>
        <w:spacing w:line="360" w:lineRule="exact"/>
        <w:ind w:firstLine="435"/>
        <w:rPr>
          <w:rFonts w:ascii="宋体" w:hAnsi="宋体" w:cs="宋体"/>
          <w:color w:val="auto"/>
          <w:szCs w:val="21"/>
        </w:rPr>
      </w:pPr>
      <w:r>
        <w:rPr>
          <w:rFonts w:hint="eastAsia" w:ascii="宋体" w:hAnsi="宋体" w:cs="宋体"/>
          <w:color w:val="auto"/>
          <w:szCs w:val="21"/>
        </w:rPr>
        <w:t>1.1  项目名称及项目编号：</w:t>
      </w:r>
    </w:p>
    <w:p w14:paraId="2577B732">
      <w:pPr>
        <w:spacing w:line="360" w:lineRule="auto"/>
        <w:ind w:firstLine="420" w:firstLineChars="200"/>
        <w:rPr>
          <w:rFonts w:ascii="宋体" w:hAnsi="宋体" w:cs="宋体"/>
          <w:color w:val="auto"/>
          <w:szCs w:val="21"/>
        </w:rPr>
      </w:pPr>
      <w:r>
        <w:rPr>
          <w:rFonts w:hint="eastAsia" w:ascii="宋体" w:hAnsi="宋体" w:cs="宋体"/>
          <w:color w:val="auto"/>
          <w:szCs w:val="21"/>
        </w:rPr>
        <w:t>项目名称：医疗废物转运处理服务采购</w:t>
      </w:r>
    </w:p>
    <w:p w14:paraId="3854BAA9">
      <w:pPr>
        <w:spacing w:line="360" w:lineRule="auto"/>
        <w:ind w:firstLine="420" w:firstLineChars="200"/>
        <w:rPr>
          <w:rFonts w:ascii="宋体" w:hAnsi="宋体" w:cs="宋体"/>
          <w:color w:val="auto"/>
          <w:szCs w:val="21"/>
        </w:rPr>
      </w:pPr>
      <w:r>
        <w:rPr>
          <w:rFonts w:hint="eastAsia" w:ascii="宋体" w:hAnsi="宋体" w:cs="宋体"/>
          <w:color w:val="auto"/>
          <w:szCs w:val="21"/>
        </w:rPr>
        <w:t>项目编号：</w:t>
      </w:r>
    </w:p>
    <w:p w14:paraId="3BDD651A">
      <w:pPr>
        <w:spacing w:line="360" w:lineRule="exact"/>
        <w:ind w:firstLine="411" w:firstLineChars="196"/>
        <w:rPr>
          <w:rFonts w:ascii="宋体" w:hAnsi="宋体" w:cs="宋体"/>
          <w:color w:val="auto"/>
          <w:szCs w:val="21"/>
        </w:rPr>
      </w:pPr>
      <w:r>
        <w:rPr>
          <w:rFonts w:hint="eastAsia" w:ascii="宋体" w:hAnsi="宋体" w:cs="宋体"/>
          <w:color w:val="auto"/>
          <w:szCs w:val="21"/>
        </w:rPr>
        <w:t>1.2本竞争性磋商文件（以下简称磋商文件）适用于本磋商项目的磋商、评审、合同履约、验收、付款等行为（法律、法规另有规定的，从其规定）。</w:t>
      </w:r>
    </w:p>
    <w:p w14:paraId="45C6BD83">
      <w:pPr>
        <w:pStyle w:val="5"/>
        <w:spacing w:line="360" w:lineRule="auto"/>
        <w:ind w:firstLine="420" w:firstLineChars="200"/>
        <w:rPr>
          <w:rFonts w:ascii="宋体" w:hAnsi="宋体" w:cs="宋体"/>
          <w:color w:val="auto"/>
          <w:sz w:val="21"/>
          <w:szCs w:val="21"/>
        </w:rPr>
      </w:pPr>
      <w:bookmarkStart w:id="62" w:name="_Toc28336"/>
      <w:bookmarkStart w:id="63" w:name="_Toc3355"/>
      <w:r>
        <w:rPr>
          <w:rFonts w:hint="eastAsia" w:ascii="宋体" w:hAnsi="宋体" w:cs="宋体"/>
          <w:color w:val="auto"/>
          <w:sz w:val="21"/>
          <w:szCs w:val="21"/>
        </w:rPr>
        <w:t>2. 定义</w:t>
      </w:r>
      <w:bookmarkEnd w:id="62"/>
      <w:bookmarkEnd w:id="63"/>
    </w:p>
    <w:p w14:paraId="21704F43">
      <w:pPr>
        <w:spacing w:line="360" w:lineRule="exact"/>
        <w:ind w:firstLine="435"/>
        <w:rPr>
          <w:rFonts w:ascii="宋体" w:hAnsi="宋体" w:cs="宋体"/>
          <w:color w:val="auto"/>
          <w:szCs w:val="21"/>
        </w:rPr>
      </w:pPr>
      <w:r>
        <w:rPr>
          <w:rFonts w:hint="eastAsia" w:ascii="宋体" w:hAnsi="宋体" w:cs="宋体"/>
          <w:color w:val="auto"/>
          <w:szCs w:val="21"/>
        </w:rPr>
        <w:t>2.1“供应商”是指符合本次采购项目的供应商资格并提交响应文件、参加磋商的供应商。如果该供应商在本次磋商中成交，即成为“成交供应商”。</w:t>
      </w:r>
    </w:p>
    <w:p w14:paraId="03EA8D42">
      <w:pPr>
        <w:spacing w:line="360" w:lineRule="exact"/>
        <w:ind w:firstLine="435"/>
        <w:rPr>
          <w:rFonts w:ascii="宋体" w:hAnsi="宋体" w:cs="宋体"/>
          <w:color w:val="auto"/>
          <w:szCs w:val="21"/>
        </w:rPr>
      </w:pPr>
      <w:r>
        <w:rPr>
          <w:rFonts w:hint="eastAsia" w:ascii="宋体" w:hAnsi="宋体" w:cs="宋体"/>
          <w:color w:val="auto"/>
          <w:szCs w:val="21"/>
        </w:rPr>
        <w:t>2.2“货物”系指按磋商文件规定，供应商须向采购人提供的一切设备、保险、税金、备品备件、工具、手册及其它有关技术资料和材料。</w:t>
      </w:r>
    </w:p>
    <w:p w14:paraId="21AA0219">
      <w:pPr>
        <w:spacing w:line="360" w:lineRule="exact"/>
        <w:ind w:firstLine="435"/>
        <w:rPr>
          <w:rFonts w:ascii="宋体" w:hAnsi="宋体" w:cs="宋体"/>
          <w:color w:val="auto"/>
          <w:szCs w:val="21"/>
        </w:rPr>
      </w:pPr>
      <w:r>
        <w:rPr>
          <w:rFonts w:hint="eastAsia" w:ascii="宋体" w:hAnsi="宋体" w:cs="宋体"/>
          <w:color w:val="auto"/>
          <w:szCs w:val="21"/>
        </w:rPr>
        <w:t>2.3“服务”系指按磋商文件规定，供应商须承担的安装、调试、技术协助、校准、培训、技术指导以及其他类似的义务。</w:t>
      </w:r>
    </w:p>
    <w:p w14:paraId="3F962A74">
      <w:pPr>
        <w:spacing w:line="360" w:lineRule="exact"/>
        <w:ind w:firstLine="435"/>
        <w:rPr>
          <w:rFonts w:ascii="宋体" w:hAnsi="宋体" w:cs="宋体"/>
          <w:color w:val="auto"/>
          <w:szCs w:val="21"/>
        </w:rPr>
      </w:pPr>
      <w:r>
        <w:rPr>
          <w:rFonts w:hint="eastAsia" w:ascii="宋体" w:hAnsi="宋体" w:cs="宋体"/>
          <w:color w:val="auto"/>
          <w:szCs w:val="21"/>
        </w:rPr>
        <w:t>2.4“项目”系指供应商按磋商文件规定向采购人提供的货物和服务。</w:t>
      </w:r>
    </w:p>
    <w:p w14:paraId="1C229358">
      <w:pPr>
        <w:spacing w:line="360" w:lineRule="exact"/>
        <w:ind w:firstLine="435"/>
        <w:rPr>
          <w:rFonts w:ascii="宋体" w:hAnsi="宋体" w:cs="宋体"/>
          <w:color w:val="auto"/>
          <w:szCs w:val="21"/>
        </w:rPr>
      </w:pPr>
      <w:r>
        <w:rPr>
          <w:rFonts w:hint="eastAsia" w:ascii="宋体" w:hAnsi="宋体" w:cs="宋体"/>
          <w:color w:val="auto"/>
          <w:szCs w:val="21"/>
        </w:rPr>
        <w:t>2.5“书面形式”包括信函、传真、电报等。</w:t>
      </w:r>
    </w:p>
    <w:p w14:paraId="7057C311">
      <w:pPr>
        <w:spacing w:line="360" w:lineRule="exact"/>
        <w:ind w:firstLine="435"/>
        <w:rPr>
          <w:rFonts w:ascii="宋体" w:hAnsi="宋体" w:cs="宋体"/>
          <w:b/>
          <w:color w:val="auto"/>
          <w:sz w:val="24"/>
        </w:rPr>
      </w:pPr>
      <w:r>
        <w:rPr>
          <w:rFonts w:hint="eastAsia" w:ascii="宋体" w:hAnsi="宋体" w:cs="宋体"/>
          <w:b/>
          <w:color w:val="auto"/>
          <w:sz w:val="24"/>
          <w:u w:val="single"/>
        </w:rPr>
        <w:t>2.</w:t>
      </w:r>
      <w:r>
        <w:rPr>
          <w:rFonts w:hint="eastAsia" w:ascii="宋体" w:hAnsi="宋体" w:cs="宋体"/>
          <w:b/>
          <w:color w:val="auto"/>
          <w:szCs w:val="21"/>
          <w:u w:val="single"/>
        </w:rPr>
        <w:t>6实质性要求：“采购需求”中的所有内容均为实质性要求，不允许负偏离，否则响应无效。</w:t>
      </w:r>
    </w:p>
    <w:p w14:paraId="5F5FB3FD">
      <w:pPr>
        <w:pStyle w:val="5"/>
        <w:spacing w:line="360" w:lineRule="auto"/>
        <w:ind w:firstLine="420" w:firstLineChars="200"/>
        <w:rPr>
          <w:rFonts w:ascii="宋体" w:hAnsi="宋体" w:cs="宋体"/>
          <w:color w:val="auto"/>
          <w:sz w:val="21"/>
          <w:szCs w:val="21"/>
        </w:rPr>
      </w:pPr>
      <w:bookmarkStart w:id="64" w:name="_Toc25441"/>
      <w:bookmarkStart w:id="65" w:name="_Toc23631"/>
      <w:r>
        <w:rPr>
          <w:rFonts w:hint="eastAsia" w:ascii="宋体" w:hAnsi="宋体" w:cs="宋体"/>
          <w:color w:val="auto"/>
          <w:sz w:val="21"/>
          <w:szCs w:val="21"/>
        </w:rPr>
        <w:t>3. 供应商资格</w:t>
      </w:r>
      <w:bookmarkEnd w:id="64"/>
      <w:bookmarkEnd w:id="65"/>
    </w:p>
    <w:p w14:paraId="799E05C7">
      <w:pPr>
        <w:ind w:firstLine="420" w:firstLineChars="200"/>
        <w:rPr>
          <w:rFonts w:ascii="宋体" w:hAnsi="宋体" w:cs="宋体"/>
          <w:color w:val="auto"/>
          <w:szCs w:val="21"/>
        </w:rPr>
      </w:pPr>
      <w:bookmarkStart w:id="66" w:name="_Toc16496"/>
      <w:r>
        <w:rPr>
          <w:rFonts w:hint="eastAsia" w:ascii="宋体" w:hAnsi="宋体" w:cs="宋体"/>
          <w:color w:val="auto"/>
          <w:szCs w:val="21"/>
        </w:rPr>
        <w:t>3.1.满足《中华人民共和国政府采购法》第二十二条规定；</w:t>
      </w:r>
    </w:p>
    <w:p w14:paraId="52A03429">
      <w:pPr>
        <w:ind w:firstLine="420" w:firstLineChars="200"/>
        <w:rPr>
          <w:rFonts w:ascii="宋体" w:hAnsi="宋体" w:cs="宋体"/>
          <w:color w:val="auto"/>
          <w:szCs w:val="21"/>
        </w:rPr>
      </w:pPr>
      <w:r>
        <w:rPr>
          <w:rFonts w:hint="eastAsia" w:ascii="宋体" w:hAnsi="宋体" w:cs="宋体"/>
          <w:color w:val="auto"/>
          <w:szCs w:val="21"/>
        </w:rPr>
        <w:t>3.2.被列入失信被执行人、重大税收违法案件当事人名单、政府采购严重违法失信行为记录名单及其他不符合《中华人民共和国政府采购法》第二十二条规定条件的供应商，将被拒绝其参与本次政府采购活动。供应商可在“信用中国”网站（www.creditchina.gov.cn）、中国政府采购网（www.ccgp.gov.cn）查询相关供应商主体信用记录；</w:t>
      </w:r>
    </w:p>
    <w:p w14:paraId="6E5581E4">
      <w:pPr>
        <w:ind w:firstLine="420" w:firstLineChars="200"/>
        <w:rPr>
          <w:rFonts w:ascii="宋体" w:hAnsi="宋体" w:cs="宋体"/>
          <w:color w:val="auto"/>
          <w:szCs w:val="21"/>
        </w:rPr>
      </w:pPr>
      <w:r>
        <w:rPr>
          <w:rFonts w:hint="eastAsia" w:ascii="宋体" w:hAnsi="宋体" w:cs="宋体"/>
          <w:color w:val="auto"/>
          <w:szCs w:val="21"/>
        </w:rPr>
        <w:t>3.3.落实政府采购政策需满足的资格要求：</w:t>
      </w:r>
      <w:r>
        <w:rPr>
          <w:rFonts w:hint="eastAsia" w:ascii="宋体" w:hAnsi="宋体" w:cs="宋体"/>
          <w:color w:val="auto"/>
          <w:kern w:val="0"/>
          <w:szCs w:val="21"/>
        </w:rPr>
        <w:t>本项目属于非专门面向中小企业采购</w:t>
      </w:r>
      <w:r>
        <w:rPr>
          <w:rFonts w:hint="eastAsia" w:ascii="宋体" w:hAnsi="宋体" w:cs="宋体"/>
          <w:color w:val="auto"/>
          <w:szCs w:val="21"/>
        </w:rPr>
        <w:t>。</w:t>
      </w:r>
    </w:p>
    <w:p w14:paraId="5BA96AE4">
      <w:pPr>
        <w:ind w:firstLine="420" w:firstLineChars="200"/>
        <w:rPr>
          <w:rFonts w:ascii="宋体" w:hAnsi="宋体" w:cs="宋体"/>
          <w:color w:val="auto"/>
          <w:szCs w:val="21"/>
        </w:rPr>
      </w:pPr>
      <w:r>
        <w:rPr>
          <w:rFonts w:hint="eastAsia" w:ascii="宋体" w:hAnsi="宋体" w:cs="宋体"/>
          <w:color w:val="auto"/>
          <w:szCs w:val="21"/>
        </w:rPr>
        <w:t>3.4.本项目的特定资格要求：</w:t>
      </w:r>
    </w:p>
    <w:p w14:paraId="3461E27B">
      <w:pPr>
        <w:spacing w:line="360" w:lineRule="auto"/>
        <w:ind w:firstLine="420" w:firstLineChars="200"/>
        <w:rPr>
          <w:rFonts w:ascii="宋体" w:hAnsi="宋体" w:cs="宋体"/>
          <w:color w:val="auto"/>
          <w:szCs w:val="21"/>
        </w:rPr>
      </w:pPr>
      <w:r>
        <w:rPr>
          <w:rFonts w:hint="eastAsia" w:ascii="宋体" w:hAnsi="宋体" w:cs="宋体"/>
          <w:color w:val="auto"/>
          <w:szCs w:val="21"/>
        </w:rPr>
        <w:t>3.4.1具有《危险废物经营许可证》医疗废物HW01资质，具备收集、贮存、处置经营资质，包含感染性医疗废物、损伤性医疗废物、病理性医疗废物、化学性医疗废物、药物性医疗废物。</w:t>
      </w:r>
    </w:p>
    <w:p w14:paraId="0BEDCB1F">
      <w:pPr>
        <w:spacing w:line="360" w:lineRule="auto"/>
        <w:ind w:firstLine="420" w:firstLineChars="200"/>
        <w:rPr>
          <w:rFonts w:ascii="宋体" w:hAnsi="宋体" w:cs="宋体"/>
          <w:color w:val="auto"/>
          <w:szCs w:val="21"/>
        </w:rPr>
      </w:pPr>
      <w:r>
        <w:rPr>
          <w:rFonts w:hint="eastAsia" w:ascii="宋体" w:hAnsi="宋体" w:cs="宋体"/>
          <w:color w:val="auto"/>
          <w:szCs w:val="21"/>
        </w:rPr>
        <w:t>3.4.2提供《道路运输经营许可证》，经营范围含危险货物运输（医疗废物）。</w:t>
      </w:r>
    </w:p>
    <w:p w14:paraId="092622F1">
      <w:pPr>
        <w:widowControl/>
        <w:shd w:val="clear" w:color="auto" w:fill="FFFFFF"/>
        <w:spacing w:line="360" w:lineRule="atLeast"/>
        <w:ind w:firstLine="420"/>
        <w:jc w:val="left"/>
        <w:rPr>
          <w:rFonts w:ascii="宋体" w:hAnsi="宋体" w:cs="宋体"/>
          <w:color w:val="auto"/>
          <w:kern w:val="0"/>
          <w:szCs w:val="21"/>
          <w:shd w:val="clear" w:color="auto" w:fill="FFFFFF"/>
        </w:rPr>
      </w:pPr>
      <w:r>
        <w:rPr>
          <w:rFonts w:hint="eastAsia" w:ascii="宋体" w:hAnsi="宋体" w:cs="宋体"/>
          <w:color w:val="auto"/>
          <w:kern w:val="0"/>
          <w:szCs w:val="21"/>
          <w:shd w:val="clear" w:color="auto" w:fill="FFFFFF"/>
        </w:rPr>
        <w:t>3.4.3拟投入收集、运输人员：服务本项目人员必须同时具有危险货物运输驾驶员、押运人员从业资格证双证。提供证件扫描件等证明材料。</w:t>
      </w:r>
    </w:p>
    <w:p w14:paraId="68AB87EA">
      <w:pPr>
        <w:ind w:firstLine="420" w:firstLineChars="200"/>
        <w:rPr>
          <w:rFonts w:ascii="宋体" w:hAnsi="宋体" w:cs="宋体"/>
          <w:color w:val="auto"/>
          <w:szCs w:val="21"/>
        </w:rPr>
      </w:pPr>
      <w:r>
        <w:rPr>
          <w:rFonts w:hint="eastAsia" w:ascii="宋体" w:hAnsi="宋体" w:cs="宋体"/>
          <w:color w:val="auto"/>
          <w:kern w:val="0"/>
          <w:szCs w:val="21"/>
          <w:shd w:val="clear" w:color="auto" w:fill="FFFFFF"/>
        </w:rPr>
        <w:t>3.4.4拟投入装卸管理人员：竞标单位至少具有1名道路运输企业安全生产管理人员。提供证件扫描件等证明材料</w:t>
      </w:r>
      <w:r>
        <w:rPr>
          <w:rFonts w:hint="eastAsia" w:ascii="宋体" w:hAnsi="宋体" w:cs="宋体"/>
          <w:color w:val="auto"/>
          <w:szCs w:val="21"/>
        </w:rPr>
        <w:t>。。</w:t>
      </w:r>
    </w:p>
    <w:p w14:paraId="0A87F4FE">
      <w:pPr>
        <w:pStyle w:val="15"/>
        <w:rPr>
          <w:color w:val="auto"/>
        </w:rPr>
      </w:pPr>
      <w:r>
        <w:rPr>
          <w:rFonts w:hint="eastAsia" w:ascii="宋体" w:hAnsi="宋体" w:cs="宋体"/>
          <w:b/>
          <w:bCs/>
          <w:color w:val="auto"/>
          <w:szCs w:val="21"/>
        </w:rPr>
        <w:t>3.5.本项目不接受联合体</w:t>
      </w:r>
      <w:r>
        <w:rPr>
          <w:rFonts w:hint="eastAsia" w:ascii="宋体" w:hAnsi="宋体" w:cs="宋体"/>
          <w:color w:val="auto"/>
          <w:szCs w:val="21"/>
        </w:rPr>
        <w:t>。</w:t>
      </w:r>
    </w:p>
    <w:p w14:paraId="6F4F5F6A">
      <w:pPr>
        <w:pStyle w:val="5"/>
        <w:spacing w:line="360" w:lineRule="auto"/>
        <w:ind w:firstLine="420" w:firstLineChars="200"/>
        <w:rPr>
          <w:rFonts w:ascii="宋体" w:hAnsi="宋体" w:cs="宋体"/>
          <w:color w:val="auto"/>
          <w:sz w:val="21"/>
          <w:szCs w:val="21"/>
        </w:rPr>
      </w:pPr>
      <w:bookmarkStart w:id="67" w:name="_Toc15983"/>
      <w:r>
        <w:rPr>
          <w:rFonts w:hint="eastAsia" w:ascii="宋体" w:hAnsi="宋体" w:cs="宋体"/>
          <w:color w:val="auto"/>
          <w:sz w:val="21"/>
          <w:szCs w:val="21"/>
        </w:rPr>
        <w:t>4. 磋商费用</w:t>
      </w:r>
      <w:bookmarkEnd w:id="66"/>
      <w:bookmarkEnd w:id="67"/>
    </w:p>
    <w:p w14:paraId="10407236">
      <w:pPr>
        <w:tabs>
          <w:tab w:val="left" w:pos="1635"/>
        </w:tabs>
        <w:spacing w:line="360" w:lineRule="exact"/>
        <w:ind w:firstLine="435"/>
        <w:rPr>
          <w:rFonts w:ascii="宋体" w:hAnsi="宋体" w:cs="宋体"/>
          <w:color w:val="auto"/>
          <w:szCs w:val="21"/>
        </w:rPr>
      </w:pPr>
      <w:r>
        <w:rPr>
          <w:rFonts w:hint="eastAsia" w:ascii="宋体" w:hAnsi="宋体" w:cs="宋体"/>
          <w:color w:val="auto"/>
          <w:szCs w:val="21"/>
        </w:rPr>
        <w:t>不论磋商结果如何，供应商均应自行承担所有与磋商有关的全部费用。</w:t>
      </w:r>
    </w:p>
    <w:p w14:paraId="653EF23A">
      <w:pPr>
        <w:pStyle w:val="5"/>
        <w:numPr>
          <w:ilvl w:val="0"/>
          <w:numId w:val="3"/>
        </w:numPr>
        <w:spacing w:line="360" w:lineRule="auto"/>
        <w:ind w:firstLine="420" w:firstLineChars="200"/>
        <w:rPr>
          <w:rFonts w:ascii="宋体" w:hAnsi="宋体" w:cs="宋体"/>
          <w:color w:val="auto"/>
          <w:sz w:val="21"/>
          <w:szCs w:val="21"/>
        </w:rPr>
      </w:pPr>
      <w:bookmarkStart w:id="68" w:name="_Toc6933"/>
      <w:bookmarkStart w:id="69" w:name="_Toc31376"/>
      <w:r>
        <w:rPr>
          <w:rFonts w:hint="eastAsia" w:ascii="宋体" w:hAnsi="宋体" w:cs="宋体"/>
          <w:color w:val="auto"/>
          <w:sz w:val="21"/>
          <w:szCs w:val="21"/>
        </w:rPr>
        <w:t>联合体要求</w:t>
      </w:r>
      <w:bookmarkEnd w:id="68"/>
      <w:bookmarkEnd w:id="69"/>
    </w:p>
    <w:p w14:paraId="315F8677">
      <w:pPr>
        <w:spacing w:line="360" w:lineRule="exact"/>
        <w:ind w:firstLine="420" w:firstLineChars="200"/>
        <w:rPr>
          <w:rFonts w:ascii="宋体" w:hAnsi="宋体" w:cs="宋体"/>
          <w:bCs/>
          <w:color w:val="auto"/>
          <w:szCs w:val="21"/>
        </w:rPr>
      </w:pPr>
      <w:r>
        <w:rPr>
          <w:rFonts w:hint="eastAsia" w:ascii="宋体" w:hAnsi="宋体" w:cs="宋体"/>
          <w:bCs/>
          <w:color w:val="auto"/>
          <w:szCs w:val="21"/>
        </w:rPr>
        <w:t>本项目不接受联合体参与磋商</w:t>
      </w:r>
    </w:p>
    <w:p w14:paraId="611D5E38">
      <w:pPr>
        <w:pStyle w:val="5"/>
        <w:spacing w:line="360" w:lineRule="auto"/>
        <w:ind w:firstLine="420" w:firstLineChars="200"/>
        <w:rPr>
          <w:rFonts w:ascii="宋体" w:hAnsi="宋体" w:cs="宋体"/>
          <w:color w:val="auto"/>
          <w:sz w:val="21"/>
          <w:szCs w:val="21"/>
        </w:rPr>
      </w:pPr>
      <w:bookmarkStart w:id="70" w:name="_Toc4152"/>
      <w:bookmarkStart w:id="71" w:name="_Toc16359"/>
      <w:r>
        <w:rPr>
          <w:rFonts w:hint="eastAsia" w:ascii="宋体" w:hAnsi="宋体" w:cs="宋体"/>
          <w:color w:val="auto"/>
          <w:sz w:val="21"/>
          <w:szCs w:val="21"/>
        </w:rPr>
        <w:t>6. 质疑和投诉</w:t>
      </w:r>
      <w:bookmarkEnd w:id="70"/>
      <w:bookmarkEnd w:id="71"/>
      <w:r>
        <w:rPr>
          <w:rFonts w:hint="eastAsia" w:ascii="宋体" w:hAnsi="宋体" w:cs="宋体"/>
          <w:color w:val="auto"/>
          <w:sz w:val="21"/>
          <w:szCs w:val="21"/>
        </w:rPr>
        <w:tab/>
      </w:r>
    </w:p>
    <w:p w14:paraId="087E6167">
      <w:pPr>
        <w:tabs>
          <w:tab w:val="left" w:pos="2190"/>
        </w:tabs>
        <w:spacing w:line="360" w:lineRule="exact"/>
        <w:ind w:firstLine="435"/>
        <w:rPr>
          <w:rFonts w:ascii="宋体" w:hAnsi="宋体" w:cs="宋体"/>
          <w:color w:val="auto"/>
          <w:szCs w:val="21"/>
        </w:rPr>
      </w:pPr>
      <w:bookmarkStart w:id="72" w:name="_Toc26087"/>
      <w:bookmarkStart w:id="73" w:name="_Toc8195"/>
      <w:r>
        <w:rPr>
          <w:rFonts w:hint="eastAsia" w:ascii="宋体" w:hAnsi="宋体" w:cs="宋体"/>
          <w:color w:val="auto"/>
          <w:szCs w:val="21"/>
        </w:rPr>
        <w:t>6.1供应对政府采购活动事项有。疑问的，可以向采购人提出询问。</w:t>
      </w:r>
    </w:p>
    <w:p w14:paraId="059BAC20">
      <w:pPr>
        <w:tabs>
          <w:tab w:val="left" w:pos="2190"/>
        </w:tabs>
        <w:spacing w:line="360" w:lineRule="exact"/>
        <w:ind w:firstLine="435"/>
        <w:rPr>
          <w:rFonts w:ascii="宋体" w:hAnsi="宋体" w:cs="宋体"/>
          <w:color w:val="auto"/>
          <w:szCs w:val="21"/>
        </w:rPr>
      </w:pPr>
      <w:r>
        <w:rPr>
          <w:rFonts w:hint="eastAsia" w:ascii="宋体" w:hAnsi="宋体" w:cs="宋体"/>
          <w:color w:val="auto"/>
          <w:szCs w:val="21"/>
        </w:rPr>
        <w:t>6.2供应商认为磋商文件使自己的合法权益受到损害的，应当在竞争性磋商公告期限届满之日起七个工作日内，以书面形式向采购代理机构（欧邦工程管理集团有限公司）提出质疑。供应商认为采购过程或成交结果使自己的合法权益受到损害的，应当在各采购程序环节结束之日起七个工作日内，以书面形式向采购代理机构（欧邦工程管理集团有限公司）提出质疑。采购代理机构应认真做好质疑处理工作。</w:t>
      </w:r>
    </w:p>
    <w:p w14:paraId="4B0B1496">
      <w:pPr>
        <w:tabs>
          <w:tab w:val="left" w:pos="2190"/>
        </w:tabs>
        <w:spacing w:line="360" w:lineRule="exact"/>
        <w:ind w:firstLine="435"/>
        <w:rPr>
          <w:rFonts w:ascii="宋体" w:hAnsi="宋体" w:cs="宋体"/>
          <w:color w:val="auto"/>
          <w:szCs w:val="21"/>
        </w:rPr>
      </w:pPr>
      <w:r>
        <w:rPr>
          <w:rFonts w:hint="eastAsia" w:ascii="宋体" w:hAnsi="宋体" w:cs="宋体"/>
          <w:color w:val="auto"/>
          <w:szCs w:val="21"/>
        </w:rPr>
        <w:t>6.3供应商对采购代理机构的质疑答复不满意或者采购代理机构未在规定的时间内作出答复的，可以在答复期满后十五个工作日内向本级财政部门投诉。</w:t>
      </w:r>
    </w:p>
    <w:p w14:paraId="2643E004">
      <w:pPr>
        <w:tabs>
          <w:tab w:val="left" w:pos="2190"/>
        </w:tabs>
        <w:spacing w:line="360" w:lineRule="exact"/>
        <w:ind w:firstLine="435"/>
        <w:rPr>
          <w:rFonts w:ascii="宋体" w:hAnsi="宋体" w:cs="宋体"/>
          <w:color w:val="auto"/>
          <w:szCs w:val="21"/>
        </w:rPr>
      </w:pPr>
      <w:r>
        <w:rPr>
          <w:rFonts w:hint="eastAsia" w:ascii="宋体" w:hAnsi="宋体" w:cs="宋体"/>
          <w:color w:val="auto"/>
          <w:szCs w:val="21"/>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14:paraId="6A9B788B">
      <w:pPr>
        <w:tabs>
          <w:tab w:val="left" w:pos="2190"/>
        </w:tabs>
        <w:spacing w:line="360" w:lineRule="exact"/>
        <w:ind w:firstLine="420" w:firstLineChars="200"/>
        <w:rPr>
          <w:rFonts w:ascii="宋体" w:hAnsi="宋体" w:cs="宋体"/>
          <w:color w:val="auto"/>
          <w:szCs w:val="21"/>
        </w:rPr>
      </w:pPr>
      <w:r>
        <w:rPr>
          <w:rFonts w:hint="eastAsia" w:ascii="宋体" w:hAnsi="宋体" w:cs="宋体"/>
          <w:color w:val="auto"/>
          <w:szCs w:val="21"/>
        </w:rPr>
        <w:t>6.5质疑联系方式详见公告。</w:t>
      </w:r>
    </w:p>
    <w:p w14:paraId="40C5376F">
      <w:pPr>
        <w:spacing w:line="400" w:lineRule="exact"/>
        <w:ind w:firstLine="420" w:firstLineChars="200"/>
        <w:rPr>
          <w:rFonts w:ascii="宋体" w:hAnsi="宋体" w:cs="宋体"/>
          <w:color w:val="auto"/>
          <w:kern w:val="0"/>
          <w:szCs w:val="21"/>
        </w:rPr>
      </w:pPr>
      <w:r>
        <w:rPr>
          <w:rFonts w:hint="eastAsia" w:ascii="宋体" w:hAnsi="宋体" w:cs="宋体"/>
          <w:color w:val="auto"/>
          <w:szCs w:val="21"/>
        </w:rPr>
        <w:t>6.6 投诉联系部门：</w:t>
      </w:r>
      <w:bookmarkEnd w:id="72"/>
      <w:bookmarkEnd w:id="73"/>
      <w:r>
        <w:rPr>
          <w:rFonts w:hint="eastAsia" w:ascii="宋体" w:hAnsi="宋体" w:cs="宋体"/>
          <w:color w:val="auto"/>
          <w:szCs w:val="21"/>
        </w:rPr>
        <w:t>桂林市政府采购管理办公室</w:t>
      </w:r>
      <w:r>
        <w:rPr>
          <w:rFonts w:hint="eastAsia" w:ascii="宋体" w:hAnsi="宋体" w:cs="宋体"/>
          <w:color w:val="auto"/>
          <w:kern w:val="0"/>
          <w:szCs w:val="21"/>
        </w:rPr>
        <w:t xml:space="preserve">   联系电话：</w:t>
      </w:r>
      <w:r>
        <w:rPr>
          <w:rFonts w:hint="eastAsia" w:ascii="宋体" w:hAnsi="宋体" w:cs="宋体"/>
          <w:color w:val="auto"/>
          <w:szCs w:val="21"/>
        </w:rPr>
        <w:t>0773-2829504</w:t>
      </w:r>
    </w:p>
    <w:p w14:paraId="4655D404">
      <w:pPr>
        <w:pStyle w:val="46"/>
        <w:ind w:firstLine="420" w:firstLineChars="200"/>
        <w:jc w:val="both"/>
        <w:rPr>
          <w:rFonts w:ascii="宋体" w:hAnsi="宋体" w:cs="宋体"/>
          <w:color w:val="auto"/>
          <w:sz w:val="21"/>
          <w:szCs w:val="21"/>
        </w:rPr>
      </w:pPr>
      <w:r>
        <w:rPr>
          <w:rFonts w:hint="eastAsia" w:ascii="宋体" w:hAnsi="宋体" w:cs="宋体"/>
          <w:color w:val="auto"/>
          <w:sz w:val="21"/>
          <w:szCs w:val="21"/>
        </w:rPr>
        <w:t>6.7 供应商在法定质疑期内应当一次性提出针对同一采购程序环节的质疑。</w:t>
      </w:r>
    </w:p>
    <w:p w14:paraId="5C0382C7">
      <w:pPr>
        <w:pStyle w:val="46"/>
        <w:ind w:firstLine="420" w:firstLineChars="200"/>
        <w:rPr>
          <w:rFonts w:ascii="宋体" w:hAnsi="宋体" w:cs="宋体"/>
          <w:color w:val="auto"/>
          <w:sz w:val="21"/>
          <w:szCs w:val="21"/>
        </w:rPr>
      </w:pPr>
      <w:r>
        <w:rPr>
          <w:rFonts w:hint="eastAsia" w:ascii="宋体" w:hAnsi="宋体" w:cs="宋体"/>
          <w:color w:val="auto"/>
          <w:sz w:val="21"/>
          <w:szCs w:val="21"/>
        </w:rPr>
        <w:t>6.8 不在法定质疑期内提出的质疑函可以拒收。不符合要求的质疑函在法定质疑期内及时补充完整，否则作质疑不成立处理。</w:t>
      </w:r>
    </w:p>
    <w:p w14:paraId="4E50597B">
      <w:pPr>
        <w:pStyle w:val="5"/>
        <w:spacing w:line="360" w:lineRule="auto"/>
        <w:ind w:firstLine="420" w:firstLineChars="200"/>
        <w:rPr>
          <w:rFonts w:ascii="宋体" w:hAnsi="宋体" w:cs="宋体"/>
          <w:color w:val="auto"/>
          <w:sz w:val="21"/>
          <w:szCs w:val="21"/>
        </w:rPr>
      </w:pPr>
      <w:bookmarkStart w:id="74" w:name="_Toc13910"/>
      <w:bookmarkStart w:id="75" w:name="_Toc6998"/>
      <w:r>
        <w:rPr>
          <w:rFonts w:hint="eastAsia" w:ascii="宋体" w:hAnsi="宋体" w:cs="宋体"/>
          <w:color w:val="auto"/>
          <w:sz w:val="21"/>
          <w:szCs w:val="21"/>
        </w:rPr>
        <w:t>7. 转包与分包</w:t>
      </w:r>
      <w:bookmarkEnd w:id="74"/>
      <w:bookmarkEnd w:id="75"/>
    </w:p>
    <w:p w14:paraId="4235525F">
      <w:pPr>
        <w:tabs>
          <w:tab w:val="left" w:pos="2190"/>
        </w:tabs>
        <w:spacing w:line="360" w:lineRule="exact"/>
        <w:ind w:firstLine="435"/>
        <w:rPr>
          <w:rFonts w:ascii="宋体" w:hAnsi="宋体" w:cs="宋体"/>
          <w:color w:val="auto"/>
          <w:szCs w:val="21"/>
        </w:rPr>
      </w:pPr>
      <w:r>
        <w:rPr>
          <w:rFonts w:hint="eastAsia" w:ascii="宋体" w:hAnsi="宋体" w:cs="宋体"/>
          <w:color w:val="auto"/>
          <w:szCs w:val="21"/>
        </w:rPr>
        <w:t>7.1 本项目不允许转包。</w:t>
      </w:r>
    </w:p>
    <w:p w14:paraId="28E05D34">
      <w:pPr>
        <w:tabs>
          <w:tab w:val="left" w:pos="2190"/>
        </w:tabs>
        <w:spacing w:line="360" w:lineRule="exact"/>
        <w:ind w:firstLine="435"/>
        <w:rPr>
          <w:rFonts w:ascii="宋体" w:hAnsi="宋体" w:cs="宋体"/>
          <w:color w:val="auto"/>
          <w:szCs w:val="21"/>
        </w:rPr>
      </w:pPr>
      <w:r>
        <w:rPr>
          <w:rFonts w:hint="eastAsia" w:ascii="宋体" w:hAnsi="宋体" w:cs="宋体"/>
          <w:color w:val="auto"/>
          <w:szCs w:val="21"/>
        </w:rPr>
        <w:t>7.2 本项目不可以分包。</w:t>
      </w:r>
    </w:p>
    <w:p w14:paraId="039A0EAD">
      <w:pPr>
        <w:pStyle w:val="5"/>
        <w:spacing w:line="360" w:lineRule="auto"/>
        <w:ind w:firstLine="420" w:firstLineChars="200"/>
        <w:rPr>
          <w:rFonts w:ascii="宋体" w:hAnsi="宋体" w:cs="宋体"/>
          <w:color w:val="auto"/>
          <w:sz w:val="21"/>
          <w:szCs w:val="21"/>
        </w:rPr>
      </w:pPr>
      <w:bookmarkStart w:id="76" w:name="_Toc9415"/>
      <w:bookmarkStart w:id="77" w:name="_Toc3368"/>
      <w:r>
        <w:rPr>
          <w:rFonts w:hint="eastAsia" w:ascii="宋体" w:hAnsi="宋体" w:cs="宋体"/>
          <w:color w:val="auto"/>
          <w:sz w:val="21"/>
          <w:szCs w:val="21"/>
        </w:rPr>
        <w:t>8. 特别说明</w:t>
      </w:r>
      <w:bookmarkEnd w:id="76"/>
      <w:bookmarkEnd w:id="77"/>
    </w:p>
    <w:p w14:paraId="01111232">
      <w:pPr>
        <w:tabs>
          <w:tab w:val="left" w:pos="1635"/>
        </w:tabs>
        <w:spacing w:line="360" w:lineRule="exact"/>
        <w:ind w:firstLine="420" w:firstLineChars="200"/>
        <w:rPr>
          <w:rFonts w:ascii="宋体" w:hAnsi="宋体" w:cs="宋体"/>
          <w:b/>
          <w:color w:val="auto"/>
          <w:szCs w:val="21"/>
        </w:rPr>
      </w:pPr>
      <w:r>
        <w:rPr>
          <w:rFonts w:hint="eastAsia" w:ascii="宋体" w:hAnsi="宋体" w:cs="宋体"/>
          <w:b/>
          <w:color w:val="auto"/>
          <w:szCs w:val="21"/>
        </w:rPr>
        <w:t>8.1关联供应商不得参加同一合同项下政府采购活动，否则响应文件将被视为无效：</w:t>
      </w:r>
    </w:p>
    <w:p w14:paraId="052ADC14">
      <w:pPr>
        <w:tabs>
          <w:tab w:val="left" w:pos="1635"/>
        </w:tabs>
        <w:spacing w:line="360" w:lineRule="exact"/>
        <w:ind w:firstLine="420" w:firstLineChars="200"/>
        <w:rPr>
          <w:rFonts w:ascii="宋体" w:hAnsi="宋体" w:cs="宋体"/>
          <w:color w:val="auto"/>
          <w:szCs w:val="21"/>
        </w:rPr>
      </w:pPr>
      <w:r>
        <w:rPr>
          <w:rFonts w:hint="eastAsia" w:ascii="宋体" w:hAnsi="宋体" w:cs="宋体"/>
          <w:color w:val="auto"/>
          <w:szCs w:val="21"/>
        </w:rPr>
        <w:t>（1）单位负责人为同一人或者存在直接控股、管理关系的，不得参加同一合同项下的政府采购活动。</w:t>
      </w:r>
    </w:p>
    <w:p w14:paraId="149EB5FD">
      <w:pPr>
        <w:tabs>
          <w:tab w:val="left" w:pos="1635"/>
        </w:tabs>
        <w:spacing w:line="360" w:lineRule="exact"/>
        <w:ind w:firstLine="420" w:firstLineChars="200"/>
        <w:rPr>
          <w:rFonts w:ascii="宋体" w:hAnsi="宋体" w:cs="宋体"/>
          <w:color w:val="auto"/>
          <w:szCs w:val="21"/>
        </w:rPr>
      </w:pPr>
      <w:r>
        <w:rPr>
          <w:rFonts w:hint="eastAsia" w:ascii="宋体" w:hAnsi="宋体" w:cs="宋体"/>
          <w:color w:val="auto"/>
          <w:szCs w:val="21"/>
        </w:rPr>
        <w:t>（2）为本采购项目提供整体设计、规范编制或者项目管理、监理、检测等服务的供应商，不得再参加本次采购活动。</w:t>
      </w:r>
    </w:p>
    <w:p w14:paraId="1C170128">
      <w:pPr>
        <w:tabs>
          <w:tab w:val="left" w:pos="1635"/>
        </w:tabs>
        <w:spacing w:line="360" w:lineRule="exact"/>
        <w:ind w:firstLine="435"/>
        <w:rPr>
          <w:rFonts w:ascii="宋体" w:hAnsi="宋体" w:cs="宋体"/>
          <w:b/>
          <w:bCs/>
          <w:color w:val="auto"/>
          <w:szCs w:val="21"/>
        </w:rPr>
      </w:pPr>
      <w:r>
        <w:rPr>
          <w:rFonts w:hint="eastAsia" w:ascii="宋体" w:hAnsi="宋体" w:cs="宋体"/>
          <w:b/>
          <w:color w:val="auto"/>
          <w:szCs w:val="21"/>
        </w:rPr>
        <w:t>8.2</w:t>
      </w:r>
      <w:r>
        <w:rPr>
          <w:rFonts w:hint="eastAsia" w:ascii="宋体" w:hAnsi="宋体" w:cs="宋体"/>
          <w:b/>
          <w:bCs/>
          <w:color w:val="auto"/>
          <w:szCs w:val="21"/>
        </w:rPr>
        <w:t>提供相同品牌产品的不同供应商参加同一合同项下磋商的，以其中通过资格审查、符合性审查且最后报价最低的参加评审，最后报价相同的，由采购人自主选择确定一个参加评审的供应商，其他报价无效。非单一产品采购项目中，多家供应商提供的核心产品品牌相同的，视为提供相同品牌产品。</w:t>
      </w:r>
    </w:p>
    <w:p w14:paraId="0CA4CD32">
      <w:pPr>
        <w:pStyle w:val="12"/>
        <w:rPr>
          <w:rFonts w:ascii="宋体" w:hAnsi="宋体" w:cs="宋体"/>
          <w:color w:val="auto"/>
        </w:rPr>
      </w:pPr>
    </w:p>
    <w:p w14:paraId="057220B4">
      <w:pPr>
        <w:pStyle w:val="4"/>
        <w:jc w:val="center"/>
        <w:rPr>
          <w:rFonts w:ascii="宋体" w:hAnsi="宋体" w:cs="宋体"/>
          <w:b/>
          <w:bCs w:val="0"/>
          <w:color w:val="auto"/>
          <w:szCs w:val="28"/>
        </w:rPr>
      </w:pPr>
      <w:bookmarkStart w:id="78" w:name="_Toc22498"/>
      <w:bookmarkStart w:id="79" w:name="_Toc8933"/>
      <w:r>
        <w:rPr>
          <w:rFonts w:hint="eastAsia" w:ascii="宋体" w:hAnsi="宋体" w:cs="宋体"/>
          <w:b/>
          <w:bCs w:val="0"/>
          <w:color w:val="auto"/>
          <w:szCs w:val="28"/>
          <w:lang w:val="en-US" w:eastAsia="zh-CN"/>
        </w:rPr>
        <w:t xml:space="preserve"> </w:t>
      </w:r>
      <w:r>
        <w:rPr>
          <w:rFonts w:hint="eastAsia" w:ascii="宋体" w:hAnsi="宋体" w:cs="宋体"/>
          <w:b/>
          <w:bCs w:val="0"/>
          <w:color w:val="auto"/>
          <w:szCs w:val="28"/>
        </w:rPr>
        <w:t>二、磋商文件</w:t>
      </w:r>
      <w:bookmarkEnd w:id="78"/>
      <w:bookmarkEnd w:id="79"/>
    </w:p>
    <w:p w14:paraId="304B6B5E">
      <w:pPr>
        <w:pStyle w:val="5"/>
        <w:spacing w:line="360" w:lineRule="auto"/>
        <w:ind w:firstLine="420" w:firstLineChars="200"/>
        <w:rPr>
          <w:rFonts w:ascii="宋体" w:hAnsi="宋体" w:cs="宋体"/>
          <w:color w:val="auto"/>
          <w:sz w:val="21"/>
          <w:szCs w:val="21"/>
          <w:lang w:val="pt-BR"/>
        </w:rPr>
      </w:pPr>
      <w:bookmarkStart w:id="80" w:name="_Toc18964"/>
      <w:bookmarkStart w:id="81" w:name="_Toc20523"/>
      <w:r>
        <w:rPr>
          <w:rFonts w:hint="eastAsia" w:ascii="宋体" w:hAnsi="宋体" w:cs="宋体"/>
          <w:color w:val="auto"/>
          <w:sz w:val="21"/>
          <w:szCs w:val="21"/>
          <w:lang w:val="pt-BR"/>
        </w:rPr>
        <w:t xml:space="preserve">9. </w:t>
      </w:r>
      <w:r>
        <w:rPr>
          <w:rFonts w:hint="eastAsia" w:ascii="宋体" w:hAnsi="宋体" w:cs="宋体"/>
          <w:color w:val="auto"/>
          <w:sz w:val="21"/>
          <w:szCs w:val="21"/>
        </w:rPr>
        <w:t>磋商文件的构成</w:t>
      </w:r>
      <w:bookmarkEnd w:id="80"/>
      <w:bookmarkEnd w:id="81"/>
    </w:p>
    <w:p w14:paraId="2349E26B">
      <w:pPr>
        <w:spacing w:line="360" w:lineRule="auto"/>
        <w:ind w:firstLine="420" w:firstLineChars="200"/>
        <w:rPr>
          <w:rFonts w:ascii="宋体" w:hAnsi="宋体" w:cs="宋体"/>
          <w:color w:val="auto"/>
          <w:szCs w:val="21"/>
        </w:rPr>
      </w:pPr>
      <w:r>
        <w:rPr>
          <w:rFonts w:hint="eastAsia" w:ascii="宋体" w:hAnsi="宋体" w:cs="宋体"/>
          <w:color w:val="auto"/>
          <w:szCs w:val="21"/>
        </w:rPr>
        <w:t>（1）竞争性磋商公告；</w:t>
      </w:r>
    </w:p>
    <w:p w14:paraId="340CF768">
      <w:pPr>
        <w:spacing w:line="360" w:lineRule="auto"/>
        <w:ind w:firstLine="420" w:firstLineChars="200"/>
        <w:rPr>
          <w:rFonts w:ascii="宋体" w:hAnsi="宋体" w:cs="宋体"/>
          <w:color w:val="auto"/>
          <w:szCs w:val="21"/>
        </w:rPr>
      </w:pPr>
      <w:r>
        <w:rPr>
          <w:rFonts w:hint="eastAsia" w:ascii="宋体" w:hAnsi="宋体" w:cs="宋体"/>
          <w:color w:val="auto"/>
          <w:szCs w:val="21"/>
        </w:rPr>
        <w:t>（2）供应商须知；</w:t>
      </w:r>
    </w:p>
    <w:p w14:paraId="0E12F5F4">
      <w:pPr>
        <w:spacing w:line="360" w:lineRule="auto"/>
        <w:ind w:firstLine="420" w:firstLineChars="200"/>
        <w:rPr>
          <w:rFonts w:ascii="宋体" w:hAnsi="宋体" w:cs="宋体"/>
          <w:b/>
          <w:color w:val="auto"/>
          <w:szCs w:val="21"/>
        </w:rPr>
      </w:pPr>
      <w:r>
        <w:rPr>
          <w:rFonts w:hint="eastAsia" w:ascii="宋体" w:hAnsi="宋体" w:cs="宋体"/>
          <w:color w:val="auto"/>
          <w:szCs w:val="21"/>
        </w:rPr>
        <w:t>（3）采购需求</w:t>
      </w:r>
      <w:r>
        <w:rPr>
          <w:rFonts w:hint="eastAsia" w:ascii="宋体" w:hAnsi="宋体" w:cs="宋体"/>
          <w:bCs/>
          <w:color w:val="auto"/>
          <w:szCs w:val="21"/>
        </w:rPr>
        <w:t>；</w:t>
      </w:r>
    </w:p>
    <w:p w14:paraId="799ACDB0">
      <w:pPr>
        <w:spacing w:line="360" w:lineRule="auto"/>
        <w:ind w:firstLine="420" w:firstLineChars="200"/>
        <w:rPr>
          <w:rFonts w:ascii="宋体" w:hAnsi="宋体" w:cs="宋体"/>
          <w:color w:val="auto"/>
          <w:szCs w:val="21"/>
        </w:rPr>
      </w:pPr>
      <w:r>
        <w:rPr>
          <w:rFonts w:hint="eastAsia" w:ascii="宋体" w:hAnsi="宋体" w:cs="宋体"/>
          <w:color w:val="auto"/>
          <w:szCs w:val="21"/>
        </w:rPr>
        <w:t>（4）评审办法；</w:t>
      </w:r>
    </w:p>
    <w:p w14:paraId="0CE96B72">
      <w:pPr>
        <w:spacing w:line="360" w:lineRule="auto"/>
        <w:ind w:firstLine="420" w:firstLineChars="200"/>
        <w:rPr>
          <w:rFonts w:ascii="宋体" w:hAnsi="宋体" w:cs="宋体"/>
          <w:color w:val="auto"/>
          <w:szCs w:val="21"/>
        </w:rPr>
      </w:pPr>
      <w:r>
        <w:rPr>
          <w:rFonts w:hint="eastAsia" w:ascii="宋体" w:hAnsi="宋体" w:cs="宋体"/>
          <w:color w:val="auto"/>
          <w:szCs w:val="21"/>
        </w:rPr>
        <w:t>（5）采购合同（合同主要条款及格式）；</w:t>
      </w:r>
    </w:p>
    <w:p w14:paraId="1ADB4ED4">
      <w:pPr>
        <w:spacing w:line="360" w:lineRule="auto"/>
        <w:ind w:firstLine="420" w:firstLineChars="200"/>
        <w:rPr>
          <w:rFonts w:ascii="宋体" w:hAnsi="宋体" w:cs="宋体"/>
          <w:color w:val="auto"/>
          <w:szCs w:val="21"/>
        </w:rPr>
      </w:pPr>
      <w:r>
        <w:rPr>
          <w:rFonts w:hint="eastAsia" w:ascii="宋体" w:hAnsi="宋体" w:cs="宋体"/>
          <w:color w:val="auto"/>
          <w:szCs w:val="21"/>
        </w:rPr>
        <w:t>（6）响应文件（格式）。</w:t>
      </w:r>
    </w:p>
    <w:p w14:paraId="367593EA">
      <w:pPr>
        <w:pStyle w:val="5"/>
        <w:spacing w:line="360" w:lineRule="auto"/>
        <w:ind w:firstLine="420" w:firstLineChars="200"/>
        <w:rPr>
          <w:rFonts w:ascii="宋体" w:hAnsi="宋体" w:cs="宋体"/>
          <w:color w:val="auto"/>
          <w:sz w:val="21"/>
          <w:szCs w:val="21"/>
        </w:rPr>
      </w:pPr>
      <w:bookmarkStart w:id="82" w:name="_Toc1452"/>
      <w:bookmarkStart w:id="83" w:name="_Toc9103"/>
      <w:r>
        <w:rPr>
          <w:rFonts w:hint="eastAsia" w:ascii="宋体" w:hAnsi="宋体" w:cs="宋体"/>
          <w:color w:val="auto"/>
          <w:sz w:val="21"/>
          <w:szCs w:val="21"/>
        </w:rPr>
        <w:t>10. 磋商文件的澄清与修改</w:t>
      </w:r>
      <w:bookmarkEnd w:id="82"/>
      <w:bookmarkEnd w:id="83"/>
    </w:p>
    <w:p w14:paraId="56D1361E">
      <w:pPr>
        <w:spacing w:line="360" w:lineRule="auto"/>
        <w:ind w:left="420" w:leftChars="200"/>
        <w:jc w:val="left"/>
        <w:rPr>
          <w:rFonts w:ascii="宋体" w:hAnsi="宋体" w:cs="宋体"/>
          <w:color w:val="auto"/>
          <w:szCs w:val="21"/>
        </w:rPr>
      </w:pPr>
      <w:r>
        <w:rPr>
          <w:rFonts w:hint="eastAsia" w:ascii="宋体" w:hAnsi="宋体" w:cs="宋体"/>
          <w:color w:val="auto"/>
          <w:szCs w:val="21"/>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w:t>
      </w:r>
      <w:r>
        <w:rPr>
          <w:rFonts w:hint="eastAsia" w:ascii="宋体" w:hAnsi="宋体" w:cs="宋体"/>
          <w:b/>
          <w:bCs/>
          <w:color w:val="auto"/>
          <w:szCs w:val="21"/>
        </w:rPr>
        <w:t>五日</w:t>
      </w:r>
      <w:r>
        <w:rPr>
          <w:rFonts w:hint="eastAsia" w:ascii="宋体" w:hAnsi="宋体" w:cs="宋体"/>
          <w:color w:val="auto"/>
          <w:szCs w:val="21"/>
        </w:rPr>
        <w:t>前在本项目竞争性磋商公告发布的同一媒体上发布更正公告，不足</w:t>
      </w:r>
      <w:r>
        <w:rPr>
          <w:rFonts w:hint="eastAsia" w:ascii="宋体" w:hAnsi="宋体" w:cs="宋体"/>
          <w:b/>
          <w:bCs/>
          <w:color w:val="auto"/>
          <w:szCs w:val="21"/>
        </w:rPr>
        <w:t>五日</w:t>
      </w:r>
      <w:r>
        <w:rPr>
          <w:rFonts w:hint="eastAsia" w:ascii="宋体" w:hAnsi="宋体" w:cs="宋体"/>
          <w:color w:val="auto"/>
          <w:szCs w:val="21"/>
        </w:rPr>
        <w:t>的，应当顺延首次响应文件递交截止时间。</w:t>
      </w:r>
    </w:p>
    <w:p w14:paraId="104D0AEA">
      <w:pPr>
        <w:spacing w:line="360" w:lineRule="auto"/>
        <w:ind w:left="420" w:leftChars="200"/>
        <w:jc w:val="left"/>
        <w:rPr>
          <w:rFonts w:ascii="宋体" w:hAnsi="宋体" w:cs="宋体"/>
          <w:b/>
          <w:bCs/>
          <w:color w:val="auto"/>
          <w:szCs w:val="21"/>
        </w:rPr>
      </w:pPr>
      <w:r>
        <w:rPr>
          <w:rFonts w:hint="eastAsia" w:ascii="宋体" w:hAnsi="宋体" w:cs="宋体"/>
          <w:color w:val="auto"/>
          <w:szCs w:val="21"/>
        </w:rPr>
        <w:t>10.2</w:t>
      </w:r>
      <w:r>
        <w:rPr>
          <w:rFonts w:hint="eastAsia" w:ascii="宋体" w:hAnsi="宋体" w:cs="宋体"/>
          <w:b/>
          <w:bCs/>
          <w:color w:val="auto"/>
          <w:szCs w:val="21"/>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14:paraId="342A03A2">
      <w:pPr>
        <w:spacing w:line="360" w:lineRule="auto"/>
        <w:ind w:left="420" w:leftChars="200"/>
        <w:jc w:val="left"/>
        <w:rPr>
          <w:rFonts w:ascii="宋体" w:hAnsi="宋体" w:cs="宋体"/>
          <w:color w:val="auto"/>
          <w:szCs w:val="21"/>
        </w:rPr>
      </w:pPr>
      <w:r>
        <w:rPr>
          <w:rFonts w:hint="eastAsia" w:ascii="宋体" w:hAnsi="宋体" w:cs="宋体"/>
          <w:color w:val="auto"/>
          <w:szCs w:val="21"/>
        </w:rPr>
        <w:t>10.3澄清或者修改的内容为磋商文件的组成部分。当澄清或者修改通知就同一内容的表述不一致时，以最后发出的文件为准。</w:t>
      </w:r>
    </w:p>
    <w:p w14:paraId="279AC2FA">
      <w:pPr>
        <w:spacing w:line="360" w:lineRule="auto"/>
        <w:ind w:left="420" w:leftChars="200"/>
        <w:jc w:val="left"/>
        <w:rPr>
          <w:rFonts w:ascii="宋体" w:hAnsi="宋体" w:cs="宋体"/>
          <w:color w:val="auto"/>
          <w:szCs w:val="21"/>
        </w:rPr>
      </w:pPr>
      <w:r>
        <w:rPr>
          <w:rFonts w:hint="eastAsia" w:ascii="宋体" w:hAnsi="宋体" w:cs="宋体"/>
          <w:color w:val="auto"/>
          <w:szCs w:val="21"/>
        </w:rPr>
        <w:t>10.4 磋商文件的澄清或者修改都应该通过本项目采购代理机构以法定形式发布，采购人非通过本机构，不得擅自澄清或者修改磋商文件。</w:t>
      </w:r>
    </w:p>
    <w:p w14:paraId="59C3887C">
      <w:pPr>
        <w:spacing w:line="360" w:lineRule="auto"/>
        <w:ind w:left="420" w:leftChars="200"/>
        <w:jc w:val="left"/>
        <w:rPr>
          <w:rFonts w:ascii="宋体" w:hAnsi="宋体" w:cs="宋体"/>
          <w:color w:val="auto"/>
          <w:szCs w:val="21"/>
        </w:rPr>
      </w:pPr>
      <w:r>
        <w:rPr>
          <w:rFonts w:hint="eastAsia" w:ascii="宋体" w:hAnsi="宋体" w:cs="宋体"/>
          <w:color w:val="auto"/>
          <w:szCs w:val="21"/>
        </w:rPr>
        <w:t>10.5采购单位可以视采购具体情况，延长响应文件截止时间和磋商时间，在本项目竞争性磋商公告发布的同一媒体上发布变更公告。</w:t>
      </w:r>
    </w:p>
    <w:p w14:paraId="473BC7AA">
      <w:pPr>
        <w:pStyle w:val="46"/>
        <w:rPr>
          <w:rFonts w:ascii="宋体" w:hAnsi="宋体" w:cs="宋体"/>
          <w:color w:val="auto"/>
        </w:rPr>
      </w:pPr>
    </w:p>
    <w:p w14:paraId="4CE01EFB">
      <w:pPr>
        <w:pStyle w:val="4"/>
        <w:jc w:val="center"/>
        <w:rPr>
          <w:rFonts w:ascii="宋体" w:hAnsi="宋体" w:cs="宋体"/>
          <w:b/>
          <w:bCs w:val="0"/>
          <w:color w:val="auto"/>
          <w:szCs w:val="28"/>
        </w:rPr>
      </w:pPr>
      <w:bookmarkStart w:id="84" w:name="_Toc20830"/>
      <w:bookmarkStart w:id="85" w:name="_Toc20641"/>
      <w:r>
        <w:rPr>
          <w:rFonts w:hint="eastAsia" w:ascii="宋体" w:hAnsi="宋体" w:cs="宋体"/>
          <w:b/>
          <w:bCs w:val="0"/>
          <w:color w:val="auto"/>
          <w:szCs w:val="28"/>
        </w:rPr>
        <w:t>三、竞争性磋商响应文件的编制</w:t>
      </w:r>
      <w:bookmarkEnd w:id="84"/>
      <w:bookmarkEnd w:id="85"/>
    </w:p>
    <w:p w14:paraId="7A90DD4C">
      <w:pPr>
        <w:pStyle w:val="5"/>
        <w:spacing w:line="360" w:lineRule="auto"/>
        <w:ind w:firstLine="420" w:firstLineChars="200"/>
        <w:rPr>
          <w:rFonts w:ascii="宋体" w:hAnsi="宋体" w:cs="宋体"/>
          <w:color w:val="auto"/>
          <w:sz w:val="21"/>
          <w:szCs w:val="21"/>
        </w:rPr>
      </w:pPr>
      <w:bookmarkStart w:id="86" w:name="_Toc772"/>
      <w:r>
        <w:rPr>
          <w:rFonts w:hint="eastAsia" w:ascii="宋体" w:hAnsi="宋体" w:cs="宋体"/>
          <w:color w:val="auto"/>
          <w:sz w:val="21"/>
          <w:szCs w:val="21"/>
        </w:rPr>
        <w:t>11.竞争性磋商响应文件编制基本要求</w:t>
      </w:r>
      <w:bookmarkEnd w:id="86"/>
    </w:p>
    <w:p w14:paraId="72589737">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11.1 本项目实行电子投标，供应商应准备电子磋商响应文件：</w:t>
      </w:r>
    </w:p>
    <w:p w14:paraId="3CBD883E">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 xml:space="preserve">11.1.1 电子响应文件按政采云平台要求及本磋商文件要求制作、加密并递交。具体操作流程可参考《政府采购项目电子交易管理操作指南-供应商》，指南可在 “http://www.ccgp-guangxi.gov.cn/PurchaseAdvisory/ImportantNotice/2866753.html”下载。 </w:t>
      </w:r>
    </w:p>
    <w:p w14:paraId="32C49B8F">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11.2竞争性磋商响应文件（以下简称响应文件）的组成及要求</w:t>
      </w:r>
    </w:p>
    <w:p w14:paraId="03160E90">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11.2.1响应文件组成【格式见第六章“响应文件（格式）”】</w:t>
      </w:r>
    </w:p>
    <w:p w14:paraId="0E74443A">
      <w:pPr>
        <w:spacing w:line="360" w:lineRule="auto"/>
        <w:ind w:firstLine="420" w:firstLineChars="200"/>
        <w:rPr>
          <w:rFonts w:ascii="宋体" w:hAnsi="宋体" w:cs="宋体"/>
          <w:color w:val="auto"/>
          <w:szCs w:val="21"/>
        </w:rPr>
      </w:pPr>
      <w:r>
        <w:rPr>
          <w:rFonts w:hint="eastAsia" w:ascii="宋体" w:hAnsi="宋体" w:cs="宋体"/>
          <w:b/>
          <w:bCs/>
          <w:color w:val="auto"/>
          <w:szCs w:val="21"/>
        </w:rPr>
        <w:t>11.2.1.1资格性响应证明材料：</w:t>
      </w:r>
    </w:p>
    <w:p w14:paraId="020679C3">
      <w:pPr>
        <w:spacing w:line="360" w:lineRule="auto"/>
        <w:ind w:firstLine="420" w:firstLineChars="200"/>
        <w:rPr>
          <w:rFonts w:ascii="宋体" w:hAnsi="宋体" w:cs="宋体"/>
          <w:color w:val="auto"/>
          <w:szCs w:val="21"/>
        </w:rPr>
      </w:pPr>
      <w:r>
        <w:rPr>
          <w:rFonts w:hint="eastAsia" w:ascii="宋体" w:hAnsi="宋体" w:cs="宋体"/>
          <w:color w:val="auto"/>
          <w:szCs w:val="21"/>
        </w:rPr>
        <w:t>（1）供应商相应的法定代表人、负责人、自然人身份证正反两面复印件</w:t>
      </w:r>
      <w:r>
        <w:rPr>
          <w:rFonts w:hint="eastAsia" w:ascii="宋体" w:hAnsi="宋体" w:cs="宋体"/>
          <w:b/>
          <w:bCs/>
          <w:color w:val="auto"/>
          <w:szCs w:val="21"/>
        </w:rPr>
        <w:t>（必须提供）</w:t>
      </w:r>
      <w:r>
        <w:rPr>
          <w:rFonts w:hint="eastAsia" w:ascii="宋体" w:hAnsi="宋体" w:cs="宋体"/>
          <w:color w:val="auto"/>
          <w:szCs w:val="21"/>
        </w:rPr>
        <w:t>；</w:t>
      </w:r>
    </w:p>
    <w:p w14:paraId="36260223">
      <w:pPr>
        <w:spacing w:line="360" w:lineRule="auto"/>
        <w:ind w:firstLine="420" w:firstLineChars="200"/>
        <w:rPr>
          <w:rFonts w:ascii="宋体" w:hAnsi="宋体" w:cs="宋体"/>
          <w:color w:val="auto"/>
          <w:szCs w:val="21"/>
        </w:rPr>
      </w:pPr>
      <w:r>
        <w:rPr>
          <w:rFonts w:hint="eastAsia" w:ascii="宋体" w:hAnsi="宋体" w:cs="宋体"/>
          <w:color w:val="auto"/>
          <w:szCs w:val="21"/>
        </w:rPr>
        <w:t>（2）供应商的授权委托书原件、委托代理人身份证正反面复印件以及由县级以上（含县级）社会养老保险经办机构出具的供应商为委托代理人交纳的截标时间前半年内任意1个月社保证明复印件，除供应商为以下三种情形的：</w:t>
      </w:r>
    </w:p>
    <w:p w14:paraId="7A92BA51">
      <w:pPr>
        <w:spacing w:line="360" w:lineRule="auto"/>
        <w:ind w:firstLine="420" w:firstLineChars="200"/>
        <w:rPr>
          <w:rFonts w:ascii="宋体" w:hAnsi="宋体" w:cs="宋体"/>
          <w:color w:val="auto"/>
          <w:szCs w:val="21"/>
        </w:rPr>
      </w:pPr>
      <w:r>
        <w:rPr>
          <w:rFonts w:hint="eastAsia" w:ascii="宋体" w:hAnsi="宋体" w:cs="宋体"/>
          <w:color w:val="auto"/>
          <w:szCs w:val="21"/>
        </w:rPr>
        <w:t>①如供应商为截标时间前60日以内成立的公司，可以提供供应商与委托代理人签订的劳动合同复印件代替社保证明复印件；</w:t>
      </w:r>
    </w:p>
    <w:p w14:paraId="084DCCD6">
      <w:pPr>
        <w:spacing w:line="360" w:lineRule="auto"/>
        <w:ind w:firstLine="420" w:firstLineChars="200"/>
        <w:rPr>
          <w:rFonts w:ascii="宋体" w:hAnsi="宋体" w:cs="宋体"/>
          <w:color w:val="auto"/>
          <w:szCs w:val="21"/>
        </w:rPr>
      </w:pPr>
      <w:r>
        <w:rPr>
          <w:rFonts w:hint="eastAsia" w:ascii="宋体" w:hAnsi="宋体" w:cs="宋体"/>
          <w:color w:val="auto"/>
          <w:szCs w:val="21"/>
        </w:rPr>
        <w:t>②如供应商为事业单位，可以提供事业单位机构编制管理证复印件或事业单位机构为其发放工资的工资条复印件代替社保证明复印件；</w:t>
      </w:r>
    </w:p>
    <w:p w14:paraId="3FD7D9D1">
      <w:pPr>
        <w:spacing w:line="360" w:lineRule="auto"/>
        <w:ind w:firstLine="420" w:firstLineChars="200"/>
        <w:rPr>
          <w:rFonts w:ascii="宋体" w:hAnsi="宋体" w:cs="宋体"/>
          <w:color w:val="auto"/>
          <w:szCs w:val="21"/>
        </w:rPr>
      </w:pPr>
      <w:r>
        <w:rPr>
          <w:rFonts w:hint="eastAsia" w:ascii="宋体" w:hAnsi="宋体" w:cs="宋体"/>
          <w:color w:val="auto"/>
          <w:szCs w:val="21"/>
        </w:rPr>
        <w:t>③如委托代理人为免缴纳社保人员，提供免缴纳社保的证明材料复印件及供应商与委托代理人签订的劳动合同复印件代替社保证明复印件。</w:t>
      </w:r>
    </w:p>
    <w:p w14:paraId="3A11AC74">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【属自然人的应提供由县级以上（含县级）社会养老保险经办机构出具的自然人本人及委托代理人所交纳的截标时间前半年内任意1个月社保证明复印件</w:t>
      </w:r>
      <w:r>
        <w:rPr>
          <w:rFonts w:hint="eastAsia" w:ascii="宋体" w:hAnsi="宋体" w:cs="宋体"/>
          <w:color w:val="auto"/>
          <w:szCs w:val="21"/>
        </w:rPr>
        <w:t>】</w:t>
      </w:r>
      <w:r>
        <w:rPr>
          <w:rFonts w:hint="eastAsia" w:ascii="宋体" w:hAnsi="宋体" w:cs="宋体"/>
          <w:b/>
          <w:bCs/>
          <w:color w:val="auto"/>
          <w:szCs w:val="21"/>
        </w:rPr>
        <w:t>（委托代理时必须提供；如为联合体的，授权委托书原件须由牵头人出具）</w:t>
      </w:r>
    </w:p>
    <w:p w14:paraId="563BC356">
      <w:pPr>
        <w:spacing w:line="360" w:lineRule="auto"/>
        <w:ind w:firstLine="420" w:firstLineChars="200"/>
        <w:rPr>
          <w:rFonts w:ascii="宋体" w:hAnsi="宋体" w:cs="宋体"/>
          <w:color w:val="auto"/>
        </w:rPr>
      </w:pPr>
      <w:r>
        <w:rPr>
          <w:rFonts w:hint="eastAsia" w:ascii="宋体" w:hAnsi="宋体" w:cs="宋体"/>
          <w:color w:val="auto"/>
          <w:szCs w:val="21"/>
        </w:rPr>
        <w:t>（3）供应商参加政府采购活动前3年内在经营活动中没有重大违法记录及有关信用信息的书面声明</w:t>
      </w:r>
      <w:r>
        <w:rPr>
          <w:rFonts w:hint="eastAsia" w:ascii="宋体" w:hAnsi="宋体" w:cs="宋体"/>
          <w:b/>
          <w:bCs/>
          <w:color w:val="auto"/>
          <w:szCs w:val="21"/>
        </w:rPr>
        <w:t>（必须提供）；</w:t>
      </w:r>
    </w:p>
    <w:p w14:paraId="16F5DF9A">
      <w:pPr>
        <w:numPr>
          <w:ilvl w:val="0"/>
          <w:numId w:val="4"/>
        </w:numPr>
        <w:spacing w:line="360" w:lineRule="auto"/>
        <w:ind w:firstLine="420" w:firstLineChars="200"/>
        <w:rPr>
          <w:rFonts w:ascii="宋体" w:hAnsi="宋体" w:cs="宋体"/>
          <w:color w:val="auto"/>
          <w:szCs w:val="21"/>
        </w:rPr>
      </w:pPr>
      <w:r>
        <w:rPr>
          <w:rFonts w:hint="eastAsia" w:ascii="宋体" w:hAnsi="宋体" w:cs="宋体"/>
          <w:color w:val="auto"/>
          <w:szCs w:val="21"/>
        </w:rPr>
        <w:t>供应商的法人或者其他组织营业执照等证明文件复印件</w:t>
      </w:r>
      <w:r>
        <w:rPr>
          <w:rFonts w:hint="eastAsia" w:ascii="宋体" w:hAnsi="宋体" w:cs="宋体"/>
          <w:b/>
          <w:bCs/>
          <w:color w:val="auto"/>
          <w:szCs w:val="21"/>
        </w:rPr>
        <w:t>（必须提供，自然人除外）；</w:t>
      </w:r>
    </w:p>
    <w:p w14:paraId="2EEDDFDE">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7BEBBD03">
      <w:pPr>
        <w:spacing w:line="360" w:lineRule="auto"/>
        <w:ind w:firstLine="420" w:firstLineChars="200"/>
        <w:rPr>
          <w:rFonts w:ascii="宋体" w:hAnsi="宋体" w:cs="宋体"/>
          <w:color w:val="auto"/>
          <w:szCs w:val="21"/>
        </w:rPr>
      </w:pPr>
      <w:r>
        <w:rPr>
          <w:rFonts w:hint="eastAsia" w:ascii="宋体" w:hAnsi="宋体" w:cs="宋体"/>
          <w:color w:val="auto"/>
          <w:szCs w:val="21"/>
        </w:rPr>
        <w:t>（5）供应商的具有由相关部门颁发的有效《危险废物经营许可证》复印件【核准经营危险废物类别包含HW01（医疗废物）】</w:t>
      </w:r>
      <w:r>
        <w:rPr>
          <w:rFonts w:hint="eastAsia" w:ascii="宋体" w:hAnsi="宋体" w:cs="宋体"/>
          <w:b/>
          <w:bCs/>
          <w:color w:val="auto"/>
          <w:szCs w:val="21"/>
        </w:rPr>
        <w:t>（必须提供）</w:t>
      </w:r>
      <w:r>
        <w:rPr>
          <w:rFonts w:hint="eastAsia" w:ascii="宋体" w:hAnsi="宋体" w:cs="宋体"/>
          <w:color w:val="auto"/>
          <w:szCs w:val="21"/>
        </w:rPr>
        <w:t>。</w:t>
      </w:r>
    </w:p>
    <w:p w14:paraId="06B707BF">
      <w:pPr>
        <w:spacing w:line="360" w:lineRule="auto"/>
        <w:ind w:firstLine="420" w:firstLineChars="200"/>
        <w:rPr>
          <w:rFonts w:ascii="宋体" w:hAnsi="宋体" w:cs="宋体"/>
          <w:b/>
          <w:bCs/>
          <w:color w:val="auto"/>
          <w:szCs w:val="21"/>
        </w:rPr>
      </w:pPr>
      <w:r>
        <w:rPr>
          <w:rFonts w:hint="eastAsia" w:ascii="宋体" w:hAnsi="宋体" w:cs="宋体"/>
          <w:color w:val="auto"/>
          <w:szCs w:val="21"/>
        </w:rPr>
        <w:t>（6）供应商的具有《道路运输经营许可证》，经营范围含危险货物运输（医疗废物）</w:t>
      </w:r>
      <w:r>
        <w:rPr>
          <w:rFonts w:hint="eastAsia" w:ascii="宋体" w:hAnsi="宋体" w:cs="宋体"/>
          <w:b/>
          <w:bCs/>
          <w:color w:val="auto"/>
          <w:szCs w:val="21"/>
        </w:rPr>
        <w:t>（必须提供）。</w:t>
      </w:r>
    </w:p>
    <w:p w14:paraId="294CFD8F">
      <w:pPr>
        <w:spacing w:line="360" w:lineRule="auto"/>
        <w:ind w:firstLine="420" w:firstLineChars="200"/>
        <w:rPr>
          <w:rFonts w:ascii="宋体" w:hAnsi="宋体" w:cs="宋体"/>
          <w:b/>
          <w:bCs/>
          <w:color w:val="auto"/>
          <w:szCs w:val="21"/>
        </w:rPr>
      </w:pPr>
      <w:r>
        <w:rPr>
          <w:rFonts w:hint="eastAsia" w:ascii="宋体" w:hAnsi="宋体" w:cs="宋体"/>
          <w:color w:val="auto"/>
          <w:szCs w:val="21"/>
        </w:rPr>
        <w:t>(7)供应商的拟投入收集、运输人员：服务本项目人员必须同时具有危险货物运输驾驶员、押运人员从业资格证双证。提供证件扫描件等证明材料</w:t>
      </w:r>
      <w:r>
        <w:rPr>
          <w:rFonts w:hint="eastAsia" w:ascii="宋体" w:hAnsi="宋体" w:cs="宋体"/>
          <w:b/>
          <w:bCs/>
          <w:color w:val="auto"/>
          <w:szCs w:val="21"/>
        </w:rPr>
        <w:t>（必须提供）。</w:t>
      </w:r>
    </w:p>
    <w:p w14:paraId="291C7266">
      <w:pPr>
        <w:spacing w:line="360" w:lineRule="auto"/>
        <w:ind w:firstLine="420" w:firstLineChars="200"/>
        <w:rPr>
          <w:rFonts w:ascii="宋体" w:hAnsi="宋体" w:cs="宋体"/>
          <w:b/>
          <w:bCs/>
          <w:color w:val="auto"/>
          <w:szCs w:val="21"/>
        </w:rPr>
      </w:pPr>
      <w:r>
        <w:rPr>
          <w:rFonts w:hint="eastAsia" w:ascii="宋体" w:hAnsi="宋体" w:cs="宋体"/>
          <w:color w:val="auto"/>
          <w:szCs w:val="21"/>
        </w:rPr>
        <w:t>(8)供应商的拟投入装卸管理人员：至少具有1名道路运输企业安全生产管理人员。提供证件扫描件等证明材料</w:t>
      </w:r>
      <w:r>
        <w:rPr>
          <w:rFonts w:hint="eastAsia" w:ascii="宋体" w:hAnsi="宋体" w:cs="宋体"/>
          <w:b/>
          <w:bCs/>
          <w:color w:val="auto"/>
          <w:szCs w:val="21"/>
        </w:rPr>
        <w:t>（必须提供）。</w:t>
      </w:r>
    </w:p>
    <w:p w14:paraId="20A25106">
      <w:pPr>
        <w:pStyle w:val="13"/>
        <w:ind w:left="0" w:leftChars="0" w:firstLine="422"/>
        <w:rPr>
          <w:rFonts w:ascii="宋体" w:hAnsi="宋体" w:cs="宋体"/>
          <w:b/>
          <w:bCs/>
          <w:color w:val="auto"/>
          <w:szCs w:val="21"/>
        </w:rPr>
      </w:pPr>
      <w:r>
        <w:rPr>
          <w:rFonts w:hint="eastAsia" w:ascii="宋体" w:hAnsi="宋体" w:cs="宋体"/>
          <w:b/>
          <w:bCs/>
          <w:color w:val="auto"/>
          <w:szCs w:val="21"/>
        </w:rPr>
        <w:t>11.2.1.2符合性响应证明材料：</w:t>
      </w:r>
    </w:p>
    <w:p w14:paraId="4406E1A0">
      <w:pPr>
        <w:spacing w:line="360" w:lineRule="auto"/>
        <w:ind w:firstLine="420" w:firstLineChars="200"/>
        <w:rPr>
          <w:rFonts w:ascii="宋体" w:hAnsi="宋体" w:cs="宋体"/>
          <w:color w:val="auto"/>
          <w:szCs w:val="21"/>
        </w:rPr>
      </w:pPr>
      <w:r>
        <w:rPr>
          <w:rFonts w:hint="eastAsia" w:ascii="宋体" w:hAnsi="宋体" w:cs="宋体"/>
          <w:color w:val="auto"/>
          <w:szCs w:val="21"/>
        </w:rPr>
        <w:t>（1）响应函（格式见附件）</w:t>
      </w:r>
      <w:r>
        <w:rPr>
          <w:rFonts w:hint="eastAsia" w:ascii="宋体" w:hAnsi="宋体" w:cs="宋体"/>
          <w:b/>
          <w:bCs/>
          <w:color w:val="auto"/>
          <w:szCs w:val="21"/>
        </w:rPr>
        <w:t>（必须提供）</w:t>
      </w:r>
      <w:r>
        <w:rPr>
          <w:rFonts w:hint="eastAsia" w:ascii="宋体" w:hAnsi="宋体" w:cs="宋体"/>
          <w:color w:val="auto"/>
          <w:szCs w:val="21"/>
        </w:rPr>
        <w:t>；</w:t>
      </w:r>
    </w:p>
    <w:p w14:paraId="4324BD48">
      <w:pPr>
        <w:spacing w:line="360" w:lineRule="auto"/>
        <w:ind w:firstLine="420" w:firstLineChars="200"/>
        <w:rPr>
          <w:rFonts w:ascii="宋体" w:hAnsi="宋体" w:cs="宋体"/>
          <w:color w:val="auto"/>
          <w:szCs w:val="21"/>
        </w:rPr>
      </w:pPr>
      <w:r>
        <w:rPr>
          <w:rFonts w:hint="eastAsia" w:ascii="宋体" w:hAnsi="宋体" w:cs="宋体"/>
          <w:color w:val="auto"/>
          <w:szCs w:val="21"/>
        </w:rPr>
        <w:t>（2）磋商报价表（格式见附件）</w:t>
      </w:r>
      <w:r>
        <w:rPr>
          <w:rFonts w:hint="eastAsia" w:ascii="宋体" w:hAnsi="宋体" w:cs="宋体"/>
          <w:b/>
          <w:bCs/>
          <w:color w:val="auto"/>
          <w:szCs w:val="21"/>
        </w:rPr>
        <w:t>（必须提供）</w:t>
      </w:r>
      <w:r>
        <w:rPr>
          <w:rFonts w:hint="eastAsia" w:ascii="宋体" w:hAnsi="宋体" w:cs="宋体"/>
          <w:color w:val="auto"/>
          <w:szCs w:val="21"/>
        </w:rPr>
        <w:t>；</w:t>
      </w:r>
    </w:p>
    <w:p w14:paraId="584FA8B2">
      <w:pPr>
        <w:spacing w:line="360" w:lineRule="auto"/>
        <w:ind w:firstLine="420" w:firstLineChars="200"/>
        <w:rPr>
          <w:rFonts w:ascii="宋体" w:hAnsi="宋体" w:cs="宋体"/>
          <w:color w:val="auto"/>
          <w:szCs w:val="21"/>
        </w:rPr>
      </w:pPr>
      <w:r>
        <w:rPr>
          <w:rFonts w:hint="eastAsia" w:ascii="宋体" w:hAnsi="宋体" w:cs="宋体"/>
          <w:color w:val="auto"/>
          <w:szCs w:val="21"/>
        </w:rPr>
        <w:t>（3）服务采购要求响应偏离表（格式见附件）</w:t>
      </w:r>
      <w:r>
        <w:rPr>
          <w:rFonts w:hint="eastAsia" w:ascii="宋体" w:hAnsi="宋体" w:cs="宋体"/>
          <w:b/>
          <w:bCs/>
          <w:color w:val="auto"/>
          <w:szCs w:val="21"/>
        </w:rPr>
        <w:t>（必须提供）</w:t>
      </w:r>
      <w:r>
        <w:rPr>
          <w:rFonts w:hint="eastAsia" w:ascii="宋体" w:hAnsi="宋体" w:cs="宋体"/>
          <w:color w:val="auto"/>
          <w:szCs w:val="21"/>
        </w:rPr>
        <w:t>；</w:t>
      </w:r>
    </w:p>
    <w:p w14:paraId="02FEBD00">
      <w:pPr>
        <w:spacing w:line="360" w:lineRule="auto"/>
        <w:ind w:firstLine="420" w:firstLineChars="200"/>
        <w:rPr>
          <w:rFonts w:ascii="宋体" w:hAnsi="宋体" w:cs="宋体"/>
          <w:b/>
          <w:bCs/>
          <w:color w:val="auto"/>
          <w:szCs w:val="21"/>
        </w:rPr>
      </w:pPr>
      <w:r>
        <w:rPr>
          <w:rFonts w:hint="eastAsia" w:ascii="宋体" w:hAnsi="宋体" w:cs="宋体"/>
          <w:color w:val="auto"/>
          <w:szCs w:val="21"/>
        </w:rPr>
        <w:t>（4）商务要求响应偏离表（格式见附件）</w:t>
      </w:r>
      <w:r>
        <w:rPr>
          <w:rFonts w:hint="eastAsia" w:ascii="宋体" w:hAnsi="宋体" w:cs="宋体"/>
          <w:b/>
          <w:bCs/>
          <w:color w:val="auto"/>
          <w:szCs w:val="21"/>
        </w:rPr>
        <w:t>（必须提供）；</w:t>
      </w:r>
    </w:p>
    <w:p w14:paraId="32DAEAEC">
      <w:pPr>
        <w:spacing w:line="360" w:lineRule="auto"/>
        <w:ind w:firstLine="420" w:firstLineChars="200"/>
        <w:rPr>
          <w:rFonts w:ascii="宋体" w:hAnsi="宋体" w:cs="宋体"/>
          <w:b/>
          <w:bCs/>
          <w:color w:val="auto"/>
          <w:szCs w:val="21"/>
        </w:rPr>
      </w:pPr>
      <w:r>
        <w:rPr>
          <w:rFonts w:hint="eastAsia" w:ascii="宋体" w:hAnsi="宋体" w:cs="宋体"/>
          <w:color w:val="auto"/>
          <w:szCs w:val="21"/>
        </w:rPr>
        <w:t>（5）项目实施方案（包括但不限于项目实施方案、管理规章制度及员工培训计划方案、作业质量及安全保障措施方案等）</w:t>
      </w:r>
      <w:r>
        <w:rPr>
          <w:rFonts w:hint="eastAsia" w:ascii="宋体" w:hAnsi="宋体" w:cs="宋体"/>
          <w:b/>
          <w:bCs/>
          <w:color w:val="auto"/>
          <w:szCs w:val="21"/>
        </w:rPr>
        <w:t>（必须提供）</w:t>
      </w:r>
    </w:p>
    <w:p w14:paraId="25F17FE3">
      <w:pPr>
        <w:pStyle w:val="13"/>
        <w:ind w:left="0" w:leftChars="0" w:firstLine="422"/>
        <w:rPr>
          <w:rFonts w:ascii="宋体" w:hAnsi="宋体" w:cs="宋体"/>
          <w:b/>
          <w:bCs/>
          <w:color w:val="auto"/>
          <w:szCs w:val="21"/>
        </w:rPr>
      </w:pPr>
      <w:r>
        <w:rPr>
          <w:rFonts w:hint="eastAsia" w:ascii="宋体" w:hAnsi="宋体" w:cs="宋体"/>
          <w:b/>
          <w:bCs/>
          <w:color w:val="auto"/>
          <w:szCs w:val="21"/>
        </w:rPr>
        <w:t>11.2.1.3其他有效证明材料</w:t>
      </w:r>
    </w:p>
    <w:p w14:paraId="2FB56379">
      <w:pPr>
        <w:numPr>
          <w:ilvl w:val="0"/>
          <w:numId w:val="5"/>
        </w:numPr>
        <w:spacing w:line="360" w:lineRule="auto"/>
        <w:ind w:firstLine="420" w:firstLineChars="200"/>
        <w:rPr>
          <w:rFonts w:ascii="宋体" w:hAnsi="宋体" w:cs="宋体"/>
          <w:b/>
          <w:bCs/>
          <w:color w:val="auto"/>
          <w:szCs w:val="21"/>
        </w:rPr>
      </w:pPr>
      <w:r>
        <w:rPr>
          <w:rFonts w:hint="eastAsia" w:ascii="宋体" w:hAnsi="宋体" w:cs="宋体"/>
          <w:color w:val="auto"/>
          <w:szCs w:val="21"/>
        </w:rPr>
        <w:t>项目实施人员一览表（格式见附件）</w:t>
      </w:r>
      <w:r>
        <w:rPr>
          <w:rFonts w:hint="eastAsia" w:ascii="宋体" w:hAnsi="宋体" w:cs="宋体"/>
          <w:b/>
          <w:bCs/>
          <w:color w:val="auto"/>
          <w:szCs w:val="21"/>
        </w:rPr>
        <w:t>（如有，请提供）；</w:t>
      </w:r>
    </w:p>
    <w:p w14:paraId="26CCD6FD">
      <w:pPr>
        <w:numPr>
          <w:ilvl w:val="0"/>
          <w:numId w:val="5"/>
        </w:numPr>
        <w:spacing w:line="360" w:lineRule="auto"/>
        <w:ind w:firstLine="420" w:firstLineChars="200"/>
        <w:rPr>
          <w:rFonts w:ascii="宋体" w:hAnsi="宋体" w:cs="宋体"/>
          <w:b/>
          <w:bCs/>
          <w:color w:val="auto"/>
          <w:szCs w:val="21"/>
        </w:rPr>
      </w:pPr>
      <w:r>
        <w:rPr>
          <w:rFonts w:hint="eastAsia" w:ascii="宋体" w:hAnsi="宋体"/>
          <w:color w:val="auto"/>
          <w:szCs w:val="21"/>
        </w:rPr>
        <w:t>供应商可以在商务技术文件中提供服务方案【包括但不限于项目实施方案、人员配置方案、售后服务方案等】以及对应采购需求的技术要求、商务要求提供的其他文件资料（格式自拟）</w:t>
      </w:r>
      <w:r>
        <w:rPr>
          <w:rFonts w:hint="eastAsia" w:ascii="宋体" w:hAnsi="宋体" w:cs="宋体"/>
          <w:b/>
          <w:bCs/>
          <w:color w:val="auto"/>
          <w:szCs w:val="21"/>
        </w:rPr>
        <w:t>（如有，请提供）；</w:t>
      </w:r>
    </w:p>
    <w:p w14:paraId="035588EE">
      <w:pPr>
        <w:spacing w:line="360" w:lineRule="auto"/>
        <w:ind w:firstLine="420" w:firstLineChars="200"/>
        <w:rPr>
          <w:rFonts w:ascii="宋体" w:hAnsi="宋体" w:cs="宋体"/>
          <w:color w:val="auto"/>
        </w:rPr>
      </w:pPr>
      <w:r>
        <w:rPr>
          <w:rFonts w:hint="eastAsia" w:ascii="宋体" w:hAnsi="宋体" w:cs="宋体"/>
          <w:color w:val="auto"/>
          <w:szCs w:val="21"/>
        </w:rPr>
        <w:t>（3）“采购需求”需提供的有效证明文件</w:t>
      </w:r>
      <w:r>
        <w:rPr>
          <w:rFonts w:hint="eastAsia" w:ascii="宋体" w:hAnsi="宋体" w:cs="宋体"/>
          <w:b/>
          <w:bCs/>
          <w:color w:val="auto"/>
          <w:szCs w:val="21"/>
        </w:rPr>
        <w:t>（如有，请提供）；</w:t>
      </w:r>
    </w:p>
    <w:p w14:paraId="7B910EB0">
      <w:pPr>
        <w:spacing w:line="360" w:lineRule="auto"/>
        <w:ind w:firstLine="420" w:firstLineChars="200"/>
        <w:rPr>
          <w:rFonts w:ascii="宋体" w:hAnsi="宋体" w:cs="宋体"/>
          <w:b/>
          <w:bCs/>
          <w:color w:val="auto"/>
          <w:szCs w:val="21"/>
        </w:rPr>
      </w:pPr>
      <w:r>
        <w:rPr>
          <w:rFonts w:hint="eastAsia" w:ascii="宋体" w:hAnsi="宋体" w:cs="宋体"/>
          <w:color w:val="auto"/>
          <w:szCs w:val="21"/>
        </w:rPr>
        <w:t>（4）供应商2021年以来具有同类项目的业绩相关证明材料（无不良记录，以中标、成交通知书或签订的合同为准，并能清晰反映项目的名称、采购内容、采购金额、采购时间）</w:t>
      </w:r>
      <w:r>
        <w:rPr>
          <w:rFonts w:hint="eastAsia" w:ascii="宋体" w:hAnsi="宋体" w:cs="宋体"/>
          <w:b/>
          <w:bCs/>
          <w:color w:val="auto"/>
          <w:szCs w:val="21"/>
        </w:rPr>
        <w:t>（如有，请提供）；</w:t>
      </w:r>
    </w:p>
    <w:p w14:paraId="1F044929">
      <w:pPr>
        <w:spacing w:line="360" w:lineRule="auto"/>
        <w:ind w:firstLine="420" w:firstLineChars="200"/>
        <w:rPr>
          <w:rFonts w:ascii="宋体" w:hAnsi="宋体" w:cs="宋体"/>
          <w:b/>
          <w:bCs/>
          <w:color w:val="auto"/>
          <w:szCs w:val="21"/>
        </w:rPr>
      </w:pPr>
      <w:r>
        <w:rPr>
          <w:rFonts w:hint="eastAsia" w:ascii="宋体" w:hAnsi="宋体" w:cs="宋体"/>
          <w:color w:val="auto"/>
          <w:szCs w:val="21"/>
        </w:rPr>
        <w:t>（5）供应商为中小企业的证明材料</w:t>
      </w:r>
      <w:r>
        <w:rPr>
          <w:rFonts w:hint="eastAsia" w:ascii="宋体" w:hAnsi="宋体" w:cs="宋体"/>
          <w:b/>
          <w:bCs/>
          <w:color w:val="auto"/>
          <w:szCs w:val="21"/>
        </w:rPr>
        <w:t>（如有，请提供）</w:t>
      </w:r>
      <w:r>
        <w:rPr>
          <w:rFonts w:hint="eastAsia" w:ascii="宋体" w:hAnsi="宋体" w:cs="宋体"/>
          <w:color w:val="auto"/>
          <w:szCs w:val="21"/>
        </w:rPr>
        <w:t>【属于中小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w:t>
      </w:r>
    </w:p>
    <w:p w14:paraId="48B7595D">
      <w:pPr>
        <w:spacing w:line="360" w:lineRule="auto"/>
        <w:ind w:firstLine="420" w:firstLineChars="200"/>
        <w:rPr>
          <w:rFonts w:ascii="宋体" w:hAnsi="宋体" w:cs="宋体"/>
          <w:color w:val="auto"/>
          <w:szCs w:val="21"/>
        </w:rPr>
      </w:pPr>
      <w:r>
        <w:rPr>
          <w:rFonts w:hint="eastAsia" w:ascii="宋体" w:hAnsi="宋体" w:cs="宋体"/>
          <w:color w:val="auto"/>
          <w:szCs w:val="21"/>
        </w:rPr>
        <w:t>（6）供应商可结合本项目的评审办法视自身情况自行提交其它相关证明材料。</w:t>
      </w:r>
    </w:p>
    <w:p w14:paraId="798A59D1">
      <w:pPr>
        <w:spacing w:line="400" w:lineRule="exact"/>
        <w:ind w:firstLine="420"/>
        <w:rPr>
          <w:rFonts w:ascii="宋体" w:hAnsi="宋体" w:cs="宋体"/>
          <w:color w:val="auto"/>
          <w:szCs w:val="21"/>
        </w:rPr>
      </w:pPr>
      <w:r>
        <w:rPr>
          <w:rFonts w:hint="eastAsia" w:ascii="宋体" w:hAnsi="宋体" w:cs="宋体"/>
          <w:b/>
          <w:bCs/>
          <w:color w:val="auto"/>
          <w:szCs w:val="21"/>
        </w:rPr>
        <w:t>供应商</w:t>
      </w:r>
      <w:r>
        <w:rPr>
          <w:rFonts w:hint="eastAsia" w:ascii="宋体" w:hAnsi="宋体" w:cs="宋体"/>
          <w:b/>
          <w:bCs/>
          <w:color w:val="auto"/>
        </w:rPr>
        <w:t>提供的以上相关证明材料属于“必须提供”的文件应加盖磋商供应商CA证书签章/自然人签字或个人CA证书签章，否则响应无效。</w:t>
      </w:r>
    </w:p>
    <w:p w14:paraId="37820AFA">
      <w:pPr>
        <w:spacing w:line="360" w:lineRule="auto"/>
        <w:ind w:firstLine="420" w:firstLineChars="200"/>
        <w:rPr>
          <w:rFonts w:ascii="宋体" w:hAnsi="宋体" w:cs="宋体"/>
          <w:color w:val="auto"/>
          <w:szCs w:val="21"/>
        </w:rPr>
      </w:pPr>
      <w:r>
        <w:rPr>
          <w:rFonts w:hint="eastAsia" w:ascii="宋体" w:hAnsi="宋体" w:cs="宋体"/>
          <w:color w:val="auto"/>
          <w:szCs w:val="21"/>
        </w:rPr>
        <w:t>11.3 供应商应按竞争性磋商文件第六章“响应文件（格式）”编制响应文件。</w:t>
      </w:r>
    </w:p>
    <w:p w14:paraId="66EB7A20">
      <w:pPr>
        <w:spacing w:line="360" w:lineRule="exact"/>
        <w:ind w:firstLine="420" w:firstLineChars="200"/>
        <w:rPr>
          <w:rFonts w:ascii="宋体" w:hAnsi="宋体" w:cs="宋体"/>
          <w:b/>
          <w:bCs/>
          <w:color w:val="auto"/>
          <w:szCs w:val="21"/>
        </w:rPr>
      </w:pPr>
      <w:r>
        <w:rPr>
          <w:rFonts w:hint="eastAsia" w:ascii="宋体" w:hAnsi="宋体" w:cs="宋体"/>
          <w:b/>
          <w:bCs/>
          <w:color w:val="auto"/>
          <w:szCs w:val="21"/>
        </w:rPr>
        <w:t>特别说明：</w:t>
      </w:r>
    </w:p>
    <w:p w14:paraId="46492C75">
      <w:pPr>
        <w:spacing w:line="360" w:lineRule="exact"/>
        <w:ind w:firstLine="420" w:firstLineChars="200"/>
        <w:rPr>
          <w:rFonts w:ascii="宋体" w:hAnsi="宋体" w:cs="宋体"/>
          <w:b/>
          <w:color w:val="auto"/>
          <w:szCs w:val="21"/>
        </w:rPr>
      </w:pPr>
      <w:r>
        <w:rPr>
          <w:rFonts w:hint="eastAsia" w:ascii="宋体" w:hAnsi="宋体" w:cs="宋体"/>
          <w:b/>
          <w:bCs/>
          <w:color w:val="auto"/>
          <w:szCs w:val="21"/>
        </w:rPr>
        <w:t>（1）响</w:t>
      </w:r>
      <w:r>
        <w:rPr>
          <w:rFonts w:hint="eastAsia" w:ascii="宋体" w:hAnsi="宋体" w:cs="宋体"/>
          <w:b/>
          <w:color w:val="auto"/>
          <w:szCs w:val="21"/>
        </w:rPr>
        <w:t>应文件（电子响应文件），其中电子响应文件中所须加盖公章部分均采用CA证书签章。若磋商文件中有专门标注的某关联点，并要求供应商在电子投标系统中作出磋商响应的，如供应商未对关联点进行响应或者在响应文件其它内容进行描述，造成电子评审不能查询的责任由供应商自行承担。</w:t>
      </w:r>
    </w:p>
    <w:p w14:paraId="02A2C284">
      <w:pPr>
        <w:numPr>
          <w:ilvl w:val="0"/>
          <w:numId w:val="6"/>
        </w:numPr>
        <w:spacing w:line="360" w:lineRule="exact"/>
        <w:ind w:firstLine="420" w:firstLineChars="200"/>
        <w:rPr>
          <w:rFonts w:ascii="宋体" w:hAnsi="宋体" w:cs="宋体"/>
          <w:b/>
          <w:color w:val="auto"/>
          <w:szCs w:val="21"/>
        </w:rPr>
      </w:pPr>
      <w:r>
        <w:rPr>
          <w:rFonts w:hint="eastAsia" w:ascii="宋体" w:hAnsi="宋体" w:cs="宋体"/>
          <w:b/>
          <w:bCs/>
          <w:color w:val="auto"/>
          <w:szCs w:val="21"/>
        </w:rPr>
        <w:t>磋商文件要求法定代表人（负责人）或委托代理人签字的部分必须签字然后扫描或者拍照做成 pdf 格式上传（或加盖个人CA证书签章），无签字的视为响应无效。</w:t>
      </w:r>
    </w:p>
    <w:p w14:paraId="25D6B865">
      <w:pPr>
        <w:pStyle w:val="5"/>
        <w:spacing w:line="360" w:lineRule="auto"/>
        <w:ind w:firstLine="420" w:firstLineChars="200"/>
        <w:rPr>
          <w:rFonts w:ascii="宋体" w:hAnsi="宋体" w:cs="宋体"/>
          <w:color w:val="auto"/>
          <w:sz w:val="21"/>
          <w:szCs w:val="21"/>
        </w:rPr>
      </w:pPr>
      <w:bookmarkStart w:id="87" w:name="_Toc6845"/>
      <w:bookmarkStart w:id="88" w:name="_Toc2180"/>
      <w:r>
        <w:rPr>
          <w:rFonts w:hint="eastAsia" w:ascii="宋体" w:hAnsi="宋体" w:cs="宋体"/>
          <w:color w:val="auto"/>
          <w:sz w:val="21"/>
          <w:szCs w:val="21"/>
        </w:rPr>
        <w:t>12. 响应文件的语言及计量</w:t>
      </w:r>
      <w:bookmarkEnd w:id="87"/>
      <w:bookmarkEnd w:id="88"/>
    </w:p>
    <w:p w14:paraId="308FD395">
      <w:pPr>
        <w:spacing w:line="360" w:lineRule="auto"/>
        <w:ind w:firstLine="420" w:firstLineChars="200"/>
        <w:rPr>
          <w:rFonts w:ascii="宋体" w:hAnsi="宋体" w:cs="宋体"/>
          <w:color w:val="auto"/>
          <w:szCs w:val="21"/>
        </w:rPr>
      </w:pPr>
      <w:r>
        <w:rPr>
          <w:rFonts w:hint="eastAsia" w:ascii="宋体" w:hAnsi="宋体" w:cs="宋体"/>
          <w:color w:val="auto"/>
          <w:szCs w:val="21"/>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14:paraId="1AC30368">
      <w:pPr>
        <w:spacing w:line="360" w:lineRule="auto"/>
        <w:ind w:firstLine="420" w:firstLineChars="200"/>
        <w:rPr>
          <w:rFonts w:ascii="宋体" w:hAnsi="宋体" w:cs="宋体"/>
          <w:color w:val="auto"/>
          <w:szCs w:val="21"/>
        </w:rPr>
      </w:pPr>
      <w:r>
        <w:rPr>
          <w:rFonts w:hint="eastAsia" w:ascii="宋体" w:hAnsi="宋体" w:cs="宋体"/>
          <w:color w:val="auto"/>
          <w:szCs w:val="21"/>
        </w:rPr>
        <w:t>12.2 磋商计量单位，磋商文件已有明确规定的，使用磋商文件规定的计量单位；磋商文件没有规定的，应采用中华人民共和国法定计量单位（货币单位：人民币元），否则视同未响应。</w:t>
      </w:r>
    </w:p>
    <w:p w14:paraId="60741BE9">
      <w:pPr>
        <w:pStyle w:val="5"/>
        <w:spacing w:line="360" w:lineRule="auto"/>
        <w:ind w:firstLine="420" w:firstLineChars="200"/>
        <w:rPr>
          <w:rFonts w:ascii="宋体" w:hAnsi="宋体" w:cs="宋体"/>
          <w:color w:val="auto"/>
          <w:sz w:val="21"/>
          <w:szCs w:val="21"/>
        </w:rPr>
      </w:pPr>
      <w:bookmarkStart w:id="89" w:name="_Toc10838"/>
      <w:bookmarkStart w:id="90" w:name="_Toc30930"/>
      <w:r>
        <w:rPr>
          <w:rFonts w:hint="eastAsia" w:ascii="宋体" w:hAnsi="宋体" w:cs="宋体"/>
          <w:color w:val="auto"/>
          <w:sz w:val="21"/>
          <w:szCs w:val="21"/>
        </w:rPr>
        <w:t>13. 磋商报价及采购预算金额</w:t>
      </w:r>
      <w:bookmarkEnd w:id="89"/>
      <w:bookmarkEnd w:id="90"/>
    </w:p>
    <w:p w14:paraId="4D4116D1">
      <w:pPr>
        <w:spacing w:line="360" w:lineRule="auto"/>
        <w:ind w:firstLine="420" w:firstLineChars="200"/>
        <w:rPr>
          <w:rFonts w:ascii="宋体" w:hAnsi="宋体" w:cs="宋体"/>
          <w:color w:val="auto"/>
          <w:szCs w:val="21"/>
        </w:rPr>
      </w:pPr>
      <w:r>
        <w:rPr>
          <w:rFonts w:hint="eastAsia" w:ascii="宋体" w:hAnsi="宋体" w:cs="宋体"/>
          <w:color w:val="auto"/>
          <w:szCs w:val="21"/>
        </w:rPr>
        <w:t>13.1 预算金额：柒拾壹仟柒佰伍拾元整（¥711750.00元），处置费按3元/床·日计。供应商单项合计报价超出采购预算单价限价合计金额的或单项单价报价超出对应采购预算单项单价限价的，响应文件按无效处理。</w:t>
      </w:r>
    </w:p>
    <w:p w14:paraId="384C90D2">
      <w:pPr>
        <w:spacing w:line="360" w:lineRule="auto"/>
        <w:ind w:firstLine="420" w:firstLineChars="200"/>
        <w:rPr>
          <w:rFonts w:ascii="宋体" w:hAnsi="宋体" w:cs="宋体"/>
          <w:color w:val="auto"/>
          <w:szCs w:val="21"/>
        </w:rPr>
      </w:pPr>
      <w:r>
        <w:rPr>
          <w:rFonts w:hint="eastAsia" w:ascii="宋体" w:hAnsi="宋体" w:cs="宋体"/>
          <w:color w:val="auto"/>
          <w:szCs w:val="21"/>
        </w:rPr>
        <w:t>13.2供应商必须就“采购需求”中所竞所有内容作完整唯一报价，否则，其响应文件无效。响应文件只允许有一个报价，有选择的或有条件的报价将不予接受。</w:t>
      </w:r>
    </w:p>
    <w:p w14:paraId="384A4826">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13.3 </w:t>
      </w:r>
      <w:r>
        <w:rPr>
          <w:rFonts w:hint="eastAsia" w:ascii="宋体" w:hAnsi="宋体"/>
          <w:color w:val="auto"/>
          <w:szCs w:val="21"/>
        </w:rPr>
        <w:t>磋商报价是履行合同的最终价格，即满足全部采购需求所应提供的服务，以及伴随的货物和工程的价格；包括运输（含保险）（如有）、技术服务、培训、税费等一切可能发生的费用。</w:t>
      </w:r>
    </w:p>
    <w:p w14:paraId="777C3DB9">
      <w:pPr>
        <w:spacing w:line="360" w:lineRule="auto"/>
        <w:ind w:firstLine="420" w:firstLineChars="200"/>
        <w:rPr>
          <w:rFonts w:ascii="宋体" w:hAnsi="宋体" w:cs="宋体"/>
          <w:b/>
          <w:bCs/>
          <w:color w:val="auto"/>
          <w:szCs w:val="21"/>
        </w:rPr>
      </w:pPr>
      <w:r>
        <w:rPr>
          <w:rFonts w:hint="eastAsia" w:ascii="宋体" w:hAnsi="宋体" w:cs="宋体"/>
          <w:color w:val="auto"/>
          <w:szCs w:val="21"/>
        </w:rPr>
        <w:t>13.4供应商应在规定时间内在政采云系统上提交最后报价，超出评委设定的最后报价时限或其最后报价超出采购预算导致已通过评审的响应文件无效的，按供应商在提交响应文件截止时间后撤回响应文件处理。</w:t>
      </w:r>
    </w:p>
    <w:p w14:paraId="2685407D">
      <w:pPr>
        <w:pStyle w:val="5"/>
        <w:spacing w:line="360" w:lineRule="auto"/>
        <w:ind w:firstLine="420" w:firstLineChars="200"/>
        <w:rPr>
          <w:rFonts w:ascii="宋体" w:hAnsi="宋体" w:cs="宋体"/>
          <w:color w:val="auto"/>
          <w:sz w:val="21"/>
          <w:szCs w:val="21"/>
        </w:rPr>
      </w:pPr>
      <w:bookmarkStart w:id="91" w:name="_Toc26881"/>
      <w:bookmarkStart w:id="92" w:name="_Toc27015"/>
      <w:r>
        <w:rPr>
          <w:rFonts w:hint="eastAsia" w:ascii="宋体" w:hAnsi="宋体" w:cs="宋体"/>
          <w:color w:val="auto"/>
          <w:sz w:val="21"/>
          <w:szCs w:val="21"/>
        </w:rPr>
        <w:t>14. 响应文件有效期</w:t>
      </w:r>
      <w:bookmarkEnd w:id="91"/>
      <w:bookmarkEnd w:id="92"/>
    </w:p>
    <w:p w14:paraId="121FFCB3">
      <w:pPr>
        <w:spacing w:line="360" w:lineRule="auto"/>
        <w:ind w:firstLine="420" w:firstLineChars="200"/>
        <w:rPr>
          <w:rFonts w:ascii="宋体" w:hAnsi="宋体" w:cs="宋体"/>
          <w:color w:val="auto"/>
          <w:szCs w:val="21"/>
        </w:rPr>
      </w:pPr>
      <w:r>
        <w:rPr>
          <w:rFonts w:hint="eastAsia" w:ascii="宋体" w:hAnsi="宋体" w:cs="宋体"/>
          <w:color w:val="auto"/>
          <w:szCs w:val="21"/>
        </w:rPr>
        <w:t>14.1 响应文件有效期：响应文件递交截止时间之日起90天，有效期不足的响应文件将被拒绝。</w:t>
      </w:r>
    </w:p>
    <w:p w14:paraId="3F3595F1">
      <w:pPr>
        <w:spacing w:line="360" w:lineRule="auto"/>
        <w:ind w:firstLine="420" w:firstLineChars="200"/>
        <w:rPr>
          <w:rFonts w:ascii="宋体" w:hAnsi="宋体" w:cs="宋体"/>
          <w:color w:val="auto"/>
          <w:szCs w:val="21"/>
        </w:rPr>
      </w:pPr>
      <w:r>
        <w:rPr>
          <w:rFonts w:hint="eastAsia" w:ascii="宋体" w:hAnsi="宋体" w:cs="宋体"/>
          <w:color w:val="auto"/>
          <w:szCs w:val="21"/>
        </w:rPr>
        <w:t>14.2 出现特殊情况下，需要延长响应文件有效期的，采购代理机构书面通知供应商延长响应文件有效期。供应商同意延长的，但不能修改响应文件。供应商拒绝延长的，其响应文件无效。</w:t>
      </w:r>
    </w:p>
    <w:p w14:paraId="1791B5D2">
      <w:pPr>
        <w:pStyle w:val="5"/>
        <w:spacing w:line="360" w:lineRule="auto"/>
        <w:ind w:firstLine="420" w:firstLineChars="200"/>
        <w:rPr>
          <w:rFonts w:ascii="宋体" w:hAnsi="宋体" w:cs="宋体"/>
          <w:color w:val="auto"/>
          <w:sz w:val="21"/>
          <w:szCs w:val="21"/>
        </w:rPr>
      </w:pPr>
      <w:bookmarkStart w:id="93" w:name="_Toc22602"/>
      <w:bookmarkStart w:id="94" w:name="_Toc24706"/>
      <w:r>
        <w:rPr>
          <w:rFonts w:hint="eastAsia" w:ascii="宋体" w:hAnsi="宋体" w:cs="宋体"/>
          <w:color w:val="auto"/>
          <w:sz w:val="21"/>
          <w:szCs w:val="21"/>
        </w:rPr>
        <w:t>15. 保证金</w:t>
      </w:r>
      <w:bookmarkEnd w:id="93"/>
      <w:bookmarkEnd w:id="94"/>
    </w:p>
    <w:p w14:paraId="44308DA3">
      <w:pPr>
        <w:spacing w:line="360" w:lineRule="auto"/>
        <w:ind w:firstLine="420" w:firstLineChars="200"/>
        <w:rPr>
          <w:rFonts w:ascii="宋体" w:hAnsi="宋体" w:cs="宋体"/>
          <w:b/>
          <w:bCs/>
          <w:color w:val="auto"/>
          <w:szCs w:val="21"/>
        </w:rPr>
      </w:pPr>
      <w:r>
        <w:rPr>
          <w:rFonts w:hint="eastAsia" w:ascii="宋体" w:hAnsi="宋体" w:cs="宋体"/>
          <w:color w:val="auto"/>
          <w:szCs w:val="21"/>
        </w:rPr>
        <w:t>本项目无需缴纳磋商保证金。</w:t>
      </w:r>
    </w:p>
    <w:p w14:paraId="3480DB0A">
      <w:pPr>
        <w:pStyle w:val="5"/>
        <w:spacing w:line="360" w:lineRule="auto"/>
        <w:ind w:firstLine="420" w:firstLineChars="200"/>
        <w:rPr>
          <w:rFonts w:ascii="宋体" w:hAnsi="宋体" w:cs="宋体"/>
          <w:color w:val="auto"/>
          <w:sz w:val="21"/>
          <w:szCs w:val="21"/>
        </w:rPr>
      </w:pPr>
      <w:bookmarkStart w:id="95" w:name="_Toc387"/>
      <w:bookmarkStart w:id="96" w:name="_Toc8815"/>
      <w:r>
        <w:rPr>
          <w:rFonts w:hint="eastAsia" w:ascii="宋体" w:hAnsi="宋体" w:cs="宋体"/>
          <w:color w:val="auto"/>
          <w:sz w:val="21"/>
          <w:szCs w:val="21"/>
        </w:rPr>
        <w:t>16. 竞争性磋商响应文件的</w:t>
      </w:r>
      <w:bookmarkEnd w:id="95"/>
      <w:r>
        <w:rPr>
          <w:rFonts w:hint="eastAsia" w:ascii="宋体" w:hAnsi="宋体" w:cs="宋体"/>
          <w:color w:val="auto"/>
          <w:sz w:val="21"/>
          <w:szCs w:val="21"/>
        </w:rPr>
        <w:t>制作</w:t>
      </w:r>
      <w:bookmarkEnd w:id="96"/>
    </w:p>
    <w:p w14:paraId="58184962">
      <w:pPr>
        <w:spacing w:line="360" w:lineRule="auto"/>
        <w:ind w:firstLine="420" w:firstLineChars="200"/>
        <w:rPr>
          <w:rFonts w:ascii="宋体" w:hAnsi="宋体" w:cs="宋体"/>
          <w:color w:val="auto"/>
          <w:szCs w:val="21"/>
        </w:rPr>
      </w:pPr>
      <w:r>
        <w:rPr>
          <w:rFonts w:hint="eastAsia" w:ascii="宋体" w:hAnsi="宋体" w:cs="宋体"/>
          <w:color w:val="auto"/>
          <w:szCs w:val="21"/>
        </w:rPr>
        <w:t>16.1 电子磋商响应文件中须加盖供应商公章部分均采用 CA 证书签章，并根据“政府采购项目电子交易管理操作指南-供应商”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6964F9FC">
      <w:pPr>
        <w:spacing w:line="360" w:lineRule="auto"/>
        <w:ind w:firstLine="420" w:firstLineChars="200"/>
        <w:rPr>
          <w:rFonts w:ascii="宋体" w:hAnsi="宋体" w:cs="宋体"/>
          <w:color w:val="auto"/>
          <w:szCs w:val="21"/>
        </w:rPr>
      </w:pPr>
      <w:r>
        <w:rPr>
          <w:rFonts w:hint="eastAsia" w:ascii="宋体" w:hAnsi="宋体" w:cs="宋体"/>
          <w:color w:val="auto"/>
          <w:szCs w:val="21"/>
        </w:rPr>
        <w:t>16.2供应商法人（负责人）或授权代表持有政采云个人CA证书签章的，应在响应文件中涉及到签字的位置使用个人CA证书签章，没有办理政采云个人CA证书签章的可在响应文件中涉及到签字的位置手写签字后扫描或者拍照做成 PDF 的格式上传即可。</w:t>
      </w:r>
    </w:p>
    <w:p w14:paraId="6D2CD81C">
      <w:pPr>
        <w:spacing w:line="360" w:lineRule="auto"/>
        <w:ind w:firstLine="420" w:firstLineChars="200"/>
        <w:rPr>
          <w:rFonts w:ascii="宋体" w:hAnsi="宋体" w:cs="宋体"/>
          <w:color w:val="auto"/>
          <w:szCs w:val="21"/>
        </w:rPr>
      </w:pPr>
      <w:r>
        <w:rPr>
          <w:rFonts w:hint="eastAsia" w:ascii="宋体" w:hAnsi="宋体" w:cs="宋体"/>
          <w:color w:val="auto"/>
          <w:szCs w:val="21"/>
        </w:rPr>
        <w:t>16.3 磋商响应文件不得涂改，若有修改错漏处，须法定代表人（负责人）或授权委托人签字（或个人CA证书签章）。磋商响应文件因字迹潦草或表达不清所引起的后果由供应商负责。</w:t>
      </w:r>
    </w:p>
    <w:p w14:paraId="75638C97">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16.4磋商前准备 </w:t>
      </w:r>
    </w:p>
    <w:p w14:paraId="1DDE4CBF">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16.4.1本项目实行在线磋商，采用电子磋商响应文件。若供应商参与磋商，自行承担磋商一切费用。 </w:t>
      </w:r>
    </w:p>
    <w:p w14:paraId="41638F5C">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16.4.2各供应商应在截标前应确保成为政采云平台正式注册入库供应商，并完成 CA 数字证书申领。因未注册入库、未办理 CA 数字证书等原因造成无法磋商或磋商失败等后果由供应商自行承担。 </w:t>
      </w:r>
    </w:p>
    <w:p w14:paraId="4A30A6A4">
      <w:pPr>
        <w:spacing w:line="360" w:lineRule="auto"/>
        <w:ind w:firstLine="420" w:firstLineChars="200"/>
        <w:rPr>
          <w:rFonts w:ascii="宋体" w:hAnsi="宋体" w:cs="宋体"/>
          <w:color w:val="auto"/>
          <w:szCs w:val="21"/>
        </w:rPr>
      </w:pPr>
      <w:r>
        <w:rPr>
          <w:rFonts w:hint="eastAsia" w:ascii="宋体" w:hAnsi="宋体" w:cs="宋体"/>
          <w:color w:val="auto"/>
          <w:szCs w:val="21"/>
        </w:rPr>
        <w:t>16.4.3供应商将政采云电子交易客户端下载、安装完成后，可通过账号密码或 CA 登录客户端进行响应文件制作。客户端请至网站下载专区查看，如有问题可拨打政采云客户服务热线 95763 进行咨询。</w:t>
      </w:r>
    </w:p>
    <w:p w14:paraId="0D9F464A">
      <w:pPr>
        <w:pStyle w:val="5"/>
        <w:spacing w:line="360" w:lineRule="auto"/>
        <w:ind w:firstLine="420" w:firstLineChars="200"/>
        <w:rPr>
          <w:rFonts w:ascii="宋体" w:hAnsi="宋体" w:cs="宋体"/>
          <w:color w:val="auto"/>
          <w:sz w:val="21"/>
          <w:szCs w:val="21"/>
        </w:rPr>
      </w:pPr>
      <w:bookmarkStart w:id="97" w:name="_Toc8570"/>
      <w:r>
        <w:rPr>
          <w:rFonts w:hint="eastAsia" w:ascii="宋体" w:hAnsi="宋体" w:cs="宋体"/>
          <w:color w:val="auto"/>
          <w:sz w:val="21"/>
          <w:szCs w:val="21"/>
        </w:rPr>
        <w:t>17. 响应文件的修改和撤回</w:t>
      </w:r>
      <w:bookmarkEnd w:id="97"/>
    </w:p>
    <w:p w14:paraId="5E8469B6">
      <w:pPr>
        <w:spacing w:line="360" w:lineRule="auto"/>
        <w:ind w:firstLine="420" w:firstLineChars="200"/>
        <w:rPr>
          <w:rFonts w:ascii="宋体" w:hAnsi="宋体" w:cs="宋体"/>
          <w:color w:val="auto"/>
          <w:szCs w:val="21"/>
        </w:rPr>
      </w:pPr>
      <w:r>
        <w:rPr>
          <w:rFonts w:hint="eastAsia" w:ascii="宋体" w:hAnsi="宋体" w:cs="宋体"/>
          <w:color w:val="auto"/>
          <w:szCs w:val="21"/>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14:paraId="40DC2871">
      <w:pPr>
        <w:spacing w:line="360" w:lineRule="auto"/>
        <w:ind w:firstLine="420" w:firstLineChars="200"/>
        <w:rPr>
          <w:rFonts w:ascii="宋体" w:hAnsi="宋体" w:cs="宋体"/>
          <w:color w:val="auto"/>
          <w:szCs w:val="21"/>
        </w:rPr>
      </w:pPr>
      <w:r>
        <w:rPr>
          <w:rFonts w:hint="eastAsia" w:ascii="宋体" w:hAnsi="宋体" w:cs="宋体"/>
          <w:color w:val="auto"/>
          <w:szCs w:val="21"/>
        </w:rPr>
        <w:t>17.2 在响应文件递交截止时间后的响应文件有效期内，供应商不得撤回其响应文件。</w:t>
      </w:r>
    </w:p>
    <w:p w14:paraId="5373ABD8">
      <w:pPr>
        <w:pStyle w:val="5"/>
        <w:spacing w:line="360" w:lineRule="auto"/>
        <w:ind w:firstLine="420" w:firstLineChars="200"/>
        <w:rPr>
          <w:rFonts w:ascii="宋体" w:hAnsi="宋体" w:cs="宋体"/>
          <w:color w:val="auto"/>
          <w:sz w:val="21"/>
          <w:szCs w:val="21"/>
        </w:rPr>
      </w:pPr>
      <w:bookmarkStart w:id="98" w:name="_Toc30156"/>
      <w:bookmarkStart w:id="99" w:name="_Toc27030"/>
      <w:r>
        <w:rPr>
          <w:rFonts w:hint="eastAsia" w:ascii="宋体" w:hAnsi="宋体" w:cs="宋体"/>
          <w:color w:val="auto"/>
          <w:sz w:val="21"/>
          <w:szCs w:val="21"/>
        </w:rPr>
        <w:t>18. 响应文件的递交和解密</w:t>
      </w:r>
      <w:bookmarkEnd w:id="98"/>
      <w:bookmarkEnd w:id="99"/>
    </w:p>
    <w:p w14:paraId="72673188">
      <w:pPr>
        <w:spacing w:line="360" w:lineRule="auto"/>
        <w:ind w:firstLine="420" w:firstLineChars="200"/>
        <w:rPr>
          <w:rFonts w:ascii="宋体" w:hAnsi="宋体" w:cs="宋体"/>
          <w:color w:val="auto"/>
          <w:szCs w:val="21"/>
        </w:rPr>
      </w:pPr>
      <w:r>
        <w:rPr>
          <w:rFonts w:hint="eastAsia" w:ascii="宋体" w:hAnsi="宋体" w:cs="宋体"/>
          <w:color w:val="auto"/>
          <w:szCs w:val="21"/>
        </w:rPr>
        <w:t>18.1响应文件递交截止时间：于</w:t>
      </w:r>
      <w:r>
        <w:rPr>
          <w:rFonts w:hint="eastAsia" w:ascii="宋体" w:hAnsi="宋体" w:cs="宋体"/>
          <w:color w:val="auto"/>
          <w:szCs w:val="21"/>
          <w:u w:val="single"/>
          <w:lang w:eastAsia="zh-CN"/>
        </w:rPr>
        <w:t>2025年4月21日</w:t>
      </w:r>
      <w:r>
        <w:rPr>
          <w:rFonts w:hint="eastAsia" w:ascii="宋体" w:hAnsi="宋体" w:cs="宋体"/>
          <w:color w:val="auto"/>
          <w:szCs w:val="21"/>
          <w:u w:val="single"/>
        </w:rPr>
        <w:t>09时30分</w:t>
      </w:r>
      <w:r>
        <w:rPr>
          <w:rFonts w:hint="eastAsia" w:ascii="宋体" w:hAnsi="宋体" w:cs="宋体"/>
          <w:color w:val="auto"/>
          <w:szCs w:val="21"/>
        </w:rPr>
        <w:t>之前将电子磋商响应文件上传到政采云平台。应按照本项目磋商文件和政采云平台的要求编制、加密传输磋商响应文件。供应商在使用系统进行投标的过程中遇到涉及平台使用的任何问题，可致电政采云平台技术支持热线咨询，联系方式：95763。</w:t>
      </w:r>
    </w:p>
    <w:p w14:paraId="49674C92">
      <w:pPr>
        <w:spacing w:line="360" w:lineRule="auto"/>
        <w:ind w:firstLine="420" w:firstLineChars="200"/>
        <w:rPr>
          <w:rFonts w:ascii="宋体" w:hAnsi="宋体" w:cs="宋体"/>
          <w:b/>
          <w:bCs/>
          <w:color w:val="auto"/>
          <w:szCs w:val="21"/>
        </w:rPr>
      </w:pPr>
      <w:r>
        <w:rPr>
          <w:rFonts w:hint="eastAsia" w:ascii="宋体" w:hAnsi="宋体" w:cs="宋体"/>
          <w:color w:val="auto"/>
          <w:szCs w:val="21"/>
        </w:rPr>
        <w:t>18.2磋商响应文件解密时间：截标时间后</w:t>
      </w:r>
      <w:r>
        <w:rPr>
          <w:rFonts w:hint="eastAsia" w:ascii="宋体" w:hAnsi="宋体" w:cs="宋体"/>
          <w:color w:val="auto"/>
          <w:szCs w:val="21"/>
          <w:u w:val="single"/>
        </w:rPr>
        <w:t>30</w:t>
      </w:r>
      <w:r>
        <w:rPr>
          <w:rFonts w:hint="eastAsia" w:ascii="宋体" w:hAnsi="宋体" w:cs="宋体"/>
          <w:color w:val="auto"/>
          <w:szCs w:val="21"/>
        </w:rPr>
        <w:t>分钟内（</w:t>
      </w:r>
      <w:r>
        <w:rPr>
          <w:rFonts w:hint="eastAsia" w:ascii="宋体" w:hAnsi="宋体" w:cs="宋体"/>
          <w:color w:val="auto"/>
          <w:szCs w:val="21"/>
          <w:u w:val="single"/>
          <w:lang w:eastAsia="zh-CN"/>
        </w:rPr>
        <w:t>2025年4月21日</w:t>
      </w:r>
      <w:r>
        <w:rPr>
          <w:rFonts w:hint="eastAsia" w:ascii="宋体" w:hAnsi="宋体" w:cs="宋体"/>
          <w:color w:val="auto"/>
          <w:szCs w:val="21"/>
          <w:u w:val="single"/>
        </w:rPr>
        <w:t>09时30分至10时00分</w:t>
      </w:r>
      <w:r>
        <w:rPr>
          <w:rFonts w:hint="eastAsia" w:ascii="宋体" w:hAnsi="宋体" w:cs="宋体"/>
          <w:color w:val="auto"/>
          <w:szCs w:val="21"/>
        </w:rPr>
        <w:t>)磋商供应商可以登录政采云平台，用“项目采购-开标评标”功能进行解密磋商文件。</w:t>
      </w:r>
      <w:r>
        <w:rPr>
          <w:rFonts w:ascii="宋体" w:hAnsi="宋体" w:cs="宋体"/>
          <w:b/>
          <w:bCs/>
          <w:color w:val="auto"/>
          <w:kern w:val="0"/>
          <w:szCs w:val="21"/>
        </w:rPr>
        <w:t>若供应商在上述规定的时间内无法解密或解密失败的，视为供应商放弃</w:t>
      </w:r>
      <w:r>
        <w:rPr>
          <w:rFonts w:hint="eastAsia" w:ascii="宋体" w:hAnsi="宋体" w:cs="宋体"/>
          <w:b/>
          <w:bCs/>
          <w:color w:val="auto"/>
          <w:kern w:val="0"/>
          <w:szCs w:val="21"/>
        </w:rPr>
        <w:t>磋商</w:t>
      </w:r>
      <w:r>
        <w:rPr>
          <w:rFonts w:hint="eastAsia" w:ascii="宋体" w:hAnsi="宋体" w:cs="宋体"/>
          <w:b/>
          <w:bCs/>
          <w:color w:val="auto"/>
          <w:szCs w:val="21"/>
        </w:rPr>
        <w:t>，造成响应无效的后果由供应商自行承担。</w:t>
      </w:r>
    </w:p>
    <w:p w14:paraId="1E3AB52E">
      <w:pPr>
        <w:spacing w:line="360" w:lineRule="auto"/>
        <w:ind w:firstLine="420" w:firstLineChars="200"/>
        <w:rPr>
          <w:rFonts w:ascii="宋体" w:hAnsi="宋体" w:cs="宋体"/>
          <w:color w:val="auto"/>
          <w:szCs w:val="21"/>
        </w:rPr>
      </w:pPr>
      <w:r>
        <w:rPr>
          <w:rFonts w:hint="eastAsia" w:ascii="宋体" w:hAnsi="宋体" w:cs="宋体"/>
          <w:color w:val="auto"/>
          <w:szCs w:val="21"/>
        </w:rPr>
        <w:t>18.3 除竞争性磋商文件另有规定外，供应商所递交的响应文件不予退还。</w:t>
      </w:r>
    </w:p>
    <w:p w14:paraId="0B095718">
      <w:pPr>
        <w:spacing w:line="360" w:lineRule="auto"/>
        <w:ind w:firstLine="420" w:firstLineChars="200"/>
        <w:rPr>
          <w:rFonts w:ascii="宋体" w:hAnsi="宋体" w:cs="宋体"/>
          <w:color w:val="auto"/>
          <w:szCs w:val="21"/>
        </w:rPr>
      </w:pPr>
      <w:r>
        <w:rPr>
          <w:rFonts w:hint="eastAsia" w:ascii="宋体" w:hAnsi="宋体" w:cs="宋体"/>
          <w:color w:val="auto"/>
          <w:szCs w:val="21"/>
        </w:rPr>
        <w:t>18.4 电子响应文件的相关说明</w:t>
      </w:r>
    </w:p>
    <w:p w14:paraId="40DAF9F7">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 </w:t>
      </w:r>
    </w:p>
    <w:p w14:paraId="028375EF">
      <w:pPr>
        <w:spacing w:line="360" w:lineRule="auto"/>
        <w:ind w:firstLine="420" w:firstLineChars="200"/>
        <w:rPr>
          <w:rFonts w:ascii="宋体" w:hAnsi="宋体" w:cs="宋体"/>
          <w:color w:val="auto"/>
        </w:rPr>
      </w:pPr>
      <w:r>
        <w:rPr>
          <w:rFonts w:hint="eastAsia" w:ascii="宋体" w:hAnsi="宋体" w:cs="宋体"/>
          <w:color w:val="auto"/>
          <w:szCs w:val="21"/>
        </w:rPr>
        <w:t>（2）如有特殊情况，采购代理机构延长截止时间和开标时间，采购代理机构和供应商的权利和义务将受到新的截止时间和开标时间的约束。</w:t>
      </w:r>
    </w:p>
    <w:p w14:paraId="20513A0B">
      <w:pPr>
        <w:pStyle w:val="4"/>
        <w:jc w:val="center"/>
        <w:rPr>
          <w:rFonts w:ascii="宋体" w:hAnsi="宋体" w:cs="宋体"/>
          <w:b/>
          <w:bCs w:val="0"/>
          <w:color w:val="auto"/>
          <w:szCs w:val="28"/>
        </w:rPr>
      </w:pPr>
      <w:bookmarkStart w:id="100" w:name="_Toc2433"/>
      <w:bookmarkStart w:id="101" w:name="_Toc18044"/>
      <w:r>
        <w:rPr>
          <w:rFonts w:hint="eastAsia" w:ascii="宋体" w:hAnsi="宋体" w:cs="宋体"/>
          <w:b/>
          <w:bCs w:val="0"/>
          <w:color w:val="auto"/>
          <w:szCs w:val="28"/>
        </w:rPr>
        <w:t>四、竞争性磋商（简称磋商）与评审</w:t>
      </w:r>
      <w:bookmarkEnd w:id="100"/>
      <w:bookmarkEnd w:id="101"/>
    </w:p>
    <w:p w14:paraId="39DF4E1D">
      <w:pPr>
        <w:pStyle w:val="5"/>
        <w:spacing w:line="360" w:lineRule="auto"/>
        <w:ind w:firstLine="420" w:firstLineChars="200"/>
        <w:rPr>
          <w:rFonts w:ascii="宋体" w:hAnsi="宋体" w:cs="宋体"/>
          <w:color w:val="auto"/>
          <w:sz w:val="21"/>
          <w:szCs w:val="21"/>
        </w:rPr>
      </w:pPr>
      <w:bookmarkStart w:id="102" w:name="_Toc31588"/>
      <w:bookmarkStart w:id="103" w:name="_Toc16714"/>
      <w:r>
        <w:rPr>
          <w:rFonts w:hint="eastAsia" w:ascii="宋体" w:hAnsi="宋体" w:cs="宋体"/>
          <w:color w:val="auto"/>
          <w:sz w:val="21"/>
          <w:szCs w:val="21"/>
        </w:rPr>
        <w:t>19. 磋商小组组成及磋商时间、地点、人员</w:t>
      </w:r>
      <w:bookmarkEnd w:id="102"/>
      <w:bookmarkEnd w:id="103"/>
    </w:p>
    <w:p w14:paraId="79061F88">
      <w:pPr>
        <w:spacing w:line="360" w:lineRule="auto"/>
        <w:ind w:firstLine="420" w:firstLineChars="200"/>
        <w:rPr>
          <w:rFonts w:ascii="宋体" w:hAnsi="宋体" w:cs="宋体"/>
          <w:color w:val="auto"/>
          <w:szCs w:val="21"/>
        </w:rPr>
      </w:pPr>
      <w:r>
        <w:rPr>
          <w:rFonts w:hint="eastAsia" w:ascii="宋体" w:hAnsi="宋体" w:cs="宋体"/>
          <w:color w:val="auto"/>
          <w:szCs w:val="21"/>
        </w:rPr>
        <w:t>19.1 磋商小组组成：</w:t>
      </w:r>
    </w:p>
    <w:p w14:paraId="339BBDEC">
      <w:pPr>
        <w:spacing w:line="360" w:lineRule="auto"/>
        <w:ind w:firstLine="420" w:firstLineChars="200"/>
        <w:rPr>
          <w:rFonts w:ascii="宋体" w:hAnsi="宋体" w:cs="宋体"/>
          <w:color w:val="auto"/>
          <w:szCs w:val="21"/>
        </w:rPr>
      </w:pPr>
      <w:r>
        <w:rPr>
          <w:rFonts w:hint="eastAsia" w:ascii="宋体" w:hAnsi="宋体" w:cs="宋体"/>
          <w:color w:val="auto"/>
          <w:szCs w:val="21"/>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auto"/>
          <w:szCs w:val="21"/>
          <w:u w:val="single"/>
        </w:rPr>
        <w:t xml:space="preserve"> 3 </w:t>
      </w:r>
      <w:r>
        <w:rPr>
          <w:rFonts w:hint="eastAsia" w:ascii="宋体" w:hAnsi="宋体" w:cs="宋体"/>
          <w:color w:val="auto"/>
          <w:szCs w:val="21"/>
        </w:rPr>
        <w:t>人，其中采购人代表</w:t>
      </w:r>
      <w:r>
        <w:rPr>
          <w:rFonts w:hint="eastAsia" w:ascii="宋体" w:hAnsi="宋体" w:cs="宋体"/>
          <w:color w:val="auto"/>
          <w:szCs w:val="21"/>
          <w:u w:val="single"/>
        </w:rPr>
        <w:t xml:space="preserve">1 </w:t>
      </w:r>
      <w:r>
        <w:rPr>
          <w:rFonts w:hint="eastAsia" w:ascii="宋体" w:hAnsi="宋体" w:cs="宋体"/>
          <w:color w:val="auto"/>
          <w:szCs w:val="21"/>
        </w:rPr>
        <w:t>人， 专家</w:t>
      </w:r>
      <w:r>
        <w:rPr>
          <w:rFonts w:hint="eastAsia" w:ascii="宋体" w:hAnsi="宋体" w:cs="宋体"/>
          <w:color w:val="auto"/>
          <w:szCs w:val="21"/>
          <w:u w:val="single"/>
        </w:rPr>
        <w:t xml:space="preserve">2 </w:t>
      </w:r>
      <w:r>
        <w:rPr>
          <w:rFonts w:hint="eastAsia" w:ascii="宋体" w:hAnsi="宋体" w:cs="宋体"/>
          <w:color w:val="auto"/>
          <w:szCs w:val="21"/>
        </w:rPr>
        <w:t>人。</w:t>
      </w:r>
    </w:p>
    <w:p w14:paraId="77EA084B">
      <w:pPr>
        <w:spacing w:line="360" w:lineRule="auto"/>
        <w:ind w:firstLine="420" w:firstLineChars="200"/>
        <w:rPr>
          <w:rFonts w:ascii="宋体" w:hAnsi="宋体" w:cs="宋体"/>
          <w:color w:val="auto"/>
          <w:szCs w:val="21"/>
        </w:rPr>
      </w:pPr>
      <w:r>
        <w:rPr>
          <w:rFonts w:hint="eastAsia" w:ascii="宋体" w:hAnsi="宋体" w:cs="宋体"/>
          <w:color w:val="auto"/>
          <w:szCs w:val="21"/>
        </w:rPr>
        <w:t>19.2 磋商时间、地点、人员：</w:t>
      </w:r>
    </w:p>
    <w:p w14:paraId="4590D006">
      <w:pPr>
        <w:spacing w:line="360" w:lineRule="auto"/>
        <w:ind w:firstLine="420" w:firstLineChars="200"/>
        <w:rPr>
          <w:rFonts w:ascii="宋体" w:hAnsi="宋体" w:cs="宋体"/>
          <w:color w:val="auto"/>
          <w:szCs w:val="21"/>
        </w:rPr>
      </w:pPr>
      <w:bookmarkStart w:id="104" w:name="_Toc9878"/>
      <w:r>
        <w:rPr>
          <w:rFonts w:hint="eastAsia" w:ascii="宋体" w:hAnsi="宋体" w:cs="宋体"/>
          <w:color w:val="auto"/>
          <w:szCs w:val="21"/>
        </w:rPr>
        <w:t>19.2.1磋商时间：响应文件递交截止时间后。</w:t>
      </w:r>
      <w:bookmarkEnd w:id="104"/>
    </w:p>
    <w:p w14:paraId="4387935D">
      <w:pPr>
        <w:spacing w:line="360" w:lineRule="auto"/>
        <w:ind w:firstLine="420" w:firstLineChars="200"/>
        <w:rPr>
          <w:rFonts w:ascii="宋体" w:hAnsi="宋体" w:cs="宋体"/>
          <w:color w:val="auto"/>
          <w:szCs w:val="21"/>
        </w:rPr>
      </w:pPr>
      <w:bookmarkStart w:id="105" w:name="_Toc29268"/>
      <w:r>
        <w:rPr>
          <w:rFonts w:hint="eastAsia" w:ascii="宋体" w:hAnsi="宋体" w:cs="宋体"/>
          <w:color w:val="auto"/>
          <w:szCs w:val="21"/>
        </w:rPr>
        <w:t>19.2.2磋商地点：</w:t>
      </w:r>
      <w:bookmarkEnd w:id="105"/>
      <w:r>
        <w:rPr>
          <w:rFonts w:hint="eastAsia" w:ascii="宋体" w:hAnsi="宋体" w:cs="宋体"/>
          <w:color w:val="auto"/>
          <w:szCs w:val="21"/>
        </w:rPr>
        <w:t>本项目需要磋商供应商代表在截标当天截标后，按磋商小组要求及时登陆政采云平台等候在线磋商。</w:t>
      </w:r>
    </w:p>
    <w:p w14:paraId="1A0D1613">
      <w:pPr>
        <w:spacing w:line="360" w:lineRule="auto"/>
        <w:ind w:firstLine="420" w:firstLineChars="200"/>
        <w:rPr>
          <w:rFonts w:ascii="宋体" w:hAnsi="宋体" w:cs="宋体"/>
          <w:bCs/>
          <w:color w:val="auto"/>
          <w:szCs w:val="21"/>
        </w:rPr>
      </w:pPr>
      <w:bookmarkStart w:id="106" w:name="_Toc21307"/>
      <w:r>
        <w:rPr>
          <w:rFonts w:hint="eastAsia" w:ascii="宋体" w:hAnsi="宋体" w:cs="宋体"/>
          <w:color w:val="auto"/>
          <w:szCs w:val="21"/>
        </w:rPr>
        <w:t>19</w:t>
      </w:r>
      <w:r>
        <w:rPr>
          <w:rFonts w:hint="eastAsia" w:ascii="宋体" w:hAnsi="宋体" w:cs="宋体"/>
          <w:bCs/>
          <w:color w:val="auto"/>
          <w:szCs w:val="21"/>
        </w:rPr>
        <w:t>.2.3磋商参加人员：供应商法定代表人、负责人、自然人或相应的委托代理人持</w:t>
      </w:r>
      <w:r>
        <w:rPr>
          <w:rFonts w:hint="eastAsia" w:ascii="宋体" w:hAnsi="宋体" w:cs="宋体"/>
          <w:bCs/>
          <w:color w:val="auto"/>
          <w:szCs w:val="21"/>
          <w:u w:val="single"/>
        </w:rPr>
        <w:t>有效身份证原件</w:t>
      </w:r>
      <w:r>
        <w:rPr>
          <w:rFonts w:hint="eastAsia" w:ascii="宋体" w:hAnsi="宋体" w:cs="宋体"/>
          <w:bCs/>
          <w:color w:val="auto"/>
          <w:szCs w:val="21"/>
        </w:rPr>
        <w:t>和供应商</w:t>
      </w:r>
      <w:r>
        <w:rPr>
          <w:rFonts w:hint="eastAsia" w:ascii="宋体" w:hAnsi="宋体" w:cs="宋体"/>
          <w:bCs/>
          <w:color w:val="auto"/>
          <w:szCs w:val="21"/>
          <w:u w:val="single"/>
        </w:rPr>
        <w:t>政采云平台CA数字证书</w:t>
      </w:r>
      <w:r>
        <w:rPr>
          <w:rFonts w:hint="eastAsia" w:ascii="宋体" w:hAnsi="宋体" w:cs="宋体"/>
          <w:bCs/>
          <w:color w:val="auto"/>
          <w:szCs w:val="21"/>
        </w:rPr>
        <w:t>参加磋商。请供应商按时到达指定地点等候磋商。</w:t>
      </w:r>
      <w:bookmarkEnd w:id="106"/>
    </w:p>
    <w:p w14:paraId="2CEA912E">
      <w:pPr>
        <w:spacing w:line="360" w:lineRule="auto"/>
        <w:ind w:firstLine="420" w:firstLineChars="200"/>
        <w:rPr>
          <w:rFonts w:ascii="宋体" w:hAnsi="宋体" w:cs="宋体"/>
          <w:bCs/>
          <w:color w:val="auto"/>
          <w:szCs w:val="21"/>
        </w:rPr>
      </w:pPr>
      <w:bookmarkStart w:id="107" w:name="_Toc6288"/>
      <w:r>
        <w:rPr>
          <w:rFonts w:hint="eastAsia" w:ascii="宋体" w:hAnsi="宋体" w:cs="宋体"/>
          <w:bCs/>
          <w:color w:val="auto"/>
          <w:szCs w:val="21"/>
        </w:rPr>
        <w:t>19.2.4响应文件递交截止时间后，由磋商小组在评标室内线上开启响应文件。</w:t>
      </w:r>
      <w:bookmarkEnd w:id="107"/>
    </w:p>
    <w:p w14:paraId="4F800DF0">
      <w:pPr>
        <w:pStyle w:val="5"/>
        <w:spacing w:line="360" w:lineRule="auto"/>
        <w:ind w:firstLine="420" w:firstLineChars="200"/>
        <w:rPr>
          <w:rFonts w:ascii="宋体" w:hAnsi="宋体" w:cs="宋体"/>
          <w:color w:val="auto"/>
          <w:sz w:val="21"/>
          <w:szCs w:val="21"/>
        </w:rPr>
      </w:pPr>
      <w:bookmarkStart w:id="108" w:name="_Toc18640"/>
      <w:bookmarkStart w:id="109" w:name="_Toc25258"/>
      <w:r>
        <w:rPr>
          <w:rFonts w:hint="eastAsia" w:ascii="宋体" w:hAnsi="宋体" w:cs="宋体"/>
          <w:color w:val="auto"/>
          <w:sz w:val="21"/>
          <w:szCs w:val="21"/>
        </w:rPr>
        <w:t>20. 评审原则</w:t>
      </w:r>
      <w:bookmarkEnd w:id="108"/>
      <w:bookmarkEnd w:id="109"/>
    </w:p>
    <w:p w14:paraId="67003CAE">
      <w:pPr>
        <w:spacing w:line="360" w:lineRule="auto"/>
        <w:ind w:firstLine="420" w:firstLineChars="200"/>
        <w:rPr>
          <w:rFonts w:ascii="宋体" w:hAnsi="宋体" w:cs="宋体"/>
          <w:color w:val="auto"/>
          <w:szCs w:val="21"/>
        </w:rPr>
      </w:pPr>
      <w:r>
        <w:rPr>
          <w:rFonts w:hint="eastAsia" w:ascii="宋体" w:hAnsi="宋体" w:cs="宋体"/>
          <w:color w:val="auto"/>
          <w:szCs w:val="21"/>
        </w:rPr>
        <w:t>20.1 磋商小组必须坚持公平、公正、科学和择优的原则。</w:t>
      </w:r>
    </w:p>
    <w:p w14:paraId="46C22617">
      <w:pPr>
        <w:spacing w:line="360" w:lineRule="auto"/>
        <w:ind w:firstLine="420" w:firstLineChars="200"/>
        <w:rPr>
          <w:rFonts w:ascii="宋体" w:hAnsi="宋体" w:cs="宋体"/>
          <w:color w:val="auto"/>
          <w:szCs w:val="21"/>
        </w:rPr>
      </w:pPr>
      <w:r>
        <w:rPr>
          <w:rFonts w:hint="eastAsia" w:ascii="宋体" w:hAnsi="宋体" w:cs="宋体"/>
          <w:color w:val="auto"/>
          <w:szCs w:val="21"/>
        </w:rPr>
        <w:t>20.2 评审办法：综合评分法，具体详见第四章评审办法。</w:t>
      </w:r>
    </w:p>
    <w:p w14:paraId="71F9CE87">
      <w:pPr>
        <w:spacing w:line="360" w:lineRule="auto"/>
        <w:ind w:firstLine="420" w:firstLineChars="200"/>
        <w:rPr>
          <w:rFonts w:ascii="宋体" w:hAnsi="宋体" w:cs="宋体"/>
          <w:color w:val="auto"/>
          <w:szCs w:val="21"/>
        </w:rPr>
      </w:pPr>
      <w:r>
        <w:rPr>
          <w:rFonts w:hint="eastAsia" w:ascii="宋体" w:hAnsi="宋体" w:cs="宋体"/>
          <w:color w:val="auto"/>
          <w:szCs w:val="21"/>
        </w:rPr>
        <w:t>20.3 磋商小组应按磋商文件进行评审，不得擅自更改评审办法。</w:t>
      </w:r>
    </w:p>
    <w:p w14:paraId="4A7F1D04">
      <w:pPr>
        <w:spacing w:line="360" w:lineRule="auto"/>
        <w:ind w:firstLine="420" w:firstLineChars="200"/>
        <w:rPr>
          <w:rFonts w:ascii="宋体" w:hAnsi="宋体" w:cs="宋体"/>
          <w:color w:val="auto"/>
          <w:szCs w:val="21"/>
        </w:rPr>
      </w:pPr>
      <w:r>
        <w:rPr>
          <w:rFonts w:hint="eastAsia" w:ascii="宋体" w:hAnsi="宋体" w:cs="宋体"/>
          <w:color w:val="auto"/>
          <w:szCs w:val="21"/>
        </w:rPr>
        <w:t>20.4 在评审过程中，磋商小组任何人不得对某个供应商发表任何倾向性意见，不得向其他磋商小组成员明示或者暗示自己的评审意见。</w:t>
      </w:r>
    </w:p>
    <w:p w14:paraId="325AB35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20.5 磋商小组成员对需要共同认定的事项存在争议的，按照少数服从多数的原则作出结论。持不同意见的磋商小组成员应当在评审报告上签署不同意见并说明理由，否则视为同意。</w:t>
      </w:r>
    </w:p>
    <w:p w14:paraId="77E3CB8D">
      <w:pPr>
        <w:spacing w:line="360" w:lineRule="auto"/>
        <w:ind w:firstLine="420" w:firstLineChars="200"/>
        <w:rPr>
          <w:rFonts w:ascii="宋体" w:hAnsi="宋体" w:cs="宋体"/>
          <w:color w:val="auto"/>
          <w:szCs w:val="21"/>
        </w:rPr>
      </w:pPr>
      <w:r>
        <w:rPr>
          <w:rFonts w:hint="eastAsia" w:ascii="宋体" w:hAnsi="宋体" w:cs="宋体"/>
          <w:color w:val="auto"/>
          <w:szCs w:val="21"/>
        </w:rPr>
        <w:t>20.6 响应文件最后报价出现前后不一致的，除竞争性磋商文件另有规定外，按照下列规定修正：</w:t>
      </w:r>
    </w:p>
    <w:p w14:paraId="5A74872C">
      <w:pPr>
        <w:pStyle w:val="48"/>
        <w:tabs>
          <w:tab w:val="left" w:pos="1099"/>
        </w:tabs>
        <w:spacing w:before="130"/>
        <w:ind w:left="420" w:leftChars="200" w:firstLine="0" w:firstLineChars="0"/>
        <w:jc w:val="left"/>
        <w:rPr>
          <w:rFonts w:ascii="宋体" w:hAnsi="宋体" w:cs="宋体"/>
          <w:color w:val="auto"/>
        </w:rPr>
      </w:pPr>
      <w:r>
        <w:rPr>
          <w:rFonts w:hint="eastAsia" w:ascii="宋体" w:hAnsi="宋体" w:cs="宋体"/>
          <w:color w:val="auto"/>
          <w:szCs w:val="21"/>
        </w:rPr>
        <w:t xml:space="preserve">(1) </w:t>
      </w:r>
      <w:r>
        <w:rPr>
          <w:rFonts w:hint="eastAsia" w:ascii="宋体" w:hAnsi="宋体" w:cs="宋体"/>
          <w:color w:val="auto"/>
        </w:rPr>
        <w:t>响应文件中磋商单项单价报价表内容与响应文件中相应内容不一致的，以最后磋商单项单价报价表为准；</w:t>
      </w:r>
    </w:p>
    <w:p w14:paraId="60F481BE">
      <w:pPr>
        <w:pStyle w:val="48"/>
        <w:tabs>
          <w:tab w:val="left" w:pos="1099"/>
        </w:tabs>
        <w:spacing w:before="130"/>
        <w:ind w:left="420" w:leftChars="200" w:firstLine="0" w:firstLineChars="0"/>
        <w:jc w:val="left"/>
        <w:rPr>
          <w:rFonts w:ascii="宋体" w:hAnsi="宋体" w:cs="宋体"/>
          <w:color w:val="auto"/>
        </w:rPr>
      </w:pPr>
      <w:r>
        <w:rPr>
          <w:rFonts w:hint="eastAsia" w:ascii="宋体" w:hAnsi="宋体" w:cs="宋体"/>
          <w:color w:val="auto"/>
          <w:szCs w:val="21"/>
        </w:rPr>
        <w:t>(2)</w:t>
      </w:r>
      <w:r>
        <w:rPr>
          <w:rFonts w:hint="eastAsia" w:ascii="宋体" w:hAnsi="宋体" w:cs="宋体"/>
          <w:color w:val="auto"/>
        </w:rPr>
        <w:t xml:space="preserve"> 大写金额和小写金额不一致的，以大写金额为准；</w:t>
      </w:r>
    </w:p>
    <w:p w14:paraId="760A1D70">
      <w:pPr>
        <w:pStyle w:val="48"/>
        <w:tabs>
          <w:tab w:val="left" w:pos="1099"/>
        </w:tabs>
        <w:spacing w:before="130"/>
        <w:ind w:left="420" w:leftChars="200" w:firstLine="0" w:firstLineChars="0"/>
        <w:jc w:val="left"/>
        <w:rPr>
          <w:rFonts w:ascii="宋体" w:hAnsi="宋体" w:cs="宋体"/>
          <w:color w:val="auto"/>
        </w:rPr>
      </w:pPr>
      <w:r>
        <w:rPr>
          <w:rFonts w:hint="eastAsia" w:ascii="宋体" w:hAnsi="宋体" w:cs="宋体"/>
          <w:color w:val="auto"/>
          <w:szCs w:val="21"/>
        </w:rPr>
        <w:t>(3)</w:t>
      </w:r>
      <w:r>
        <w:rPr>
          <w:rFonts w:hint="eastAsia" w:ascii="宋体" w:hAnsi="宋体" w:cs="宋体"/>
          <w:color w:val="auto"/>
        </w:rPr>
        <w:t xml:space="preserve"> 单价金额小数点或者百分比有明显错位的，以报价表的总价为准，并修改单价；</w:t>
      </w:r>
    </w:p>
    <w:p w14:paraId="5F9BE5D8">
      <w:pPr>
        <w:pStyle w:val="48"/>
        <w:tabs>
          <w:tab w:val="left" w:pos="1099"/>
        </w:tabs>
        <w:spacing w:before="130"/>
        <w:ind w:left="420" w:leftChars="200" w:firstLine="0" w:firstLineChars="0"/>
        <w:jc w:val="left"/>
        <w:rPr>
          <w:rFonts w:ascii="宋体" w:hAnsi="宋体" w:cs="宋体"/>
          <w:color w:val="auto"/>
        </w:rPr>
      </w:pPr>
      <w:r>
        <w:rPr>
          <w:rFonts w:hint="eastAsia" w:ascii="宋体" w:hAnsi="宋体" w:cs="宋体"/>
          <w:color w:val="auto"/>
          <w:szCs w:val="21"/>
        </w:rPr>
        <w:t xml:space="preserve">(4) </w:t>
      </w:r>
      <w:r>
        <w:rPr>
          <w:rFonts w:hint="eastAsia" w:ascii="宋体" w:hAnsi="宋体" w:cs="宋体"/>
          <w:color w:val="auto"/>
        </w:rPr>
        <w:t>总价金额与按单价汇总金额不一致的，以单价金额计算结果为准。</w:t>
      </w:r>
    </w:p>
    <w:p w14:paraId="4ADF0EE0">
      <w:pPr>
        <w:spacing w:line="360" w:lineRule="auto"/>
        <w:ind w:firstLine="420" w:firstLineChars="200"/>
        <w:rPr>
          <w:rFonts w:ascii="宋体" w:hAnsi="宋体" w:cs="宋体"/>
          <w:color w:val="auto"/>
          <w:szCs w:val="21"/>
        </w:rPr>
      </w:pPr>
      <w:r>
        <w:rPr>
          <w:rFonts w:hint="eastAsia" w:ascii="宋体" w:hAnsi="宋体" w:cs="宋体"/>
          <w:color w:val="auto"/>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77176B8F">
      <w:pPr>
        <w:pStyle w:val="5"/>
        <w:spacing w:line="360" w:lineRule="auto"/>
        <w:ind w:firstLine="420" w:firstLineChars="200"/>
        <w:rPr>
          <w:rFonts w:ascii="宋体" w:hAnsi="宋体" w:cs="宋体"/>
          <w:color w:val="auto"/>
          <w:sz w:val="21"/>
          <w:szCs w:val="21"/>
        </w:rPr>
      </w:pPr>
      <w:bookmarkStart w:id="110" w:name="_Toc1312"/>
      <w:bookmarkStart w:id="111" w:name="_Toc27193"/>
      <w:r>
        <w:rPr>
          <w:rFonts w:hint="eastAsia" w:ascii="宋体" w:hAnsi="宋体" w:cs="宋体"/>
          <w:color w:val="auto"/>
          <w:sz w:val="21"/>
          <w:szCs w:val="21"/>
        </w:rPr>
        <w:t>21. 评审程序及磋商要求</w:t>
      </w:r>
      <w:bookmarkEnd w:id="110"/>
      <w:bookmarkEnd w:id="111"/>
    </w:p>
    <w:p w14:paraId="6E7D4607">
      <w:pPr>
        <w:spacing w:line="360" w:lineRule="auto"/>
        <w:ind w:firstLine="420" w:firstLineChars="200"/>
        <w:rPr>
          <w:rFonts w:ascii="宋体" w:hAnsi="宋体" w:cs="宋体"/>
          <w:color w:val="auto"/>
          <w:szCs w:val="21"/>
        </w:rPr>
      </w:pPr>
      <w:r>
        <w:rPr>
          <w:rFonts w:hint="eastAsia" w:ascii="宋体" w:hAnsi="宋体" w:cs="宋体"/>
          <w:color w:val="auto"/>
          <w:szCs w:val="21"/>
        </w:rPr>
        <w:t>21.1磋商小组成员的通讯工具或相关电子设备交由桂林市公共资源交易中心统一保管后到达评标室，采购代理机构核实磋商小组成员身份，告知回避要求，宣布评审工作纪律和程序，推选磋商小组组长。</w:t>
      </w:r>
    </w:p>
    <w:p w14:paraId="561E1C57">
      <w:pPr>
        <w:spacing w:line="360" w:lineRule="auto"/>
        <w:ind w:firstLine="420" w:firstLineChars="200"/>
        <w:rPr>
          <w:rFonts w:ascii="宋体" w:hAnsi="宋体" w:cs="宋体"/>
          <w:color w:val="auto"/>
          <w:szCs w:val="21"/>
        </w:rPr>
      </w:pPr>
      <w:r>
        <w:rPr>
          <w:rFonts w:hint="eastAsia" w:ascii="宋体" w:hAnsi="宋体" w:cs="宋体"/>
          <w:color w:val="auto"/>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7A08A206">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21.3 磋商小组依据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 </w:t>
      </w:r>
    </w:p>
    <w:p w14:paraId="5DE7B41D">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14:paraId="0E6B3020">
      <w:pPr>
        <w:spacing w:line="360" w:lineRule="auto"/>
        <w:ind w:firstLine="420" w:firstLineChars="200"/>
        <w:rPr>
          <w:rFonts w:ascii="宋体" w:hAnsi="宋体" w:cs="宋体"/>
          <w:color w:val="auto"/>
          <w:szCs w:val="21"/>
        </w:rPr>
      </w:pPr>
      <w:r>
        <w:rPr>
          <w:rFonts w:hint="eastAsia" w:ascii="宋体" w:hAnsi="宋体" w:cs="宋体"/>
          <w:color w:val="auto"/>
          <w:szCs w:val="21"/>
        </w:rPr>
        <w:t>21.4.1 查询渠道：《国家企业信用信息公示系统》（网址：www.gsxt.gov.cn/index.html）</w:t>
      </w:r>
    </w:p>
    <w:p w14:paraId="4932919A">
      <w:pPr>
        <w:spacing w:line="360" w:lineRule="auto"/>
        <w:ind w:firstLine="420" w:firstLineChars="200"/>
        <w:rPr>
          <w:rFonts w:ascii="宋体" w:hAnsi="宋体" w:cs="宋体"/>
          <w:color w:val="auto"/>
          <w:szCs w:val="21"/>
        </w:rPr>
      </w:pPr>
      <w:r>
        <w:rPr>
          <w:rFonts w:hint="eastAsia" w:ascii="宋体" w:hAnsi="宋体" w:cs="宋体"/>
          <w:color w:val="auto"/>
          <w:szCs w:val="21"/>
        </w:rPr>
        <w:t>21.4.2 审查流程：</w:t>
      </w:r>
    </w:p>
    <w:p w14:paraId="51C6318C">
      <w:pPr>
        <w:spacing w:line="360" w:lineRule="auto"/>
        <w:ind w:firstLine="420" w:firstLineChars="200"/>
        <w:rPr>
          <w:rFonts w:ascii="宋体" w:hAnsi="宋体" w:cs="宋体"/>
          <w:color w:val="auto"/>
          <w:szCs w:val="21"/>
        </w:rPr>
      </w:pPr>
      <w:r>
        <w:rPr>
          <w:rFonts w:hint="eastAsia" w:ascii="宋体" w:hAnsi="宋体" w:cs="宋体"/>
          <w:color w:val="auto"/>
          <w:szCs w:val="21"/>
        </w:rPr>
        <w:t>（1）进入《国家企业信用信息公示系统》（网址：www.gsxt.gov.cn/index.html），输入企业名称，进入企业信息主页面；</w:t>
      </w:r>
    </w:p>
    <w:p w14:paraId="7591AC99">
      <w:pPr>
        <w:spacing w:line="360" w:lineRule="auto"/>
        <w:ind w:firstLine="420" w:firstLineChars="200"/>
        <w:rPr>
          <w:rFonts w:ascii="宋体" w:hAnsi="宋体" w:cs="宋体"/>
          <w:color w:val="auto"/>
          <w:szCs w:val="21"/>
        </w:rPr>
      </w:pPr>
      <w:r>
        <w:rPr>
          <w:rFonts w:hint="eastAsia" w:ascii="宋体" w:hAnsi="宋体" w:cs="宋体"/>
          <w:color w:val="auto"/>
          <w:szCs w:val="21"/>
        </w:rPr>
        <w:t>（2）查看主页“股东及出资信息”栏，或年报中的“股东及出资信息”栏信息；</w:t>
      </w:r>
    </w:p>
    <w:p w14:paraId="7EB05831">
      <w:pPr>
        <w:spacing w:line="360" w:lineRule="auto"/>
        <w:ind w:firstLine="420" w:firstLineChars="200"/>
        <w:rPr>
          <w:rFonts w:ascii="宋体" w:hAnsi="宋体" w:cs="宋体"/>
          <w:color w:val="auto"/>
          <w:szCs w:val="21"/>
        </w:rPr>
      </w:pPr>
      <w:r>
        <w:rPr>
          <w:rFonts w:hint="eastAsia" w:ascii="宋体" w:hAnsi="宋体" w:cs="宋体"/>
          <w:color w:val="auto"/>
          <w:szCs w:val="21"/>
        </w:rPr>
        <w:t>（3）将各供应商的股东及出资信息进行比对，得出审查结论；</w:t>
      </w:r>
    </w:p>
    <w:p w14:paraId="05E721FA">
      <w:pPr>
        <w:spacing w:line="360" w:lineRule="auto"/>
        <w:ind w:firstLine="420" w:firstLineChars="200"/>
        <w:rPr>
          <w:rFonts w:ascii="宋体" w:hAnsi="宋体" w:cs="宋体"/>
          <w:color w:val="auto"/>
          <w:szCs w:val="21"/>
        </w:rPr>
      </w:pPr>
      <w:r>
        <w:rPr>
          <w:rFonts w:hint="eastAsia" w:ascii="宋体" w:hAnsi="宋体" w:cs="宋体"/>
          <w:color w:val="auto"/>
          <w:szCs w:val="21"/>
        </w:rPr>
        <w:t>（4）将相关资料作为评审资料打印存档。</w:t>
      </w:r>
    </w:p>
    <w:p w14:paraId="0FE8A174">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21.5 磋商小组如发现供应商提供的证明文件不齐全或不符合规定格式的，应一次性告知供应商，供应商应在规定的时间内线上补正或更正。</w:t>
      </w:r>
    </w:p>
    <w:p w14:paraId="12AC858A">
      <w:pPr>
        <w:pStyle w:val="11"/>
        <w:spacing w:line="360" w:lineRule="auto"/>
        <w:rPr>
          <w:rFonts w:ascii="宋体" w:hAnsi="宋体" w:cs="宋体"/>
          <w:color w:val="auto"/>
          <w:szCs w:val="21"/>
        </w:rPr>
      </w:pPr>
      <w:r>
        <w:rPr>
          <w:rFonts w:hint="eastAsia" w:ascii="宋体" w:hAnsi="宋体" w:cs="宋体"/>
          <w:color w:val="auto"/>
          <w:szCs w:val="21"/>
        </w:rPr>
        <w:t>21.6 磋商小组在对响应文件的有效性、完整性和响应程度进行审查时，可以要求供应商对响应文件中含义不明确、同类问题表述不一致或者有明显文字和计算错误的内容等作出必要的澄清、说明或者更正。供应商的 澄清、说明或者更正不得超出响应文件的范围或者改变响应文件的实质性内容。澄清、说明或者更正应由其法定代表人或相应的授权委托代表签字（</w:t>
      </w:r>
      <w:r>
        <w:rPr>
          <w:rFonts w:hint="eastAsia" w:ascii="宋体" w:hAnsi="宋体" w:cs="宋体"/>
          <w:color w:val="auto"/>
        </w:rPr>
        <w:t>个人CA证书签章)</w:t>
      </w:r>
      <w:r>
        <w:rPr>
          <w:rFonts w:hint="eastAsia" w:ascii="宋体" w:hAnsi="宋体" w:cs="宋体"/>
          <w:color w:val="auto"/>
          <w:szCs w:val="21"/>
        </w:rPr>
        <w:t>或者加盖</w:t>
      </w:r>
      <w:r>
        <w:rPr>
          <w:rFonts w:hint="eastAsia" w:ascii="宋体" w:hAnsi="宋体"/>
          <w:color w:val="auto"/>
          <w:szCs w:val="21"/>
        </w:rPr>
        <w:t>供应商CA证书签章</w:t>
      </w:r>
      <w:r>
        <w:rPr>
          <w:rFonts w:hint="eastAsia" w:ascii="宋体" w:hAnsi="宋体" w:cs="宋体"/>
          <w:color w:val="auto"/>
          <w:szCs w:val="21"/>
        </w:rPr>
        <w:t>)。</w:t>
      </w:r>
    </w:p>
    <w:p w14:paraId="02CC5BA5">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根据磋商文件规定的程序、评定成交的标准等事项与实质性响应竞争性磋商文件要求的供应商进行磋商。未实质性响应磋商文件的响应文件按无效处理，磋商小组应当告知有关供应商。 </w:t>
      </w:r>
    </w:p>
    <w:p w14:paraId="3E0B0E2E">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磋商小组所有成员应当按已确定的磋商顺序集中与单一供应商分别进行磋商，并给予所有实质性响应竞争性磋商文件要求的供应商平等的磋商机会。 </w:t>
      </w:r>
    </w:p>
    <w:p w14:paraId="2B53B152">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磋商中，磋商小组不得透露与磋商有关的其他供应商的技术资料、价格和其他信息。 </w:t>
      </w:r>
    </w:p>
    <w:p w14:paraId="09C61BB6">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磋商小组对磋商过程和重要磋商内容进行记录，磋商双方在记录上签字确认。 </w:t>
      </w:r>
    </w:p>
    <w:p w14:paraId="5096027B">
      <w:pPr>
        <w:spacing w:line="360" w:lineRule="auto"/>
        <w:ind w:firstLine="420" w:firstLineChars="200"/>
        <w:rPr>
          <w:rFonts w:ascii="宋体" w:hAnsi="宋体" w:cs="宋体"/>
          <w:color w:val="auto"/>
        </w:rPr>
      </w:pPr>
      <w:r>
        <w:rPr>
          <w:rFonts w:hint="eastAsia" w:ascii="宋体" w:hAnsi="宋体" w:cs="宋体"/>
          <w:color w:val="auto"/>
          <w:szCs w:val="21"/>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14:paraId="57A37E85">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14:paraId="3245F983">
      <w:pPr>
        <w:spacing w:line="360" w:lineRule="auto"/>
        <w:rPr>
          <w:rFonts w:ascii="宋体" w:hAnsi="宋体" w:cs="宋体"/>
          <w:color w:val="auto"/>
          <w:szCs w:val="21"/>
        </w:rPr>
      </w:pPr>
      <w:r>
        <w:rPr>
          <w:rFonts w:hint="eastAsia" w:ascii="宋体" w:hAnsi="宋体" w:cs="宋体"/>
          <w:color w:val="auto"/>
          <w:szCs w:val="21"/>
        </w:rPr>
        <w:t xml:space="preserve">对磋商文件作出的实质性变动是磋商文件的有效组成部分，磋商小组应当及时通过政采云平台同时通知所有参加磋商的供应商。 </w:t>
      </w:r>
    </w:p>
    <w:p w14:paraId="2293EA28">
      <w:pPr>
        <w:spacing w:line="360" w:lineRule="auto"/>
        <w:ind w:firstLine="420" w:firstLineChars="200"/>
        <w:rPr>
          <w:rFonts w:ascii="宋体" w:hAnsi="宋体" w:cs="宋体"/>
          <w:color w:val="auto"/>
          <w:szCs w:val="21"/>
        </w:rPr>
      </w:pPr>
      <w:r>
        <w:rPr>
          <w:rFonts w:hint="eastAsia" w:ascii="宋体" w:hAnsi="宋体" w:cs="宋体"/>
          <w:color w:val="auto"/>
          <w:szCs w:val="21"/>
        </w:rPr>
        <w:t>供应商应当按照磋商文件的变动情况和磋商小组的要求重新提交响应文件，并由其法定代表人、负责人、自然人或相应的授权委托代表签字（个人CA证书签章）或者加盖</w:t>
      </w:r>
      <w:r>
        <w:rPr>
          <w:rFonts w:hint="eastAsia" w:ascii="宋体" w:hAnsi="宋体"/>
          <w:color w:val="auto"/>
          <w:szCs w:val="21"/>
        </w:rPr>
        <w:t>供应商CA证书签章</w:t>
      </w:r>
      <w:r>
        <w:rPr>
          <w:rFonts w:hint="eastAsia" w:ascii="宋体" w:hAnsi="宋体" w:cs="宋体"/>
          <w:color w:val="auto"/>
          <w:szCs w:val="21"/>
        </w:rPr>
        <w:t xml:space="preserve">。逾时不交的，视同放弃磋商。 </w:t>
      </w:r>
    </w:p>
    <w:p w14:paraId="2B4CAC4E">
      <w:pPr>
        <w:spacing w:line="360" w:lineRule="auto"/>
        <w:ind w:firstLine="420" w:firstLineChars="200"/>
        <w:rPr>
          <w:rFonts w:ascii="宋体" w:hAnsi="宋体" w:cs="宋体"/>
          <w:color w:val="auto"/>
          <w:szCs w:val="21"/>
        </w:rPr>
      </w:pPr>
      <w:r>
        <w:rPr>
          <w:rFonts w:hint="eastAsia" w:ascii="宋体" w:hAnsi="宋体" w:cs="宋体"/>
          <w:color w:val="auto"/>
          <w:szCs w:val="21"/>
        </w:rPr>
        <w:t>21.9 第二轮磋商</w:t>
      </w:r>
    </w:p>
    <w:p w14:paraId="29DD413F">
      <w:pPr>
        <w:spacing w:line="360" w:lineRule="auto"/>
        <w:ind w:firstLine="420" w:firstLineChars="200"/>
        <w:rPr>
          <w:rFonts w:ascii="宋体" w:hAnsi="宋体" w:cs="宋体"/>
          <w:color w:val="auto"/>
          <w:szCs w:val="21"/>
        </w:rPr>
      </w:pPr>
      <w:r>
        <w:rPr>
          <w:rFonts w:hint="eastAsia" w:ascii="宋体" w:hAnsi="宋体" w:cs="宋体"/>
          <w:color w:val="auto"/>
          <w:szCs w:val="21"/>
        </w:rPr>
        <w:t>磋商小组集中就重新提交的响应文件或磋商小组提出的磋商意见与单一响应供应商分别进行磋商。磋商小组对磋商过程和重要磋商内容进行记录，磋商双方在记录上签字确认（CA证书签章确认）。</w:t>
      </w:r>
    </w:p>
    <w:p w14:paraId="4FDA5EBF">
      <w:pPr>
        <w:spacing w:line="360" w:lineRule="auto"/>
        <w:ind w:firstLine="420" w:firstLineChars="200"/>
        <w:rPr>
          <w:rFonts w:ascii="宋体" w:hAnsi="宋体" w:cs="宋体"/>
          <w:color w:val="auto"/>
          <w:szCs w:val="21"/>
        </w:rPr>
      </w:pPr>
      <w:r>
        <w:rPr>
          <w:rFonts w:hint="eastAsia" w:ascii="宋体" w:hAnsi="宋体" w:cs="宋体"/>
          <w:color w:val="auto"/>
          <w:szCs w:val="21"/>
        </w:rPr>
        <w:t>磋商后，供应商根据磋商小组统一整理的书面磋商记录要求做出书面承诺，并由其法定代表人或授权代表签字或者加盖公章（CA证书签章）后按时线上提交。</w:t>
      </w:r>
    </w:p>
    <w:p w14:paraId="0EEA53FC">
      <w:pPr>
        <w:spacing w:line="360" w:lineRule="auto"/>
        <w:ind w:firstLine="420" w:firstLineChars="200"/>
        <w:rPr>
          <w:rFonts w:ascii="宋体" w:hAnsi="宋体" w:cs="宋体"/>
          <w:color w:val="auto"/>
        </w:rPr>
      </w:pPr>
      <w:r>
        <w:rPr>
          <w:rFonts w:hint="eastAsia" w:ascii="宋体" w:hAnsi="宋体" w:cs="宋体"/>
          <w:color w:val="auto"/>
          <w:szCs w:val="21"/>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14:paraId="4C474CDD">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21.10 在采购过程中符合竞争要求的供应商或者报价未超过采购预算的供应商不足 3 家的，采购人或者采购代理机构应当终止竞争性磋商采购活动。 </w:t>
      </w:r>
    </w:p>
    <w:p w14:paraId="6C94BD84">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21.11 最后报价 </w:t>
      </w:r>
    </w:p>
    <w:p w14:paraId="425F27D0">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21.11.1 磋商文件能够详细列明采购标的的技术、服务要求的，磋商结束后，磋商小组应当要求所有继续参加磋商的供应商在规定时间内线上提交最后报价，提交最后报价的供应商不得少于 3 家。 </w:t>
      </w:r>
    </w:p>
    <w:p w14:paraId="1B296D44">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21.11.2 磋商文件不能详细列明采购标的的技术、服务要求的，需由磋商供应商提供最终设计方案或解决方案的，磋商结束后，磋商小组应当按照少数服从多数的原则投票推荐 3 家以上（含 3 家）供应商的设计方案或者解决方案，并要求其在规定时间内线上提交最后报价。 </w:t>
      </w:r>
    </w:p>
    <w:p w14:paraId="3C126003">
      <w:pPr>
        <w:spacing w:line="360" w:lineRule="auto"/>
        <w:ind w:firstLine="420" w:firstLineChars="200"/>
        <w:rPr>
          <w:rFonts w:ascii="宋体" w:hAnsi="宋体" w:cs="宋体"/>
          <w:color w:val="auto"/>
        </w:rPr>
      </w:pPr>
      <w:r>
        <w:rPr>
          <w:rFonts w:hint="eastAsia" w:ascii="宋体" w:hAnsi="宋体" w:cs="宋体"/>
          <w:color w:val="auto"/>
          <w:szCs w:val="21"/>
        </w:rPr>
        <w:t xml:space="preserve">21.11.3 根据《财政部关于政府采购竞争性磋商采购方式管理暂行办法有关问题的补充通知》(财库〔2014〕214 号)的规定，如采购项目为政府购买服务项目（含政府和社会资本合作项目），在采购过程中符合要求的供应商（社会资本）只有 2 家的，竞争性磋商采购活动可以继续进行，并要求其在规定时间内线上提交最后报价；采购过程中符合要求的供应商（社会资本）只有 1 家的，采购人或者采购代理机构应当终止竞争性磋商采购活动，发布项目终止公告并说明原因，重新开展采购活动。 </w:t>
      </w:r>
    </w:p>
    <w:p w14:paraId="7E55526B">
      <w:pPr>
        <w:spacing w:line="360" w:lineRule="auto"/>
        <w:ind w:firstLine="420" w:firstLineChars="200"/>
        <w:rPr>
          <w:rFonts w:ascii="宋体" w:hAnsi="宋体" w:cs="宋体"/>
          <w:b/>
          <w:bCs/>
          <w:color w:val="auto"/>
          <w:szCs w:val="21"/>
        </w:rPr>
      </w:pPr>
      <w:r>
        <w:rPr>
          <w:rFonts w:hint="eastAsia" w:ascii="宋体" w:hAnsi="宋体" w:cs="宋体"/>
          <w:color w:val="auto"/>
          <w:szCs w:val="21"/>
        </w:rPr>
        <w:t>21.11.4 根据《政府采购竞争性磋商采购方式管理暂行办法》(财库〔2014〕214 号)的规定：</w:t>
      </w:r>
      <w:r>
        <w:rPr>
          <w:rFonts w:hint="eastAsia" w:ascii="宋体" w:hAnsi="宋体" w:cs="宋体"/>
          <w:b/>
          <w:bCs/>
          <w:color w:val="auto"/>
          <w:szCs w:val="21"/>
        </w:rPr>
        <w:t xml:space="preserve">最后报价是供应商响应文件的有效组成部分。 </w:t>
      </w:r>
      <w:r>
        <w:rPr>
          <w:rFonts w:hint="eastAsia" w:ascii="宋体" w:hAnsi="宋体" w:cs="宋体"/>
          <w:color w:val="auto"/>
          <w:szCs w:val="21"/>
        </w:rPr>
        <w:t>符合本办法(财库〔2014〕214号)第三条第四项情形的，提交最后报价的供应商可以为2家。</w:t>
      </w:r>
      <w:r>
        <w:rPr>
          <w:rFonts w:hint="eastAsia" w:ascii="宋体" w:hAnsi="宋体" w:cs="宋体"/>
          <w:b/>
          <w:bCs/>
          <w:color w:val="auto"/>
          <w:szCs w:val="21"/>
        </w:rPr>
        <w:t>（财库〔2014〕214号文第三条第四项：市场竞争不充分的科研项目，以及需要扶持的科技成果转化项目。）</w:t>
      </w:r>
    </w:p>
    <w:p w14:paraId="1A7406C1">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21.12 已提交响应文件的供应商，在提交最后报价之前，可以根据磋商情况书面退出磋商。 </w:t>
      </w:r>
    </w:p>
    <w:p w14:paraId="138002ED">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未书面退出磋商的供应商在规定时间内线上提交最后报价，其最后报价超出采购预算导致已通过评审的响应文件无效的，按供应商在提交响应文件截止时间后撤回响应文件处理。 </w:t>
      </w:r>
    </w:p>
    <w:p w14:paraId="114DE2E1">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21.13 评审报告 </w:t>
      </w:r>
    </w:p>
    <w:p w14:paraId="1C0F8BFA">
      <w:pPr>
        <w:spacing w:line="360" w:lineRule="auto"/>
        <w:ind w:firstLine="420" w:firstLineChars="200"/>
        <w:rPr>
          <w:rFonts w:ascii="宋体" w:hAnsi="宋体" w:cs="宋体"/>
          <w:color w:val="auto"/>
          <w:szCs w:val="21"/>
        </w:rPr>
      </w:pPr>
      <w:r>
        <w:rPr>
          <w:rFonts w:hint="eastAsia" w:ascii="宋体" w:hAnsi="宋体" w:cs="宋体"/>
          <w:color w:val="auto"/>
          <w:szCs w:val="21"/>
        </w:rPr>
        <w:t>磋商小组应当从质量和服务均能满足磋商文件全部实质性响应要求的供应商中，按照最后综合得分由高到低的顺序提出 3 名以上（含 3 名）成交候选人，并编写评审报告。</w:t>
      </w:r>
    </w:p>
    <w:p w14:paraId="3987037C">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21.14 在评审过程中出现法律法规和磋商文件均没有明确规定的情形时，由磋商小组现场协商解决，协商不一致的，由全体磋商小组投票表决，以得票率二分之一以上磋商小组成员的意见为准。 </w:t>
      </w:r>
    </w:p>
    <w:p w14:paraId="311BC529">
      <w:pPr>
        <w:spacing w:line="360" w:lineRule="auto"/>
        <w:ind w:firstLine="420" w:firstLineChars="200"/>
        <w:rPr>
          <w:rFonts w:ascii="宋体" w:hAnsi="宋体" w:cs="宋体"/>
          <w:color w:val="auto"/>
          <w:szCs w:val="21"/>
        </w:rPr>
      </w:pPr>
      <w:r>
        <w:rPr>
          <w:rFonts w:hint="eastAsia" w:ascii="宋体" w:hAnsi="宋体" w:cs="宋体"/>
          <w:color w:val="auto"/>
          <w:szCs w:val="21"/>
        </w:rPr>
        <w:t>21.15 采购代理机构发现磋商小组有明显的违规倾向或歧视现象，或不按评审办法进行，或其他不正常行为的，应当及时制止。如制止无效，应及时向桂林市财政局报告。</w:t>
      </w:r>
    </w:p>
    <w:p w14:paraId="379A8F41">
      <w:pPr>
        <w:spacing w:line="360" w:lineRule="auto"/>
        <w:ind w:firstLine="420" w:firstLineChars="200"/>
        <w:rPr>
          <w:rFonts w:ascii="宋体" w:hAnsi="宋体" w:cs="宋体"/>
          <w:b/>
          <w:bCs/>
          <w:color w:val="auto"/>
        </w:rPr>
      </w:pPr>
      <w:r>
        <w:rPr>
          <w:rFonts w:hint="eastAsia" w:ascii="宋体" w:hAnsi="宋体" w:cs="宋体"/>
          <w:color w:val="auto"/>
          <w:szCs w:val="21"/>
        </w:rPr>
        <w:t>21.16 本采购项目的评审依据为竞争性磋商文件和竞争性磋商响应文件，采用的评审方法为</w:t>
      </w:r>
      <w:r>
        <w:rPr>
          <w:rFonts w:hint="eastAsia" w:ascii="宋体" w:hAnsi="宋体" w:cs="宋体"/>
          <w:b/>
          <w:bCs/>
          <w:color w:val="auto"/>
          <w:szCs w:val="21"/>
        </w:rPr>
        <w:t>综合评分法。</w:t>
      </w:r>
    </w:p>
    <w:p w14:paraId="197F355D">
      <w:pPr>
        <w:spacing w:line="400" w:lineRule="exact"/>
        <w:ind w:firstLine="420" w:firstLineChars="200"/>
        <w:rPr>
          <w:rFonts w:ascii="宋体" w:hAnsi="宋体" w:cs="宋体"/>
          <w:b/>
          <w:bCs/>
          <w:color w:val="auto"/>
          <w:szCs w:val="21"/>
        </w:rPr>
      </w:pPr>
      <w:bookmarkStart w:id="112" w:name="_Toc2766"/>
      <w:bookmarkStart w:id="113" w:name="_Toc21715"/>
      <w:r>
        <w:rPr>
          <w:rFonts w:hint="eastAsia" w:ascii="宋体" w:hAnsi="宋体" w:cs="宋体"/>
          <w:b/>
          <w:bCs/>
          <w:color w:val="auto"/>
          <w:szCs w:val="21"/>
        </w:rPr>
        <w:t>22.推荐成交候选供应商原则</w:t>
      </w:r>
    </w:p>
    <w:p w14:paraId="5D90FFCF">
      <w:pPr>
        <w:spacing w:line="360" w:lineRule="auto"/>
        <w:ind w:firstLine="420" w:firstLineChars="200"/>
        <w:rPr>
          <w:rFonts w:ascii="宋体" w:hAnsi="宋体" w:cs="宋体"/>
          <w:color w:val="auto"/>
          <w:szCs w:val="21"/>
        </w:rPr>
      </w:pPr>
      <w:r>
        <w:rPr>
          <w:rFonts w:hint="eastAsia" w:ascii="宋体" w:hAnsi="宋体" w:cs="宋体"/>
          <w:color w:val="auto"/>
          <w:szCs w:val="21"/>
        </w:rPr>
        <w:t>（1）磋商小组应当根据综合评分情况，按照综合得分由高到低顺序推荐成交候选供应商，并编写评审报告。磋商小组根据综合得分由高到低排列次序，若得分相同时，依次按照项目实施方案、管理规章制度及员工培训计划方案、作业质量及安全保障措施得分由高到低顺序排列。</w:t>
      </w:r>
    </w:p>
    <w:p w14:paraId="662D3083">
      <w:pPr>
        <w:spacing w:line="360" w:lineRule="auto"/>
        <w:ind w:firstLine="420" w:firstLineChars="200"/>
        <w:rPr>
          <w:rFonts w:ascii="宋体" w:hAnsi="宋体" w:cs="宋体"/>
          <w:color w:val="auto"/>
          <w:szCs w:val="21"/>
        </w:rPr>
      </w:pPr>
      <w:r>
        <w:rPr>
          <w:rFonts w:hint="eastAsia" w:ascii="宋体" w:hAnsi="宋体" w:cs="宋体"/>
          <w:color w:val="auto"/>
          <w:szCs w:val="21"/>
        </w:rPr>
        <w:t>（2）采购单位应当确定磋商小组推荐排名第一的成交候选人为成交供应商。</w:t>
      </w:r>
    </w:p>
    <w:p w14:paraId="72AC970A">
      <w:pPr>
        <w:spacing w:line="360" w:lineRule="auto"/>
        <w:ind w:firstLine="420" w:firstLineChars="200"/>
        <w:rPr>
          <w:rFonts w:ascii="宋体" w:hAnsi="宋体" w:cs="宋体"/>
          <w:color w:val="auto"/>
          <w:szCs w:val="21"/>
        </w:rPr>
      </w:pPr>
      <w:r>
        <w:rPr>
          <w:rFonts w:hint="eastAsia" w:ascii="宋体" w:hAnsi="宋体" w:cs="宋体"/>
          <w:color w:val="auto"/>
          <w:szCs w:val="21"/>
        </w:rPr>
        <w:t>（3）排名第一的成交候选人放弃成交、因不可抗力提出不能履行合同，或者磋商文件规定应当提交履约保证金而在规定的期限内未能提交的，采购单位可以确定排名第二的成交候选人为成交供应商。</w:t>
      </w:r>
    </w:p>
    <w:p w14:paraId="687FC6C6">
      <w:pPr>
        <w:spacing w:line="360" w:lineRule="auto"/>
        <w:ind w:firstLine="420" w:firstLineChars="200"/>
        <w:rPr>
          <w:rFonts w:ascii="宋体" w:hAnsi="宋体" w:cs="宋体"/>
          <w:color w:val="auto"/>
          <w:szCs w:val="21"/>
        </w:rPr>
      </w:pPr>
      <w:r>
        <w:rPr>
          <w:rFonts w:hint="eastAsia" w:ascii="宋体" w:hAnsi="宋体" w:cs="宋体"/>
          <w:color w:val="auto"/>
          <w:szCs w:val="21"/>
        </w:rPr>
        <w:t>（4）排名第二的成交候选人因前款规定的同样原因不能签订合同的，采购单位可以确定排名第三的成交候选人为成交供应商。</w:t>
      </w:r>
    </w:p>
    <w:p w14:paraId="51AFD738">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23. 属于下列情况之一者，响应文件无效</w:t>
      </w:r>
      <w:bookmarkEnd w:id="112"/>
      <w:bookmarkEnd w:id="113"/>
    </w:p>
    <w:p w14:paraId="4158A294">
      <w:pPr>
        <w:spacing w:line="360" w:lineRule="auto"/>
        <w:ind w:firstLine="420" w:firstLineChars="200"/>
        <w:rPr>
          <w:rFonts w:ascii="宋体" w:hAnsi="宋体" w:cs="宋体"/>
          <w:color w:val="auto"/>
          <w:szCs w:val="21"/>
        </w:rPr>
      </w:pPr>
      <w:r>
        <w:rPr>
          <w:rFonts w:hint="eastAsia" w:ascii="宋体" w:hAnsi="宋体" w:cs="宋体"/>
          <w:color w:val="auto"/>
          <w:szCs w:val="21"/>
        </w:rPr>
        <w:t>（1）未按磋商文件规定完整线上提交响应文件或未按规定要求线上签字、签章的；</w:t>
      </w:r>
    </w:p>
    <w:p w14:paraId="7AFAC27C">
      <w:pPr>
        <w:spacing w:line="360" w:lineRule="auto"/>
        <w:ind w:firstLine="420" w:firstLineChars="200"/>
        <w:rPr>
          <w:rFonts w:ascii="宋体" w:hAnsi="宋体" w:cs="宋体"/>
          <w:color w:val="auto"/>
          <w:szCs w:val="21"/>
        </w:rPr>
      </w:pPr>
      <w:r>
        <w:rPr>
          <w:rFonts w:hint="eastAsia" w:ascii="宋体" w:hAnsi="宋体" w:cs="宋体"/>
          <w:color w:val="auto"/>
          <w:szCs w:val="21"/>
        </w:rPr>
        <w:t>（2）不具备磋商文件规定的资格要求的；</w:t>
      </w:r>
    </w:p>
    <w:p w14:paraId="73852A49">
      <w:pPr>
        <w:spacing w:line="360" w:lineRule="auto"/>
        <w:ind w:firstLine="420" w:firstLineChars="200"/>
        <w:rPr>
          <w:rFonts w:ascii="宋体" w:hAnsi="宋体" w:cs="宋体"/>
          <w:color w:val="auto"/>
          <w:szCs w:val="21"/>
        </w:rPr>
      </w:pPr>
      <w:r>
        <w:rPr>
          <w:rFonts w:hint="eastAsia" w:ascii="宋体" w:hAnsi="宋体" w:cs="宋体"/>
          <w:color w:val="auto"/>
          <w:szCs w:val="21"/>
        </w:rPr>
        <w:t>（3）响应文件未按磋商文件的内容和要求编制，或提供虚假材料的；</w:t>
      </w:r>
    </w:p>
    <w:p w14:paraId="4C1AAA84">
      <w:pPr>
        <w:spacing w:line="360" w:lineRule="auto"/>
        <w:ind w:firstLine="420" w:firstLineChars="200"/>
        <w:rPr>
          <w:rFonts w:ascii="宋体" w:hAnsi="宋体" w:cs="宋体"/>
          <w:color w:val="auto"/>
          <w:szCs w:val="21"/>
        </w:rPr>
      </w:pPr>
      <w:r>
        <w:rPr>
          <w:rFonts w:hint="eastAsia" w:ascii="宋体" w:hAnsi="宋体" w:cs="宋体"/>
          <w:color w:val="auto"/>
          <w:szCs w:val="21"/>
        </w:rPr>
        <w:t>（4）响应文件有效期、售后服务承诺不能满足磋商文件要求的；</w:t>
      </w:r>
    </w:p>
    <w:p w14:paraId="7A0C000A">
      <w:pPr>
        <w:spacing w:line="360" w:lineRule="auto"/>
        <w:ind w:firstLine="420" w:firstLineChars="200"/>
        <w:rPr>
          <w:rFonts w:ascii="宋体" w:hAnsi="宋体" w:cs="宋体"/>
          <w:color w:val="auto"/>
          <w:szCs w:val="21"/>
        </w:rPr>
      </w:pPr>
      <w:r>
        <w:rPr>
          <w:rFonts w:hint="eastAsia" w:ascii="宋体" w:hAnsi="宋体" w:cs="宋体"/>
          <w:color w:val="auto"/>
          <w:szCs w:val="21"/>
        </w:rPr>
        <w:t>（5）供应商未就“采购需求”中的所有内容作完整唯一报价的，或报价超出采购预算总金额的；</w:t>
      </w:r>
    </w:p>
    <w:p w14:paraId="0375B16A">
      <w:pPr>
        <w:spacing w:line="360" w:lineRule="auto"/>
        <w:ind w:firstLine="420" w:firstLineChars="200"/>
        <w:rPr>
          <w:rFonts w:ascii="宋体" w:hAnsi="宋体" w:cs="宋体"/>
          <w:color w:val="auto"/>
          <w:szCs w:val="21"/>
        </w:rPr>
      </w:pPr>
      <w:r>
        <w:rPr>
          <w:rFonts w:hint="eastAsia" w:ascii="宋体" w:hAnsi="宋体" w:cs="宋体"/>
          <w:color w:val="auto"/>
          <w:szCs w:val="21"/>
        </w:rPr>
        <w:t>（6）未在磋商小组规定的时间内提交响应文件(包括最后报价)的；</w:t>
      </w:r>
    </w:p>
    <w:p w14:paraId="58396DAE">
      <w:pPr>
        <w:spacing w:line="360" w:lineRule="auto"/>
        <w:ind w:firstLine="420" w:firstLineChars="200"/>
        <w:rPr>
          <w:rFonts w:ascii="宋体" w:hAnsi="宋体" w:cs="宋体"/>
          <w:color w:val="auto"/>
          <w:szCs w:val="21"/>
        </w:rPr>
      </w:pPr>
      <w:r>
        <w:rPr>
          <w:rFonts w:hint="eastAsia" w:ascii="宋体" w:hAnsi="宋体" w:cs="宋体"/>
          <w:color w:val="auto"/>
          <w:szCs w:val="21"/>
        </w:rPr>
        <w:t>（7）超越了按照法律法规规定必须获得行政许可或者行政审批的经营范围的；</w:t>
      </w:r>
    </w:p>
    <w:p w14:paraId="54C05A9E">
      <w:pPr>
        <w:spacing w:line="360" w:lineRule="auto"/>
        <w:ind w:firstLine="420" w:firstLineChars="200"/>
        <w:rPr>
          <w:rFonts w:ascii="宋体" w:hAnsi="宋体" w:cs="宋体"/>
          <w:color w:val="auto"/>
          <w:szCs w:val="21"/>
        </w:rPr>
      </w:pPr>
      <w:r>
        <w:rPr>
          <w:rFonts w:hint="eastAsia" w:ascii="宋体" w:hAnsi="宋体" w:cs="宋体"/>
          <w:color w:val="auto"/>
          <w:szCs w:val="21"/>
        </w:rPr>
        <w:t>（8）未满足磋商文件实质性要求的或者响应文件有采购人不能接受的附加条件的；</w:t>
      </w:r>
    </w:p>
    <w:p w14:paraId="786ED3E9">
      <w:pPr>
        <w:spacing w:line="360" w:lineRule="auto"/>
        <w:ind w:firstLine="420" w:firstLineChars="200"/>
        <w:rPr>
          <w:rFonts w:ascii="宋体" w:hAnsi="宋体" w:cs="宋体"/>
          <w:color w:val="auto"/>
        </w:rPr>
      </w:pPr>
      <w:r>
        <w:rPr>
          <w:rFonts w:hint="eastAsia" w:ascii="宋体" w:hAnsi="宋体" w:cs="宋体"/>
          <w:color w:val="auto"/>
          <w:szCs w:val="21"/>
        </w:rPr>
        <w:t>（9）响应文件实质性要求未做变动，供应商最后报价高于第一次报价的；</w:t>
      </w:r>
    </w:p>
    <w:p w14:paraId="182760C4">
      <w:pPr>
        <w:spacing w:line="360" w:lineRule="auto"/>
        <w:ind w:firstLine="420" w:firstLineChars="200"/>
        <w:rPr>
          <w:rFonts w:ascii="宋体" w:hAnsi="宋体" w:cs="宋体"/>
          <w:color w:val="auto"/>
          <w:szCs w:val="21"/>
        </w:rPr>
      </w:pPr>
      <w:r>
        <w:rPr>
          <w:rFonts w:hint="eastAsia" w:ascii="宋体" w:hAnsi="宋体" w:cs="宋体"/>
          <w:color w:val="auto"/>
          <w:szCs w:val="21"/>
        </w:rPr>
        <w:t>（10）不符合法律、法规和磋商文件规定的其他实质性要求和条件的。</w:t>
      </w:r>
    </w:p>
    <w:p w14:paraId="3846EB3A">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供应商有下列情形之一的视为供应商相互串通磋商，响应文件将被视为无效</w:t>
      </w:r>
    </w:p>
    <w:p w14:paraId="6DFEE3F9">
      <w:pPr>
        <w:spacing w:line="360" w:lineRule="auto"/>
        <w:ind w:firstLine="420" w:firstLineChars="200"/>
        <w:rPr>
          <w:rFonts w:ascii="宋体" w:hAnsi="宋体" w:cs="宋体"/>
          <w:color w:val="auto"/>
          <w:szCs w:val="21"/>
        </w:rPr>
      </w:pPr>
      <w:r>
        <w:rPr>
          <w:rFonts w:hint="eastAsia" w:ascii="宋体" w:hAnsi="宋体" w:cs="宋体"/>
          <w:color w:val="auto"/>
          <w:szCs w:val="21"/>
        </w:rPr>
        <w:t>（1）不同供应商的响应文件由同一单位或者个人编制；或不同供应商报名的IP地址一致的；</w:t>
      </w:r>
    </w:p>
    <w:p w14:paraId="521C428D">
      <w:pPr>
        <w:spacing w:line="360" w:lineRule="auto"/>
        <w:ind w:firstLine="420" w:firstLineChars="200"/>
        <w:rPr>
          <w:rFonts w:ascii="宋体" w:hAnsi="宋体" w:cs="宋体"/>
          <w:color w:val="auto"/>
          <w:szCs w:val="21"/>
        </w:rPr>
      </w:pPr>
      <w:r>
        <w:rPr>
          <w:rFonts w:hint="eastAsia" w:ascii="宋体" w:hAnsi="宋体" w:cs="宋体"/>
          <w:color w:val="auto"/>
          <w:szCs w:val="21"/>
        </w:rPr>
        <w:t>（2）不同供应商委托同一单位或者个人办理磋商事宜；</w:t>
      </w:r>
    </w:p>
    <w:p w14:paraId="1F607761">
      <w:pPr>
        <w:spacing w:line="360" w:lineRule="auto"/>
        <w:ind w:firstLine="420" w:firstLineChars="200"/>
        <w:rPr>
          <w:rFonts w:ascii="宋体" w:hAnsi="宋体" w:cs="宋体"/>
          <w:color w:val="auto"/>
          <w:szCs w:val="21"/>
        </w:rPr>
      </w:pPr>
      <w:r>
        <w:rPr>
          <w:rFonts w:hint="eastAsia" w:ascii="宋体" w:hAnsi="宋体" w:cs="宋体"/>
          <w:color w:val="auto"/>
          <w:szCs w:val="21"/>
        </w:rPr>
        <w:t>（3）不同的供应商的响应文件载明的项目管理员为同一个人；</w:t>
      </w:r>
    </w:p>
    <w:p w14:paraId="009A6CA5">
      <w:pPr>
        <w:spacing w:line="360" w:lineRule="auto"/>
        <w:ind w:firstLine="420" w:firstLineChars="200"/>
        <w:rPr>
          <w:rFonts w:ascii="宋体" w:hAnsi="宋体" w:cs="宋体"/>
          <w:color w:val="auto"/>
          <w:szCs w:val="21"/>
        </w:rPr>
      </w:pPr>
      <w:r>
        <w:rPr>
          <w:rFonts w:hint="eastAsia" w:ascii="宋体" w:hAnsi="宋体" w:cs="宋体"/>
          <w:color w:val="auto"/>
          <w:szCs w:val="21"/>
        </w:rPr>
        <w:t>（4）不同供应商的响应文件异常一致或竞标报价呈规律性差异；</w:t>
      </w:r>
    </w:p>
    <w:p w14:paraId="429DC95D">
      <w:pPr>
        <w:spacing w:line="360" w:lineRule="auto"/>
        <w:ind w:firstLine="420" w:firstLineChars="200"/>
        <w:rPr>
          <w:rFonts w:ascii="宋体" w:hAnsi="宋体" w:cs="宋体"/>
          <w:color w:val="auto"/>
          <w:szCs w:val="21"/>
        </w:rPr>
      </w:pPr>
      <w:r>
        <w:rPr>
          <w:rFonts w:hint="eastAsia" w:ascii="宋体" w:hAnsi="宋体" w:cs="宋体"/>
          <w:color w:val="auto"/>
          <w:szCs w:val="21"/>
        </w:rPr>
        <w:t>（5）不同供应商的响应文件相互混编；</w:t>
      </w:r>
    </w:p>
    <w:p w14:paraId="23C178AE">
      <w:pPr>
        <w:spacing w:line="360" w:lineRule="auto"/>
        <w:ind w:firstLine="420" w:firstLineChars="200"/>
        <w:rPr>
          <w:rFonts w:ascii="宋体" w:hAnsi="宋体" w:cs="宋体"/>
          <w:color w:val="auto"/>
          <w:szCs w:val="21"/>
        </w:rPr>
      </w:pPr>
      <w:r>
        <w:rPr>
          <w:rFonts w:hint="eastAsia" w:ascii="宋体" w:hAnsi="宋体" w:cs="宋体"/>
          <w:color w:val="auto"/>
          <w:szCs w:val="21"/>
        </w:rPr>
        <w:t>（6）不同供应商的磋商保证金从同一单位或者个人账户转出。</w:t>
      </w:r>
    </w:p>
    <w:p w14:paraId="6F70B1C1">
      <w:pPr>
        <w:pStyle w:val="5"/>
        <w:spacing w:line="360" w:lineRule="auto"/>
        <w:ind w:firstLine="420" w:firstLineChars="200"/>
        <w:rPr>
          <w:rFonts w:ascii="宋体" w:hAnsi="宋体" w:cs="宋体"/>
          <w:color w:val="auto"/>
          <w:sz w:val="21"/>
          <w:szCs w:val="21"/>
        </w:rPr>
      </w:pPr>
      <w:bookmarkStart w:id="114" w:name="_Toc5714"/>
      <w:bookmarkStart w:id="115" w:name="_Toc20770"/>
      <w:r>
        <w:rPr>
          <w:rFonts w:hint="eastAsia" w:ascii="宋体" w:hAnsi="宋体" w:cs="宋体"/>
          <w:color w:val="auto"/>
          <w:sz w:val="21"/>
          <w:szCs w:val="21"/>
        </w:rPr>
        <w:t>24. 出现下列情形之一的，采购人或者采购代理机构应当终止竞争性磋商采购活动，发布项目终止公告并说明原因，重新开展采购活动</w:t>
      </w:r>
      <w:bookmarkEnd w:id="114"/>
      <w:bookmarkEnd w:id="115"/>
    </w:p>
    <w:p w14:paraId="6014E224">
      <w:pPr>
        <w:spacing w:line="360" w:lineRule="auto"/>
        <w:ind w:firstLine="420" w:firstLineChars="200"/>
        <w:rPr>
          <w:rFonts w:ascii="宋体" w:hAnsi="宋体" w:cs="宋体"/>
          <w:color w:val="auto"/>
          <w:szCs w:val="21"/>
        </w:rPr>
      </w:pPr>
      <w:r>
        <w:rPr>
          <w:rFonts w:hint="eastAsia" w:ascii="宋体" w:hAnsi="宋体" w:cs="宋体"/>
          <w:color w:val="auto"/>
          <w:szCs w:val="21"/>
        </w:rPr>
        <w:t>（1）因情况变化，不再符合规定的竞争性磋商采购方式适用情形的；</w:t>
      </w:r>
    </w:p>
    <w:p w14:paraId="7F69F551">
      <w:pPr>
        <w:spacing w:line="360" w:lineRule="auto"/>
        <w:ind w:firstLine="420" w:firstLineChars="200"/>
        <w:rPr>
          <w:rFonts w:ascii="宋体" w:hAnsi="宋体" w:cs="宋体"/>
          <w:color w:val="auto"/>
          <w:szCs w:val="21"/>
        </w:rPr>
      </w:pPr>
      <w:r>
        <w:rPr>
          <w:rFonts w:hint="eastAsia" w:ascii="宋体" w:hAnsi="宋体" w:cs="宋体"/>
          <w:color w:val="auto"/>
          <w:szCs w:val="21"/>
        </w:rPr>
        <w:t xml:space="preserve">（2）出现影响采购公正的违法、违规行为的； </w:t>
      </w:r>
    </w:p>
    <w:p w14:paraId="22A54464">
      <w:pPr>
        <w:spacing w:line="360" w:lineRule="auto"/>
        <w:ind w:firstLine="420" w:firstLineChars="200"/>
        <w:rPr>
          <w:rFonts w:ascii="宋体" w:hAnsi="宋体" w:cs="宋体"/>
          <w:b/>
          <w:bCs/>
          <w:color w:val="auto"/>
          <w:szCs w:val="21"/>
        </w:rPr>
      </w:pPr>
      <w:r>
        <w:rPr>
          <w:rFonts w:hint="eastAsia" w:ascii="宋体" w:hAnsi="宋体" w:cs="宋体"/>
          <w:color w:val="auto"/>
          <w:szCs w:val="21"/>
        </w:rPr>
        <w:t>（3）在采购过程中符合竞争要求的供应商或者报价未超过采购预算的供应商不足3家的。</w:t>
      </w:r>
      <w:r>
        <w:rPr>
          <w:rFonts w:hint="eastAsia" w:ascii="宋体" w:hAnsi="宋体" w:cs="宋体"/>
          <w:b/>
          <w:bCs/>
          <w:color w:val="auto"/>
          <w:szCs w:val="21"/>
        </w:rPr>
        <w:t xml:space="preserve">（除财库〔2014〕214 号《政府采购竞争性磋商采购方式管理暂行办法》第二十一条第三款规定的情形外） </w:t>
      </w:r>
    </w:p>
    <w:p w14:paraId="73762671">
      <w:pPr>
        <w:pStyle w:val="5"/>
        <w:spacing w:line="360" w:lineRule="auto"/>
        <w:ind w:firstLine="420" w:firstLineChars="200"/>
        <w:rPr>
          <w:rFonts w:ascii="宋体" w:hAnsi="宋体" w:cs="宋体"/>
          <w:color w:val="auto"/>
          <w:sz w:val="21"/>
          <w:szCs w:val="21"/>
        </w:rPr>
      </w:pPr>
      <w:bookmarkStart w:id="116" w:name="_Toc19105"/>
      <w:bookmarkStart w:id="117" w:name="_Toc32461"/>
      <w:r>
        <w:rPr>
          <w:rFonts w:hint="eastAsia" w:ascii="宋体" w:hAnsi="宋体" w:cs="宋体"/>
          <w:color w:val="auto"/>
          <w:sz w:val="21"/>
          <w:szCs w:val="21"/>
        </w:rPr>
        <w:t>25. 磋商过程的监控</w:t>
      </w:r>
      <w:bookmarkEnd w:id="116"/>
      <w:bookmarkEnd w:id="117"/>
    </w:p>
    <w:p w14:paraId="34AC8581">
      <w:pPr>
        <w:spacing w:line="360" w:lineRule="auto"/>
        <w:ind w:firstLine="420" w:firstLineChars="200"/>
        <w:rPr>
          <w:rFonts w:ascii="宋体" w:hAnsi="宋体" w:cs="宋体"/>
          <w:color w:val="auto"/>
          <w:szCs w:val="21"/>
        </w:rPr>
      </w:pPr>
      <w:r>
        <w:rPr>
          <w:rFonts w:hint="eastAsia" w:ascii="宋体" w:hAnsi="宋体" w:cs="宋体"/>
          <w:color w:val="auto"/>
          <w:szCs w:val="21"/>
        </w:rPr>
        <w:t>本项目磋商过程实行全程录音、录像监控，供应商在磋商过程中所进行的试图影响磋商结果的不公正活动，可能导致其磋商被拒绝。</w:t>
      </w:r>
    </w:p>
    <w:p w14:paraId="65B5715C">
      <w:pPr>
        <w:pStyle w:val="5"/>
        <w:numPr>
          <w:ilvl w:val="0"/>
          <w:numId w:val="7"/>
        </w:numPr>
        <w:spacing w:line="360" w:lineRule="auto"/>
        <w:ind w:firstLine="420" w:firstLineChars="200"/>
        <w:rPr>
          <w:rFonts w:ascii="宋体" w:hAnsi="宋体" w:cs="宋体"/>
          <w:color w:val="auto"/>
          <w:sz w:val="21"/>
          <w:szCs w:val="21"/>
        </w:rPr>
      </w:pPr>
      <w:bookmarkStart w:id="118" w:name="_Toc32457"/>
      <w:bookmarkStart w:id="119" w:name="_Toc14787"/>
      <w:r>
        <w:rPr>
          <w:rFonts w:hint="eastAsia" w:ascii="宋体" w:hAnsi="宋体" w:cs="宋体"/>
          <w:color w:val="auto"/>
          <w:sz w:val="21"/>
          <w:szCs w:val="21"/>
        </w:rPr>
        <w:t>信用查询</w:t>
      </w:r>
      <w:bookmarkEnd w:id="118"/>
      <w:bookmarkEnd w:id="119"/>
    </w:p>
    <w:p w14:paraId="4986F98C">
      <w:pPr>
        <w:spacing w:line="360" w:lineRule="auto"/>
        <w:ind w:firstLine="420" w:firstLineChars="200"/>
        <w:rPr>
          <w:rFonts w:ascii="宋体" w:hAnsi="宋体" w:cs="宋体"/>
          <w:color w:val="auto"/>
          <w:szCs w:val="21"/>
        </w:rPr>
      </w:pPr>
      <w:r>
        <w:rPr>
          <w:rFonts w:hint="eastAsia" w:ascii="宋体" w:hAnsi="宋体" w:cs="宋体"/>
          <w:color w:val="auto"/>
          <w:szCs w:val="21"/>
        </w:rPr>
        <w:t>根据《关于做好政府采购有关信用主体标识码登记及在政府采购活动中查询使用信用记录有关问题的通知》（桂财采〔2016〕37号</w:t>
      </w:r>
      <w:r>
        <w:rPr>
          <w:rFonts w:hint="eastAsia"/>
          <w:color w:val="auto"/>
        </w:rPr>
        <w:t>）</w:t>
      </w:r>
      <w:r>
        <w:rPr>
          <w:rFonts w:hint="eastAsia" w:ascii="宋体" w:hAnsi="宋体" w:cs="宋体"/>
          <w:color w:val="auto"/>
          <w:szCs w:val="21"/>
        </w:rPr>
        <w:t>，采购代理机构对成交人的成交资格进行信用查询：</w:t>
      </w:r>
    </w:p>
    <w:p w14:paraId="42E32CF0">
      <w:pPr>
        <w:spacing w:line="360" w:lineRule="auto"/>
        <w:ind w:firstLine="210" w:firstLineChars="100"/>
        <w:rPr>
          <w:rFonts w:ascii="宋体" w:hAnsi="宋体" w:cs="宋体"/>
          <w:color w:val="auto"/>
          <w:szCs w:val="21"/>
        </w:rPr>
      </w:pPr>
      <w:r>
        <w:rPr>
          <w:rFonts w:hint="eastAsia" w:ascii="宋体" w:hAnsi="宋体" w:cs="宋体"/>
          <w:color w:val="auto"/>
          <w:szCs w:val="21"/>
        </w:rPr>
        <w:t>（1）查询渠道：“信用中国”网站(www.creditchina.gov.cn)、中国政府采购网(www.ccgp.gov.cn)等；</w:t>
      </w:r>
    </w:p>
    <w:p w14:paraId="3E98D6A2">
      <w:pPr>
        <w:spacing w:line="360" w:lineRule="auto"/>
        <w:ind w:firstLine="210" w:firstLineChars="100"/>
        <w:rPr>
          <w:rFonts w:ascii="宋体" w:hAnsi="宋体" w:cs="宋体"/>
          <w:color w:val="auto"/>
          <w:szCs w:val="21"/>
        </w:rPr>
      </w:pPr>
      <w:r>
        <w:rPr>
          <w:rFonts w:hint="eastAsia" w:ascii="宋体" w:hAnsi="宋体" w:cs="宋体"/>
          <w:color w:val="auto"/>
          <w:szCs w:val="21"/>
        </w:rPr>
        <w:t>（2）查询时间：成交通知书发出前；</w:t>
      </w:r>
    </w:p>
    <w:p w14:paraId="1C99FC52">
      <w:pPr>
        <w:spacing w:line="360" w:lineRule="auto"/>
        <w:ind w:firstLine="210" w:firstLineChars="100"/>
        <w:rPr>
          <w:rFonts w:ascii="宋体" w:hAnsi="宋体" w:cs="宋体"/>
          <w:color w:val="auto"/>
          <w:szCs w:val="21"/>
        </w:rPr>
      </w:pPr>
      <w:r>
        <w:rPr>
          <w:rFonts w:hint="eastAsia" w:ascii="宋体" w:hAnsi="宋体" w:cs="宋体"/>
          <w:color w:val="auto"/>
          <w:szCs w:val="21"/>
        </w:rPr>
        <w:t>（3）信用信息查询记录和证据留存方式：在查询网站中直接打印查询记录，打印材料作为采购活动资料保存。</w:t>
      </w:r>
    </w:p>
    <w:p w14:paraId="0CA6813A">
      <w:pPr>
        <w:spacing w:line="360" w:lineRule="auto"/>
        <w:ind w:firstLine="210" w:firstLineChars="100"/>
        <w:rPr>
          <w:rFonts w:ascii="宋体" w:hAnsi="宋体" w:cs="宋体"/>
          <w:color w:val="auto"/>
          <w:szCs w:val="21"/>
        </w:rPr>
      </w:pPr>
      <w:r>
        <w:rPr>
          <w:rFonts w:hint="eastAsia" w:ascii="宋体" w:hAnsi="宋体" w:cs="宋体"/>
          <w:color w:val="auto"/>
          <w:szCs w:val="21"/>
        </w:rPr>
        <w:t>（4）信用信息使用规则：对在“信用中国”网站(www.creditchina.gov.cn)、中国政府采购网(www.ccgp.gov.cn)等渠道列入失信被执行人、重大税收违法案件当事人名单、政府采购严重违法失信行为记录名单及其他不</w:t>
      </w:r>
      <w:r>
        <w:rPr>
          <w:rFonts w:hint="eastAsia" w:ascii="宋体" w:hAnsi="宋体" w:cs="宋体"/>
          <w:color w:val="auto"/>
          <w:szCs w:val="21"/>
          <w:lang w:val="en-US" w:eastAsia="zh-CN"/>
        </w:rPr>
        <w:t xml:space="preserve"> </w:t>
      </w:r>
      <w:r>
        <w:rPr>
          <w:rFonts w:hint="eastAsia" w:ascii="宋体" w:hAnsi="宋体" w:cs="宋体"/>
          <w:color w:val="auto"/>
          <w:szCs w:val="21"/>
        </w:rPr>
        <w:t>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14:paraId="6F3982AC">
      <w:pPr>
        <w:spacing w:line="360" w:lineRule="auto"/>
        <w:ind w:firstLine="420" w:firstLineChars="200"/>
        <w:rPr>
          <w:rFonts w:ascii="宋体" w:hAnsi="宋体" w:cs="宋体"/>
          <w:color w:val="auto"/>
        </w:rPr>
      </w:pPr>
      <w:r>
        <w:rPr>
          <w:rFonts w:hint="eastAsia" w:ascii="宋体" w:hAnsi="宋体" w:cs="宋体"/>
          <w:color w:val="auto"/>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43767CD">
      <w:pPr>
        <w:pStyle w:val="5"/>
        <w:spacing w:line="360" w:lineRule="auto"/>
        <w:ind w:firstLine="420" w:firstLineChars="200"/>
        <w:rPr>
          <w:rFonts w:ascii="宋体" w:hAnsi="宋体" w:cs="宋体"/>
          <w:color w:val="auto"/>
          <w:sz w:val="21"/>
          <w:szCs w:val="21"/>
        </w:rPr>
      </w:pPr>
      <w:bookmarkStart w:id="120" w:name="_Toc778"/>
      <w:bookmarkStart w:id="121" w:name="_Toc9438"/>
      <w:r>
        <w:rPr>
          <w:rFonts w:hint="eastAsia" w:ascii="宋体" w:hAnsi="宋体" w:cs="宋体"/>
          <w:color w:val="auto"/>
          <w:sz w:val="21"/>
          <w:szCs w:val="21"/>
        </w:rPr>
        <w:t>27. 成交结果公告及成交通知书</w:t>
      </w:r>
      <w:bookmarkEnd w:id="120"/>
      <w:bookmarkEnd w:id="121"/>
    </w:p>
    <w:p w14:paraId="07A8B8AC">
      <w:pPr>
        <w:spacing w:line="360" w:lineRule="auto"/>
        <w:ind w:firstLine="420" w:firstLineChars="200"/>
        <w:rPr>
          <w:rFonts w:ascii="宋体" w:hAnsi="宋体" w:cs="宋体"/>
          <w:color w:val="auto"/>
          <w:szCs w:val="21"/>
        </w:rPr>
      </w:pPr>
      <w:r>
        <w:rPr>
          <w:rFonts w:hint="eastAsia" w:ascii="宋体" w:hAnsi="宋体" w:cs="宋体"/>
          <w:color w:val="auto"/>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14:paraId="1872D949">
      <w:pPr>
        <w:spacing w:line="360" w:lineRule="auto"/>
        <w:ind w:firstLine="420" w:firstLineChars="200"/>
        <w:rPr>
          <w:rFonts w:ascii="宋体" w:hAnsi="宋体" w:cs="宋体"/>
          <w:color w:val="auto"/>
          <w:szCs w:val="21"/>
        </w:rPr>
      </w:pPr>
      <w:r>
        <w:rPr>
          <w:rFonts w:hint="eastAsia" w:ascii="宋体" w:hAnsi="宋体" w:cs="宋体"/>
          <w:color w:val="auto"/>
          <w:szCs w:val="21"/>
        </w:rPr>
        <w:t>27.2 在发布成交公告的同时，采购代理机构向成交供应商发出成交通知书。成交供应商自接到通知之日起七个工作日内，办理成交通知书领取手续。</w:t>
      </w:r>
    </w:p>
    <w:p w14:paraId="05160D67">
      <w:pPr>
        <w:spacing w:line="360" w:lineRule="auto"/>
        <w:ind w:firstLine="420" w:firstLineChars="200"/>
        <w:rPr>
          <w:rFonts w:ascii="宋体" w:hAnsi="宋体" w:cs="宋体"/>
          <w:color w:val="auto"/>
          <w:szCs w:val="21"/>
        </w:rPr>
      </w:pPr>
      <w:r>
        <w:rPr>
          <w:rFonts w:hint="eastAsia" w:ascii="宋体" w:hAnsi="宋体" w:cs="宋体"/>
          <w:color w:val="auto"/>
          <w:szCs w:val="21"/>
        </w:rPr>
        <w:t>27.3 采购代理机构无义务向未成交的供应商解释未成交原因和退还响应文件。</w:t>
      </w:r>
    </w:p>
    <w:p w14:paraId="25CDBA31">
      <w:pPr>
        <w:pStyle w:val="4"/>
        <w:spacing w:line="288" w:lineRule="auto"/>
        <w:jc w:val="center"/>
        <w:rPr>
          <w:rFonts w:ascii="宋体" w:hAnsi="宋体" w:cs="宋体"/>
          <w:b/>
          <w:bCs w:val="0"/>
          <w:color w:val="auto"/>
          <w:szCs w:val="28"/>
        </w:rPr>
      </w:pPr>
      <w:bookmarkStart w:id="122" w:name="_Toc19479"/>
      <w:bookmarkStart w:id="123" w:name="_Toc25593"/>
      <w:r>
        <w:rPr>
          <w:rFonts w:hint="eastAsia" w:ascii="宋体" w:hAnsi="宋体" w:cs="宋体"/>
          <w:b/>
          <w:bCs w:val="0"/>
          <w:color w:val="auto"/>
          <w:szCs w:val="28"/>
        </w:rPr>
        <w:t>五、签订合同</w:t>
      </w:r>
      <w:bookmarkEnd w:id="122"/>
      <w:bookmarkEnd w:id="123"/>
    </w:p>
    <w:p w14:paraId="249263AF">
      <w:pPr>
        <w:ind w:firstLine="420" w:firstLineChars="200"/>
        <w:rPr>
          <w:b/>
          <w:bCs/>
          <w:color w:val="auto"/>
        </w:rPr>
      </w:pPr>
      <w:bookmarkStart w:id="124" w:name="_Toc2100"/>
      <w:bookmarkStart w:id="125" w:name="_Toc26520"/>
      <w:r>
        <w:rPr>
          <w:rFonts w:hint="eastAsia"/>
          <w:b/>
          <w:bCs/>
          <w:color w:val="auto"/>
        </w:rPr>
        <w:t>28. 履约保证金</w:t>
      </w:r>
      <w:bookmarkEnd w:id="124"/>
      <w:bookmarkEnd w:id="125"/>
      <w:r>
        <w:rPr>
          <w:rFonts w:hint="eastAsia"/>
          <w:b/>
          <w:bCs/>
          <w:color w:val="auto"/>
        </w:rPr>
        <w:t>：</w:t>
      </w:r>
    </w:p>
    <w:p w14:paraId="4E8A17D9">
      <w:pPr>
        <w:pStyle w:val="17"/>
        <w:spacing w:line="380" w:lineRule="exact"/>
        <w:ind w:left="6" w:leftChars="3" w:firstLine="420" w:firstLineChars="200"/>
        <w:rPr>
          <w:rFonts w:hAnsi="宋体" w:cs="宋体"/>
          <w:color w:val="auto"/>
          <w:szCs w:val="21"/>
        </w:rPr>
      </w:pPr>
      <w:r>
        <w:rPr>
          <w:rFonts w:hint="eastAsia" w:hAnsi="宋体"/>
          <w:color w:val="auto"/>
          <w:szCs w:val="21"/>
        </w:rPr>
        <w:t>本项目履约保证金：无</w:t>
      </w:r>
      <w:r>
        <w:rPr>
          <w:rFonts w:hint="eastAsia" w:hAnsi="宋体" w:cs="宋体"/>
          <w:color w:val="auto"/>
          <w:szCs w:val="21"/>
        </w:rPr>
        <w:t>。</w:t>
      </w:r>
    </w:p>
    <w:p w14:paraId="61648498">
      <w:pPr>
        <w:ind w:firstLine="420" w:firstLineChars="200"/>
        <w:jc w:val="left"/>
        <w:rPr>
          <w:b/>
          <w:bCs/>
          <w:color w:val="auto"/>
        </w:rPr>
      </w:pPr>
      <w:bookmarkStart w:id="126" w:name="_Toc4956"/>
      <w:bookmarkStart w:id="127" w:name="_Toc1023"/>
      <w:r>
        <w:rPr>
          <w:rFonts w:hint="eastAsia"/>
          <w:b/>
          <w:bCs/>
          <w:color w:val="auto"/>
        </w:rPr>
        <w:t>29. 签订合同</w:t>
      </w:r>
      <w:bookmarkEnd w:id="126"/>
      <w:bookmarkEnd w:id="127"/>
    </w:p>
    <w:p w14:paraId="1878B057">
      <w:pPr>
        <w:spacing w:line="288" w:lineRule="auto"/>
        <w:ind w:firstLine="420" w:firstLineChars="200"/>
        <w:rPr>
          <w:rFonts w:ascii="宋体" w:hAnsi="宋体" w:cs="宋体"/>
          <w:b/>
          <w:bCs/>
          <w:color w:val="auto"/>
          <w:szCs w:val="21"/>
        </w:rPr>
      </w:pPr>
      <w:r>
        <w:rPr>
          <w:rFonts w:hint="eastAsia" w:ascii="宋体" w:hAnsi="宋体" w:cs="宋体"/>
          <w:b/>
          <w:bCs/>
          <w:color w:val="auto"/>
          <w:szCs w:val="21"/>
        </w:rPr>
        <w:t>29.1 签订合同时间：成交通知书发出之日起八个工作日内签订合同。成交供应商领取成交通知书后，应按规定与采购人签订合同。</w:t>
      </w:r>
    </w:p>
    <w:p w14:paraId="16F53ADE">
      <w:pPr>
        <w:spacing w:line="288" w:lineRule="auto"/>
        <w:ind w:firstLine="420" w:firstLineChars="200"/>
        <w:rPr>
          <w:rFonts w:ascii="宋体" w:hAnsi="宋体" w:cs="宋体"/>
          <w:color w:val="auto"/>
          <w:szCs w:val="21"/>
        </w:rPr>
      </w:pPr>
      <w:r>
        <w:rPr>
          <w:rFonts w:hint="eastAsia" w:ascii="宋体" w:hAnsi="宋体" w:cs="宋体"/>
          <w:color w:val="auto"/>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14:paraId="2CD5440E">
      <w:pPr>
        <w:spacing w:line="288" w:lineRule="auto"/>
        <w:ind w:firstLine="420" w:firstLineChars="200"/>
        <w:rPr>
          <w:rFonts w:ascii="宋体" w:hAnsi="宋体" w:cs="宋体"/>
          <w:color w:val="auto"/>
          <w:szCs w:val="21"/>
        </w:rPr>
      </w:pPr>
      <w:r>
        <w:rPr>
          <w:rFonts w:hint="eastAsia" w:ascii="宋体" w:hAnsi="宋体" w:cs="宋体"/>
          <w:color w:val="auto"/>
          <w:szCs w:val="21"/>
        </w:rPr>
        <w:t>（1）成交后不与采购人签订合同的（不可抗力除外）；</w:t>
      </w:r>
    </w:p>
    <w:p w14:paraId="149E1D52">
      <w:pPr>
        <w:spacing w:line="288" w:lineRule="auto"/>
        <w:ind w:firstLine="420" w:firstLineChars="200"/>
        <w:rPr>
          <w:rFonts w:ascii="宋体" w:hAnsi="宋体" w:cs="宋体"/>
          <w:color w:val="auto"/>
          <w:szCs w:val="21"/>
        </w:rPr>
      </w:pPr>
      <w:r>
        <w:rPr>
          <w:rFonts w:hint="eastAsia" w:ascii="宋体" w:hAnsi="宋体" w:cs="宋体"/>
          <w:color w:val="auto"/>
          <w:szCs w:val="21"/>
        </w:rPr>
        <w:t>（2）将成交项目转让给他人，或者在响应文件中未说明，且未经采购人同意，将成交项目分包给他人的；</w:t>
      </w:r>
    </w:p>
    <w:p w14:paraId="22AD284E">
      <w:pPr>
        <w:spacing w:line="288" w:lineRule="auto"/>
        <w:ind w:firstLine="420" w:firstLineChars="200"/>
        <w:rPr>
          <w:rFonts w:ascii="宋体" w:hAnsi="宋体" w:cs="宋体"/>
          <w:color w:val="auto"/>
          <w:szCs w:val="21"/>
        </w:rPr>
      </w:pPr>
      <w:r>
        <w:rPr>
          <w:rFonts w:hint="eastAsia" w:ascii="宋体" w:hAnsi="宋体" w:cs="宋体"/>
          <w:color w:val="auto"/>
          <w:szCs w:val="21"/>
        </w:rPr>
        <w:t>（3）拒绝履行合同义务的。</w:t>
      </w:r>
    </w:p>
    <w:p w14:paraId="0D653364">
      <w:pPr>
        <w:spacing w:line="288" w:lineRule="auto"/>
        <w:ind w:firstLine="420" w:firstLineChars="200"/>
        <w:rPr>
          <w:rFonts w:ascii="宋体" w:hAnsi="宋体" w:cs="宋体"/>
          <w:color w:val="auto"/>
        </w:rPr>
      </w:pPr>
      <w:r>
        <w:rPr>
          <w:rFonts w:hint="eastAsia" w:ascii="宋体" w:hAnsi="宋体" w:cs="宋体"/>
          <w:color w:val="auto"/>
          <w:szCs w:val="21"/>
        </w:rPr>
        <w:t>29.3 合同备案存档：</w:t>
      </w:r>
      <w:r>
        <w:rPr>
          <w:rFonts w:hint="eastAsia" w:ascii="宋体" w:hAnsi="宋体" w:cs="宋体"/>
          <w:color w:val="auto"/>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欧邦工程管理集团有限公司存档。</w:t>
      </w:r>
    </w:p>
    <w:p w14:paraId="28A9DF3E">
      <w:pPr>
        <w:pStyle w:val="4"/>
        <w:spacing w:line="288" w:lineRule="auto"/>
        <w:jc w:val="center"/>
        <w:rPr>
          <w:rFonts w:ascii="宋体" w:hAnsi="宋体" w:cs="宋体"/>
          <w:b/>
          <w:bCs w:val="0"/>
          <w:color w:val="auto"/>
          <w:szCs w:val="28"/>
        </w:rPr>
      </w:pPr>
      <w:bookmarkStart w:id="128" w:name="_Toc16348"/>
      <w:bookmarkStart w:id="129" w:name="_Toc24170"/>
      <w:r>
        <w:rPr>
          <w:rFonts w:hint="eastAsia" w:ascii="宋体" w:hAnsi="宋体" w:cs="宋体"/>
          <w:b/>
          <w:bCs w:val="0"/>
          <w:color w:val="auto"/>
          <w:szCs w:val="28"/>
        </w:rPr>
        <w:t>六、其他事项</w:t>
      </w:r>
      <w:bookmarkEnd w:id="128"/>
      <w:bookmarkEnd w:id="129"/>
    </w:p>
    <w:p w14:paraId="369A0E08">
      <w:pPr>
        <w:ind w:firstLine="420" w:firstLineChars="200"/>
        <w:rPr>
          <w:b/>
          <w:bCs/>
          <w:color w:val="auto"/>
        </w:rPr>
      </w:pPr>
      <w:bookmarkStart w:id="130" w:name="_Toc28647"/>
      <w:bookmarkStart w:id="131" w:name="_Toc2872"/>
      <w:r>
        <w:rPr>
          <w:rFonts w:hint="eastAsia"/>
          <w:b/>
          <w:bCs/>
          <w:color w:val="auto"/>
        </w:rPr>
        <w:t>30. 采购代理服务费</w:t>
      </w:r>
      <w:bookmarkEnd w:id="130"/>
      <w:bookmarkEnd w:id="131"/>
    </w:p>
    <w:p w14:paraId="1107D27F">
      <w:pPr>
        <w:spacing w:line="380" w:lineRule="exact"/>
        <w:ind w:firstLine="420" w:firstLineChars="200"/>
        <w:rPr>
          <w:color w:val="auto"/>
          <w:szCs w:val="21"/>
        </w:rPr>
      </w:pPr>
      <w:bookmarkStart w:id="132" w:name="_Toc12374"/>
      <w:bookmarkStart w:id="133" w:name="_Toc8271"/>
      <w:r>
        <w:rPr>
          <w:rFonts w:hint="eastAsia" w:ascii="宋体" w:hAnsi="宋体"/>
          <w:color w:val="auto"/>
          <w:szCs w:val="21"/>
        </w:rPr>
        <w:t>30.1代理服务费：</w:t>
      </w:r>
      <w:r>
        <w:rPr>
          <w:rFonts w:hint="eastAsia" w:ascii="宋体" w:hAnsi="宋体" w:cs="宋体"/>
          <w:color w:val="auto"/>
        </w:rPr>
        <w:t>本项目</w:t>
      </w:r>
      <w:r>
        <w:rPr>
          <w:rFonts w:hint="eastAsia" w:ascii="宋体" w:hAnsi="宋体"/>
          <w:color w:val="auto"/>
        </w:rPr>
        <w:t>采购代理服务费按本须知第30.2条</w:t>
      </w:r>
      <w:r>
        <w:rPr>
          <w:rFonts w:hint="eastAsia" w:ascii="宋体" w:hAnsi="宋体" w:cs="宋体"/>
          <w:color w:val="auto"/>
        </w:rPr>
        <w:t>招标代理服务费标准参照计价格[2002]1980号《招标代理服务收费管理暂行办法》和《招标代理服务收费管理暂行办法》（桂价费[2</w:t>
      </w:r>
      <w:r>
        <w:rPr>
          <w:rFonts w:hint="eastAsia" w:ascii="宋体" w:hAnsi="宋体" w:cs="宋体"/>
          <w:color w:val="auto"/>
          <w:szCs w:val="21"/>
        </w:rPr>
        <w:t>005]283号文）服务类收费标准下浮30%计算，由成交供应商在领取成交通知书前，向采购代理机构一次性支付（如不足6000.00元按6000.00元收取）。</w:t>
      </w:r>
      <w:r>
        <w:rPr>
          <w:rFonts w:hint="eastAsia" w:ascii="宋体" w:hAnsi="宋体"/>
          <w:color w:val="auto"/>
        </w:rPr>
        <w:t>根据本项目采购代理协议该“采购代理服务费”由中标人在成交公告发出之日起5个工作日内一次性向采购代理机构付清（否则，该不利后果由成交人承担）</w:t>
      </w:r>
      <w:r>
        <w:rPr>
          <w:rFonts w:hint="eastAsia" w:ascii="宋体" w:hAnsi="宋体"/>
          <w:color w:val="auto"/>
          <w:szCs w:val="21"/>
        </w:rPr>
        <w:t>。</w:t>
      </w:r>
    </w:p>
    <w:p w14:paraId="7F657D15">
      <w:pPr>
        <w:spacing w:line="380" w:lineRule="exact"/>
        <w:ind w:firstLine="420" w:firstLineChars="200"/>
        <w:rPr>
          <w:rFonts w:ascii="宋体" w:hAnsi="宋体"/>
          <w:color w:val="auto"/>
          <w:szCs w:val="21"/>
        </w:rPr>
      </w:pPr>
      <w:r>
        <w:rPr>
          <w:rFonts w:hint="eastAsia" w:ascii="宋体" w:hAnsi="宋体"/>
          <w:color w:val="auto"/>
          <w:szCs w:val="21"/>
        </w:rPr>
        <w:t>30.2代理服务收费标准：</w:t>
      </w:r>
    </w:p>
    <w:tbl>
      <w:tblPr>
        <w:tblStyle w:val="29"/>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14:paraId="51F2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880" w:type="dxa"/>
          </w:tcPr>
          <w:p w14:paraId="16D5A0FA">
            <w:pPr>
              <w:pStyle w:val="17"/>
              <w:spacing w:line="380" w:lineRule="exact"/>
              <w:ind w:left="25"/>
              <w:rPr>
                <w:rFonts w:hAnsi="宋体"/>
                <w:color w:val="auto"/>
              </w:rPr>
            </w:pPr>
            <w:r>
              <w:rPr>
                <w:rFonts w:hAnsi="宋体"/>
                <w:color w:val="auto"/>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 name="直线 2"/>
                      <wp:cNvGraphicFramePr/>
                      <a:graphic xmlns:a="http://schemas.openxmlformats.org/drawingml/2006/main">
                        <a:graphicData uri="http://schemas.microsoft.com/office/word/2010/wordprocessingShape">
                          <wps:wsp>
                            <wps:cNvSpPr/>
                            <wps:spPr>
                              <a:xfrm>
                                <a:off x="0" y="0"/>
                                <a:ext cx="1463675" cy="653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3.35pt;margin-top:0.85pt;height:51.45pt;width:115.25pt;z-index:25166028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">
                      <v:fill on="f" focussize="0,0"/>
                      <v:stroke color="#000000" joinstyle="round"/>
                      <v:imagedata o:title=""/>
                      <o:lock v:ext="edit" aspectratio="f"/>
                    </v:line>
                  </w:pict>
                </mc:Fallback>
              </mc:AlternateContent>
            </w:r>
            <w:r>
              <w:rPr>
                <w:rFonts w:hint="eastAsia" w:hAnsi="宋体"/>
                <w:color w:val="auto"/>
              </w:rPr>
              <w:t>费率           服务类型</w:t>
            </w:r>
          </w:p>
          <w:p w14:paraId="1AD3EEA0">
            <w:pPr>
              <w:pStyle w:val="17"/>
              <w:spacing w:line="380" w:lineRule="exact"/>
              <w:ind w:left="25"/>
              <w:rPr>
                <w:rFonts w:hAnsi="宋体"/>
                <w:color w:val="auto"/>
              </w:rPr>
            </w:pPr>
            <w:r>
              <w:rPr>
                <w:rFonts w:hAnsi="宋体"/>
                <w:color w:val="auto"/>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2" name="直线 3"/>
                      <wp:cNvGraphicFramePr/>
                      <a:graphic xmlns:a="http://schemas.openxmlformats.org/drawingml/2006/main">
                        <a:graphicData uri="http://schemas.microsoft.com/office/word/2010/wordprocessingShape">
                          <wps:wsp>
                            <wps:cNvSpPr/>
                            <wps:spPr>
                              <a:xfrm>
                                <a:off x="0" y="0"/>
                                <a:ext cx="18288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Dq9E1gAAAAgBAAAPAAAAAAAAAAEAIAAAACIAAABkcnMvZG93bnJldi54bWxQSwECFAAUAAAACACH&#10;TuJAG8GR7+0BAADgAwAADgAAAAAAAAABACAAAAAlAQAAZHJzL2Uyb0RvYy54bWxQSwUGAAAAAAYA&#10;BgBZAQAAhAUAAAAA&#10;">
                      <v:fill on="f" focussize="0,0"/>
                      <v:stroke color="#000000" joinstyle="round"/>
                      <v:imagedata o:title=""/>
                      <o:lock v:ext="edit" aspectratio="f"/>
                    </v:line>
                  </w:pict>
                </mc:Fallback>
              </mc:AlternateContent>
            </w:r>
          </w:p>
          <w:p w14:paraId="255706A8">
            <w:pPr>
              <w:pStyle w:val="17"/>
              <w:spacing w:line="380" w:lineRule="exact"/>
              <w:ind w:left="25"/>
              <w:rPr>
                <w:rFonts w:hAnsi="宋体"/>
                <w:color w:val="auto"/>
              </w:rPr>
            </w:pPr>
            <w:r>
              <w:rPr>
                <w:rFonts w:hint="eastAsia" w:hAnsi="宋体"/>
                <w:color w:val="auto"/>
              </w:rPr>
              <w:t>成交金额</w:t>
            </w:r>
          </w:p>
        </w:tc>
        <w:tc>
          <w:tcPr>
            <w:tcW w:w="1841" w:type="dxa"/>
            <w:vAlign w:val="center"/>
          </w:tcPr>
          <w:p w14:paraId="419172A0">
            <w:pPr>
              <w:pStyle w:val="17"/>
              <w:spacing w:line="380" w:lineRule="exact"/>
              <w:ind w:left="25"/>
              <w:jc w:val="center"/>
              <w:rPr>
                <w:rFonts w:hAnsi="宋体"/>
                <w:color w:val="auto"/>
              </w:rPr>
            </w:pPr>
            <w:r>
              <w:rPr>
                <w:rFonts w:hint="eastAsia" w:hAnsi="宋体"/>
                <w:color w:val="auto"/>
              </w:rPr>
              <w:t>货物采购</w:t>
            </w:r>
          </w:p>
        </w:tc>
        <w:tc>
          <w:tcPr>
            <w:tcW w:w="1992" w:type="dxa"/>
            <w:vAlign w:val="center"/>
          </w:tcPr>
          <w:p w14:paraId="135C4103">
            <w:pPr>
              <w:pStyle w:val="17"/>
              <w:spacing w:line="380" w:lineRule="exact"/>
              <w:ind w:left="25"/>
              <w:jc w:val="center"/>
              <w:rPr>
                <w:rFonts w:hAnsi="宋体"/>
                <w:color w:val="auto"/>
              </w:rPr>
            </w:pPr>
            <w:r>
              <w:rPr>
                <w:rFonts w:hint="eastAsia" w:hAnsi="宋体"/>
                <w:color w:val="auto"/>
              </w:rPr>
              <w:t>服务采购</w:t>
            </w:r>
          </w:p>
        </w:tc>
        <w:tc>
          <w:tcPr>
            <w:tcW w:w="2293" w:type="dxa"/>
            <w:vAlign w:val="center"/>
          </w:tcPr>
          <w:p w14:paraId="06214CFC">
            <w:pPr>
              <w:pStyle w:val="17"/>
              <w:spacing w:line="380" w:lineRule="exact"/>
              <w:ind w:left="25"/>
              <w:jc w:val="center"/>
              <w:rPr>
                <w:rFonts w:hAnsi="宋体"/>
                <w:color w:val="auto"/>
              </w:rPr>
            </w:pPr>
            <w:r>
              <w:rPr>
                <w:rFonts w:hint="eastAsia" w:hAnsi="宋体"/>
                <w:color w:val="auto"/>
              </w:rPr>
              <w:t>工程采购</w:t>
            </w:r>
          </w:p>
        </w:tc>
      </w:tr>
      <w:tr w14:paraId="705E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tcPr>
          <w:p w14:paraId="71FD5307">
            <w:pPr>
              <w:pStyle w:val="17"/>
              <w:spacing w:line="380" w:lineRule="exact"/>
              <w:ind w:left="25"/>
              <w:rPr>
                <w:rFonts w:hAnsi="宋体"/>
                <w:color w:val="auto"/>
              </w:rPr>
            </w:pPr>
            <w:r>
              <w:rPr>
                <w:rFonts w:hint="eastAsia" w:hAnsi="宋体"/>
                <w:color w:val="auto"/>
              </w:rPr>
              <w:t>100万元以下</w:t>
            </w:r>
          </w:p>
        </w:tc>
        <w:tc>
          <w:tcPr>
            <w:tcW w:w="1841" w:type="dxa"/>
          </w:tcPr>
          <w:p w14:paraId="015CF786">
            <w:pPr>
              <w:pStyle w:val="51"/>
              <w:spacing w:line="380" w:lineRule="exact"/>
              <w:ind w:left="25"/>
              <w:jc w:val="center"/>
              <w:rPr>
                <w:rFonts w:ascii="宋体" w:hAnsi="宋体"/>
                <w:color w:val="auto"/>
              </w:rPr>
            </w:pPr>
            <w:r>
              <w:rPr>
                <w:rFonts w:hint="eastAsia" w:ascii="宋体" w:hAnsi="宋体"/>
                <w:color w:val="auto"/>
              </w:rPr>
              <w:t>1.5%</w:t>
            </w:r>
          </w:p>
        </w:tc>
        <w:tc>
          <w:tcPr>
            <w:tcW w:w="1992" w:type="dxa"/>
          </w:tcPr>
          <w:p w14:paraId="72AD66FD">
            <w:pPr>
              <w:pStyle w:val="51"/>
              <w:spacing w:line="380" w:lineRule="exact"/>
              <w:ind w:left="25"/>
              <w:jc w:val="center"/>
              <w:rPr>
                <w:rFonts w:ascii="宋体" w:hAnsi="宋体"/>
                <w:color w:val="auto"/>
              </w:rPr>
            </w:pPr>
            <w:r>
              <w:rPr>
                <w:rFonts w:hint="eastAsia" w:ascii="宋体" w:hAnsi="宋体"/>
                <w:color w:val="auto"/>
              </w:rPr>
              <w:t>1.5%</w:t>
            </w:r>
          </w:p>
        </w:tc>
        <w:tc>
          <w:tcPr>
            <w:tcW w:w="2293" w:type="dxa"/>
          </w:tcPr>
          <w:p w14:paraId="612E83D4">
            <w:pPr>
              <w:pStyle w:val="51"/>
              <w:spacing w:line="380" w:lineRule="exact"/>
              <w:ind w:left="25"/>
              <w:jc w:val="center"/>
              <w:rPr>
                <w:rFonts w:ascii="宋体" w:hAnsi="宋体"/>
                <w:color w:val="auto"/>
              </w:rPr>
            </w:pPr>
            <w:r>
              <w:rPr>
                <w:rFonts w:hint="eastAsia" w:ascii="宋体" w:hAnsi="宋体"/>
                <w:color w:val="auto"/>
              </w:rPr>
              <w:t>1.0%</w:t>
            </w:r>
          </w:p>
        </w:tc>
      </w:tr>
      <w:tr w14:paraId="6A44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tcPr>
          <w:p w14:paraId="68A16F14">
            <w:pPr>
              <w:pStyle w:val="17"/>
              <w:spacing w:line="380" w:lineRule="exact"/>
              <w:ind w:left="25"/>
              <w:rPr>
                <w:rFonts w:hAnsi="宋体"/>
                <w:color w:val="auto"/>
              </w:rPr>
            </w:pPr>
            <w:r>
              <w:rPr>
                <w:rFonts w:hint="eastAsia" w:hAnsi="宋体"/>
                <w:color w:val="auto"/>
              </w:rPr>
              <w:t>100～500万元</w:t>
            </w:r>
          </w:p>
        </w:tc>
        <w:tc>
          <w:tcPr>
            <w:tcW w:w="1841" w:type="dxa"/>
          </w:tcPr>
          <w:p w14:paraId="63E05373">
            <w:pPr>
              <w:pStyle w:val="51"/>
              <w:spacing w:line="380" w:lineRule="exact"/>
              <w:ind w:left="25"/>
              <w:jc w:val="center"/>
              <w:rPr>
                <w:rFonts w:ascii="宋体" w:hAnsi="宋体"/>
                <w:color w:val="auto"/>
              </w:rPr>
            </w:pPr>
            <w:r>
              <w:rPr>
                <w:rFonts w:hint="eastAsia" w:ascii="宋体" w:hAnsi="宋体"/>
                <w:color w:val="auto"/>
              </w:rPr>
              <w:t>1.1%</w:t>
            </w:r>
          </w:p>
        </w:tc>
        <w:tc>
          <w:tcPr>
            <w:tcW w:w="1992" w:type="dxa"/>
          </w:tcPr>
          <w:p w14:paraId="50505DA1">
            <w:pPr>
              <w:pStyle w:val="51"/>
              <w:spacing w:line="380" w:lineRule="exact"/>
              <w:ind w:left="25"/>
              <w:jc w:val="center"/>
              <w:rPr>
                <w:rFonts w:ascii="宋体" w:hAnsi="宋体"/>
                <w:color w:val="auto"/>
              </w:rPr>
            </w:pPr>
            <w:r>
              <w:rPr>
                <w:rFonts w:hint="eastAsia" w:ascii="宋体" w:hAnsi="宋体"/>
                <w:color w:val="auto"/>
              </w:rPr>
              <w:t>0.8%</w:t>
            </w:r>
          </w:p>
        </w:tc>
        <w:tc>
          <w:tcPr>
            <w:tcW w:w="2293" w:type="dxa"/>
          </w:tcPr>
          <w:p w14:paraId="4C055428">
            <w:pPr>
              <w:pStyle w:val="51"/>
              <w:spacing w:line="380" w:lineRule="exact"/>
              <w:ind w:left="25"/>
              <w:jc w:val="center"/>
              <w:rPr>
                <w:rFonts w:ascii="宋体" w:hAnsi="宋体"/>
                <w:color w:val="auto"/>
              </w:rPr>
            </w:pPr>
            <w:r>
              <w:rPr>
                <w:rFonts w:hint="eastAsia" w:ascii="宋体" w:hAnsi="宋体"/>
                <w:color w:val="auto"/>
              </w:rPr>
              <w:t>0.7%</w:t>
            </w:r>
          </w:p>
        </w:tc>
      </w:tr>
      <w:tr w14:paraId="558A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7717CDB9">
            <w:pPr>
              <w:pStyle w:val="17"/>
              <w:spacing w:line="380" w:lineRule="exact"/>
              <w:ind w:left="25"/>
              <w:rPr>
                <w:rFonts w:hAnsi="宋体"/>
                <w:color w:val="auto"/>
              </w:rPr>
            </w:pPr>
            <w:r>
              <w:rPr>
                <w:rFonts w:hint="eastAsia" w:hAnsi="宋体"/>
                <w:color w:val="auto"/>
              </w:rPr>
              <w:t>500～1000万元</w:t>
            </w:r>
          </w:p>
        </w:tc>
        <w:tc>
          <w:tcPr>
            <w:tcW w:w="1841" w:type="dxa"/>
          </w:tcPr>
          <w:p w14:paraId="28487398">
            <w:pPr>
              <w:pStyle w:val="17"/>
              <w:spacing w:line="380" w:lineRule="exact"/>
              <w:ind w:left="25"/>
              <w:jc w:val="center"/>
              <w:rPr>
                <w:rFonts w:hAnsi="宋体"/>
                <w:color w:val="auto"/>
              </w:rPr>
            </w:pPr>
            <w:r>
              <w:rPr>
                <w:rFonts w:hint="eastAsia" w:hAnsi="宋体"/>
                <w:color w:val="auto"/>
              </w:rPr>
              <w:t>0.8%</w:t>
            </w:r>
          </w:p>
        </w:tc>
        <w:tc>
          <w:tcPr>
            <w:tcW w:w="1992" w:type="dxa"/>
          </w:tcPr>
          <w:p w14:paraId="3897ACE2">
            <w:pPr>
              <w:pStyle w:val="17"/>
              <w:spacing w:line="380" w:lineRule="exact"/>
              <w:ind w:left="25"/>
              <w:jc w:val="center"/>
              <w:rPr>
                <w:rFonts w:hAnsi="宋体"/>
                <w:color w:val="auto"/>
              </w:rPr>
            </w:pPr>
            <w:r>
              <w:rPr>
                <w:rFonts w:hint="eastAsia" w:hAnsi="宋体"/>
                <w:color w:val="auto"/>
              </w:rPr>
              <w:t>0.45%</w:t>
            </w:r>
          </w:p>
        </w:tc>
        <w:tc>
          <w:tcPr>
            <w:tcW w:w="2293" w:type="dxa"/>
          </w:tcPr>
          <w:p w14:paraId="27254199">
            <w:pPr>
              <w:pStyle w:val="17"/>
              <w:spacing w:line="380" w:lineRule="exact"/>
              <w:ind w:left="25"/>
              <w:jc w:val="center"/>
              <w:rPr>
                <w:rFonts w:hAnsi="宋体"/>
                <w:color w:val="auto"/>
              </w:rPr>
            </w:pPr>
            <w:r>
              <w:rPr>
                <w:rFonts w:hint="eastAsia" w:hAnsi="宋体"/>
                <w:color w:val="auto"/>
              </w:rPr>
              <w:t>0.55%</w:t>
            </w:r>
          </w:p>
        </w:tc>
      </w:tr>
      <w:tr w14:paraId="10B3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23097CCE">
            <w:pPr>
              <w:pStyle w:val="17"/>
              <w:spacing w:line="380" w:lineRule="exact"/>
              <w:ind w:left="25"/>
              <w:rPr>
                <w:rFonts w:hAnsi="宋体"/>
                <w:color w:val="auto"/>
              </w:rPr>
            </w:pPr>
            <w:r>
              <w:rPr>
                <w:rFonts w:hint="eastAsia" w:hAnsi="宋体"/>
                <w:color w:val="auto"/>
              </w:rPr>
              <w:t>1000～5000万元</w:t>
            </w:r>
          </w:p>
        </w:tc>
        <w:tc>
          <w:tcPr>
            <w:tcW w:w="1841" w:type="dxa"/>
          </w:tcPr>
          <w:p w14:paraId="722FC067">
            <w:pPr>
              <w:pStyle w:val="17"/>
              <w:spacing w:line="380" w:lineRule="exact"/>
              <w:ind w:left="25"/>
              <w:jc w:val="center"/>
              <w:rPr>
                <w:rFonts w:hAnsi="宋体"/>
                <w:color w:val="auto"/>
              </w:rPr>
            </w:pPr>
            <w:r>
              <w:rPr>
                <w:rFonts w:hint="eastAsia" w:hAnsi="宋体"/>
                <w:color w:val="auto"/>
              </w:rPr>
              <w:t>0.5%</w:t>
            </w:r>
          </w:p>
        </w:tc>
        <w:tc>
          <w:tcPr>
            <w:tcW w:w="1992" w:type="dxa"/>
          </w:tcPr>
          <w:p w14:paraId="0FD20AAA">
            <w:pPr>
              <w:pStyle w:val="17"/>
              <w:spacing w:line="380" w:lineRule="exact"/>
              <w:ind w:left="25"/>
              <w:jc w:val="center"/>
              <w:rPr>
                <w:rFonts w:hAnsi="宋体"/>
                <w:color w:val="auto"/>
              </w:rPr>
            </w:pPr>
            <w:r>
              <w:rPr>
                <w:rFonts w:hint="eastAsia" w:hAnsi="宋体"/>
                <w:color w:val="auto"/>
              </w:rPr>
              <w:t>0.25%</w:t>
            </w:r>
          </w:p>
        </w:tc>
        <w:tc>
          <w:tcPr>
            <w:tcW w:w="2293" w:type="dxa"/>
          </w:tcPr>
          <w:p w14:paraId="0EBE9037">
            <w:pPr>
              <w:pStyle w:val="17"/>
              <w:spacing w:line="380" w:lineRule="exact"/>
              <w:ind w:left="25"/>
              <w:jc w:val="center"/>
              <w:rPr>
                <w:rFonts w:hAnsi="宋体"/>
                <w:color w:val="auto"/>
              </w:rPr>
            </w:pPr>
            <w:r>
              <w:rPr>
                <w:rFonts w:hint="eastAsia" w:hAnsi="宋体"/>
                <w:color w:val="auto"/>
              </w:rPr>
              <w:t>0.35%</w:t>
            </w:r>
          </w:p>
        </w:tc>
      </w:tr>
      <w:tr w14:paraId="03618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6B2A7A42">
            <w:pPr>
              <w:pStyle w:val="17"/>
              <w:spacing w:line="380" w:lineRule="exact"/>
              <w:ind w:left="25"/>
              <w:rPr>
                <w:rFonts w:hAnsi="宋体"/>
                <w:color w:val="auto"/>
              </w:rPr>
            </w:pPr>
            <w:r>
              <w:rPr>
                <w:rFonts w:hint="eastAsia" w:hAnsi="宋体"/>
                <w:color w:val="auto"/>
              </w:rPr>
              <w:t>5000万元～1亿元</w:t>
            </w:r>
          </w:p>
        </w:tc>
        <w:tc>
          <w:tcPr>
            <w:tcW w:w="1841" w:type="dxa"/>
          </w:tcPr>
          <w:p w14:paraId="4D78A2A5">
            <w:pPr>
              <w:pStyle w:val="17"/>
              <w:spacing w:line="380" w:lineRule="exact"/>
              <w:ind w:left="25"/>
              <w:jc w:val="center"/>
              <w:rPr>
                <w:rFonts w:hAnsi="宋体"/>
                <w:color w:val="auto"/>
              </w:rPr>
            </w:pPr>
            <w:r>
              <w:rPr>
                <w:rFonts w:hint="eastAsia" w:hAnsi="宋体"/>
                <w:color w:val="auto"/>
              </w:rPr>
              <w:t>0.25%</w:t>
            </w:r>
          </w:p>
        </w:tc>
        <w:tc>
          <w:tcPr>
            <w:tcW w:w="1992" w:type="dxa"/>
          </w:tcPr>
          <w:p w14:paraId="7E2E94A0">
            <w:pPr>
              <w:pStyle w:val="17"/>
              <w:spacing w:line="380" w:lineRule="exact"/>
              <w:ind w:left="25"/>
              <w:jc w:val="center"/>
              <w:rPr>
                <w:rFonts w:hAnsi="宋体"/>
                <w:color w:val="auto"/>
              </w:rPr>
            </w:pPr>
            <w:r>
              <w:rPr>
                <w:rFonts w:hint="eastAsia" w:hAnsi="宋体"/>
                <w:color w:val="auto"/>
              </w:rPr>
              <w:t>0.1%</w:t>
            </w:r>
          </w:p>
        </w:tc>
        <w:tc>
          <w:tcPr>
            <w:tcW w:w="2293" w:type="dxa"/>
          </w:tcPr>
          <w:p w14:paraId="1EFEF5C5">
            <w:pPr>
              <w:pStyle w:val="17"/>
              <w:spacing w:line="380" w:lineRule="exact"/>
              <w:ind w:left="25"/>
              <w:jc w:val="center"/>
              <w:rPr>
                <w:rFonts w:hAnsi="宋体"/>
                <w:color w:val="auto"/>
              </w:rPr>
            </w:pPr>
            <w:r>
              <w:rPr>
                <w:rFonts w:hint="eastAsia" w:hAnsi="宋体"/>
                <w:color w:val="auto"/>
              </w:rPr>
              <w:t>0.2%</w:t>
            </w:r>
          </w:p>
        </w:tc>
      </w:tr>
      <w:tr w14:paraId="60E1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0A91E7F0">
            <w:pPr>
              <w:pStyle w:val="17"/>
              <w:spacing w:line="380" w:lineRule="exact"/>
              <w:ind w:left="25"/>
              <w:rPr>
                <w:rFonts w:hAnsi="宋体"/>
                <w:color w:val="auto"/>
              </w:rPr>
            </w:pPr>
            <w:r>
              <w:rPr>
                <w:rFonts w:hint="eastAsia" w:hAnsi="宋体"/>
                <w:color w:val="auto"/>
              </w:rPr>
              <w:t>1～5亿元</w:t>
            </w:r>
          </w:p>
        </w:tc>
        <w:tc>
          <w:tcPr>
            <w:tcW w:w="1841" w:type="dxa"/>
          </w:tcPr>
          <w:p w14:paraId="64111276">
            <w:pPr>
              <w:pStyle w:val="17"/>
              <w:spacing w:line="380" w:lineRule="exact"/>
              <w:ind w:left="25"/>
              <w:jc w:val="center"/>
              <w:rPr>
                <w:rFonts w:hAnsi="宋体"/>
                <w:color w:val="auto"/>
              </w:rPr>
            </w:pPr>
            <w:r>
              <w:rPr>
                <w:rFonts w:hint="eastAsia" w:hAnsi="宋体"/>
                <w:color w:val="auto"/>
              </w:rPr>
              <w:t>0.05%</w:t>
            </w:r>
          </w:p>
        </w:tc>
        <w:tc>
          <w:tcPr>
            <w:tcW w:w="1992" w:type="dxa"/>
          </w:tcPr>
          <w:p w14:paraId="42D1E77D">
            <w:pPr>
              <w:pStyle w:val="17"/>
              <w:spacing w:line="380" w:lineRule="exact"/>
              <w:ind w:left="25"/>
              <w:jc w:val="center"/>
              <w:rPr>
                <w:rFonts w:hAnsi="宋体"/>
                <w:color w:val="auto"/>
              </w:rPr>
            </w:pPr>
            <w:r>
              <w:rPr>
                <w:rFonts w:hint="eastAsia" w:hAnsi="宋体"/>
                <w:color w:val="auto"/>
              </w:rPr>
              <w:t>0.05%</w:t>
            </w:r>
          </w:p>
        </w:tc>
        <w:tc>
          <w:tcPr>
            <w:tcW w:w="2293" w:type="dxa"/>
          </w:tcPr>
          <w:p w14:paraId="6881D131">
            <w:pPr>
              <w:pStyle w:val="17"/>
              <w:spacing w:line="380" w:lineRule="exact"/>
              <w:ind w:left="25"/>
              <w:jc w:val="center"/>
              <w:rPr>
                <w:rFonts w:hAnsi="宋体"/>
                <w:color w:val="auto"/>
              </w:rPr>
            </w:pPr>
            <w:r>
              <w:rPr>
                <w:rFonts w:hint="eastAsia" w:hAnsi="宋体"/>
                <w:color w:val="auto"/>
              </w:rPr>
              <w:t>0.05%</w:t>
            </w:r>
          </w:p>
        </w:tc>
      </w:tr>
      <w:tr w14:paraId="3981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270C3A32">
            <w:pPr>
              <w:pStyle w:val="17"/>
              <w:spacing w:line="380" w:lineRule="exact"/>
              <w:ind w:left="25"/>
              <w:rPr>
                <w:rFonts w:hAnsi="宋体"/>
                <w:color w:val="auto"/>
              </w:rPr>
            </w:pPr>
            <w:r>
              <w:rPr>
                <w:rFonts w:hint="eastAsia" w:hAnsi="宋体"/>
                <w:color w:val="auto"/>
              </w:rPr>
              <w:t>5～10亿元</w:t>
            </w:r>
          </w:p>
        </w:tc>
        <w:tc>
          <w:tcPr>
            <w:tcW w:w="1841" w:type="dxa"/>
          </w:tcPr>
          <w:p w14:paraId="56CDEC7E">
            <w:pPr>
              <w:pStyle w:val="17"/>
              <w:spacing w:line="380" w:lineRule="exact"/>
              <w:ind w:left="25"/>
              <w:jc w:val="center"/>
              <w:rPr>
                <w:rFonts w:hAnsi="宋体"/>
                <w:color w:val="auto"/>
              </w:rPr>
            </w:pPr>
            <w:r>
              <w:rPr>
                <w:rFonts w:hint="eastAsia" w:hAnsi="宋体"/>
                <w:color w:val="auto"/>
              </w:rPr>
              <w:t>0.035%</w:t>
            </w:r>
          </w:p>
        </w:tc>
        <w:tc>
          <w:tcPr>
            <w:tcW w:w="1992" w:type="dxa"/>
          </w:tcPr>
          <w:p w14:paraId="49E5C39C">
            <w:pPr>
              <w:pStyle w:val="17"/>
              <w:spacing w:line="380" w:lineRule="exact"/>
              <w:ind w:left="25"/>
              <w:jc w:val="center"/>
              <w:rPr>
                <w:rFonts w:hAnsi="宋体"/>
                <w:color w:val="auto"/>
              </w:rPr>
            </w:pPr>
            <w:r>
              <w:rPr>
                <w:rFonts w:hint="eastAsia" w:hAnsi="宋体"/>
                <w:color w:val="auto"/>
              </w:rPr>
              <w:t>0.035%</w:t>
            </w:r>
          </w:p>
        </w:tc>
        <w:tc>
          <w:tcPr>
            <w:tcW w:w="2293" w:type="dxa"/>
          </w:tcPr>
          <w:p w14:paraId="34EF3229">
            <w:pPr>
              <w:pStyle w:val="17"/>
              <w:spacing w:line="380" w:lineRule="exact"/>
              <w:ind w:left="25"/>
              <w:jc w:val="center"/>
              <w:rPr>
                <w:rFonts w:hAnsi="宋体"/>
                <w:color w:val="auto"/>
              </w:rPr>
            </w:pPr>
            <w:r>
              <w:rPr>
                <w:rFonts w:hint="eastAsia" w:hAnsi="宋体"/>
                <w:color w:val="auto"/>
              </w:rPr>
              <w:t>0.035%</w:t>
            </w:r>
          </w:p>
        </w:tc>
      </w:tr>
      <w:tr w14:paraId="6D14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2EB591BE">
            <w:pPr>
              <w:pStyle w:val="17"/>
              <w:spacing w:line="380" w:lineRule="exact"/>
              <w:ind w:left="25"/>
              <w:rPr>
                <w:rFonts w:hAnsi="宋体"/>
                <w:color w:val="auto"/>
              </w:rPr>
            </w:pPr>
            <w:r>
              <w:rPr>
                <w:rFonts w:hint="eastAsia" w:hAnsi="宋体"/>
                <w:color w:val="auto"/>
              </w:rPr>
              <w:t>10～50亿元</w:t>
            </w:r>
          </w:p>
        </w:tc>
        <w:tc>
          <w:tcPr>
            <w:tcW w:w="1841" w:type="dxa"/>
          </w:tcPr>
          <w:p w14:paraId="744AA99A">
            <w:pPr>
              <w:pStyle w:val="17"/>
              <w:spacing w:line="380" w:lineRule="exact"/>
              <w:ind w:left="25"/>
              <w:jc w:val="center"/>
              <w:rPr>
                <w:rFonts w:hAnsi="宋体"/>
                <w:color w:val="auto"/>
              </w:rPr>
            </w:pPr>
            <w:r>
              <w:rPr>
                <w:rFonts w:hint="eastAsia" w:hAnsi="宋体"/>
                <w:color w:val="auto"/>
              </w:rPr>
              <w:t>0.008%</w:t>
            </w:r>
          </w:p>
        </w:tc>
        <w:tc>
          <w:tcPr>
            <w:tcW w:w="1992" w:type="dxa"/>
          </w:tcPr>
          <w:p w14:paraId="3B0E9529">
            <w:pPr>
              <w:pStyle w:val="17"/>
              <w:spacing w:line="380" w:lineRule="exact"/>
              <w:ind w:left="25"/>
              <w:jc w:val="center"/>
              <w:rPr>
                <w:rFonts w:hAnsi="宋体"/>
                <w:color w:val="auto"/>
              </w:rPr>
            </w:pPr>
            <w:r>
              <w:rPr>
                <w:rFonts w:hint="eastAsia" w:hAnsi="宋体"/>
                <w:color w:val="auto"/>
              </w:rPr>
              <w:t>0.008%</w:t>
            </w:r>
          </w:p>
        </w:tc>
        <w:tc>
          <w:tcPr>
            <w:tcW w:w="2293" w:type="dxa"/>
          </w:tcPr>
          <w:p w14:paraId="572B48EF">
            <w:pPr>
              <w:pStyle w:val="17"/>
              <w:spacing w:line="380" w:lineRule="exact"/>
              <w:ind w:left="25"/>
              <w:jc w:val="center"/>
              <w:rPr>
                <w:rFonts w:hAnsi="宋体"/>
                <w:color w:val="auto"/>
              </w:rPr>
            </w:pPr>
            <w:r>
              <w:rPr>
                <w:rFonts w:hint="eastAsia" w:hAnsi="宋体"/>
                <w:color w:val="auto"/>
              </w:rPr>
              <w:t>0.008%</w:t>
            </w:r>
          </w:p>
        </w:tc>
      </w:tr>
      <w:tr w14:paraId="2B3D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0B51C421">
            <w:pPr>
              <w:pStyle w:val="17"/>
              <w:spacing w:line="380" w:lineRule="exact"/>
              <w:ind w:left="25"/>
              <w:rPr>
                <w:rFonts w:hAnsi="宋体"/>
                <w:color w:val="auto"/>
              </w:rPr>
            </w:pPr>
            <w:r>
              <w:rPr>
                <w:rFonts w:hint="eastAsia" w:hAnsi="宋体"/>
                <w:color w:val="auto"/>
              </w:rPr>
              <w:t>50～100亿元</w:t>
            </w:r>
          </w:p>
        </w:tc>
        <w:tc>
          <w:tcPr>
            <w:tcW w:w="1841" w:type="dxa"/>
          </w:tcPr>
          <w:p w14:paraId="180F9D96">
            <w:pPr>
              <w:pStyle w:val="17"/>
              <w:spacing w:line="380" w:lineRule="exact"/>
              <w:ind w:left="25"/>
              <w:jc w:val="center"/>
              <w:rPr>
                <w:rFonts w:hAnsi="宋体"/>
                <w:color w:val="auto"/>
              </w:rPr>
            </w:pPr>
            <w:r>
              <w:rPr>
                <w:rFonts w:hint="eastAsia" w:hAnsi="宋体"/>
                <w:color w:val="auto"/>
              </w:rPr>
              <w:t>0.006%</w:t>
            </w:r>
          </w:p>
        </w:tc>
        <w:tc>
          <w:tcPr>
            <w:tcW w:w="1992" w:type="dxa"/>
          </w:tcPr>
          <w:p w14:paraId="295193F5">
            <w:pPr>
              <w:pStyle w:val="17"/>
              <w:spacing w:line="380" w:lineRule="exact"/>
              <w:ind w:left="25"/>
              <w:jc w:val="center"/>
              <w:rPr>
                <w:rFonts w:hAnsi="宋体"/>
                <w:color w:val="auto"/>
              </w:rPr>
            </w:pPr>
            <w:r>
              <w:rPr>
                <w:rFonts w:hint="eastAsia" w:hAnsi="宋体"/>
                <w:color w:val="auto"/>
              </w:rPr>
              <w:t>0.006%</w:t>
            </w:r>
          </w:p>
        </w:tc>
        <w:tc>
          <w:tcPr>
            <w:tcW w:w="2293" w:type="dxa"/>
          </w:tcPr>
          <w:p w14:paraId="5E9E4A9D">
            <w:pPr>
              <w:pStyle w:val="17"/>
              <w:spacing w:line="380" w:lineRule="exact"/>
              <w:ind w:left="25"/>
              <w:jc w:val="center"/>
              <w:rPr>
                <w:rFonts w:hAnsi="宋体"/>
                <w:color w:val="auto"/>
              </w:rPr>
            </w:pPr>
            <w:r>
              <w:rPr>
                <w:rFonts w:hint="eastAsia" w:hAnsi="宋体"/>
                <w:color w:val="auto"/>
              </w:rPr>
              <w:t>0.006%</w:t>
            </w:r>
          </w:p>
        </w:tc>
      </w:tr>
      <w:tr w14:paraId="46B6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tcPr>
          <w:p w14:paraId="5C826931">
            <w:pPr>
              <w:pStyle w:val="17"/>
              <w:spacing w:line="380" w:lineRule="exact"/>
              <w:ind w:left="25"/>
              <w:rPr>
                <w:rFonts w:hAnsi="宋体"/>
                <w:color w:val="auto"/>
              </w:rPr>
            </w:pPr>
            <w:r>
              <w:rPr>
                <w:rFonts w:hint="eastAsia" w:hAnsi="宋体"/>
                <w:color w:val="auto"/>
              </w:rPr>
              <w:t>100亿以上</w:t>
            </w:r>
          </w:p>
        </w:tc>
        <w:tc>
          <w:tcPr>
            <w:tcW w:w="1841" w:type="dxa"/>
          </w:tcPr>
          <w:p w14:paraId="13ADEEEA">
            <w:pPr>
              <w:pStyle w:val="17"/>
              <w:spacing w:line="380" w:lineRule="exact"/>
              <w:ind w:left="25"/>
              <w:jc w:val="center"/>
              <w:rPr>
                <w:rFonts w:hAnsi="宋体"/>
                <w:color w:val="auto"/>
              </w:rPr>
            </w:pPr>
            <w:r>
              <w:rPr>
                <w:rFonts w:hint="eastAsia" w:hAnsi="宋体"/>
                <w:color w:val="auto"/>
              </w:rPr>
              <w:t>0.004%</w:t>
            </w:r>
          </w:p>
        </w:tc>
        <w:tc>
          <w:tcPr>
            <w:tcW w:w="1992" w:type="dxa"/>
          </w:tcPr>
          <w:p w14:paraId="6DBA4BA9">
            <w:pPr>
              <w:pStyle w:val="17"/>
              <w:spacing w:line="380" w:lineRule="exact"/>
              <w:ind w:left="25"/>
              <w:jc w:val="center"/>
              <w:rPr>
                <w:rFonts w:hAnsi="宋体"/>
                <w:color w:val="auto"/>
              </w:rPr>
            </w:pPr>
            <w:r>
              <w:rPr>
                <w:rFonts w:hint="eastAsia" w:hAnsi="宋体"/>
                <w:color w:val="auto"/>
              </w:rPr>
              <w:t>0.004%</w:t>
            </w:r>
          </w:p>
        </w:tc>
        <w:tc>
          <w:tcPr>
            <w:tcW w:w="2293" w:type="dxa"/>
          </w:tcPr>
          <w:p w14:paraId="500E51A1">
            <w:pPr>
              <w:pStyle w:val="17"/>
              <w:spacing w:line="380" w:lineRule="exact"/>
              <w:ind w:left="25"/>
              <w:jc w:val="center"/>
              <w:rPr>
                <w:rFonts w:hAnsi="宋体"/>
                <w:color w:val="auto"/>
              </w:rPr>
            </w:pPr>
            <w:r>
              <w:rPr>
                <w:rFonts w:hint="eastAsia" w:hAnsi="宋体"/>
                <w:color w:val="auto"/>
              </w:rPr>
              <w:t>0.004%</w:t>
            </w:r>
          </w:p>
        </w:tc>
      </w:tr>
    </w:tbl>
    <w:p w14:paraId="3E7E914F">
      <w:pPr>
        <w:pStyle w:val="17"/>
        <w:spacing w:line="380" w:lineRule="exact"/>
        <w:ind w:left="25"/>
        <w:rPr>
          <w:rFonts w:hAnsi="宋体"/>
          <w:color w:val="auto"/>
        </w:rPr>
      </w:pPr>
      <w:r>
        <w:rPr>
          <w:rFonts w:hint="eastAsia" w:hAnsi="宋体"/>
          <w:color w:val="auto"/>
        </w:rPr>
        <w:t>注：代理服务收费按差额定率累进法计算。</w:t>
      </w:r>
    </w:p>
    <w:p w14:paraId="232E420A">
      <w:pPr>
        <w:spacing w:line="380" w:lineRule="exact"/>
        <w:ind w:firstLine="420" w:firstLineChars="200"/>
        <w:rPr>
          <w:rFonts w:ascii="宋体" w:hAnsi="宋体"/>
          <w:b/>
          <w:color w:val="auto"/>
        </w:rPr>
      </w:pPr>
      <w:r>
        <w:rPr>
          <w:rFonts w:hint="eastAsia" w:ascii="宋体" w:hAnsi="宋体"/>
          <w:b/>
          <w:color w:val="auto"/>
        </w:rPr>
        <w:t>采购代理机构银行账户：</w:t>
      </w:r>
    </w:p>
    <w:p w14:paraId="36E02A79">
      <w:pPr>
        <w:spacing w:line="360" w:lineRule="exact"/>
        <w:ind w:firstLine="420" w:firstLineChars="200"/>
        <w:rPr>
          <w:rFonts w:ascii="宋体" w:hAnsi="宋体"/>
          <w:color w:val="auto"/>
          <w:szCs w:val="21"/>
        </w:rPr>
      </w:pPr>
      <w:r>
        <w:rPr>
          <w:rFonts w:hint="eastAsia" w:ascii="宋体" w:hAnsi="宋体"/>
          <w:color w:val="auto"/>
          <w:szCs w:val="21"/>
        </w:rPr>
        <w:t xml:space="preserve">开户名称：欧邦工程管理集团有限公司桂林分公司  </w:t>
      </w:r>
    </w:p>
    <w:p w14:paraId="2AA2D2A7">
      <w:pPr>
        <w:spacing w:line="360" w:lineRule="exact"/>
        <w:ind w:firstLine="420" w:firstLineChars="200"/>
        <w:rPr>
          <w:rFonts w:ascii="宋体" w:hAnsi="宋体"/>
          <w:color w:val="auto"/>
          <w:szCs w:val="21"/>
        </w:rPr>
      </w:pPr>
      <w:r>
        <w:rPr>
          <w:rFonts w:hint="eastAsia" w:ascii="宋体" w:hAnsi="宋体"/>
          <w:color w:val="auto"/>
          <w:szCs w:val="21"/>
        </w:rPr>
        <w:t>开户银行：桂林银行股份有限公司观音阁支行</w:t>
      </w:r>
    </w:p>
    <w:p w14:paraId="593260D7">
      <w:pPr>
        <w:ind w:firstLine="420" w:firstLineChars="200"/>
        <w:rPr>
          <w:color w:val="auto"/>
        </w:rPr>
      </w:pPr>
      <w:r>
        <w:rPr>
          <w:rFonts w:hint="eastAsia" w:hAnsi="宋体"/>
          <w:color w:val="auto"/>
          <w:szCs w:val="21"/>
        </w:rPr>
        <w:t xml:space="preserve">银行账号：660010123185600010   </w:t>
      </w:r>
    </w:p>
    <w:p w14:paraId="0BF42098">
      <w:pPr>
        <w:numPr>
          <w:ilvl w:val="0"/>
          <w:numId w:val="8"/>
        </w:numPr>
        <w:spacing w:line="288" w:lineRule="auto"/>
        <w:ind w:firstLine="420" w:firstLineChars="200"/>
        <w:rPr>
          <w:color w:val="auto"/>
        </w:rPr>
      </w:pPr>
      <w:r>
        <w:rPr>
          <w:rStyle w:val="49"/>
          <w:rFonts w:hint="eastAsia" w:ascii="宋体" w:hAnsi="宋体" w:cs="宋体"/>
          <w:color w:val="auto"/>
          <w:sz w:val="21"/>
          <w:szCs w:val="21"/>
        </w:rPr>
        <w:t>解释权</w:t>
      </w:r>
      <w:bookmarkEnd w:id="132"/>
      <w:bookmarkEnd w:id="133"/>
      <w:r>
        <w:rPr>
          <w:rFonts w:hint="eastAsia" w:ascii="宋体" w:hAnsi="宋体" w:cs="宋体"/>
          <w:color w:val="auto"/>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14:paraId="16331A87">
      <w:pPr>
        <w:spacing w:line="360" w:lineRule="exact"/>
        <w:rPr>
          <w:rFonts w:ascii="宋体" w:hAnsi="宋体" w:cs="宋体"/>
          <w:color w:val="auto"/>
          <w:kern w:val="0"/>
          <w:szCs w:val="21"/>
        </w:rPr>
      </w:pPr>
      <w:bookmarkStart w:id="134" w:name="_Toc24443"/>
      <w:r>
        <w:rPr>
          <w:rStyle w:val="49"/>
          <w:rFonts w:hint="eastAsia" w:ascii="宋体" w:hAnsi="宋体" w:cs="宋体"/>
          <w:color w:val="auto"/>
          <w:sz w:val="21"/>
          <w:szCs w:val="21"/>
        </w:rPr>
        <w:t>32. 监督管理机构</w:t>
      </w:r>
      <w:bookmarkEnd w:id="134"/>
      <w:r>
        <w:rPr>
          <w:rFonts w:hint="eastAsia" w:ascii="宋体" w:hAnsi="宋体" w:cs="宋体"/>
          <w:color w:val="auto"/>
          <w:szCs w:val="21"/>
        </w:rPr>
        <w:t>：桂林市政府采购管理办公室</w:t>
      </w:r>
      <w:r>
        <w:rPr>
          <w:rFonts w:hint="eastAsia" w:ascii="宋体" w:hAnsi="宋体" w:cs="宋体"/>
          <w:color w:val="auto"/>
          <w:kern w:val="0"/>
          <w:szCs w:val="21"/>
        </w:rPr>
        <w:t xml:space="preserve">      联系电话：0773-2829504</w:t>
      </w:r>
    </w:p>
    <w:p w14:paraId="37B0C38D">
      <w:pPr>
        <w:pStyle w:val="12"/>
        <w:numPr>
          <w:ilvl w:val="0"/>
          <w:numId w:val="9"/>
        </w:numPr>
        <w:spacing w:line="360" w:lineRule="exact"/>
        <w:ind w:firstLine="420" w:firstLineChars="200"/>
        <w:rPr>
          <w:rFonts w:ascii="宋体" w:hAnsi="宋体" w:cs="宋体"/>
          <w:color w:val="auto"/>
          <w:kern w:val="0"/>
          <w:szCs w:val="21"/>
        </w:rPr>
      </w:pPr>
      <w:bookmarkStart w:id="135" w:name="_Toc29649"/>
      <w:bookmarkStart w:id="136" w:name="_Toc10892"/>
      <w:r>
        <w:rPr>
          <w:rFonts w:hint="eastAsia" w:ascii="宋体" w:hAnsi="宋体" w:cs="宋体"/>
          <w:b/>
          <w:bCs/>
          <w:color w:val="auto"/>
          <w:kern w:val="0"/>
          <w:szCs w:val="21"/>
        </w:rPr>
        <w:t>其他：</w:t>
      </w:r>
      <w:r>
        <w:rPr>
          <w:rFonts w:hint="eastAsia" w:ascii="宋体" w:hAnsi="宋体" w:cs="宋体"/>
          <w:color w:val="auto"/>
          <w:kern w:val="0"/>
          <w:szCs w:val="21"/>
        </w:rPr>
        <w:t>为让政府采购供应商知晓运用政采贷政策，加强政采贷的推广力度，现将《中国人民银行桂林市中心支行桂林市财政局关于转发《中国人民银行南宁中心支行广西壮族自治区财政厅关于推广线上“政采贷”融资模式的通知》的通知》转发。具体内容详见附表。</w:t>
      </w:r>
    </w:p>
    <w:p w14:paraId="65EEED55">
      <w:pPr>
        <w:pStyle w:val="13"/>
        <w:ind w:left="840" w:leftChars="400" w:firstLine="0" w:firstLineChars="0"/>
        <w:rPr>
          <w:color w:val="auto"/>
        </w:rPr>
      </w:pPr>
    </w:p>
    <w:p w14:paraId="51BC49FF">
      <w:pPr>
        <w:pStyle w:val="13"/>
        <w:ind w:left="840" w:leftChars="400" w:firstLine="0" w:firstLineChars="0"/>
        <w:rPr>
          <w:color w:val="auto"/>
        </w:rPr>
      </w:pPr>
    </w:p>
    <w:p w14:paraId="3955DACD">
      <w:pPr>
        <w:rPr>
          <w:color w:val="auto"/>
        </w:rPr>
      </w:pPr>
    </w:p>
    <w:p w14:paraId="6F0BEA63">
      <w:pPr>
        <w:rPr>
          <w:color w:val="auto"/>
        </w:rPr>
      </w:pPr>
    </w:p>
    <w:p w14:paraId="6B3DC079">
      <w:pPr>
        <w:rPr>
          <w:color w:val="auto"/>
        </w:rPr>
      </w:pPr>
    </w:p>
    <w:p w14:paraId="210799FF">
      <w:pPr>
        <w:rPr>
          <w:rFonts w:hint="eastAsia" w:eastAsia="宋体"/>
          <w:color w:val="auto"/>
          <w:lang w:val="en-US" w:eastAsia="zh-CN"/>
        </w:rPr>
      </w:pPr>
      <w:r>
        <w:rPr>
          <w:rFonts w:hint="eastAsia"/>
          <w:color w:val="auto"/>
          <w:lang w:val="en-US" w:eastAsia="zh-CN"/>
        </w:rPr>
        <w:t xml:space="preserve"> </w:t>
      </w:r>
    </w:p>
    <w:p w14:paraId="41A2AB1A">
      <w:pPr>
        <w:pStyle w:val="13"/>
        <w:ind w:left="840" w:leftChars="400" w:firstLine="0" w:firstLineChars="0"/>
        <w:rPr>
          <w:color w:val="auto"/>
        </w:rPr>
      </w:pPr>
    </w:p>
    <w:p w14:paraId="3A167E39">
      <w:pPr>
        <w:pStyle w:val="3"/>
        <w:jc w:val="both"/>
        <w:rPr>
          <w:color w:val="auto"/>
        </w:rPr>
      </w:pPr>
      <w:r>
        <w:rPr>
          <w:color w:val="auto"/>
        </w:rPr>
        <w:drawing>
          <wp:anchor distT="0" distB="0" distL="114300" distR="114300" simplePos="0" relativeHeight="251662336" behindDoc="0" locked="0" layoutInCell="1" allowOverlap="1">
            <wp:simplePos x="0" y="0"/>
            <wp:positionH relativeFrom="column">
              <wp:posOffset>-207010</wp:posOffset>
            </wp:positionH>
            <wp:positionV relativeFrom="paragraph">
              <wp:posOffset>65405</wp:posOffset>
            </wp:positionV>
            <wp:extent cx="6113780" cy="6652895"/>
            <wp:effectExtent l="0" t="0" r="1270" b="14605"/>
            <wp:wrapNone/>
            <wp:docPr id="10" name="图片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9"/>
                    <pic:cNvPicPr>
                      <a:picLocks noChangeAspect="1"/>
                    </pic:cNvPicPr>
                  </pic:nvPicPr>
                  <pic:blipFill>
                    <a:blip r:embed="rId9"/>
                    <a:stretch>
                      <a:fillRect/>
                    </a:stretch>
                  </pic:blipFill>
                  <pic:spPr>
                    <a:xfrm>
                      <a:off x="0" y="0"/>
                      <a:ext cx="6113780" cy="6652895"/>
                    </a:xfrm>
                    <a:prstGeom prst="rect">
                      <a:avLst/>
                    </a:prstGeom>
                    <a:noFill/>
                    <a:ln w="9525">
                      <a:noFill/>
                      <a:miter/>
                    </a:ln>
                  </pic:spPr>
                </pic:pic>
              </a:graphicData>
            </a:graphic>
          </wp:anchor>
        </w:drawing>
      </w:r>
    </w:p>
    <w:p w14:paraId="32C84172">
      <w:pPr>
        <w:pStyle w:val="19"/>
        <w:rPr>
          <w:color w:val="auto"/>
        </w:rPr>
      </w:pPr>
    </w:p>
    <w:p w14:paraId="150768B7">
      <w:pPr>
        <w:pStyle w:val="19"/>
        <w:rPr>
          <w:color w:val="auto"/>
        </w:rPr>
      </w:pPr>
    </w:p>
    <w:p w14:paraId="6CB3757E">
      <w:pPr>
        <w:rPr>
          <w:color w:val="auto"/>
        </w:rPr>
      </w:pPr>
    </w:p>
    <w:p w14:paraId="3DBE6E85">
      <w:pPr>
        <w:pStyle w:val="19"/>
        <w:rPr>
          <w:color w:val="auto"/>
        </w:rPr>
      </w:pPr>
    </w:p>
    <w:p w14:paraId="5B13D030">
      <w:pPr>
        <w:pStyle w:val="19"/>
        <w:rPr>
          <w:color w:val="auto"/>
        </w:rPr>
      </w:pPr>
    </w:p>
    <w:p w14:paraId="4059768B">
      <w:pPr>
        <w:pStyle w:val="19"/>
        <w:rPr>
          <w:color w:val="auto"/>
        </w:rPr>
      </w:pPr>
    </w:p>
    <w:p w14:paraId="3612E148">
      <w:pPr>
        <w:pStyle w:val="3"/>
        <w:rPr>
          <w:color w:val="auto"/>
        </w:rPr>
      </w:pPr>
    </w:p>
    <w:p w14:paraId="23505768">
      <w:pPr>
        <w:pStyle w:val="3"/>
        <w:rPr>
          <w:color w:val="auto"/>
        </w:rPr>
      </w:pPr>
    </w:p>
    <w:p w14:paraId="7FD604E0">
      <w:pPr>
        <w:pStyle w:val="3"/>
        <w:rPr>
          <w:color w:val="auto"/>
        </w:rPr>
      </w:pPr>
    </w:p>
    <w:p w14:paraId="6E792185">
      <w:pPr>
        <w:pStyle w:val="3"/>
        <w:rPr>
          <w:color w:val="auto"/>
        </w:rPr>
      </w:pPr>
    </w:p>
    <w:p w14:paraId="372EF932">
      <w:pPr>
        <w:pStyle w:val="3"/>
        <w:rPr>
          <w:color w:val="auto"/>
        </w:rPr>
      </w:pPr>
    </w:p>
    <w:p w14:paraId="4FE449D6">
      <w:pPr>
        <w:pStyle w:val="3"/>
        <w:jc w:val="both"/>
        <w:rPr>
          <w:color w:val="auto"/>
        </w:rPr>
      </w:pPr>
    </w:p>
    <w:p w14:paraId="0B40BEBE">
      <w:pPr>
        <w:pStyle w:val="3"/>
        <w:rPr>
          <w:color w:val="auto"/>
        </w:rPr>
      </w:pPr>
    </w:p>
    <w:p w14:paraId="5299958F">
      <w:pPr>
        <w:pStyle w:val="3"/>
        <w:rPr>
          <w:color w:val="auto"/>
        </w:rPr>
      </w:pPr>
    </w:p>
    <w:p w14:paraId="1DC5C144">
      <w:pPr>
        <w:pStyle w:val="3"/>
        <w:rPr>
          <w:color w:val="auto"/>
        </w:rPr>
      </w:pPr>
    </w:p>
    <w:p w14:paraId="0FF7B404">
      <w:pPr>
        <w:rPr>
          <w:color w:val="auto"/>
        </w:rPr>
      </w:pPr>
    </w:p>
    <w:p w14:paraId="2554B971">
      <w:pPr>
        <w:rPr>
          <w:color w:val="auto"/>
        </w:rPr>
      </w:pPr>
    </w:p>
    <w:p w14:paraId="4DB98ED0">
      <w:pPr>
        <w:rPr>
          <w:color w:val="auto"/>
        </w:rPr>
      </w:pPr>
    </w:p>
    <w:p w14:paraId="65A13A23">
      <w:pPr>
        <w:rPr>
          <w:color w:val="auto"/>
        </w:rPr>
      </w:pPr>
    </w:p>
    <w:p w14:paraId="269FB41D">
      <w:pPr>
        <w:rPr>
          <w:color w:val="auto"/>
        </w:rPr>
      </w:pPr>
    </w:p>
    <w:bookmarkEnd w:id="135"/>
    <w:bookmarkEnd w:id="136"/>
    <w:p w14:paraId="639E6B06">
      <w:pPr>
        <w:tabs>
          <w:tab w:val="center" w:pos="4410"/>
          <w:tab w:val="left" w:pos="6735"/>
        </w:tabs>
        <w:spacing w:line="480" w:lineRule="auto"/>
        <w:jc w:val="center"/>
        <w:rPr>
          <w:rFonts w:hAnsi="宋体" w:cs="宋体"/>
          <w:b/>
          <w:color w:val="auto"/>
          <w:sz w:val="32"/>
        </w:rPr>
      </w:pPr>
      <w:bookmarkStart w:id="137" w:name="_Toc24716"/>
      <w:r>
        <w:rPr>
          <w:rFonts w:hint="eastAsia" w:ascii="宋体" w:hAnsi="宋体" w:cs="宋体"/>
          <w:b/>
          <w:color w:val="auto"/>
          <w:sz w:val="32"/>
          <w:szCs w:val="32"/>
        </w:rPr>
        <w:t>第三章  服务采购需求</w:t>
      </w:r>
    </w:p>
    <w:p w14:paraId="12C3D382">
      <w:pPr>
        <w:pStyle w:val="61"/>
        <w:widowControl w:val="0"/>
        <w:tabs>
          <w:tab w:val="left" w:pos="846"/>
        </w:tabs>
        <w:spacing w:line="360" w:lineRule="auto"/>
        <w:ind w:left="0" w:firstLine="440" w:firstLineChars="200"/>
        <w:jc w:val="both"/>
        <w:outlineLvl w:val="1"/>
        <w:rPr>
          <w:rFonts w:ascii="宋体" w:hAnsi="宋体" w:cs="宋体"/>
          <w:b/>
          <w:bCs/>
          <w:color w:val="auto"/>
          <w:sz w:val="21"/>
          <w:szCs w:val="21"/>
          <w:lang w:val="zh-CN" w:eastAsia="zh-CN"/>
        </w:rPr>
      </w:pPr>
      <w:r>
        <w:rPr>
          <w:rFonts w:hint="eastAsia" w:ascii="宋体" w:hAnsi="宋体" w:cs="宋体"/>
          <w:color w:val="auto"/>
          <w:szCs w:val="21"/>
          <w:lang w:val="zh-CN" w:eastAsia="zh-CN"/>
        </w:rPr>
        <w:t>★</w:t>
      </w:r>
      <w:r>
        <w:rPr>
          <w:rFonts w:hint="eastAsia" w:ascii="宋体" w:hAnsi="宋体" w:cs="宋体"/>
          <w:b/>
          <w:bCs/>
          <w:color w:val="auto"/>
          <w:sz w:val="21"/>
          <w:szCs w:val="21"/>
          <w:lang w:val="zh-CN" w:eastAsia="zh-CN"/>
        </w:rPr>
        <w:t>一、医疗废物转运处理服务内容：</w:t>
      </w:r>
    </w:p>
    <w:p w14:paraId="4187E3A7">
      <w:pPr>
        <w:pStyle w:val="61"/>
        <w:widowControl w:val="0"/>
        <w:tabs>
          <w:tab w:val="left" w:pos="846"/>
        </w:tabs>
        <w:spacing w:line="360" w:lineRule="auto"/>
        <w:ind w:left="0" w:firstLine="420" w:firstLineChars="200"/>
        <w:jc w:val="both"/>
        <w:rPr>
          <w:rFonts w:ascii="宋体" w:hAnsi="宋体" w:cs="宋体"/>
          <w:color w:val="auto"/>
          <w:sz w:val="21"/>
          <w:szCs w:val="21"/>
          <w:lang w:eastAsia="zh-CN"/>
        </w:rPr>
      </w:pPr>
      <w:r>
        <w:rPr>
          <w:rFonts w:hint="eastAsia" w:ascii="宋体" w:hAnsi="宋体" w:cs="宋体"/>
          <w:color w:val="auto"/>
          <w:sz w:val="21"/>
          <w:szCs w:val="21"/>
          <w:lang w:eastAsia="zh-CN"/>
        </w:rPr>
        <w:t>1. 定期安排转运车辆及人员到甲方暂时贮存点收集(凤北院区、东镇路院区、女性健康管理中心、清风院区）、转运医疗废物，确保医疗废物不堆积须达到“日产日清”标准。</w:t>
      </w:r>
    </w:p>
    <w:p w14:paraId="698BBE5E">
      <w:pPr>
        <w:pStyle w:val="61"/>
        <w:widowControl w:val="0"/>
        <w:tabs>
          <w:tab w:val="left" w:pos="846"/>
        </w:tabs>
        <w:spacing w:line="360" w:lineRule="auto"/>
        <w:ind w:left="0" w:firstLine="420" w:firstLineChars="200"/>
        <w:jc w:val="both"/>
        <w:rPr>
          <w:rFonts w:ascii="宋体" w:hAnsi="宋体" w:cs="宋体"/>
          <w:color w:val="auto"/>
          <w:sz w:val="21"/>
          <w:szCs w:val="21"/>
          <w:lang w:eastAsia="zh-CN"/>
        </w:rPr>
      </w:pPr>
      <w:r>
        <w:rPr>
          <w:rFonts w:hint="eastAsia" w:ascii="宋体" w:hAnsi="宋体" w:cs="宋体"/>
          <w:color w:val="auto"/>
          <w:sz w:val="21"/>
          <w:szCs w:val="21"/>
          <w:lang w:eastAsia="zh-CN"/>
        </w:rPr>
        <w:t>1.1成交供应商负责在规定时间内（每天8:30－17:30）完成采购人医疗废物的转运工作，交接时双方按规定填写医疗废物《转移联单》，联单一式二份。</w:t>
      </w:r>
    </w:p>
    <w:p w14:paraId="54A8C0F0">
      <w:pPr>
        <w:pStyle w:val="61"/>
        <w:widowControl w:val="0"/>
        <w:tabs>
          <w:tab w:val="left" w:pos="846"/>
        </w:tabs>
        <w:spacing w:line="360" w:lineRule="auto"/>
        <w:ind w:left="0" w:firstLine="420" w:firstLineChars="200"/>
        <w:jc w:val="both"/>
        <w:rPr>
          <w:rFonts w:ascii="宋体" w:hAnsi="宋体" w:cs="宋体"/>
          <w:color w:val="auto"/>
          <w:sz w:val="21"/>
          <w:szCs w:val="21"/>
          <w:lang w:eastAsia="zh-CN"/>
        </w:rPr>
      </w:pPr>
      <w:r>
        <w:rPr>
          <w:rFonts w:hint="eastAsia" w:ascii="宋体" w:hAnsi="宋体" w:cs="宋体"/>
          <w:color w:val="auto"/>
          <w:sz w:val="21"/>
          <w:szCs w:val="21"/>
          <w:lang w:eastAsia="zh-CN"/>
        </w:rPr>
        <w:t>1.2特殊情况必须延长转运时间的，须经采购人批准，但延长时限不能违背《医疗废物管理条例》第十七条“医疗废物暂时贮存的时间不得超过2天”的规定。</w:t>
      </w:r>
    </w:p>
    <w:p w14:paraId="3AC31AFB">
      <w:pPr>
        <w:pStyle w:val="61"/>
        <w:widowControl w:val="0"/>
        <w:tabs>
          <w:tab w:val="left" w:pos="846"/>
        </w:tabs>
        <w:spacing w:line="360" w:lineRule="auto"/>
        <w:ind w:left="0" w:firstLine="420" w:firstLineChars="200"/>
        <w:jc w:val="both"/>
        <w:rPr>
          <w:rFonts w:ascii="宋体" w:hAnsi="宋体" w:cs="宋体"/>
          <w:color w:val="auto"/>
          <w:sz w:val="21"/>
          <w:szCs w:val="21"/>
          <w:lang w:eastAsia="zh-CN"/>
        </w:rPr>
      </w:pPr>
      <w:r>
        <w:rPr>
          <w:rFonts w:hint="eastAsia" w:ascii="宋体" w:hAnsi="宋体" w:cs="宋体"/>
          <w:color w:val="auto"/>
          <w:sz w:val="21"/>
          <w:szCs w:val="21"/>
          <w:lang w:eastAsia="zh-CN"/>
        </w:rPr>
        <w:t>1.3遇特殊情况需要成交供应商及时清运采购人的医疗废物，成交供应商须按采购人的要求及时完成医疗废物转运工作，且不得加收费用。</w:t>
      </w:r>
    </w:p>
    <w:p w14:paraId="27DC0924">
      <w:pPr>
        <w:pStyle w:val="61"/>
        <w:widowControl w:val="0"/>
        <w:tabs>
          <w:tab w:val="left" w:pos="846"/>
        </w:tabs>
        <w:spacing w:line="360" w:lineRule="auto"/>
        <w:ind w:left="0" w:firstLine="420" w:firstLineChars="200"/>
        <w:jc w:val="both"/>
        <w:rPr>
          <w:rFonts w:ascii="宋体" w:hAnsi="宋体" w:cs="宋体"/>
          <w:color w:val="auto"/>
          <w:sz w:val="21"/>
          <w:szCs w:val="21"/>
          <w:lang w:eastAsia="zh-CN"/>
        </w:rPr>
      </w:pPr>
      <w:r>
        <w:rPr>
          <w:rFonts w:hint="eastAsia" w:ascii="宋体" w:hAnsi="宋体" w:cs="宋体"/>
          <w:color w:val="auto"/>
          <w:sz w:val="21"/>
          <w:szCs w:val="21"/>
          <w:lang w:eastAsia="zh-CN"/>
        </w:rPr>
        <w:t>1.4除不可抗力及采购人责任外，成交供应商不得以不正当理由拒运采购人的医疗废物。</w:t>
      </w:r>
    </w:p>
    <w:p w14:paraId="64B48D8B">
      <w:pPr>
        <w:pStyle w:val="61"/>
        <w:widowControl w:val="0"/>
        <w:tabs>
          <w:tab w:val="left" w:pos="846"/>
        </w:tabs>
        <w:spacing w:line="360" w:lineRule="auto"/>
        <w:ind w:left="0" w:firstLine="420" w:firstLineChars="200"/>
        <w:jc w:val="both"/>
        <w:rPr>
          <w:rFonts w:ascii="宋体" w:hAnsi="宋体" w:cs="宋体"/>
          <w:color w:val="auto"/>
          <w:sz w:val="21"/>
          <w:szCs w:val="21"/>
          <w:lang w:eastAsia="zh-CN"/>
        </w:rPr>
      </w:pPr>
      <w:r>
        <w:rPr>
          <w:rFonts w:hint="eastAsia" w:ascii="宋体" w:hAnsi="宋体" w:cs="宋体"/>
          <w:color w:val="auto"/>
          <w:sz w:val="21"/>
          <w:szCs w:val="21"/>
          <w:lang w:eastAsia="zh-CN"/>
        </w:rPr>
        <w:t>2.负责使用符合医疗废物处理管理规范要求的专用车辆，将采购人收集的医疗废物转运致其处理场所，并按照《医疗废物管理条例》、《中华人民共和国固体废物污染环境防治法》规定进行处理。</w:t>
      </w:r>
    </w:p>
    <w:p w14:paraId="0AECC65D">
      <w:pPr>
        <w:pStyle w:val="61"/>
        <w:widowControl w:val="0"/>
        <w:tabs>
          <w:tab w:val="left" w:pos="846"/>
        </w:tabs>
        <w:spacing w:line="360" w:lineRule="auto"/>
        <w:ind w:left="0" w:firstLine="420" w:firstLineChars="200"/>
        <w:jc w:val="both"/>
        <w:rPr>
          <w:rFonts w:ascii="宋体" w:hAnsi="宋体" w:cs="宋体"/>
          <w:color w:val="auto"/>
          <w:sz w:val="21"/>
          <w:szCs w:val="21"/>
          <w:lang w:eastAsia="zh-CN"/>
        </w:rPr>
      </w:pPr>
      <w:r>
        <w:rPr>
          <w:rFonts w:hint="eastAsia" w:ascii="宋体" w:hAnsi="宋体" w:cs="宋体"/>
          <w:color w:val="auto"/>
          <w:sz w:val="21"/>
          <w:szCs w:val="21"/>
          <w:lang w:eastAsia="zh-CN"/>
        </w:rPr>
        <w:t>3.必须认真做好医疗废物运输安全工作，保证运输途中不出现医疗废物流失、扩散，造成污染环境。因成交供应商违反规定所产生的一切后果由成交供应商自行承担。</w:t>
      </w:r>
    </w:p>
    <w:p w14:paraId="596B3C7D">
      <w:pPr>
        <w:pStyle w:val="61"/>
        <w:widowControl w:val="0"/>
        <w:tabs>
          <w:tab w:val="left" w:pos="846"/>
        </w:tabs>
        <w:spacing w:line="360" w:lineRule="auto"/>
        <w:ind w:left="0" w:firstLine="420" w:firstLineChars="200"/>
        <w:jc w:val="both"/>
        <w:rPr>
          <w:rFonts w:ascii="宋体" w:hAnsi="宋体" w:cs="宋体"/>
          <w:color w:val="auto"/>
          <w:sz w:val="21"/>
          <w:szCs w:val="21"/>
          <w:lang w:eastAsia="zh-CN"/>
        </w:rPr>
      </w:pPr>
      <w:r>
        <w:rPr>
          <w:rFonts w:hint="eastAsia" w:ascii="宋体" w:hAnsi="宋体" w:cs="宋体"/>
          <w:color w:val="auto"/>
          <w:sz w:val="21"/>
          <w:szCs w:val="21"/>
          <w:lang w:eastAsia="zh-CN"/>
        </w:rPr>
        <w:t>4.处理医疗废物必须达到无害化处理之目的，排放物应符合国家规定的排放标准。</w:t>
      </w:r>
    </w:p>
    <w:p w14:paraId="5812C826">
      <w:pPr>
        <w:pStyle w:val="61"/>
        <w:widowControl w:val="0"/>
        <w:tabs>
          <w:tab w:val="left" w:pos="846"/>
        </w:tabs>
        <w:spacing w:line="360" w:lineRule="auto"/>
        <w:ind w:left="0" w:firstLine="420" w:firstLineChars="200"/>
        <w:jc w:val="both"/>
        <w:rPr>
          <w:rFonts w:ascii="宋体" w:hAnsi="宋体" w:cs="宋体"/>
          <w:color w:val="auto"/>
          <w:sz w:val="21"/>
          <w:szCs w:val="21"/>
          <w:lang w:eastAsia="zh-CN"/>
        </w:rPr>
      </w:pPr>
      <w:r>
        <w:rPr>
          <w:rFonts w:hint="eastAsia" w:ascii="宋体" w:hAnsi="宋体" w:cs="宋体"/>
          <w:color w:val="auto"/>
          <w:sz w:val="21"/>
          <w:szCs w:val="21"/>
          <w:lang w:eastAsia="zh-CN"/>
        </w:rPr>
        <w:t>5.负责医疗废物转运箱的清洗、消毒工作，确保送达采购人指定场所的医疗废物转运箱符合医院感染管理标准要求，转运箱要求外观清洁无异味，密闭性好。</w:t>
      </w:r>
    </w:p>
    <w:p w14:paraId="68941B9D">
      <w:pPr>
        <w:pStyle w:val="61"/>
        <w:widowControl w:val="0"/>
        <w:tabs>
          <w:tab w:val="left" w:pos="846"/>
        </w:tabs>
        <w:spacing w:line="360" w:lineRule="auto"/>
        <w:ind w:left="0" w:firstLine="440" w:firstLineChars="200"/>
        <w:jc w:val="both"/>
        <w:rPr>
          <w:rFonts w:ascii="宋体" w:hAnsi="宋体" w:cs="宋体"/>
          <w:color w:val="auto"/>
          <w:sz w:val="21"/>
          <w:szCs w:val="21"/>
          <w:lang w:eastAsia="zh-CN"/>
        </w:rPr>
      </w:pPr>
      <w:r>
        <w:rPr>
          <w:rFonts w:hint="eastAsia" w:ascii="宋体" w:hAnsi="宋体" w:cs="宋体"/>
          <w:color w:val="auto"/>
          <w:szCs w:val="21"/>
          <w:lang w:val="zh-CN" w:eastAsia="zh-CN"/>
        </w:rPr>
        <w:t>★</w:t>
      </w:r>
      <w:r>
        <w:rPr>
          <w:rFonts w:hint="eastAsia" w:ascii="宋体" w:hAnsi="宋体" w:cs="宋体"/>
          <w:b/>
          <w:bCs/>
          <w:color w:val="auto"/>
          <w:sz w:val="21"/>
          <w:szCs w:val="21"/>
          <w:lang w:eastAsia="zh-CN"/>
        </w:rPr>
        <w:t>二、技术标准</w:t>
      </w:r>
      <w:r>
        <w:rPr>
          <w:rFonts w:hint="eastAsia" w:ascii="宋体" w:hAnsi="宋体" w:cs="宋体"/>
          <w:color w:val="auto"/>
          <w:sz w:val="21"/>
          <w:szCs w:val="21"/>
          <w:lang w:eastAsia="zh-CN"/>
        </w:rPr>
        <w:t>：必须达到《中华人民共和国固体废物污染环境防治法》、《中华人民共和国传染病防治法》、《医疗废物管理条例》、《医疗卫生机构医疗废物管理办法》、《广西壮族自治区医疗废物管理办法》。</w:t>
      </w:r>
    </w:p>
    <w:p w14:paraId="2FA980D1">
      <w:pPr>
        <w:spacing w:line="560" w:lineRule="exact"/>
        <w:ind w:firstLine="420" w:firstLineChars="200"/>
        <w:outlineLvl w:val="1"/>
        <w:rPr>
          <w:rFonts w:ascii="宋体" w:hAnsi="宋体" w:cs="宋体"/>
          <w:b/>
          <w:bCs/>
          <w:color w:val="auto"/>
          <w:szCs w:val="21"/>
        </w:rPr>
      </w:pPr>
      <w:r>
        <w:rPr>
          <w:rFonts w:hint="eastAsia" w:ascii="宋体" w:hAnsi="宋体" w:cs="宋体"/>
          <w:color w:val="auto"/>
          <w:szCs w:val="21"/>
          <w:lang w:val="zh-CN"/>
        </w:rPr>
        <w:t>★</w:t>
      </w:r>
      <w:r>
        <w:rPr>
          <w:rFonts w:hint="eastAsia" w:ascii="宋体" w:hAnsi="宋体" w:cs="宋体"/>
          <w:b/>
          <w:bCs/>
          <w:color w:val="auto"/>
          <w:szCs w:val="21"/>
        </w:rPr>
        <w:t>三、商务要求</w:t>
      </w:r>
    </w:p>
    <w:p w14:paraId="1103EC87">
      <w:pPr>
        <w:pStyle w:val="62"/>
        <w:spacing w:line="560" w:lineRule="exact"/>
        <w:ind w:left="11"/>
        <w:rPr>
          <w:rFonts w:ascii="宋体" w:hAnsi="宋体" w:cs="宋体"/>
          <w:color w:val="auto"/>
          <w:szCs w:val="21"/>
        </w:rPr>
      </w:pPr>
      <w:r>
        <w:rPr>
          <w:rFonts w:hint="eastAsia" w:ascii="宋体" w:hAnsi="宋体" w:cs="宋体"/>
          <w:color w:val="auto"/>
          <w:szCs w:val="21"/>
          <w:lang w:val="zh-CN"/>
        </w:rPr>
        <w:t>（一）交付（服务）时间、地点</w:t>
      </w:r>
    </w:p>
    <w:p w14:paraId="50AA0F9B">
      <w:pPr>
        <w:pStyle w:val="62"/>
        <w:spacing w:line="560" w:lineRule="exact"/>
        <w:ind w:left="11"/>
        <w:rPr>
          <w:rFonts w:ascii="宋体" w:hAnsi="宋体" w:cs="宋体"/>
          <w:color w:val="auto"/>
          <w:szCs w:val="21"/>
        </w:rPr>
      </w:pPr>
      <w:r>
        <w:rPr>
          <w:rFonts w:hint="eastAsia" w:ascii="宋体" w:hAnsi="宋体" w:cs="宋体"/>
          <w:color w:val="auto"/>
          <w:szCs w:val="21"/>
        </w:rPr>
        <w:t>1.交付（服务）时间：</w:t>
      </w:r>
      <w:r>
        <w:rPr>
          <w:rFonts w:hint="eastAsia" w:ascii="宋体" w:hAnsi="宋体" w:cs="宋体"/>
          <w:color w:val="auto"/>
          <w:szCs w:val="21"/>
          <w:u w:val="single"/>
        </w:rPr>
        <w:t>自签订合同之日起</w:t>
      </w:r>
      <w:r>
        <w:rPr>
          <w:rFonts w:hint="eastAsia" w:ascii="宋体" w:hAnsi="宋体" w:cs="宋体"/>
          <w:color w:val="auto"/>
          <w:szCs w:val="21"/>
          <w:u w:val="single"/>
          <w:lang w:val="en-US" w:eastAsia="zh-CN"/>
        </w:rPr>
        <w:t>！+1</w:t>
      </w:r>
      <w:r>
        <w:rPr>
          <w:rFonts w:hint="eastAsia" w:ascii="宋体" w:hAnsi="宋体" w:cs="宋体"/>
          <w:color w:val="auto"/>
          <w:szCs w:val="21"/>
          <w:u w:val="single"/>
        </w:rPr>
        <w:t xml:space="preserve">年（365天）； 服务期限内每天8:30－17:30 </w:t>
      </w:r>
      <w:r>
        <w:rPr>
          <w:rFonts w:hint="eastAsia" w:ascii="宋体" w:hAnsi="宋体" w:cs="宋体"/>
          <w:color w:val="auto"/>
          <w:szCs w:val="21"/>
          <w:u w:val="single"/>
          <w:lang w:val="en-US" w:eastAsia="zh-CN"/>
        </w:rPr>
        <w:t>.成交人第1年合同期满，经采购人综合评定履约过程服务质量良好的可续签第2年合同</w:t>
      </w:r>
      <w:r>
        <w:rPr>
          <w:rFonts w:hint="eastAsia" w:ascii="宋体" w:hAnsi="宋体" w:cs="宋体"/>
          <w:color w:val="auto"/>
          <w:szCs w:val="21"/>
        </w:rPr>
        <w:t>。</w:t>
      </w:r>
    </w:p>
    <w:p w14:paraId="2C3BC057">
      <w:pPr>
        <w:pStyle w:val="62"/>
        <w:spacing w:line="560" w:lineRule="exact"/>
        <w:ind w:left="11"/>
        <w:rPr>
          <w:rFonts w:ascii="宋体" w:hAnsi="宋体" w:cs="宋体"/>
          <w:color w:val="auto"/>
          <w:szCs w:val="21"/>
        </w:rPr>
      </w:pPr>
      <w:r>
        <w:rPr>
          <w:rFonts w:hint="eastAsia" w:ascii="宋体" w:hAnsi="宋体" w:cs="宋体"/>
          <w:color w:val="auto"/>
          <w:szCs w:val="21"/>
        </w:rPr>
        <w:t xml:space="preserve">2.交付（服务）地点： </w:t>
      </w:r>
      <w:r>
        <w:rPr>
          <w:rFonts w:hint="eastAsia" w:ascii="宋体" w:hAnsi="宋体" w:cs="宋体"/>
          <w:color w:val="auto"/>
          <w:szCs w:val="21"/>
          <w:u w:val="single"/>
        </w:rPr>
        <w:t xml:space="preserve"> 广西桂林市采购人指定地点</w:t>
      </w:r>
      <w:r>
        <w:rPr>
          <w:rFonts w:hint="eastAsia" w:ascii="宋体" w:hAnsi="宋体" w:cs="宋体"/>
          <w:color w:val="auto"/>
          <w:szCs w:val="21"/>
        </w:rPr>
        <w:t>。</w:t>
      </w:r>
    </w:p>
    <w:p w14:paraId="60B1E2D9">
      <w:pPr>
        <w:pStyle w:val="62"/>
        <w:spacing w:line="560" w:lineRule="exact"/>
        <w:ind w:left="11"/>
        <w:rPr>
          <w:rFonts w:ascii="宋体" w:hAnsi="宋体" w:cs="宋体"/>
          <w:color w:val="auto"/>
          <w:szCs w:val="21"/>
        </w:rPr>
      </w:pPr>
      <w:r>
        <w:rPr>
          <w:rFonts w:hint="eastAsia" w:ascii="宋体" w:hAnsi="宋体" w:cs="宋体"/>
          <w:color w:val="auto"/>
          <w:szCs w:val="21"/>
          <w:lang w:val="zh-CN"/>
        </w:rPr>
        <w:t>（二）验收方式：日产日清</w:t>
      </w:r>
    </w:p>
    <w:p w14:paraId="65728A06">
      <w:pPr>
        <w:pStyle w:val="62"/>
        <w:spacing w:line="560" w:lineRule="exact"/>
        <w:ind w:left="11"/>
        <w:rPr>
          <w:rFonts w:ascii="宋体" w:hAnsi="宋体" w:cs="宋体"/>
          <w:b/>
          <w:color w:val="auto"/>
          <w:szCs w:val="21"/>
        </w:rPr>
      </w:pPr>
      <w:r>
        <w:rPr>
          <w:rFonts w:hint="eastAsia" w:ascii="宋体" w:hAnsi="宋体" w:cs="宋体"/>
          <w:color w:val="auto"/>
          <w:szCs w:val="21"/>
          <w:lang w:val="zh-CN"/>
        </w:rPr>
        <w:t>（三）</w:t>
      </w:r>
      <w:r>
        <w:rPr>
          <w:rFonts w:hint="eastAsia" w:ascii="宋体" w:hAnsi="宋体" w:cs="宋体"/>
          <w:color w:val="auto"/>
          <w:szCs w:val="21"/>
        </w:rPr>
        <w:t>保密要求</w:t>
      </w:r>
    </w:p>
    <w:p w14:paraId="54BCC255">
      <w:pPr>
        <w:pStyle w:val="62"/>
        <w:spacing w:line="560" w:lineRule="atLeast"/>
        <w:rPr>
          <w:rFonts w:ascii="宋体" w:hAnsi="宋体" w:cs="宋体"/>
          <w:color w:val="auto"/>
          <w:szCs w:val="21"/>
          <w:lang w:val="zh-CN"/>
        </w:rPr>
      </w:pPr>
      <w:r>
        <w:rPr>
          <w:rFonts w:hint="eastAsia" w:ascii="宋体" w:hAnsi="宋体" w:cs="宋体"/>
          <w:color w:val="auto"/>
          <w:szCs w:val="21"/>
          <w:lang w:val="zh-CN"/>
        </w:rPr>
        <w:t>对采购单位提供的人员、地址、采购情况等信息要保守秘密，不得向外界透露。成交通知书发出后，采购单位将与成交供应商签订保密协议。</w:t>
      </w:r>
    </w:p>
    <w:p w14:paraId="05D2AB0E">
      <w:pPr>
        <w:pStyle w:val="62"/>
        <w:spacing w:line="560" w:lineRule="atLeast"/>
        <w:rPr>
          <w:rFonts w:ascii="宋体" w:hAnsi="宋体" w:cs="宋体"/>
          <w:color w:val="auto"/>
          <w:szCs w:val="21"/>
          <w:lang w:val="zh-CN"/>
        </w:rPr>
      </w:pPr>
      <w:r>
        <w:rPr>
          <w:rFonts w:hint="eastAsia" w:ascii="宋体" w:hAnsi="宋体" w:cs="宋体"/>
          <w:color w:val="auto"/>
          <w:szCs w:val="21"/>
          <w:lang w:val="zh-CN"/>
        </w:rPr>
        <w:t>（四）付款及结算方式</w:t>
      </w:r>
    </w:p>
    <w:p w14:paraId="30D99205">
      <w:pPr>
        <w:spacing w:line="579" w:lineRule="exact"/>
        <w:ind w:firstLine="420" w:firstLineChars="200"/>
        <w:rPr>
          <w:rFonts w:ascii="宋体" w:hAnsi="宋体" w:cs="宋体"/>
          <w:color w:val="auto"/>
          <w:szCs w:val="21"/>
        </w:rPr>
      </w:pPr>
      <w:r>
        <w:rPr>
          <w:rFonts w:hint="eastAsia" w:ascii="宋体" w:hAnsi="宋体" w:cs="宋体"/>
          <w:color w:val="auto"/>
          <w:szCs w:val="21"/>
        </w:rPr>
        <w:t>费用结算期：按月结算，</w:t>
      </w:r>
      <w:bookmarkStart w:id="138" w:name="OLE_LINK14"/>
      <w:r>
        <w:rPr>
          <w:rFonts w:hint="eastAsia" w:ascii="宋体" w:hAnsi="宋体" w:cs="宋体"/>
          <w:color w:val="auto"/>
          <w:szCs w:val="21"/>
        </w:rPr>
        <w:t>在次月5日前开具发票</w:t>
      </w:r>
      <w:bookmarkEnd w:id="138"/>
      <w:r>
        <w:rPr>
          <w:rFonts w:hint="eastAsia" w:ascii="宋体" w:hAnsi="宋体" w:cs="宋体"/>
          <w:color w:val="auto"/>
          <w:szCs w:val="21"/>
        </w:rPr>
        <w:t>，</w:t>
      </w:r>
      <w:bookmarkStart w:id="139" w:name="OLE_LINK13"/>
      <w:r>
        <w:rPr>
          <w:rFonts w:hint="eastAsia" w:ascii="宋体" w:hAnsi="宋体" w:cs="宋体"/>
          <w:color w:val="auto"/>
          <w:szCs w:val="21"/>
        </w:rPr>
        <w:t>采购人在收到成交供应商开具的金额准确的发票后15个工作日内结清所有费用</w:t>
      </w:r>
      <w:bookmarkEnd w:id="139"/>
      <w:r>
        <w:rPr>
          <w:rFonts w:hint="eastAsia" w:ascii="宋体" w:hAnsi="宋体" w:cs="宋体"/>
          <w:color w:val="auto"/>
          <w:szCs w:val="21"/>
        </w:rPr>
        <w:t>。提供的发票必须真实有效，票据上税务印章必须与营业执照名称相符。合同签订账号与合同签订单位或公司账号一致，严禁第三方付款，对公银行转账方式结算。</w:t>
      </w:r>
    </w:p>
    <w:p w14:paraId="5D342852">
      <w:pPr>
        <w:rPr>
          <w:rFonts w:hAnsi="宋体" w:cs="宋体"/>
          <w:b/>
          <w:color w:val="auto"/>
          <w:sz w:val="32"/>
        </w:rPr>
      </w:pPr>
    </w:p>
    <w:p w14:paraId="1C87BAA2">
      <w:pPr>
        <w:jc w:val="center"/>
        <w:rPr>
          <w:b/>
          <w:bCs/>
          <w:color w:val="auto"/>
          <w:sz w:val="24"/>
          <w:szCs w:val="32"/>
        </w:rPr>
      </w:pPr>
    </w:p>
    <w:p w14:paraId="2B664560">
      <w:pPr>
        <w:jc w:val="center"/>
        <w:rPr>
          <w:b/>
          <w:bCs/>
          <w:color w:val="auto"/>
          <w:sz w:val="24"/>
          <w:szCs w:val="32"/>
        </w:rPr>
      </w:pPr>
    </w:p>
    <w:p w14:paraId="76DC9C35">
      <w:pPr>
        <w:jc w:val="center"/>
        <w:rPr>
          <w:b/>
          <w:bCs/>
          <w:color w:val="auto"/>
          <w:sz w:val="24"/>
          <w:szCs w:val="32"/>
        </w:rPr>
      </w:pPr>
    </w:p>
    <w:p w14:paraId="20D0C7FD">
      <w:pPr>
        <w:jc w:val="center"/>
        <w:rPr>
          <w:b/>
          <w:bCs/>
          <w:color w:val="auto"/>
          <w:sz w:val="24"/>
          <w:szCs w:val="32"/>
        </w:rPr>
      </w:pPr>
    </w:p>
    <w:p w14:paraId="406DDE47">
      <w:pPr>
        <w:jc w:val="center"/>
        <w:rPr>
          <w:b/>
          <w:bCs/>
          <w:color w:val="auto"/>
          <w:sz w:val="24"/>
          <w:szCs w:val="32"/>
        </w:rPr>
      </w:pPr>
    </w:p>
    <w:p w14:paraId="4CA0A1E5">
      <w:pPr>
        <w:jc w:val="center"/>
        <w:rPr>
          <w:b/>
          <w:bCs/>
          <w:color w:val="auto"/>
          <w:sz w:val="24"/>
          <w:szCs w:val="32"/>
        </w:rPr>
      </w:pPr>
    </w:p>
    <w:p w14:paraId="5CA438AF">
      <w:pPr>
        <w:jc w:val="center"/>
        <w:rPr>
          <w:b/>
          <w:bCs/>
          <w:color w:val="auto"/>
          <w:sz w:val="24"/>
          <w:szCs w:val="32"/>
        </w:rPr>
      </w:pPr>
    </w:p>
    <w:p w14:paraId="1024233F">
      <w:pPr>
        <w:jc w:val="center"/>
        <w:rPr>
          <w:b/>
          <w:bCs/>
          <w:color w:val="auto"/>
          <w:sz w:val="24"/>
          <w:szCs w:val="32"/>
        </w:rPr>
      </w:pPr>
    </w:p>
    <w:p w14:paraId="143EF748">
      <w:pPr>
        <w:jc w:val="center"/>
        <w:rPr>
          <w:b/>
          <w:bCs/>
          <w:color w:val="auto"/>
          <w:sz w:val="24"/>
          <w:szCs w:val="32"/>
        </w:rPr>
      </w:pPr>
    </w:p>
    <w:p w14:paraId="0E9AABC0">
      <w:pPr>
        <w:jc w:val="center"/>
        <w:rPr>
          <w:b/>
          <w:bCs/>
          <w:color w:val="auto"/>
          <w:sz w:val="24"/>
          <w:szCs w:val="32"/>
        </w:rPr>
      </w:pPr>
    </w:p>
    <w:p w14:paraId="24C2BC31">
      <w:pPr>
        <w:jc w:val="center"/>
        <w:rPr>
          <w:b/>
          <w:bCs/>
          <w:color w:val="auto"/>
          <w:sz w:val="24"/>
          <w:szCs w:val="32"/>
        </w:rPr>
      </w:pPr>
    </w:p>
    <w:p w14:paraId="5767CB21">
      <w:pPr>
        <w:jc w:val="center"/>
        <w:rPr>
          <w:b/>
          <w:bCs/>
          <w:color w:val="auto"/>
          <w:sz w:val="24"/>
          <w:szCs w:val="32"/>
        </w:rPr>
      </w:pPr>
    </w:p>
    <w:p w14:paraId="058B6879">
      <w:pPr>
        <w:jc w:val="center"/>
        <w:rPr>
          <w:b/>
          <w:bCs/>
          <w:color w:val="auto"/>
          <w:sz w:val="24"/>
          <w:szCs w:val="32"/>
        </w:rPr>
      </w:pPr>
    </w:p>
    <w:p w14:paraId="4BC0C862">
      <w:pPr>
        <w:jc w:val="center"/>
        <w:rPr>
          <w:b/>
          <w:bCs/>
          <w:color w:val="auto"/>
          <w:sz w:val="24"/>
          <w:szCs w:val="32"/>
        </w:rPr>
      </w:pPr>
    </w:p>
    <w:p w14:paraId="37BFF9A0">
      <w:pPr>
        <w:jc w:val="center"/>
        <w:rPr>
          <w:b/>
          <w:bCs/>
          <w:color w:val="auto"/>
          <w:sz w:val="24"/>
          <w:szCs w:val="32"/>
        </w:rPr>
      </w:pPr>
    </w:p>
    <w:p w14:paraId="2064004A">
      <w:pPr>
        <w:jc w:val="center"/>
        <w:rPr>
          <w:b/>
          <w:bCs/>
          <w:color w:val="auto"/>
          <w:sz w:val="24"/>
          <w:szCs w:val="32"/>
        </w:rPr>
      </w:pPr>
    </w:p>
    <w:p w14:paraId="16A5D298">
      <w:pPr>
        <w:jc w:val="center"/>
        <w:rPr>
          <w:b/>
          <w:bCs/>
          <w:color w:val="auto"/>
          <w:sz w:val="24"/>
          <w:szCs w:val="32"/>
        </w:rPr>
      </w:pPr>
    </w:p>
    <w:p w14:paraId="3DD52A42">
      <w:pPr>
        <w:jc w:val="center"/>
        <w:rPr>
          <w:b/>
          <w:bCs/>
          <w:color w:val="auto"/>
          <w:sz w:val="24"/>
          <w:szCs w:val="32"/>
        </w:rPr>
      </w:pPr>
    </w:p>
    <w:p w14:paraId="31673BB8">
      <w:pPr>
        <w:jc w:val="center"/>
        <w:rPr>
          <w:b/>
          <w:bCs/>
          <w:color w:val="auto"/>
          <w:sz w:val="24"/>
          <w:szCs w:val="32"/>
        </w:rPr>
      </w:pPr>
    </w:p>
    <w:p w14:paraId="70C1F76E">
      <w:pPr>
        <w:jc w:val="center"/>
        <w:rPr>
          <w:b/>
          <w:bCs/>
          <w:color w:val="auto"/>
          <w:sz w:val="24"/>
          <w:szCs w:val="32"/>
        </w:rPr>
      </w:pPr>
    </w:p>
    <w:p w14:paraId="4CCD1F05">
      <w:pPr>
        <w:jc w:val="center"/>
        <w:rPr>
          <w:b/>
          <w:bCs/>
          <w:color w:val="auto"/>
          <w:sz w:val="24"/>
          <w:szCs w:val="32"/>
        </w:rPr>
      </w:pPr>
    </w:p>
    <w:p w14:paraId="57933A70">
      <w:pPr>
        <w:jc w:val="center"/>
        <w:rPr>
          <w:b/>
          <w:bCs/>
          <w:color w:val="auto"/>
          <w:sz w:val="24"/>
          <w:szCs w:val="32"/>
        </w:rPr>
      </w:pPr>
    </w:p>
    <w:p w14:paraId="1B46CD6D">
      <w:pPr>
        <w:jc w:val="center"/>
        <w:rPr>
          <w:b/>
          <w:bCs/>
          <w:color w:val="auto"/>
          <w:sz w:val="24"/>
          <w:szCs w:val="32"/>
        </w:rPr>
      </w:pPr>
    </w:p>
    <w:p w14:paraId="04AB0DCA">
      <w:pPr>
        <w:jc w:val="center"/>
        <w:rPr>
          <w:b/>
          <w:bCs/>
          <w:color w:val="auto"/>
          <w:sz w:val="24"/>
          <w:szCs w:val="32"/>
        </w:rPr>
      </w:pPr>
    </w:p>
    <w:p w14:paraId="292F8D6B">
      <w:pPr>
        <w:jc w:val="center"/>
        <w:rPr>
          <w:b/>
          <w:bCs/>
          <w:color w:val="auto"/>
          <w:sz w:val="24"/>
          <w:szCs w:val="32"/>
        </w:rPr>
      </w:pPr>
    </w:p>
    <w:p w14:paraId="0097A787">
      <w:pPr>
        <w:jc w:val="center"/>
        <w:rPr>
          <w:b/>
          <w:bCs/>
          <w:color w:val="auto"/>
          <w:sz w:val="24"/>
          <w:szCs w:val="32"/>
        </w:rPr>
      </w:pPr>
    </w:p>
    <w:p w14:paraId="3265498C">
      <w:pPr>
        <w:jc w:val="center"/>
        <w:rPr>
          <w:b/>
          <w:bCs/>
          <w:color w:val="auto"/>
          <w:sz w:val="24"/>
          <w:szCs w:val="32"/>
        </w:rPr>
      </w:pPr>
    </w:p>
    <w:p w14:paraId="05844E7F">
      <w:pPr>
        <w:jc w:val="center"/>
        <w:rPr>
          <w:b/>
          <w:bCs/>
          <w:color w:val="auto"/>
          <w:sz w:val="24"/>
          <w:szCs w:val="32"/>
        </w:rPr>
      </w:pPr>
    </w:p>
    <w:bookmarkEnd w:id="137"/>
    <w:p w14:paraId="1F8AFA6D">
      <w:pPr>
        <w:pStyle w:val="17"/>
        <w:spacing w:line="440" w:lineRule="exact"/>
        <w:jc w:val="center"/>
        <w:rPr>
          <w:rFonts w:hAnsi="宋体" w:cs="宋体"/>
          <w:b/>
          <w:color w:val="auto"/>
          <w:sz w:val="32"/>
        </w:rPr>
      </w:pPr>
      <w:r>
        <w:rPr>
          <w:rFonts w:hint="eastAsia" w:hAnsi="宋体" w:cs="宋体"/>
          <w:b/>
          <w:color w:val="auto"/>
          <w:sz w:val="32"/>
        </w:rPr>
        <w:t>第四章  评审办法</w:t>
      </w:r>
    </w:p>
    <w:p w14:paraId="75A64559">
      <w:pPr>
        <w:pStyle w:val="17"/>
        <w:spacing w:line="360" w:lineRule="auto"/>
        <w:rPr>
          <w:rFonts w:hint="eastAsia" w:ascii="宋体" w:hAnsi="宋体" w:eastAsia="宋体" w:cs="宋体"/>
          <w:b/>
          <w:bCs/>
          <w:color w:val="auto"/>
          <w:highlight w:val="none"/>
        </w:rPr>
      </w:pPr>
      <w:r>
        <w:rPr>
          <w:rFonts w:hint="eastAsia" w:ascii="宋体" w:hAnsi="宋体" w:eastAsia="宋体" w:cs="宋体"/>
          <w:b/>
          <w:bCs/>
          <w:color w:val="auto"/>
          <w:highlight w:val="none"/>
        </w:rPr>
        <w:t>一、评标依据及方式</w:t>
      </w:r>
    </w:p>
    <w:p w14:paraId="185AB2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1、评标依据：评标委员会以招标文件和投标文件为评标依据，对投标人投标文件进行评审。</w:t>
      </w:r>
    </w:p>
    <w:p w14:paraId="5BF4D2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2、评标方式：以封闭方式进行评标。</w:t>
      </w:r>
    </w:p>
    <w:p w14:paraId="294DFD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3、采购人和采购代理机构、评标委员会成员严格遵守相关法律制度，依法履行各自职责，公正、客观、审慎地组织和参与评审工作。</w:t>
      </w:r>
    </w:p>
    <w:p w14:paraId="6299863F">
      <w:pPr>
        <w:spacing w:before="0" w:after="0" w:line="360" w:lineRule="auto"/>
        <w:ind w:firstLine="0" w:firstLineChars="0"/>
        <w:rPr>
          <w:rFonts w:hint="eastAsia" w:ascii="宋体" w:hAnsi="宋体" w:eastAsia="宋体" w:cs="宋体"/>
          <w:b/>
          <w:bCs/>
          <w:color w:val="auto"/>
          <w:szCs w:val="21"/>
          <w:highlight w:val="none"/>
        </w:rPr>
      </w:pPr>
    </w:p>
    <w:p w14:paraId="724F1A5E">
      <w:pPr>
        <w:spacing w:before="0" w:after="0" w:line="360" w:lineRule="auto"/>
        <w:ind w:firstLine="0" w:firstLineChars="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r>
        <w:rPr>
          <w:rFonts w:hint="eastAsia" w:ascii="宋体" w:hAnsi="宋体" w:eastAsia="宋体" w:cs="宋体"/>
          <w:b/>
          <w:bCs/>
          <w:color w:val="auto"/>
          <w:szCs w:val="21"/>
          <w:highlight w:val="none"/>
          <w:lang w:val="en-US" w:eastAsia="zh-CN"/>
        </w:rPr>
        <w:t>评标</w:t>
      </w:r>
      <w:r>
        <w:rPr>
          <w:rFonts w:hint="eastAsia" w:ascii="宋体" w:hAnsi="宋体" w:eastAsia="宋体" w:cs="宋体"/>
          <w:b/>
          <w:bCs/>
          <w:color w:val="auto"/>
          <w:szCs w:val="21"/>
          <w:highlight w:val="none"/>
        </w:rPr>
        <w:t>办法</w:t>
      </w:r>
    </w:p>
    <w:p w14:paraId="2B5AC6A2">
      <w:pPr>
        <w:adjustRightInd w:val="0"/>
        <w:spacing w:line="360" w:lineRule="auto"/>
        <w:textAlignment w:val="baseline"/>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1、价格分…………………………………………………………………………………………30分</w:t>
      </w:r>
    </w:p>
    <w:p w14:paraId="049A0D2C">
      <w:pPr>
        <w:adjustRightInd w:val="0"/>
        <w:spacing w:line="360" w:lineRule="auto"/>
        <w:ind w:firstLine="422"/>
        <w:textAlignment w:val="baseline"/>
        <w:outlineLvl w:val="0"/>
        <w:rPr>
          <w:rFonts w:hint="eastAsia" w:ascii="宋体" w:hAnsi="宋体" w:eastAsia="宋体" w:cs="宋体"/>
          <w:b w:val="0"/>
          <w:bCs/>
          <w:color w:val="auto"/>
          <w:kern w:val="0"/>
          <w:szCs w:val="20"/>
          <w:highlight w:val="none"/>
        </w:rPr>
      </w:pPr>
      <w:r>
        <w:rPr>
          <w:rFonts w:hint="eastAsia" w:ascii="宋体" w:hAnsi="宋体" w:eastAsia="宋体" w:cs="宋体"/>
          <w:b w:val="0"/>
          <w:bCs/>
          <w:color w:val="auto"/>
          <w:kern w:val="0"/>
          <w:szCs w:val="20"/>
          <w:highlight w:val="none"/>
        </w:rPr>
        <w:t>以进入评审的最低的</w:t>
      </w:r>
      <w:r>
        <w:rPr>
          <w:rFonts w:hint="eastAsia" w:ascii="宋体" w:hAnsi="宋体" w:eastAsia="宋体" w:cs="宋体"/>
          <w:b w:val="0"/>
          <w:bCs/>
          <w:color w:val="auto"/>
          <w:kern w:val="0"/>
          <w:szCs w:val="20"/>
          <w:highlight w:val="none"/>
          <w:lang w:eastAsia="zh-CN"/>
        </w:rPr>
        <w:t>投标报价</w:t>
      </w:r>
      <w:r>
        <w:rPr>
          <w:rFonts w:hint="eastAsia" w:ascii="宋体" w:hAnsi="宋体" w:eastAsia="宋体" w:cs="宋体"/>
          <w:b w:val="0"/>
          <w:bCs/>
          <w:color w:val="auto"/>
          <w:kern w:val="0"/>
          <w:szCs w:val="20"/>
          <w:highlight w:val="none"/>
        </w:rPr>
        <w:t>为30分。</w:t>
      </w:r>
    </w:p>
    <w:p w14:paraId="0D116FE2">
      <w:pPr>
        <w:adjustRightInd w:val="0"/>
        <w:spacing w:line="360" w:lineRule="auto"/>
        <w:ind w:firstLine="4200" w:firstLineChars="20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有效</w:t>
      </w:r>
      <w:r>
        <w:rPr>
          <w:rFonts w:hint="eastAsia" w:ascii="宋体" w:hAnsi="宋体" w:eastAsia="宋体" w:cs="宋体"/>
          <w:b w:val="0"/>
          <w:bCs/>
          <w:color w:val="auto"/>
          <w:szCs w:val="21"/>
          <w:highlight w:val="none"/>
          <w:lang w:eastAsia="zh-CN"/>
        </w:rPr>
        <w:t>投标人</w:t>
      </w:r>
      <w:r>
        <w:rPr>
          <w:rFonts w:hint="eastAsia" w:ascii="宋体" w:hAnsi="宋体" w:eastAsia="宋体" w:cs="宋体"/>
          <w:b w:val="0"/>
          <w:bCs/>
          <w:color w:val="auto"/>
          <w:szCs w:val="21"/>
          <w:highlight w:val="none"/>
        </w:rPr>
        <w:t>最低</w:t>
      </w:r>
      <w:r>
        <w:rPr>
          <w:rFonts w:hint="eastAsia" w:ascii="宋体" w:hAnsi="宋体" w:eastAsia="宋体" w:cs="宋体"/>
          <w:b w:val="0"/>
          <w:bCs/>
          <w:color w:val="auto"/>
          <w:szCs w:val="21"/>
          <w:highlight w:val="none"/>
          <w:lang w:eastAsia="zh-CN"/>
        </w:rPr>
        <w:t>投标报价</w:t>
      </w:r>
      <w:r>
        <w:rPr>
          <w:rFonts w:hint="eastAsia" w:ascii="宋体" w:hAnsi="宋体" w:eastAsia="宋体" w:cs="宋体"/>
          <w:b w:val="0"/>
          <w:bCs/>
          <w:color w:val="auto"/>
          <w:szCs w:val="21"/>
          <w:highlight w:val="none"/>
        </w:rPr>
        <w:t>金额</w:t>
      </w:r>
    </w:p>
    <w:p w14:paraId="109C8522">
      <w:pPr>
        <w:adjustRightInd w:val="0"/>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2095500</wp:posOffset>
                </wp:positionH>
                <wp:positionV relativeFrom="paragraph">
                  <wp:posOffset>119380</wp:posOffset>
                </wp:positionV>
                <wp:extent cx="2543810" cy="0"/>
                <wp:effectExtent l="0" t="4445" r="0" b="5080"/>
                <wp:wrapNone/>
                <wp:docPr id="3" name="直接连接符 1"/>
                <wp:cNvGraphicFramePr/>
                <a:graphic xmlns:a="http://schemas.openxmlformats.org/drawingml/2006/main">
                  <a:graphicData uri="http://schemas.microsoft.com/office/word/2010/wordprocessingShape">
                    <wps:wsp>
                      <wps:cNvCnPr/>
                      <wps:spPr>
                        <a:xfrm>
                          <a:off x="0" y="0"/>
                          <a:ext cx="254381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margin-left:165pt;margin-top:9.4pt;height:0pt;width:200.3pt;z-index:251664384;mso-width-relative:page;mso-height-relative:page;" filled="f" stroked="t" coordsize="21600,21600" o:gfxdata="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RGj99YAAAAJAQAADwAAAAAAAAABACAAAAAiAAAAZHJzL2Rvd25yZXYueG1s&#10;UEsBAhQAFAAAAAgAh07iQGV8EIT6AQAA8gMAAA4AAAAAAAAAAQAgAAAAJQEAAGRycy9lMm9Eb2Mu&#10;eG1sUEsFBgAAAAAGAAYAWQEAAJEFAAAAAA==&#10;">
                <v:fill on="f" focussize="0,0"/>
                <v:stroke color="#000000" joinstyle="round"/>
                <v:imagedata o:title=""/>
                <o:lock v:ext="edit" aspectratio="f"/>
              </v:line>
            </w:pict>
          </mc:Fallback>
        </mc:AlternateContent>
      </w:r>
      <w:r>
        <w:rPr>
          <w:rFonts w:hint="eastAsia" w:ascii="宋体" w:hAnsi="宋体" w:eastAsia="宋体" w:cs="宋体"/>
          <w:b w:val="0"/>
          <w:bCs/>
          <w:color w:val="auto"/>
          <w:szCs w:val="21"/>
          <w:highlight w:val="none"/>
        </w:rPr>
        <w:t>某有效</w:t>
      </w:r>
      <w:r>
        <w:rPr>
          <w:rFonts w:hint="eastAsia" w:ascii="宋体" w:hAnsi="宋体" w:eastAsia="宋体" w:cs="宋体"/>
          <w:b w:val="0"/>
          <w:bCs/>
          <w:color w:val="auto"/>
          <w:szCs w:val="21"/>
          <w:highlight w:val="none"/>
          <w:lang w:eastAsia="zh-CN"/>
        </w:rPr>
        <w:t>投标人</w:t>
      </w:r>
      <w:r>
        <w:rPr>
          <w:rFonts w:hint="eastAsia" w:ascii="宋体" w:hAnsi="宋体" w:eastAsia="宋体" w:cs="宋体"/>
          <w:b w:val="0"/>
          <w:bCs/>
          <w:color w:val="auto"/>
          <w:szCs w:val="21"/>
          <w:highlight w:val="none"/>
        </w:rPr>
        <w:t>价格分  ＝                                              ×30分</w:t>
      </w:r>
    </w:p>
    <w:p w14:paraId="13F80B5E">
      <w:pPr>
        <w:adjustRightInd w:val="0"/>
        <w:spacing w:line="360" w:lineRule="auto"/>
        <w:ind w:firstLine="422"/>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 xml:space="preserve">                                    某有效</w:t>
      </w:r>
      <w:r>
        <w:rPr>
          <w:rFonts w:hint="eastAsia" w:ascii="宋体" w:hAnsi="宋体" w:eastAsia="宋体" w:cs="宋体"/>
          <w:b w:val="0"/>
          <w:bCs/>
          <w:color w:val="auto"/>
          <w:szCs w:val="21"/>
          <w:highlight w:val="none"/>
          <w:lang w:eastAsia="zh-CN"/>
        </w:rPr>
        <w:t>投标人投标报价</w:t>
      </w:r>
      <w:r>
        <w:rPr>
          <w:rFonts w:hint="eastAsia" w:ascii="宋体" w:hAnsi="宋体" w:eastAsia="宋体" w:cs="宋体"/>
          <w:b w:val="0"/>
          <w:bCs/>
          <w:color w:val="auto"/>
          <w:szCs w:val="21"/>
          <w:highlight w:val="none"/>
        </w:rPr>
        <w:t>金额</w:t>
      </w:r>
    </w:p>
    <w:p w14:paraId="040A0613">
      <w:pPr>
        <w:spacing w:line="360" w:lineRule="auto"/>
        <w:ind w:left="-420" w:leftChars="-200" w:right="-105" w:rightChars="-50" w:firstLine="420" w:firstLineChars="200"/>
        <w:rPr>
          <w:rFonts w:hint="eastAsia" w:ascii="宋体" w:hAnsi="宋体" w:eastAsia="宋体" w:cs="宋体"/>
          <w:b/>
          <w:bCs/>
          <w:color w:val="auto"/>
          <w:highlight w:val="none"/>
          <w:lang w:val="zh-CN"/>
        </w:rPr>
      </w:pPr>
      <w:r>
        <w:rPr>
          <w:rFonts w:hint="eastAsia" w:ascii="宋体" w:hAnsi="宋体" w:eastAsia="宋体" w:cs="宋体"/>
          <w:b/>
          <w:bCs/>
          <w:color w:val="auto"/>
          <w:highlight w:val="none"/>
          <w:lang w:val="zh-CN"/>
        </w:rPr>
        <w:t>2、服务</w:t>
      </w:r>
      <w:r>
        <w:rPr>
          <w:rFonts w:hint="eastAsia" w:ascii="宋体" w:hAnsi="宋体" w:eastAsia="宋体" w:cs="宋体"/>
          <w:b/>
          <w:bCs/>
          <w:color w:val="auto"/>
          <w:highlight w:val="none"/>
        </w:rPr>
        <w:t>实施方案分</w:t>
      </w: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…………满分</w:t>
      </w:r>
      <w:r>
        <w:rPr>
          <w:rFonts w:hint="eastAsia" w:ascii="宋体" w:hAnsi="宋体" w:eastAsia="宋体" w:cs="宋体"/>
          <w:b/>
          <w:bCs/>
          <w:color w:val="auto"/>
          <w:highlight w:val="none"/>
          <w:lang w:val="en-US" w:eastAsia="zh-CN"/>
        </w:rPr>
        <w:t>45</w:t>
      </w:r>
      <w:r>
        <w:rPr>
          <w:rFonts w:hint="eastAsia" w:ascii="宋体" w:hAnsi="宋体" w:eastAsia="宋体" w:cs="宋体"/>
          <w:b/>
          <w:bCs/>
          <w:color w:val="auto"/>
          <w:highlight w:val="none"/>
        </w:rPr>
        <w:t>分</w:t>
      </w:r>
    </w:p>
    <w:p w14:paraId="13FC4C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highlight w:val="none"/>
          <w:lang w:eastAsia="zh-CN"/>
        </w:rPr>
      </w:pPr>
      <w:bookmarkStart w:id="140" w:name="_Toc254970620"/>
      <w:bookmarkStart w:id="141" w:name="_Toc254970761"/>
      <w:r>
        <w:rPr>
          <w:rFonts w:hint="eastAsia" w:ascii="宋体" w:hAnsi="宋体" w:eastAsia="宋体" w:cs="宋体"/>
          <w:bCs/>
          <w:color w:val="auto"/>
          <w:highlight w:val="none"/>
          <w:lang w:eastAsia="zh-CN"/>
        </w:rPr>
        <w:t>评委根据招标文件采购需求，对比各投标人提供的针对本项目的项目实施方案的优劣，在相应档次内独立打分。</w:t>
      </w:r>
    </w:p>
    <w:p w14:paraId="2F5123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420" w:rightChars="-200"/>
        <w:textAlignment w:val="auto"/>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lang w:eastAsia="zh-CN"/>
        </w:rPr>
        <w:t>）对项目的基本认识及重难点分析</w:t>
      </w:r>
      <w:r>
        <w:rPr>
          <w:rFonts w:hint="eastAsia" w:ascii="宋体" w:hAnsi="宋体" w:eastAsia="宋体" w:cs="宋体"/>
          <w:bCs/>
          <w:color w:val="auto"/>
          <w:highlight w:val="none"/>
          <w:lang w:val="zh-CN" w:eastAsia="zh-CN"/>
        </w:rPr>
        <w:t>……………………………………………………</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zh-CN" w:eastAsia="zh-CN"/>
        </w:rPr>
        <w:t>……满分</w:t>
      </w:r>
      <w:r>
        <w:rPr>
          <w:rFonts w:hint="eastAsia" w:ascii="宋体" w:hAnsi="宋体" w:eastAsia="宋体" w:cs="宋体"/>
          <w:bCs/>
          <w:color w:val="auto"/>
          <w:highlight w:val="none"/>
          <w:lang w:val="en-US" w:eastAsia="zh-CN"/>
        </w:rPr>
        <w:t>10</w:t>
      </w:r>
      <w:r>
        <w:rPr>
          <w:rFonts w:hint="eastAsia" w:ascii="宋体" w:hAnsi="宋体" w:eastAsia="宋体" w:cs="宋体"/>
          <w:bCs/>
          <w:color w:val="auto"/>
          <w:highlight w:val="none"/>
          <w:lang w:eastAsia="zh-CN"/>
        </w:rPr>
        <w:t>分</w:t>
      </w:r>
    </w:p>
    <w:p w14:paraId="0D5A14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420" w:rightChars="-20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lang w:eastAsia="zh-CN"/>
        </w:rPr>
        <w:t>一档（</w:t>
      </w:r>
      <w:r>
        <w:rPr>
          <w:rFonts w:hint="eastAsia" w:ascii="宋体" w:hAnsi="宋体" w:eastAsia="宋体" w:cs="宋体"/>
          <w:bCs/>
          <w:color w:val="auto"/>
          <w:highlight w:val="none"/>
          <w:lang w:val="en-US" w:eastAsia="zh-CN"/>
        </w:rPr>
        <w:t>3分</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投标人对本项目的</w:t>
      </w:r>
      <w:r>
        <w:rPr>
          <w:rFonts w:hint="eastAsia" w:ascii="宋体" w:hAnsi="宋体" w:eastAsia="宋体" w:cs="宋体"/>
          <w:bCs/>
          <w:color w:val="auto"/>
          <w:highlight w:val="none"/>
          <w:lang w:eastAsia="zh-CN"/>
        </w:rPr>
        <w:t>认识表述一般，对项目重难点分析不准确</w:t>
      </w:r>
      <w:r>
        <w:rPr>
          <w:rFonts w:hint="eastAsia" w:ascii="宋体" w:hAnsi="宋体" w:eastAsia="宋体" w:cs="宋体"/>
          <w:bCs/>
          <w:color w:val="auto"/>
          <w:highlight w:val="none"/>
        </w:rPr>
        <w:t>。</w:t>
      </w:r>
    </w:p>
    <w:p w14:paraId="56B709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420" w:rightChars="-20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lang w:eastAsia="zh-CN"/>
        </w:rPr>
        <w:t>二档（</w:t>
      </w:r>
      <w:r>
        <w:rPr>
          <w:rFonts w:hint="eastAsia" w:ascii="宋体" w:hAnsi="宋体" w:eastAsia="宋体" w:cs="宋体"/>
          <w:bCs/>
          <w:color w:val="auto"/>
          <w:highlight w:val="none"/>
          <w:lang w:val="en-US" w:eastAsia="zh-CN"/>
        </w:rPr>
        <w:t>6分</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投标人对本项目的</w:t>
      </w:r>
      <w:r>
        <w:rPr>
          <w:rFonts w:hint="eastAsia" w:ascii="宋体" w:hAnsi="宋体" w:eastAsia="宋体" w:cs="宋体"/>
          <w:bCs/>
          <w:color w:val="auto"/>
          <w:highlight w:val="none"/>
          <w:lang w:eastAsia="zh-CN"/>
        </w:rPr>
        <w:t>认识及重难点分析表述清晰，内容基本准确</w:t>
      </w:r>
      <w:r>
        <w:rPr>
          <w:rFonts w:hint="eastAsia" w:ascii="宋体" w:hAnsi="宋体" w:eastAsia="宋体" w:cs="宋体"/>
          <w:bCs/>
          <w:color w:val="auto"/>
          <w:highlight w:val="none"/>
        </w:rPr>
        <w:t>。</w:t>
      </w:r>
    </w:p>
    <w:p w14:paraId="0534FD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420" w:rightChars="-20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lang w:eastAsia="zh-CN"/>
        </w:rPr>
        <w:t>三档（</w:t>
      </w:r>
      <w:r>
        <w:rPr>
          <w:rFonts w:hint="eastAsia" w:ascii="宋体" w:hAnsi="宋体" w:eastAsia="宋体" w:cs="宋体"/>
          <w:bCs/>
          <w:color w:val="auto"/>
          <w:highlight w:val="none"/>
          <w:lang w:val="en-US" w:eastAsia="zh-CN"/>
        </w:rPr>
        <w:t>10分</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投标人对本项目的</w:t>
      </w:r>
      <w:r>
        <w:rPr>
          <w:rFonts w:hint="eastAsia" w:ascii="宋体" w:hAnsi="宋体" w:eastAsia="宋体" w:cs="宋体"/>
          <w:bCs/>
          <w:color w:val="auto"/>
          <w:highlight w:val="none"/>
          <w:lang w:eastAsia="zh-CN"/>
        </w:rPr>
        <w:t>认识及重难点分析表述清晰，内容完整、具有针对性</w:t>
      </w:r>
      <w:r>
        <w:rPr>
          <w:rFonts w:hint="eastAsia" w:ascii="宋体" w:hAnsi="宋体" w:eastAsia="宋体" w:cs="宋体"/>
          <w:bCs/>
          <w:color w:val="auto"/>
          <w:highlight w:val="none"/>
        </w:rPr>
        <w:t>。</w:t>
      </w:r>
    </w:p>
    <w:p w14:paraId="2EC330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420" w:rightChars="-200" w:firstLine="420" w:firstLineChars="200"/>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注：未提供</w:t>
      </w:r>
      <w:r>
        <w:rPr>
          <w:rFonts w:hint="eastAsia" w:ascii="宋体" w:hAnsi="宋体" w:eastAsia="宋体" w:cs="宋体"/>
          <w:bCs/>
          <w:color w:val="auto"/>
          <w:highlight w:val="none"/>
          <w:lang w:eastAsia="zh-CN"/>
        </w:rPr>
        <w:t>对项目的基本认识及重难点分析的</w:t>
      </w:r>
      <w:r>
        <w:rPr>
          <w:rFonts w:hint="eastAsia" w:ascii="宋体" w:hAnsi="宋体" w:eastAsia="宋体" w:cs="宋体"/>
          <w:bCs/>
          <w:color w:val="auto"/>
          <w:highlight w:val="none"/>
        </w:rPr>
        <w:t>，此项不得分。</w:t>
      </w:r>
    </w:p>
    <w:p w14:paraId="086F23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50" w:right="-420" w:rightChars="-200"/>
        <w:textAlignment w:val="auto"/>
        <w:rPr>
          <w:rFonts w:hint="eastAsia" w:ascii="宋体" w:hAnsi="宋体" w:eastAsia="宋体" w:cs="宋体"/>
          <w:b w:val="0"/>
          <w:bCs/>
          <w:color w:val="auto"/>
          <w:highlight w:val="none"/>
          <w:lang w:eastAsia="zh-CN"/>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2</w:t>
      </w:r>
      <w:r>
        <w:rPr>
          <w:rFonts w:hint="eastAsia" w:ascii="宋体" w:hAnsi="宋体" w:eastAsia="宋体" w:cs="宋体"/>
          <w:bCs/>
          <w:color w:val="auto"/>
          <w:highlight w:val="none"/>
          <w:lang w:eastAsia="zh-CN"/>
        </w:rPr>
        <w:t>）</w:t>
      </w:r>
      <w:r>
        <w:rPr>
          <w:rFonts w:hint="eastAsia" w:ascii="宋体" w:hAnsi="宋体" w:eastAsia="宋体" w:cs="宋体"/>
          <w:b w:val="0"/>
          <w:bCs/>
          <w:color w:val="auto"/>
          <w:highlight w:val="none"/>
        </w:rPr>
        <w:t>人员配置</w:t>
      </w:r>
      <w:r>
        <w:rPr>
          <w:rFonts w:hint="eastAsia" w:ascii="宋体" w:hAnsi="宋体" w:eastAsia="宋体" w:cs="宋体"/>
          <w:b w:val="0"/>
          <w:bCs/>
          <w:color w:val="auto"/>
          <w:highlight w:val="none"/>
          <w:lang w:val="zh-CN" w:eastAsia="zh-CN"/>
        </w:rPr>
        <w:t>……………………………………………………</w:t>
      </w:r>
      <w:r>
        <w:rPr>
          <w:rFonts w:hint="eastAsia" w:ascii="宋体" w:hAnsi="宋体" w:eastAsia="宋体" w:cs="宋体"/>
          <w:b w:val="0"/>
          <w:bCs/>
          <w:color w:val="auto"/>
          <w:highlight w:val="none"/>
          <w:lang w:eastAsia="zh-CN"/>
        </w:rPr>
        <w:t>…</w:t>
      </w:r>
      <w:r>
        <w:rPr>
          <w:rFonts w:hint="eastAsia" w:ascii="宋体" w:hAnsi="宋体" w:eastAsia="宋体" w:cs="宋体"/>
          <w:b w:val="0"/>
          <w:bCs/>
          <w:color w:val="auto"/>
          <w:highlight w:val="none"/>
          <w:lang w:val="zh-CN" w:eastAsia="zh-CN"/>
        </w:rPr>
        <w:t>………………………………满分</w:t>
      </w:r>
      <w:r>
        <w:rPr>
          <w:rFonts w:hint="eastAsia" w:ascii="宋体" w:hAnsi="宋体" w:eastAsia="宋体" w:cs="宋体"/>
          <w:b w:val="0"/>
          <w:bCs/>
          <w:color w:val="auto"/>
          <w:highlight w:val="none"/>
          <w:lang w:val="en-US" w:eastAsia="zh-CN"/>
        </w:rPr>
        <w:t>10</w:t>
      </w:r>
      <w:r>
        <w:rPr>
          <w:rFonts w:hint="eastAsia" w:ascii="宋体" w:hAnsi="宋体" w:eastAsia="宋体" w:cs="宋体"/>
          <w:b w:val="0"/>
          <w:bCs/>
          <w:color w:val="auto"/>
          <w:highlight w:val="none"/>
          <w:lang w:eastAsia="zh-CN"/>
        </w:rPr>
        <w:t>分</w:t>
      </w:r>
    </w:p>
    <w:p w14:paraId="7909C5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一档（</w:t>
      </w:r>
      <w:r>
        <w:rPr>
          <w:rFonts w:hint="eastAsia" w:ascii="宋体" w:hAnsi="宋体" w:eastAsia="宋体" w:cs="宋体"/>
          <w:bCs/>
          <w:color w:val="auto"/>
          <w:highlight w:val="none"/>
          <w:lang w:val="en-US" w:eastAsia="zh-CN"/>
        </w:rPr>
        <w:t>3分</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拟投入项目负责人</w:t>
      </w:r>
      <w:r>
        <w:rPr>
          <w:rFonts w:hint="eastAsia" w:ascii="宋体" w:hAnsi="宋体" w:eastAsia="宋体" w:cs="宋体"/>
          <w:bCs/>
          <w:color w:val="auto"/>
          <w:highlight w:val="none"/>
          <w:lang w:eastAsia="zh-CN"/>
        </w:rPr>
        <w:t>担任过一个类似项目的项目负责人（提供相关证明材料复印件），</w:t>
      </w:r>
      <w:r>
        <w:rPr>
          <w:rFonts w:hint="eastAsia" w:ascii="宋体" w:hAnsi="宋体" w:eastAsia="宋体" w:cs="宋体"/>
          <w:bCs/>
          <w:color w:val="auto"/>
          <w:highlight w:val="none"/>
        </w:rPr>
        <w:t>投入人员的数量、经验、能力水平</w:t>
      </w:r>
      <w:r>
        <w:rPr>
          <w:rFonts w:hint="eastAsia" w:ascii="宋体" w:hAnsi="宋体" w:eastAsia="宋体" w:cs="宋体"/>
          <w:bCs/>
          <w:color w:val="auto"/>
          <w:highlight w:val="none"/>
          <w:lang w:eastAsia="zh-CN"/>
        </w:rPr>
        <w:t>基本满足本项目需求</w:t>
      </w:r>
      <w:r>
        <w:rPr>
          <w:rFonts w:hint="eastAsia" w:ascii="宋体" w:hAnsi="宋体" w:eastAsia="宋体" w:cs="宋体"/>
          <w:bCs/>
          <w:color w:val="auto"/>
          <w:highlight w:val="none"/>
        </w:rPr>
        <w:t>，有培训计划、考核方式、目标及言行规范，</w:t>
      </w:r>
      <w:r>
        <w:rPr>
          <w:rFonts w:hint="eastAsia" w:ascii="宋体" w:hAnsi="宋体" w:eastAsia="宋体" w:cs="宋体"/>
          <w:bCs/>
          <w:color w:val="auto"/>
          <w:highlight w:val="none"/>
          <w:lang w:eastAsia="zh-CN"/>
        </w:rPr>
        <w:t>有岗位职责，</w:t>
      </w:r>
      <w:r>
        <w:rPr>
          <w:rFonts w:hint="eastAsia" w:ascii="宋体" w:hAnsi="宋体" w:eastAsia="宋体" w:cs="宋体"/>
          <w:bCs/>
          <w:color w:val="auto"/>
          <w:highlight w:val="none"/>
        </w:rPr>
        <w:t>但不全面，针对性不强；</w:t>
      </w:r>
    </w:p>
    <w:p w14:paraId="5CB290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二档（</w:t>
      </w:r>
      <w:r>
        <w:rPr>
          <w:rFonts w:hint="eastAsia" w:ascii="宋体" w:hAnsi="宋体" w:eastAsia="宋体" w:cs="宋体"/>
          <w:bCs/>
          <w:color w:val="auto"/>
          <w:highlight w:val="none"/>
          <w:lang w:val="en-US" w:eastAsia="zh-CN"/>
        </w:rPr>
        <w:t>6分</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拟投入项目负责人</w:t>
      </w:r>
      <w:r>
        <w:rPr>
          <w:rFonts w:hint="eastAsia" w:ascii="宋体" w:hAnsi="宋体" w:eastAsia="宋体" w:cs="宋体"/>
          <w:bCs/>
          <w:color w:val="auto"/>
          <w:highlight w:val="none"/>
          <w:lang w:eastAsia="zh-CN"/>
        </w:rPr>
        <w:t>担任过两个类似项目的项目负责人（提供相关证明材料复印件）</w:t>
      </w:r>
      <w:r>
        <w:rPr>
          <w:rFonts w:hint="eastAsia" w:ascii="宋体" w:hAnsi="宋体" w:eastAsia="宋体" w:cs="宋体"/>
          <w:bCs/>
          <w:color w:val="auto"/>
          <w:highlight w:val="none"/>
        </w:rPr>
        <w:t>，投入的人员的数量、经验、能力水平对项目实施有一定的保障，有比较详细、可行的基本技能培训计划、考核方式、目标，有基本的仪表仪容、言行规范及公众形象要求；</w:t>
      </w:r>
      <w:r>
        <w:rPr>
          <w:rFonts w:hint="eastAsia" w:ascii="宋体" w:hAnsi="宋体" w:eastAsia="宋体" w:cs="宋体"/>
          <w:bCs/>
          <w:color w:val="auto"/>
          <w:highlight w:val="none"/>
          <w:lang w:eastAsia="zh-CN"/>
        </w:rPr>
        <w:t>岗位职责</w:t>
      </w:r>
      <w:r>
        <w:rPr>
          <w:rFonts w:hint="eastAsia" w:ascii="宋体" w:hAnsi="宋体" w:eastAsia="宋体" w:cs="宋体"/>
          <w:bCs/>
          <w:color w:val="auto"/>
          <w:highlight w:val="none"/>
        </w:rPr>
        <w:t>有一定针对性、实用性；</w:t>
      </w:r>
    </w:p>
    <w:p w14:paraId="0499D8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highlight w:val="none"/>
        </w:rPr>
      </w:pPr>
      <w:r>
        <w:rPr>
          <w:rFonts w:hint="eastAsia" w:ascii="宋体" w:hAnsi="宋体" w:eastAsia="宋体" w:cs="宋体"/>
          <w:bCs/>
          <w:color w:val="auto"/>
          <w:highlight w:val="none"/>
          <w:lang w:eastAsia="zh-CN"/>
        </w:rPr>
        <w:t>三档（</w:t>
      </w:r>
      <w:r>
        <w:rPr>
          <w:rFonts w:hint="eastAsia" w:ascii="宋体" w:hAnsi="宋体" w:eastAsia="宋体" w:cs="宋体"/>
          <w:bCs/>
          <w:color w:val="auto"/>
          <w:highlight w:val="none"/>
          <w:lang w:val="en-US" w:eastAsia="zh-CN"/>
        </w:rPr>
        <w:t>10分</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拟投入项目负责人</w:t>
      </w:r>
      <w:r>
        <w:rPr>
          <w:rFonts w:hint="eastAsia" w:ascii="宋体" w:hAnsi="宋体" w:eastAsia="宋体" w:cs="宋体"/>
          <w:bCs/>
          <w:color w:val="auto"/>
          <w:highlight w:val="none"/>
          <w:lang w:eastAsia="zh-CN"/>
        </w:rPr>
        <w:t>担任过三个或以上类似项目的项目负责人（提供相关证明材料复印件）</w:t>
      </w:r>
      <w:r>
        <w:rPr>
          <w:rFonts w:hint="eastAsia" w:ascii="宋体" w:hAnsi="宋体" w:eastAsia="宋体" w:cs="宋体"/>
          <w:bCs/>
          <w:color w:val="auto"/>
          <w:highlight w:val="none"/>
        </w:rPr>
        <w:t>，投入的人员的数量、经验、能力水平对项目实施的保障性高，有详细、全面、可行的基本技能培训计划、考核方式、目标，有岗前、岗位、安全、职业道德、行为规范等项目服务人员培训方案培训记录等，有严格的仪表仪容、言行规范及公众形象要求，且人员配备构成合理，各层次人员</w:t>
      </w:r>
      <w:r>
        <w:rPr>
          <w:rFonts w:hint="eastAsia" w:ascii="宋体" w:hAnsi="宋体" w:eastAsia="宋体" w:cs="宋体"/>
          <w:bCs/>
          <w:color w:val="auto"/>
          <w:highlight w:val="none"/>
          <w:lang w:eastAsia="zh-CN"/>
        </w:rPr>
        <w:t>岗位</w:t>
      </w:r>
      <w:r>
        <w:rPr>
          <w:rFonts w:hint="eastAsia" w:ascii="宋体" w:hAnsi="宋体" w:eastAsia="宋体" w:cs="宋体"/>
          <w:bCs/>
          <w:color w:val="auto"/>
          <w:highlight w:val="none"/>
        </w:rPr>
        <w:t>职责明确，针对性强、保障性高。</w:t>
      </w:r>
    </w:p>
    <w:p w14:paraId="6670898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color w:val="auto"/>
          <w:highlight w:val="none"/>
          <w:lang w:eastAsia="zh-CN"/>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lang w:eastAsia="zh-CN"/>
        </w:rPr>
        <w:t>）</w:t>
      </w:r>
      <w:r>
        <w:rPr>
          <w:rFonts w:hint="eastAsia" w:ascii="宋体" w:hAnsi="宋体" w:eastAsia="宋体" w:cs="宋体"/>
          <w:b w:val="0"/>
          <w:bCs/>
          <w:color w:val="auto"/>
          <w:highlight w:val="none"/>
        </w:rPr>
        <w:t>工具、车辆配置</w:t>
      </w:r>
      <w:r>
        <w:rPr>
          <w:rFonts w:hint="eastAsia" w:ascii="宋体" w:hAnsi="宋体" w:eastAsia="宋体" w:cs="宋体"/>
          <w:b w:val="0"/>
          <w:bCs/>
          <w:color w:val="auto"/>
          <w:highlight w:val="none"/>
          <w:lang w:eastAsia="zh-CN"/>
        </w:rPr>
        <w:t>及</w:t>
      </w:r>
      <w:r>
        <w:rPr>
          <w:rFonts w:hint="eastAsia" w:ascii="宋体" w:hAnsi="宋体" w:eastAsia="宋体" w:cs="宋体"/>
          <w:b w:val="0"/>
          <w:bCs/>
          <w:color w:val="auto"/>
          <w:highlight w:val="none"/>
        </w:rPr>
        <w:t>满足医废无害化处理的相关设备</w:t>
      </w:r>
      <w:r>
        <w:rPr>
          <w:rFonts w:hint="eastAsia" w:ascii="宋体" w:hAnsi="宋体" w:eastAsia="宋体" w:cs="宋体"/>
          <w:b w:val="0"/>
          <w:bCs/>
          <w:color w:val="auto"/>
          <w:highlight w:val="none"/>
          <w:lang w:val="zh-CN" w:eastAsia="zh-CN"/>
        </w:rPr>
        <w:t>…………………………………………满分</w:t>
      </w:r>
      <w:r>
        <w:rPr>
          <w:rFonts w:hint="eastAsia" w:ascii="宋体" w:hAnsi="宋体" w:eastAsia="宋体" w:cs="宋体"/>
          <w:b w:val="0"/>
          <w:bCs/>
          <w:color w:val="auto"/>
          <w:highlight w:val="none"/>
          <w:lang w:val="en-US" w:eastAsia="zh-CN"/>
        </w:rPr>
        <w:t>15</w:t>
      </w:r>
      <w:r>
        <w:rPr>
          <w:rFonts w:hint="eastAsia" w:ascii="宋体" w:hAnsi="宋体" w:eastAsia="宋体" w:cs="宋体"/>
          <w:b w:val="0"/>
          <w:bCs/>
          <w:color w:val="auto"/>
          <w:highlight w:val="none"/>
          <w:lang w:eastAsia="zh-CN"/>
        </w:rPr>
        <w:t>分</w:t>
      </w:r>
    </w:p>
    <w:p w14:paraId="7FA3F7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一档（</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分）：有</w:t>
      </w:r>
      <w:r>
        <w:rPr>
          <w:rFonts w:hint="eastAsia" w:ascii="宋体" w:hAnsi="宋体" w:eastAsia="宋体" w:cs="宋体"/>
          <w:bCs/>
          <w:color w:val="auto"/>
          <w:highlight w:val="none"/>
          <w:lang w:eastAsia="zh-CN"/>
        </w:rPr>
        <w:t>转运</w:t>
      </w:r>
      <w:r>
        <w:rPr>
          <w:rFonts w:hint="eastAsia" w:ascii="宋体" w:hAnsi="宋体" w:eastAsia="宋体" w:cs="宋体"/>
          <w:bCs/>
          <w:color w:val="auto"/>
          <w:highlight w:val="none"/>
        </w:rPr>
        <w:t>车辆、</w:t>
      </w:r>
      <w:r>
        <w:rPr>
          <w:rFonts w:hint="eastAsia" w:ascii="宋体" w:hAnsi="宋体" w:eastAsia="宋体" w:cs="宋体"/>
          <w:bCs/>
          <w:color w:val="auto"/>
          <w:highlight w:val="none"/>
          <w:lang w:eastAsia="zh-CN"/>
        </w:rPr>
        <w:t>处置</w:t>
      </w:r>
      <w:r>
        <w:rPr>
          <w:rFonts w:hint="eastAsia" w:ascii="宋体" w:hAnsi="宋体" w:eastAsia="宋体" w:cs="宋体"/>
          <w:bCs/>
          <w:color w:val="auto"/>
          <w:highlight w:val="none"/>
        </w:rPr>
        <w:t>工具</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满足医废无害化处理的相关设备描述，但内容笼统，不能体现配备的完备性</w:t>
      </w:r>
      <w:r>
        <w:rPr>
          <w:rFonts w:hint="eastAsia" w:ascii="宋体" w:hAnsi="宋体" w:eastAsia="宋体" w:cs="宋体"/>
          <w:bCs/>
          <w:color w:val="auto"/>
          <w:highlight w:val="none"/>
          <w:lang w:eastAsia="zh-CN"/>
        </w:rPr>
        <w:t>、基本满足项目服务实施的需要</w:t>
      </w:r>
      <w:r>
        <w:rPr>
          <w:rFonts w:hint="eastAsia" w:ascii="宋体" w:hAnsi="宋体" w:eastAsia="宋体" w:cs="宋体"/>
          <w:bCs/>
          <w:color w:val="auto"/>
          <w:highlight w:val="none"/>
        </w:rPr>
        <w:t>；</w:t>
      </w:r>
    </w:p>
    <w:p w14:paraId="3A1887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二档（</w:t>
      </w:r>
      <w:r>
        <w:rPr>
          <w:rFonts w:hint="eastAsia" w:ascii="宋体" w:hAnsi="宋体" w:eastAsia="宋体" w:cs="宋体"/>
          <w:bCs/>
          <w:color w:val="auto"/>
          <w:highlight w:val="none"/>
          <w:lang w:val="en-US" w:eastAsia="zh-CN"/>
        </w:rPr>
        <w:t>10</w:t>
      </w:r>
      <w:r>
        <w:rPr>
          <w:rFonts w:hint="eastAsia" w:ascii="宋体" w:hAnsi="宋体" w:eastAsia="宋体" w:cs="宋体"/>
          <w:bCs/>
          <w:color w:val="auto"/>
          <w:highlight w:val="none"/>
        </w:rPr>
        <w:t>分）：有</w:t>
      </w:r>
      <w:r>
        <w:rPr>
          <w:rFonts w:hint="eastAsia" w:ascii="宋体" w:hAnsi="宋体" w:eastAsia="宋体" w:cs="宋体"/>
          <w:bCs/>
          <w:color w:val="auto"/>
          <w:highlight w:val="none"/>
          <w:lang w:eastAsia="zh-CN"/>
        </w:rPr>
        <w:t>转运</w:t>
      </w:r>
      <w:r>
        <w:rPr>
          <w:rFonts w:hint="eastAsia" w:ascii="宋体" w:hAnsi="宋体" w:eastAsia="宋体" w:cs="宋体"/>
          <w:bCs/>
          <w:color w:val="auto"/>
          <w:highlight w:val="none"/>
        </w:rPr>
        <w:t>车辆、</w:t>
      </w:r>
      <w:r>
        <w:rPr>
          <w:rFonts w:hint="eastAsia" w:ascii="宋体" w:hAnsi="宋体" w:eastAsia="宋体" w:cs="宋体"/>
          <w:bCs/>
          <w:color w:val="auto"/>
          <w:highlight w:val="none"/>
          <w:lang w:eastAsia="zh-CN"/>
        </w:rPr>
        <w:t>处置</w:t>
      </w:r>
      <w:r>
        <w:rPr>
          <w:rFonts w:hint="eastAsia" w:ascii="宋体" w:hAnsi="宋体" w:eastAsia="宋体" w:cs="宋体"/>
          <w:bCs/>
          <w:color w:val="auto"/>
          <w:highlight w:val="none"/>
        </w:rPr>
        <w:t>工具</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满足医废无害化处理的相关设备描述</w:t>
      </w:r>
      <w:r>
        <w:rPr>
          <w:rFonts w:hint="eastAsia" w:ascii="宋体" w:hAnsi="宋体" w:eastAsia="宋体" w:cs="宋体"/>
          <w:bCs/>
          <w:color w:val="auto"/>
          <w:highlight w:val="none"/>
          <w:lang w:eastAsia="zh-CN"/>
        </w:rPr>
        <w:t>及图文展示</w:t>
      </w:r>
      <w:r>
        <w:rPr>
          <w:rFonts w:hint="eastAsia" w:ascii="宋体" w:hAnsi="宋体" w:eastAsia="宋体" w:cs="宋体"/>
          <w:bCs/>
          <w:color w:val="auto"/>
          <w:highlight w:val="none"/>
        </w:rPr>
        <w:t>，有明确的配备清单数量</w:t>
      </w:r>
      <w:r>
        <w:rPr>
          <w:rFonts w:hint="eastAsia" w:ascii="宋体" w:hAnsi="宋体" w:eastAsia="宋体" w:cs="宋体"/>
          <w:bCs/>
          <w:color w:val="auto"/>
          <w:highlight w:val="none"/>
          <w:lang w:eastAsia="zh-CN"/>
        </w:rPr>
        <w:t>及处理安排方案</w:t>
      </w:r>
      <w:r>
        <w:rPr>
          <w:rFonts w:hint="eastAsia" w:ascii="宋体" w:hAnsi="宋体" w:eastAsia="宋体" w:cs="宋体"/>
          <w:bCs/>
          <w:color w:val="auto"/>
          <w:highlight w:val="none"/>
        </w:rPr>
        <w:t>，对项目实施能提供一定的保障</w:t>
      </w:r>
      <w:r>
        <w:rPr>
          <w:rFonts w:hint="eastAsia" w:ascii="宋体" w:hAnsi="宋体" w:eastAsia="宋体" w:cs="宋体"/>
          <w:bCs/>
          <w:color w:val="auto"/>
          <w:highlight w:val="none"/>
          <w:lang w:eastAsia="zh-CN"/>
        </w:rPr>
        <w:t>、满足项目服务实施的需要</w:t>
      </w:r>
      <w:r>
        <w:rPr>
          <w:rFonts w:hint="eastAsia" w:ascii="宋体" w:hAnsi="宋体" w:eastAsia="宋体" w:cs="宋体"/>
          <w:bCs/>
          <w:color w:val="auto"/>
          <w:highlight w:val="none"/>
        </w:rPr>
        <w:t>；</w:t>
      </w:r>
    </w:p>
    <w:p w14:paraId="5E1018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三档（1</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分）：有</w:t>
      </w:r>
      <w:r>
        <w:rPr>
          <w:rFonts w:hint="eastAsia" w:ascii="宋体" w:hAnsi="宋体" w:eastAsia="宋体" w:cs="宋体"/>
          <w:bCs/>
          <w:color w:val="auto"/>
          <w:highlight w:val="none"/>
          <w:lang w:eastAsia="zh-CN"/>
        </w:rPr>
        <w:t>转运</w:t>
      </w:r>
      <w:r>
        <w:rPr>
          <w:rFonts w:hint="eastAsia" w:ascii="宋体" w:hAnsi="宋体" w:eastAsia="宋体" w:cs="宋体"/>
          <w:bCs/>
          <w:color w:val="auto"/>
          <w:highlight w:val="none"/>
        </w:rPr>
        <w:t>车辆、</w:t>
      </w:r>
      <w:r>
        <w:rPr>
          <w:rFonts w:hint="eastAsia" w:ascii="宋体" w:hAnsi="宋体" w:eastAsia="宋体" w:cs="宋体"/>
          <w:bCs/>
          <w:color w:val="auto"/>
          <w:highlight w:val="none"/>
          <w:lang w:eastAsia="zh-CN"/>
        </w:rPr>
        <w:t>处置</w:t>
      </w:r>
      <w:r>
        <w:rPr>
          <w:rFonts w:hint="eastAsia" w:ascii="宋体" w:hAnsi="宋体" w:eastAsia="宋体" w:cs="宋体"/>
          <w:bCs/>
          <w:color w:val="auto"/>
          <w:highlight w:val="none"/>
        </w:rPr>
        <w:t>工具</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rPr>
        <w:t>满足医废无害化处理的相关设备描述</w:t>
      </w:r>
      <w:r>
        <w:rPr>
          <w:rFonts w:hint="eastAsia" w:ascii="宋体" w:hAnsi="宋体" w:eastAsia="宋体" w:cs="宋体"/>
          <w:bCs/>
          <w:color w:val="auto"/>
          <w:highlight w:val="none"/>
          <w:lang w:eastAsia="zh-CN"/>
        </w:rPr>
        <w:t>及图文展示</w:t>
      </w:r>
      <w:r>
        <w:rPr>
          <w:rFonts w:hint="eastAsia" w:ascii="宋体" w:hAnsi="宋体" w:eastAsia="宋体" w:cs="宋体"/>
          <w:bCs/>
          <w:color w:val="auto"/>
          <w:highlight w:val="none"/>
        </w:rPr>
        <w:t>，有</w:t>
      </w:r>
      <w:r>
        <w:rPr>
          <w:rFonts w:hint="eastAsia" w:ascii="宋体" w:hAnsi="宋体" w:eastAsia="宋体" w:cs="宋体"/>
          <w:bCs/>
          <w:color w:val="auto"/>
          <w:highlight w:val="none"/>
          <w:lang w:eastAsia="zh-CN"/>
        </w:rPr>
        <w:t>合理、</w:t>
      </w:r>
      <w:r>
        <w:rPr>
          <w:rFonts w:hint="eastAsia" w:ascii="宋体" w:hAnsi="宋体" w:eastAsia="宋体" w:cs="宋体"/>
          <w:bCs/>
          <w:color w:val="auto"/>
          <w:highlight w:val="none"/>
        </w:rPr>
        <w:t>明确的配备清单数量</w:t>
      </w:r>
      <w:r>
        <w:rPr>
          <w:rFonts w:hint="eastAsia" w:ascii="宋体" w:hAnsi="宋体" w:eastAsia="宋体" w:cs="宋体"/>
          <w:bCs/>
          <w:color w:val="auto"/>
          <w:highlight w:val="none"/>
          <w:lang w:eastAsia="zh-CN"/>
        </w:rPr>
        <w:t>及完善详尽的处理安排方案</w:t>
      </w:r>
      <w:r>
        <w:rPr>
          <w:rFonts w:hint="eastAsia" w:ascii="宋体" w:hAnsi="宋体" w:eastAsia="宋体" w:cs="宋体"/>
          <w:bCs/>
          <w:color w:val="auto"/>
          <w:highlight w:val="none"/>
        </w:rPr>
        <w:t>，对项目</w:t>
      </w:r>
      <w:r>
        <w:rPr>
          <w:rFonts w:hint="eastAsia" w:ascii="宋体" w:hAnsi="宋体" w:eastAsia="宋体" w:cs="宋体"/>
          <w:bCs/>
          <w:color w:val="auto"/>
          <w:highlight w:val="none"/>
          <w:lang w:eastAsia="zh-CN"/>
        </w:rPr>
        <w:t>服务</w:t>
      </w:r>
      <w:r>
        <w:rPr>
          <w:rFonts w:hint="eastAsia" w:ascii="宋体" w:hAnsi="宋体" w:eastAsia="宋体" w:cs="宋体"/>
          <w:bCs/>
          <w:color w:val="auto"/>
          <w:highlight w:val="none"/>
        </w:rPr>
        <w:t>实施能提供充分的保障。</w:t>
      </w:r>
    </w:p>
    <w:p w14:paraId="0CEE5B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highlight w:val="none"/>
          <w:lang w:eastAsia="zh-CN"/>
        </w:rPr>
      </w:pPr>
      <w:r>
        <w:rPr>
          <w:rFonts w:hint="eastAsia" w:ascii="宋体" w:hAnsi="宋体" w:eastAsia="宋体" w:cs="宋体"/>
          <w:bCs/>
          <w:color w:val="auto"/>
          <w:highlight w:val="none"/>
          <w:lang w:eastAsia="zh-CN"/>
        </w:rPr>
        <w:t>注：响应文件中提供供应商购置转运车辆、处置工具及相关处理设备的发票复印件</w:t>
      </w:r>
      <w:r>
        <w:rPr>
          <w:rFonts w:hint="eastAsia" w:ascii="宋体" w:hAnsi="宋体" w:eastAsia="宋体" w:cs="宋体"/>
          <w:bCs/>
          <w:color w:val="auto"/>
          <w:highlight w:val="none"/>
          <w:lang w:val="en-US" w:eastAsia="zh-CN"/>
        </w:rPr>
        <w:t>(发票原件备查）</w:t>
      </w:r>
      <w:r>
        <w:rPr>
          <w:rFonts w:hint="eastAsia" w:ascii="宋体" w:hAnsi="宋体" w:eastAsia="宋体" w:cs="宋体"/>
          <w:bCs/>
          <w:color w:val="auto"/>
          <w:highlight w:val="none"/>
          <w:lang w:eastAsia="zh-CN"/>
        </w:rPr>
        <w:t>，否则不予计分。</w:t>
      </w:r>
    </w:p>
    <w:p w14:paraId="432F3D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50"/>
        <w:jc w:val="left"/>
        <w:textAlignment w:val="auto"/>
        <w:rPr>
          <w:rFonts w:hint="eastAsia" w:ascii="宋体" w:hAnsi="宋体" w:eastAsia="宋体" w:cs="宋体"/>
          <w:b w:val="0"/>
          <w:bCs/>
          <w:color w:val="auto"/>
          <w:highlight w:val="none"/>
          <w:lang w:eastAsia="zh-CN"/>
        </w:rPr>
      </w:pP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4</w:t>
      </w:r>
      <w:r>
        <w:rPr>
          <w:rFonts w:hint="eastAsia" w:ascii="宋体" w:hAnsi="宋体" w:eastAsia="宋体" w:cs="宋体"/>
          <w:bCs/>
          <w:color w:val="auto"/>
          <w:highlight w:val="none"/>
          <w:lang w:eastAsia="zh-CN"/>
        </w:rPr>
        <w:t>）</w:t>
      </w:r>
      <w:r>
        <w:rPr>
          <w:rFonts w:hint="eastAsia" w:ascii="宋体" w:hAnsi="宋体" w:eastAsia="宋体" w:cs="宋体"/>
          <w:b w:val="0"/>
          <w:bCs/>
          <w:color w:val="auto"/>
          <w:highlight w:val="none"/>
        </w:rPr>
        <w:t>服务质量</w:t>
      </w:r>
      <w:r>
        <w:rPr>
          <w:rFonts w:hint="eastAsia" w:ascii="宋体" w:hAnsi="宋体" w:eastAsia="宋体" w:cs="宋体"/>
          <w:b w:val="0"/>
          <w:bCs/>
          <w:color w:val="auto"/>
          <w:highlight w:val="none"/>
          <w:lang w:eastAsia="zh-CN"/>
        </w:rPr>
        <w:t>保障</w:t>
      </w:r>
      <w:r>
        <w:rPr>
          <w:rFonts w:hint="eastAsia" w:ascii="宋体" w:hAnsi="宋体" w:eastAsia="宋体" w:cs="宋体"/>
          <w:b w:val="0"/>
          <w:bCs/>
          <w:color w:val="auto"/>
          <w:highlight w:val="none"/>
        </w:rPr>
        <w:t>措施</w:t>
      </w:r>
      <w:r>
        <w:rPr>
          <w:rFonts w:hint="eastAsia" w:ascii="宋体" w:hAnsi="宋体" w:eastAsia="宋体" w:cs="宋体"/>
          <w:b w:val="0"/>
          <w:bCs/>
          <w:color w:val="auto"/>
          <w:highlight w:val="none"/>
          <w:lang w:val="zh-CN" w:eastAsia="zh-CN"/>
        </w:rPr>
        <w:t>……………………………………………………………………………满分</w:t>
      </w:r>
      <w:r>
        <w:rPr>
          <w:rFonts w:hint="eastAsia" w:ascii="宋体" w:hAnsi="宋体" w:eastAsia="宋体" w:cs="宋体"/>
          <w:b w:val="0"/>
          <w:bCs/>
          <w:color w:val="auto"/>
          <w:highlight w:val="none"/>
          <w:lang w:val="en-US" w:eastAsia="zh-CN"/>
        </w:rPr>
        <w:t>10</w:t>
      </w:r>
      <w:r>
        <w:rPr>
          <w:rFonts w:hint="eastAsia" w:ascii="宋体" w:hAnsi="宋体" w:eastAsia="宋体" w:cs="宋体"/>
          <w:b w:val="0"/>
          <w:bCs/>
          <w:color w:val="auto"/>
          <w:highlight w:val="none"/>
          <w:lang w:eastAsia="zh-CN"/>
        </w:rPr>
        <w:t>分</w:t>
      </w:r>
    </w:p>
    <w:p w14:paraId="05D29E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一档（</w:t>
      </w:r>
      <w:r>
        <w:rPr>
          <w:rFonts w:hint="eastAsia" w:ascii="宋体" w:hAnsi="宋体" w:eastAsia="宋体" w:cs="宋体"/>
          <w:bCs/>
          <w:color w:val="auto"/>
          <w:highlight w:val="none"/>
          <w:lang w:val="en-US" w:eastAsia="zh-CN"/>
        </w:rPr>
        <w:t>3</w:t>
      </w:r>
      <w:r>
        <w:rPr>
          <w:rFonts w:hint="eastAsia" w:ascii="宋体" w:hAnsi="宋体" w:eastAsia="宋体" w:cs="宋体"/>
          <w:bCs/>
          <w:color w:val="auto"/>
          <w:highlight w:val="none"/>
        </w:rPr>
        <w:t>分）：</w:t>
      </w:r>
      <w:r>
        <w:rPr>
          <w:rFonts w:hint="eastAsia" w:ascii="宋体" w:hAnsi="宋体" w:eastAsia="宋体" w:cs="宋体"/>
          <w:b w:val="0"/>
          <w:bCs/>
          <w:color w:val="auto"/>
          <w:highlight w:val="none"/>
          <w:lang w:eastAsia="zh-CN"/>
        </w:rPr>
        <w:t>有服务质量、</w:t>
      </w:r>
      <w:r>
        <w:rPr>
          <w:rFonts w:hint="eastAsia" w:ascii="宋体" w:hAnsi="宋体" w:eastAsia="宋体" w:cs="宋体"/>
          <w:bCs/>
          <w:color w:val="auto"/>
          <w:highlight w:val="none"/>
        </w:rPr>
        <w:t>安全</w:t>
      </w:r>
      <w:r>
        <w:rPr>
          <w:rFonts w:hint="eastAsia" w:ascii="宋体" w:hAnsi="宋体" w:eastAsia="宋体" w:cs="宋体"/>
          <w:bCs/>
          <w:color w:val="auto"/>
          <w:highlight w:val="none"/>
          <w:lang w:eastAsia="zh-CN"/>
        </w:rPr>
        <w:t>防范</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应急服务响应管理</w:t>
      </w:r>
      <w:r>
        <w:rPr>
          <w:rFonts w:hint="eastAsia" w:ascii="宋体" w:hAnsi="宋体" w:eastAsia="宋体" w:cs="宋体"/>
          <w:bCs/>
          <w:color w:val="auto"/>
          <w:highlight w:val="none"/>
        </w:rPr>
        <w:t>等</w:t>
      </w:r>
      <w:r>
        <w:rPr>
          <w:rFonts w:hint="eastAsia" w:ascii="宋体" w:hAnsi="宋体" w:eastAsia="宋体" w:cs="宋体"/>
          <w:bCs/>
          <w:color w:val="auto"/>
          <w:highlight w:val="none"/>
          <w:lang w:eastAsia="zh-CN"/>
        </w:rPr>
        <w:t>服务保障措施</w:t>
      </w:r>
      <w:r>
        <w:rPr>
          <w:rFonts w:hint="eastAsia" w:ascii="宋体" w:hAnsi="宋体" w:eastAsia="宋体" w:cs="宋体"/>
          <w:bCs/>
          <w:color w:val="auto"/>
          <w:highlight w:val="none"/>
        </w:rPr>
        <w:t>，但欠科学合理；</w:t>
      </w:r>
    </w:p>
    <w:p w14:paraId="18649D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二档（</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分）：</w:t>
      </w:r>
      <w:r>
        <w:rPr>
          <w:rFonts w:hint="eastAsia" w:ascii="宋体" w:hAnsi="宋体" w:eastAsia="宋体" w:cs="宋体"/>
          <w:b w:val="0"/>
          <w:bCs/>
          <w:color w:val="auto"/>
          <w:highlight w:val="none"/>
          <w:lang w:eastAsia="zh-CN"/>
        </w:rPr>
        <w:t>有服务质量、</w:t>
      </w:r>
      <w:r>
        <w:rPr>
          <w:rFonts w:hint="eastAsia" w:ascii="宋体" w:hAnsi="宋体" w:eastAsia="宋体" w:cs="宋体"/>
          <w:bCs/>
          <w:color w:val="auto"/>
          <w:highlight w:val="none"/>
        </w:rPr>
        <w:t>安全</w:t>
      </w:r>
      <w:r>
        <w:rPr>
          <w:rFonts w:hint="eastAsia" w:ascii="宋体" w:hAnsi="宋体" w:eastAsia="宋体" w:cs="宋体"/>
          <w:bCs/>
          <w:color w:val="auto"/>
          <w:highlight w:val="none"/>
          <w:lang w:eastAsia="zh-CN"/>
        </w:rPr>
        <w:t>防范</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应急服务响应管理</w:t>
      </w:r>
      <w:r>
        <w:rPr>
          <w:rFonts w:hint="eastAsia" w:ascii="宋体" w:hAnsi="宋体" w:eastAsia="宋体" w:cs="宋体"/>
          <w:bCs/>
          <w:color w:val="auto"/>
          <w:highlight w:val="none"/>
        </w:rPr>
        <w:t>等</w:t>
      </w:r>
      <w:r>
        <w:rPr>
          <w:rFonts w:hint="eastAsia" w:ascii="宋体" w:hAnsi="宋体" w:eastAsia="宋体" w:cs="宋体"/>
          <w:bCs/>
          <w:color w:val="auto"/>
          <w:highlight w:val="none"/>
          <w:lang w:eastAsia="zh-CN"/>
        </w:rPr>
        <w:t>服务保障措施</w:t>
      </w:r>
      <w:r>
        <w:rPr>
          <w:rFonts w:hint="eastAsia" w:ascii="宋体" w:hAnsi="宋体" w:eastAsia="宋体" w:cs="宋体"/>
          <w:bCs/>
          <w:color w:val="auto"/>
          <w:highlight w:val="none"/>
        </w:rPr>
        <w:t>，方案可行，科学合理；</w:t>
      </w:r>
    </w:p>
    <w:p w14:paraId="14647F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highlight w:val="none"/>
        </w:rPr>
      </w:pPr>
      <w:r>
        <w:rPr>
          <w:rFonts w:hint="eastAsia" w:ascii="宋体" w:hAnsi="宋体" w:eastAsia="宋体" w:cs="宋体"/>
          <w:bCs/>
          <w:color w:val="auto"/>
          <w:highlight w:val="none"/>
        </w:rPr>
        <w:t>三档（</w:t>
      </w:r>
      <w:r>
        <w:rPr>
          <w:rFonts w:hint="eastAsia" w:ascii="宋体" w:hAnsi="宋体" w:eastAsia="宋体" w:cs="宋体"/>
          <w:bCs/>
          <w:color w:val="auto"/>
          <w:highlight w:val="none"/>
          <w:lang w:val="en-US" w:eastAsia="zh-CN"/>
        </w:rPr>
        <w:t>1</w:t>
      </w:r>
      <w:r>
        <w:rPr>
          <w:rFonts w:hint="eastAsia" w:ascii="宋体" w:hAnsi="宋体" w:eastAsia="宋体" w:cs="宋体"/>
          <w:bCs/>
          <w:color w:val="auto"/>
          <w:highlight w:val="none"/>
        </w:rPr>
        <w:t>0分）：</w:t>
      </w:r>
      <w:r>
        <w:rPr>
          <w:rFonts w:hint="eastAsia" w:ascii="宋体" w:hAnsi="宋体" w:eastAsia="宋体" w:cs="宋体"/>
          <w:b w:val="0"/>
          <w:bCs/>
          <w:color w:val="auto"/>
          <w:highlight w:val="none"/>
          <w:lang w:eastAsia="zh-CN"/>
        </w:rPr>
        <w:t>有服务质量、</w:t>
      </w:r>
      <w:r>
        <w:rPr>
          <w:rFonts w:hint="eastAsia" w:ascii="宋体" w:hAnsi="宋体" w:eastAsia="宋体" w:cs="宋体"/>
          <w:bCs/>
          <w:color w:val="auto"/>
          <w:highlight w:val="none"/>
        </w:rPr>
        <w:t>安全</w:t>
      </w:r>
      <w:r>
        <w:rPr>
          <w:rFonts w:hint="eastAsia" w:ascii="宋体" w:hAnsi="宋体" w:eastAsia="宋体" w:cs="宋体"/>
          <w:bCs/>
          <w:color w:val="auto"/>
          <w:highlight w:val="none"/>
          <w:lang w:eastAsia="zh-CN"/>
        </w:rPr>
        <w:t>防范</w:t>
      </w:r>
      <w:r>
        <w:rPr>
          <w:rFonts w:hint="eastAsia" w:ascii="宋体" w:hAnsi="宋体" w:eastAsia="宋体" w:cs="宋体"/>
          <w:bCs/>
          <w:color w:val="auto"/>
          <w:highlight w:val="none"/>
        </w:rPr>
        <w:t>、</w:t>
      </w:r>
      <w:r>
        <w:rPr>
          <w:rFonts w:hint="eastAsia" w:ascii="宋体" w:hAnsi="宋体" w:eastAsia="宋体" w:cs="宋体"/>
          <w:bCs/>
          <w:color w:val="auto"/>
          <w:highlight w:val="none"/>
          <w:lang w:eastAsia="zh-CN"/>
        </w:rPr>
        <w:t>应急服务响应管理</w:t>
      </w:r>
      <w:r>
        <w:rPr>
          <w:rFonts w:hint="eastAsia" w:ascii="宋体" w:hAnsi="宋体" w:eastAsia="宋体" w:cs="宋体"/>
          <w:bCs/>
          <w:color w:val="auto"/>
          <w:highlight w:val="none"/>
        </w:rPr>
        <w:t>等</w:t>
      </w:r>
      <w:r>
        <w:rPr>
          <w:rFonts w:hint="eastAsia" w:ascii="宋体" w:hAnsi="宋体" w:eastAsia="宋体" w:cs="宋体"/>
          <w:bCs/>
          <w:color w:val="auto"/>
          <w:highlight w:val="none"/>
          <w:lang w:eastAsia="zh-CN"/>
        </w:rPr>
        <w:t>服务保障措施</w:t>
      </w:r>
      <w:r>
        <w:rPr>
          <w:rFonts w:hint="eastAsia" w:ascii="宋体" w:hAnsi="宋体" w:eastAsia="宋体" w:cs="宋体"/>
          <w:bCs/>
          <w:color w:val="auto"/>
          <w:highlight w:val="none"/>
        </w:rPr>
        <w:t>，考虑周全、完善，</w:t>
      </w:r>
      <w:r>
        <w:rPr>
          <w:rFonts w:hint="eastAsia" w:ascii="宋体" w:hAnsi="宋体" w:eastAsia="宋体" w:cs="宋体"/>
          <w:bCs/>
          <w:color w:val="auto"/>
          <w:highlight w:val="none"/>
          <w:lang w:eastAsia="zh-CN"/>
        </w:rPr>
        <w:t>可行性强、</w:t>
      </w:r>
      <w:r>
        <w:rPr>
          <w:rFonts w:hint="eastAsia" w:ascii="宋体" w:hAnsi="宋体" w:eastAsia="宋体" w:cs="宋体"/>
          <w:bCs/>
          <w:color w:val="auto"/>
          <w:highlight w:val="none"/>
        </w:rPr>
        <w:t>科学合理。</w:t>
      </w:r>
    </w:p>
    <w:p w14:paraId="0465CD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50" w:firstLine="420" w:firstLineChars="200"/>
        <w:jc w:val="left"/>
        <w:textAlignment w:val="auto"/>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注：未提供</w:t>
      </w:r>
      <w:r>
        <w:rPr>
          <w:rFonts w:hint="eastAsia" w:ascii="宋体" w:hAnsi="宋体" w:eastAsia="宋体" w:cs="宋体"/>
          <w:b w:val="0"/>
          <w:bCs/>
          <w:color w:val="auto"/>
          <w:highlight w:val="none"/>
        </w:rPr>
        <w:t>服务质量</w:t>
      </w:r>
      <w:r>
        <w:rPr>
          <w:rFonts w:hint="eastAsia" w:ascii="宋体" w:hAnsi="宋体" w:eastAsia="宋体" w:cs="宋体"/>
          <w:b w:val="0"/>
          <w:bCs/>
          <w:color w:val="auto"/>
          <w:highlight w:val="none"/>
          <w:lang w:eastAsia="zh-CN"/>
        </w:rPr>
        <w:t>保障</w:t>
      </w:r>
      <w:r>
        <w:rPr>
          <w:rFonts w:hint="eastAsia" w:ascii="宋体" w:hAnsi="宋体" w:eastAsia="宋体" w:cs="宋体"/>
          <w:b w:val="0"/>
          <w:bCs/>
          <w:color w:val="auto"/>
          <w:highlight w:val="none"/>
        </w:rPr>
        <w:t>措施</w:t>
      </w:r>
      <w:r>
        <w:rPr>
          <w:rFonts w:hint="eastAsia" w:ascii="宋体" w:hAnsi="宋体" w:eastAsia="宋体" w:cs="宋体"/>
          <w:b w:val="0"/>
          <w:bCs/>
          <w:color w:val="auto"/>
          <w:highlight w:val="none"/>
          <w:lang w:eastAsia="zh-CN"/>
        </w:rPr>
        <w:t>的</w:t>
      </w:r>
      <w:r>
        <w:rPr>
          <w:rFonts w:hint="eastAsia" w:ascii="宋体" w:hAnsi="宋体" w:eastAsia="宋体" w:cs="宋体"/>
          <w:bCs/>
          <w:color w:val="auto"/>
          <w:highlight w:val="none"/>
        </w:rPr>
        <w:t>，此项不得分。</w:t>
      </w:r>
    </w:p>
    <w:p w14:paraId="292227CE">
      <w:pPr>
        <w:numPr>
          <w:ilvl w:val="0"/>
          <w:numId w:val="0"/>
        </w:numPr>
        <w:spacing w:line="360" w:lineRule="auto"/>
        <w:ind w:leftChars="50" w:right="-420" w:rightChars="-200"/>
        <w:rPr>
          <w:rFonts w:hint="eastAsia" w:ascii="宋体" w:hAnsi="宋体" w:eastAsia="宋体" w:cs="宋体"/>
          <w:b/>
          <w:bCs/>
          <w:color w:val="auto"/>
          <w:highlight w:val="none"/>
        </w:rPr>
      </w:pPr>
      <w:r>
        <w:rPr>
          <w:rFonts w:hint="eastAsia" w:ascii="宋体" w:hAnsi="宋体" w:eastAsia="宋体" w:cs="宋体"/>
          <w:b/>
          <w:bCs/>
          <w:color w:val="auto"/>
          <w:highlight w:val="none"/>
        </w:rPr>
        <w:t>3、服务承诺分</w:t>
      </w: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……………满分</w:t>
      </w:r>
      <w:r>
        <w:rPr>
          <w:rFonts w:hint="eastAsia" w:ascii="宋体" w:hAnsi="宋体" w:eastAsia="宋体" w:cs="宋体"/>
          <w:b/>
          <w:bCs/>
          <w:color w:val="auto"/>
          <w:highlight w:val="none"/>
          <w:lang w:val="en-US" w:eastAsia="zh-CN"/>
        </w:rPr>
        <w:t>10</w:t>
      </w:r>
      <w:r>
        <w:rPr>
          <w:rFonts w:hint="eastAsia" w:ascii="宋体" w:hAnsi="宋体" w:eastAsia="宋体" w:cs="宋体"/>
          <w:b/>
          <w:bCs/>
          <w:color w:val="auto"/>
          <w:highlight w:val="none"/>
        </w:rPr>
        <w:t>分</w:t>
      </w:r>
    </w:p>
    <w:p w14:paraId="0CCDC24A">
      <w:pPr>
        <w:spacing w:line="360" w:lineRule="auto"/>
        <w:ind w:left="-420" w:leftChars="-200" w:right="-105" w:rightChars="-5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投标人承诺的服务响应时间及到达现场处理时间优于服务采购需求要求，得</w:t>
      </w:r>
      <w:r>
        <w:rPr>
          <w:rFonts w:hint="eastAsia" w:ascii="宋体" w:hAnsi="宋体" w:eastAsia="宋体" w:cs="宋体"/>
          <w:color w:val="auto"/>
          <w:highlight w:val="none"/>
          <w:lang w:val="en-US" w:eastAsia="zh-CN"/>
        </w:rPr>
        <w:t>3分；</w:t>
      </w:r>
    </w:p>
    <w:p w14:paraId="1C475ADC">
      <w:pPr>
        <w:spacing w:line="360" w:lineRule="auto"/>
        <w:ind w:left="-420" w:leftChars="-200" w:right="-105" w:rightChars="-5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承诺按国家法律规定开展各项服务及经营</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得3分；</w:t>
      </w:r>
    </w:p>
    <w:p w14:paraId="41A2835D">
      <w:pPr>
        <w:spacing w:line="360" w:lineRule="auto"/>
        <w:ind w:left="-420" w:leftChars="-200" w:right="-105" w:rightChars="-5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承诺遵守</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文件规定及实施</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文件提供的项目实施方案</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14:paraId="31925F70">
      <w:pPr>
        <w:spacing w:line="360" w:lineRule="auto"/>
        <w:ind w:left="-420" w:leftChars="-200" w:right="-105" w:rightChars="-5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有对服务态度、服务效率、服务质量的承诺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14:paraId="5FC82153">
      <w:pPr>
        <w:spacing w:line="360" w:lineRule="auto"/>
        <w:ind w:left="-420" w:leftChars="-200" w:right="-105" w:rightChars="-5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有对责任事故的处理承诺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14:paraId="53F9CC7A">
      <w:pPr>
        <w:spacing w:line="360" w:lineRule="auto"/>
        <w:ind w:left="-420" w:leftChars="-200" w:right="-105" w:rightChars="-5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（6）</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有</w:t>
      </w:r>
      <w:r>
        <w:rPr>
          <w:rFonts w:hint="eastAsia" w:ascii="宋体" w:hAnsi="宋体" w:eastAsia="宋体" w:cs="宋体"/>
          <w:color w:val="auto"/>
          <w:highlight w:val="none"/>
          <w:lang w:eastAsia="zh-CN"/>
        </w:rPr>
        <w:t>增值</w:t>
      </w:r>
      <w:r>
        <w:rPr>
          <w:rFonts w:hint="eastAsia" w:ascii="宋体" w:hAnsi="宋体" w:eastAsia="宋体" w:cs="宋体"/>
          <w:color w:val="auto"/>
          <w:highlight w:val="none"/>
        </w:rPr>
        <w:t>服务</w:t>
      </w:r>
      <w:r>
        <w:rPr>
          <w:rFonts w:hint="eastAsia" w:ascii="宋体" w:hAnsi="宋体" w:eastAsia="宋体" w:cs="宋体"/>
          <w:color w:val="auto"/>
          <w:highlight w:val="none"/>
          <w:lang w:eastAsia="zh-CN"/>
        </w:rPr>
        <w:t>（如向采购人免费提供医废知识培训服务等）</w:t>
      </w:r>
      <w:r>
        <w:rPr>
          <w:rFonts w:hint="eastAsia" w:ascii="宋体" w:hAnsi="宋体" w:eastAsia="宋体" w:cs="宋体"/>
          <w:color w:val="auto"/>
          <w:highlight w:val="none"/>
        </w:rPr>
        <w:t>承诺</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得</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p>
    <w:p w14:paraId="25C3B652">
      <w:pPr>
        <w:spacing w:line="360" w:lineRule="auto"/>
        <w:ind w:left="-420" w:leftChars="-200" w:right="-105" w:rightChars="-50" w:firstLine="420"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4、信誉分</w:t>
      </w: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……………满分</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lang w:val="zh-CN"/>
        </w:rPr>
        <w:t>分</w:t>
      </w:r>
    </w:p>
    <w:p w14:paraId="1791E3D3">
      <w:pPr>
        <w:spacing w:line="360" w:lineRule="auto"/>
        <w:ind w:left="-420" w:leftChars="-200" w:right="-105" w:rightChars="-50"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投标人具有有效的</w:t>
      </w:r>
      <w:r>
        <w:rPr>
          <w:rFonts w:hint="eastAsia" w:ascii="宋体" w:hAnsi="宋体" w:eastAsia="宋体" w:cs="宋体"/>
          <w:color w:val="auto"/>
          <w:highlight w:val="none"/>
        </w:rPr>
        <w:t xml:space="preserve"> ISO9000 国际质量管理体系认证、</w:t>
      </w:r>
      <w:r>
        <w:rPr>
          <w:rFonts w:hint="eastAsia" w:ascii="宋体" w:hAnsi="宋体" w:eastAsia="宋体" w:cs="宋体"/>
          <w:color w:val="auto"/>
          <w:highlight w:val="none"/>
          <w:lang w:val="en-US" w:eastAsia="zh-CN"/>
        </w:rPr>
        <w:t>ISO45001</w:t>
      </w:r>
      <w:r>
        <w:rPr>
          <w:rFonts w:hint="eastAsia" w:ascii="宋体" w:hAnsi="宋体" w:eastAsia="宋体" w:cs="宋体"/>
          <w:color w:val="auto"/>
          <w:highlight w:val="none"/>
        </w:rPr>
        <w:t>职业安全健康管理体系认证、</w:t>
      </w:r>
      <w:r>
        <w:rPr>
          <w:rFonts w:hint="eastAsia" w:ascii="宋体" w:hAnsi="宋体" w:eastAsia="宋体" w:cs="宋体"/>
          <w:color w:val="auto"/>
          <w:highlight w:val="none"/>
          <w:lang w:val="en-US" w:eastAsia="zh-CN"/>
        </w:rPr>
        <w:t>ISO14001</w:t>
      </w:r>
      <w:r>
        <w:rPr>
          <w:rFonts w:hint="eastAsia" w:ascii="宋体" w:hAnsi="宋体" w:eastAsia="宋体" w:cs="宋体"/>
          <w:color w:val="auto"/>
          <w:highlight w:val="none"/>
        </w:rPr>
        <w:t>环境管理体系认证的（提供相关有效认证证书复印件），每获得一项得 1分，本项满分3分</w:t>
      </w:r>
      <w:r>
        <w:rPr>
          <w:rFonts w:hint="eastAsia" w:ascii="宋体" w:hAnsi="宋体" w:eastAsia="宋体" w:cs="宋体"/>
          <w:color w:val="auto"/>
          <w:highlight w:val="none"/>
          <w:lang w:eastAsia="zh-CN"/>
        </w:rPr>
        <w:t>。</w:t>
      </w:r>
    </w:p>
    <w:p w14:paraId="196A08EB">
      <w:pPr>
        <w:spacing w:line="360" w:lineRule="auto"/>
        <w:ind w:left="-420" w:leftChars="-200" w:right="-105" w:rightChars="-50" w:firstLine="420"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5、业绩分</w:t>
      </w:r>
      <w:r>
        <w:rPr>
          <w:rFonts w:hint="eastAsia" w:ascii="宋体" w:hAnsi="宋体" w:eastAsia="宋体" w:cs="宋体"/>
          <w:b/>
          <w:bCs/>
          <w:color w:val="auto"/>
          <w:highlight w:val="none"/>
          <w:lang w:val="zh-CN"/>
        </w:rPr>
        <w:t>……………………………………………………………………………</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zh-CN"/>
        </w:rPr>
        <w:t>……………满分</w:t>
      </w:r>
      <w:r>
        <w:rPr>
          <w:rFonts w:hint="eastAsia" w:ascii="宋体" w:hAnsi="宋体" w:eastAsia="宋体" w:cs="宋体"/>
          <w:b/>
          <w:bCs/>
          <w:color w:val="auto"/>
          <w:highlight w:val="none"/>
          <w:lang w:val="en-US" w:eastAsia="zh-CN"/>
        </w:rPr>
        <w:t>12</w:t>
      </w:r>
      <w:r>
        <w:rPr>
          <w:rFonts w:hint="eastAsia" w:ascii="宋体" w:hAnsi="宋体" w:eastAsia="宋体" w:cs="宋体"/>
          <w:b/>
          <w:bCs/>
          <w:color w:val="auto"/>
          <w:highlight w:val="none"/>
          <w:lang w:val="zh-CN"/>
        </w:rPr>
        <w:t>分</w:t>
      </w:r>
    </w:p>
    <w:p w14:paraId="0A5033D4">
      <w:pPr>
        <w:spacing w:line="360" w:lineRule="auto"/>
        <w:ind w:left="-420" w:leftChars="-200" w:right="-105" w:rightChars="-5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投标人自201</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年以来承接</w:t>
      </w:r>
      <w:r>
        <w:rPr>
          <w:rFonts w:hint="eastAsia" w:ascii="宋体" w:hAnsi="宋体" w:eastAsia="宋体" w:cs="宋体"/>
          <w:color w:val="auto"/>
          <w:highlight w:val="none"/>
          <w:lang w:eastAsia="zh-CN"/>
        </w:rPr>
        <w:t>过</w:t>
      </w:r>
      <w:r>
        <w:rPr>
          <w:rFonts w:hint="eastAsia" w:ascii="宋体" w:hAnsi="宋体" w:eastAsia="宋体" w:cs="宋体"/>
          <w:color w:val="auto"/>
          <w:highlight w:val="none"/>
        </w:rPr>
        <w:t>三级甲等医院的同类项目业绩（以中标、成交通知书或签订的合同为准，并能清晰反映项目的名称、种类、金额，否则将不予评审，同一个编号的项目有两个或两个以上的分标中标的只算一次），每个项目得</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分，本项满分</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                                                            </w:t>
      </w:r>
    </w:p>
    <w:p w14:paraId="0982FA9E">
      <w:pPr>
        <w:spacing w:line="360" w:lineRule="auto"/>
        <w:ind w:left="-420" w:leftChars="-200" w:right="-105" w:rightChars="-50" w:firstLine="420"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总得分＝1+2+3+4</w:t>
      </w:r>
      <w:bookmarkEnd w:id="140"/>
      <w:bookmarkEnd w:id="141"/>
      <w:r>
        <w:rPr>
          <w:rFonts w:hint="eastAsia" w:ascii="宋体" w:hAnsi="宋体" w:eastAsia="宋体" w:cs="宋体"/>
          <w:b/>
          <w:bCs/>
          <w:color w:val="auto"/>
          <w:highlight w:val="none"/>
        </w:rPr>
        <w:t>+5</w:t>
      </w:r>
    </w:p>
    <w:p w14:paraId="7331595C">
      <w:pPr>
        <w:pStyle w:val="17"/>
        <w:spacing w:line="360" w:lineRule="auto"/>
        <w:ind w:firstLine="422"/>
        <w:rPr>
          <w:rFonts w:hint="eastAsia" w:ascii="宋体" w:hAnsi="宋体" w:eastAsia="宋体" w:cs="宋体"/>
          <w:b/>
          <w:color w:val="auto"/>
          <w:szCs w:val="21"/>
          <w:highlight w:val="none"/>
        </w:rPr>
      </w:pPr>
    </w:p>
    <w:p w14:paraId="52AFEB35">
      <w:pPr>
        <w:pStyle w:val="17"/>
        <w:numPr>
          <w:ilvl w:val="0"/>
          <w:numId w:val="0"/>
        </w:numPr>
        <w:tabs>
          <w:tab w:val="left" w:pos="4214"/>
        </w:tabs>
        <w:spacing w:line="360" w:lineRule="auto"/>
        <w:rPr>
          <w:rFonts w:hint="eastAsia" w:ascii="宋体" w:hAnsi="宋体" w:eastAsia="宋体" w:cs="宋体"/>
          <w:b/>
          <w:color w:val="auto"/>
          <w:szCs w:val="21"/>
          <w:highlight w:val="none"/>
        </w:rPr>
      </w:pPr>
      <w:r>
        <w:rPr>
          <w:rFonts w:hint="eastAsia" w:hAnsi="宋体" w:eastAsia="宋体" w:cs="宋体"/>
          <w:b/>
          <w:color w:val="auto"/>
          <w:szCs w:val="21"/>
          <w:highlight w:val="none"/>
          <w:lang w:eastAsia="zh-CN"/>
        </w:rPr>
        <w:t>三、</w:t>
      </w:r>
      <w:r>
        <w:rPr>
          <w:rFonts w:hint="eastAsia" w:ascii="宋体" w:hAnsi="宋体" w:eastAsia="宋体" w:cs="宋体"/>
          <w:b/>
          <w:color w:val="auto"/>
          <w:szCs w:val="21"/>
          <w:highlight w:val="none"/>
        </w:rPr>
        <w:t>推荐及确定中标候选供应商原则</w:t>
      </w:r>
    </w:p>
    <w:p w14:paraId="39FF7F9E">
      <w:pPr>
        <w:pStyle w:val="17"/>
        <w:tabs>
          <w:tab w:val="left" w:pos="4214"/>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（1）评标委员会根据综合得分由高到低排列次序，若得分相同时，按评标价由低到高顺序排列；得分相同且评标价也相同的由评标委员会按照服务实施方案的优劣决定排次次序。</w:t>
      </w:r>
    </w:p>
    <w:p w14:paraId="34AF3AA0">
      <w:pPr>
        <w:pStyle w:val="17"/>
        <w:tabs>
          <w:tab w:val="left" w:pos="4214"/>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（2）评标委员会可推荐前三名为中标候选人，采购人应当确定评标委员会推荐排名第一的中标候选人为中标人。</w:t>
      </w:r>
    </w:p>
    <w:p w14:paraId="50708A1D">
      <w:pPr>
        <w:pStyle w:val="13"/>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（3）排名第一的中标候选人放弃中标、因不可抗力提出不能履行合同的，采购人可以确定排名第二的中标候选人为中标人，并依此类推。</w:t>
      </w:r>
    </w:p>
    <w:p w14:paraId="4177B23F">
      <w:pPr>
        <w:pStyle w:val="10"/>
        <w:rPr>
          <w:rFonts w:hint="eastAsia" w:ascii="宋体" w:hAnsi="宋体" w:eastAsia="宋体" w:cs="宋体"/>
          <w:color w:val="auto"/>
          <w:szCs w:val="21"/>
          <w:highlight w:val="none"/>
        </w:rPr>
      </w:pPr>
    </w:p>
    <w:p w14:paraId="2C802BFE">
      <w:pPr>
        <w:rPr>
          <w:color w:val="auto"/>
        </w:rPr>
      </w:pPr>
    </w:p>
    <w:p w14:paraId="1509A693">
      <w:pPr>
        <w:spacing w:line="280" w:lineRule="exact"/>
        <w:rPr>
          <w:rFonts w:ascii="宋体" w:hAnsi="宋体" w:cs="宋体"/>
          <w:b/>
          <w:bCs/>
          <w:color w:val="auto"/>
          <w:sz w:val="24"/>
        </w:rPr>
      </w:pPr>
      <w:r>
        <w:rPr>
          <w:rFonts w:hint="eastAsia" w:ascii="宋体" w:hAnsi="宋体" w:cs="宋体"/>
          <w:b/>
          <w:bCs/>
          <w:color w:val="auto"/>
          <w:sz w:val="24"/>
        </w:rPr>
        <w:t>附表</w:t>
      </w:r>
    </w:p>
    <w:p w14:paraId="65A9336E">
      <w:pPr>
        <w:widowControl/>
        <w:spacing w:beforeLines="50" w:afterLines="50" w:line="280" w:lineRule="exact"/>
        <w:jc w:val="center"/>
        <w:rPr>
          <w:rFonts w:ascii="宋体" w:hAnsi="宋体" w:cs="宋体"/>
          <w:b/>
          <w:bCs/>
          <w:color w:val="auto"/>
          <w:kern w:val="0"/>
          <w:sz w:val="30"/>
          <w:szCs w:val="30"/>
        </w:rPr>
      </w:pPr>
      <w:bookmarkStart w:id="142" w:name="_Toc28361_WPSOffice_Level2"/>
      <w:r>
        <w:rPr>
          <w:rFonts w:hint="eastAsia" w:ascii="宋体" w:hAnsi="宋体" w:cs="宋体"/>
          <w:b/>
          <w:bCs/>
          <w:color w:val="auto"/>
          <w:kern w:val="0"/>
          <w:sz w:val="30"/>
          <w:szCs w:val="30"/>
        </w:rPr>
        <w:t>统计上大中小微型企业划分标准</w:t>
      </w:r>
      <w:bookmarkEnd w:id="142"/>
    </w:p>
    <w:tbl>
      <w:tblPr>
        <w:tblStyle w:val="29"/>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95C4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FFFFFF"/>
            <w:vAlign w:val="center"/>
          </w:tcPr>
          <w:p w14:paraId="494EFC4C">
            <w:pPr>
              <w:widowControl/>
              <w:spacing w:line="280" w:lineRule="exact"/>
              <w:jc w:val="center"/>
              <w:rPr>
                <w:rFonts w:ascii="宋体" w:hAnsi="宋体" w:cs="宋体"/>
                <w:b/>
                <w:bCs/>
                <w:color w:val="auto"/>
                <w:kern w:val="0"/>
                <w:sz w:val="18"/>
                <w:szCs w:val="21"/>
              </w:rPr>
            </w:pPr>
            <w:r>
              <w:rPr>
                <w:rFonts w:hint="eastAsia" w:ascii="宋体" w:hAnsi="宋体" w:cs="宋体"/>
                <w:b/>
                <w:bCs/>
                <w:color w:val="auto"/>
                <w:kern w:val="0"/>
                <w:sz w:val="18"/>
                <w:szCs w:val="21"/>
              </w:rPr>
              <w:t>行业名称</w:t>
            </w:r>
          </w:p>
        </w:tc>
        <w:tc>
          <w:tcPr>
            <w:tcW w:w="1369" w:type="dxa"/>
            <w:shd w:val="clear" w:color="auto" w:fill="FFFFFF"/>
            <w:vAlign w:val="center"/>
          </w:tcPr>
          <w:p w14:paraId="283D692C">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指标名称</w:t>
            </w:r>
          </w:p>
        </w:tc>
        <w:tc>
          <w:tcPr>
            <w:tcW w:w="709" w:type="dxa"/>
            <w:shd w:val="clear" w:color="auto" w:fill="FFFFFF"/>
            <w:vAlign w:val="center"/>
          </w:tcPr>
          <w:p w14:paraId="473DDE61">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计量</w:t>
            </w:r>
          </w:p>
          <w:p w14:paraId="278A8944">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1125" w:type="dxa"/>
            <w:shd w:val="clear" w:color="auto" w:fill="FFFFFF"/>
            <w:vAlign w:val="center"/>
          </w:tcPr>
          <w:p w14:paraId="392AF8B9">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大型</w:t>
            </w:r>
          </w:p>
        </w:tc>
        <w:tc>
          <w:tcPr>
            <w:tcW w:w="1701" w:type="dxa"/>
            <w:shd w:val="clear" w:color="auto" w:fill="FFFFFF"/>
            <w:vAlign w:val="center"/>
          </w:tcPr>
          <w:p w14:paraId="0B79D3F7">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中型</w:t>
            </w:r>
          </w:p>
        </w:tc>
        <w:tc>
          <w:tcPr>
            <w:tcW w:w="1426" w:type="dxa"/>
            <w:shd w:val="clear" w:color="auto" w:fill="FFFFFF"/>
            <w:vAlign w:val="center"/>
          </w:tcPr>
          <w:p w14:paraId="422A8899">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小型</w:t>
            </w:r>
          </w:p>
        </w:tc>
        <w:tc>
          <w:tcPr>
            <w:tcW w:w="992" w:type="dxa"/>
            <w:shd w:val="clear" w:color="auto" w:fill="FFFFFF"/>
            <w:vAlign w:val="center"/>
          </w:tcPr>
          <w:p w14:paraId="5BBEA2B4">
            <w:pPr>
              <w:widowControl/>
              <w:spacing w:line="280" w:lineRule="exact"/>
              <w:jc w:val="center"/>
              <w:rPr>
                <w:rFonts w:ascii="宋体" w:hAnsi="宋体" w:cs="宋体"/>
                <w:b/>
                <w:bCs/>
                <w:color w:val="auto"/>
                <w:kern w:val="0"/>
                <w:sz w:val="18"/>
                <w:szCs w:val="18"/>
              </w:rPr>
            </w:pPr>
            <w:r>
              <w:rPr>
                <w:rFonts w:hint="eastAsia" w:ascii="宋体" w:hAnsi="宋体" w:cs="宋体"/>
                <w:b/>
                <w:bCs/>
                <w:color w:val="auto"/>
                <w:kern w:val="0"/>
                <w:sz w:val="18"/>
                <w:szCs w:val="18"/>
              </w:rPr>
              <w:t>微型</w:t>
            </w:r>
          </w:p>
        </w:tc>
      </w:tr>
      <w:tr w14:paraId="3144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0DF95167">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农、林、牧、渔业</w:t>
            </w:r>
          </w:p>
        </w:tc>
        <w:tc>
          <w:tcPr>
            <w:tcW w:w="1369" w:type="dxa"/>
            <w:vAlign w:val="center"/>
          </w:tcPr>
          <w:p w14:paraId="2A24D93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4F1963F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7ADEA99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14:paraId="4E5E331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14:paraId="2A3EAB9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50≤Y＜500</w:t>
            </w:r>
          </w:p>
        </w:tc>
        <w:tc>
          <w:tcPr>
            <w:tcW w:w="992" w:type="dxa"/>
            <w:vAlign w:val="center"/>
          </w:tcPr>
          <w:p w14:paraId="53F0511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76B36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FE4B426">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工业 *</w:t>
            </w:r>
          </w:p>
        </w:tc>
        <w:tc>
          <w:tcPr>
            <w:tcW w:w="1369" w:type="dxa"/>
            <w:vAlign w:val="center"/>
          </w:tcPr>
          <w:p w14:paraId="4B2BE4B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4497787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5844BBB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201D63E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47E5596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14:paraId="038A989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2B248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5433B5C0">
            <w:pPr>
              <w:widowControl/>
              <w:spacing w:line="280" w:lineRule="exact"/>
              <w:jc w:val="left"/>
              <w:rPr>
                <w:rFonts w:ascii="宋体" w:hAnsi="宋体" w:cs="宋体"/>
                <w:color w:val="auto"/>
                <w:kern w:val="0"/>
                <w:sz w:val="18"/>
                <w:szCs w:val="18"/>
              </w:rPr>
            </w:pPr>
          </w:p>
        </w:tc>
        <w:tc>
          <w:tcPr>
            <w:tcW w:w="1369" w:type="dxa"/>
            <w:vAlign w:val="center"/>
          </w:tcPr>
          <w:p w14:paraId="6B2C9E7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15AC496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513C910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14:paraId="233A6EE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2000≤Y＜40000</w:t>
            </w:r>
          </w:p>
        </w:tc>
        <w:tc>
          <w:tcPr>
            <w:tcW w:w="1426" w:type="dxa"/>
            <w:vAlign w:val="center"/>
          </w:tcPr>
          <w:p w14:paraId="592EA11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300≤Y＜2000</w:t>
            </w:r>
          </w:p>
        </w:tc>
        <w:tc>
          <w:tcPr>
            <w:tcW w:w="992" w:type="dxa"/>
            <w:vAlign w:val="center"/>
          </w:tcPr>
          <w:p w14:paraId="5FE6FBD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701D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69D2417">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建筑业</w:t>
            </w:r>
          </w:p>
        </w:tc>
        <w:tc>
          <w:tcPr>
            <w:tcW w:w="1369" w:type="dxa"/>
            <w:vAlign w:val="center"/>
          </w:tcPr>
          <w:p w14:paraId="36D8D7A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028C049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581688A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Y≥80000</w:t>
            </w:r>
          </w:p>
        </w:tc>
        <w:tc>
          <w:tcPr>
            <w:tcW w:w="1701" w:type="dxa"/>
            <w:vAlign w:val="center"/>
          </w:tcPr>
          <w:p w14:paraId="10E28CE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6000≤Y＜80000</w:t>
            </w:r>
          </w:p>
        </w:tc>
        <w:tc>
          <w:tcPr>
            <w:tcW w:w="1426" w:type="dxa"/>
            <w:vAlign w:val="center"/>
          </w:tcPr>
          <w:p w14:paraId="7FEB00D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300≤Y＜6000</w:t>
            </w:r>
          </w:p>
        </w:tc>
        <w:tc>
          <w:tcPr>
            <w:tcW w:w="992" w:type="dxa"/>
            <w:vAlign w:val="center"/>
          </w:tcPr>
          <w:p w14:paraId="1707B0B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w:t>
            </w:r>
          </w:p>
        </w:tc>
      </w:tr>
      <w:tr w14:paraId="5ADCC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66F6D1F">
            <w:pPr>
              <w:widowControl/>
              <w:spacing w:line="280" w:lineRule="exact"/>
              <w:jc w:val="left"/>
              <w:rPr>
                <w:rFonts w:ascii="宋体" w:hAnsi="宋体" w:cs="宋体"/>
                <w:color w:val="auto"/>
                <w:kern w:val="0"/>
                <w:sz w:val="18"/>
                <w:szCs w:val="18"/>
              </w:rPr>
            </w:pPr>
          </w:p>
        </w:tc>
        <w:tc>
          <w:tcPr>
            <w:tcW w:w="1369" w:type="dxa"/>
            <w:vAlign w:val="center"/>
          </w:tcPr>
          <w:p w14:paraId="3A102D7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14:paraId="0B7E731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2A0D77C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Z≥80000</w:t>
            </w:r>
          </w:p>
        </w:tc>
        <w:tc>
          <w:tcPr>
            <w:tcW w:w="1701" w:type="dxa"/>
            <w:vAlign w:val="center"/>
          </w:tcPr>
          <w:p w14:paraId="5188106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5000≤Z＜80000</w:t>
            </w:r>
          </w:p>
        </w:tc>
        <w:tc>
          <w:tcPr>
            <w:tcW w:w="1426" w:type="dxa"/>
            <w:vAlign w:val="center"/>
          </w:tcPr>
          <w:p w14:paraId="47E5F41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300≤Z＜5000</w:t>
            </w:r>
          </w:p>
        </w:tc>
        <w:tc>
          <w:tcPr>
            <w:tcW w:w="992" w:type="dxa"/>
            <w:vAlign w:val="center"/>
          </w:tcPr>
          <w:p w14:paraId="1A8805A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Z＜300</w:t>
            </w:r>
          </w:p>
        </w:tc>
      </w:tr>
      <w:tr w14:paraId="2599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0BF5A20">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批发业</w:t>
            </w:r>
          </w:p>
        </w:tc>
        <w:tc>
          <w:tcPr>
            <w:tcW w:w="1369" w:type="dxa"/>
            <w:vAlign w:val="center"/>
          </w:tcPr>
          <w:p w14:paraId="69E9EDB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0AF08AA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56E8ACA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14:paraId="6C73F3B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20≤X＜200</w:t>
            </w:r>
          </w:p>
        </w:tc>
        <w:tc>
          <w:tcPr>
            <w:tcW w:w="1426" w:type="dxa"/>
            <w:vAlign w:val="center"/>
          </w:tcPr>
          <w:p w14:paraId="0F9E358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5≤X＜20</w:t>
            </w:r>
          </w:p>
        </w:tc>
        <w:tc>
          <w:tcPr>
            <w:tcW w:w="992" w:type="dxa"/>
            <w:vAlign w:val="center"/>
          </w:tcPr>
          <w:p w14:paraId="7BD4018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X＜5</w:t>
            </w:r>
          </w:p>
        </w:tc>
      </w:tr>
      <w:tr w14:paraId="4969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D18E841">
            <w:pPr>
              <w:widowControl/>
              <w:spacing w:line="280" w:lineRule="exact"/>
              <w:jc w:val="left"/>
              <w:rPr>
                <w:rFonts w:ascii="宋体" w:hAnsi="宋体" w:cs="宋体"/>
                <w:color w:val="auto"/>
                <w:kern w:val="0"/>
                <w:sz w:val="18"/>
                <w:szCs w:val="18"/>
              </w:rPr>
            </w:pPr>
          </w:p>
        </w:tc>
        <w:tc>
          <w:tcPr>
            <w:tcW w:w="1369" w:type="dxa"/>
            <w:vAlign w:val="center"/>
          </w:tcPr>
          <w:p w14:paraId="10C9611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5720821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77E755C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Y≥40000</w:t>
            </w:r>
          </w:p>
        </w:tc>
        <w:tc>
          <w:tcPr>
            <w:tcW w:w="1701" w:type="dxa"/>
            <w:vAlign w:val="center"/>
          </w:tcPr>
          <w:p w14:paraId="7998292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5000≤Y＜40000</w:t>
            </w:r>
          </w:p>
        </w:tc>
        <w:tc>
          <w:tcPr>
            <w:tcW w:w="1426" w:type="dxa"/>
            <w:vAlign w:val="center"/>
          </w:tcPr>
          <w:p w14:paraId="77640F93">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992" w:type="dxa"/>
            <w:vAlign w:val="center"/>
          </w:tcPr>
          <w:p w14:paraId="7CF6A53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w:t>
            </w:r>
          </w:p>
        </w:tc>
      </w:tr>
      <w:tr w14:paraId="59EC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738742BC">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零售业</w:t>
            </w:r>
          </w:p>
        </w:tc>
        <w:tc>
          <w:tcPr>
            <w:tcW w:w="1369" w:type="dxa"/>
            <w:vAlign w:val="center"/>
          </w:tcPr>
          <w:p w14:paraId="70B81AF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144C5C9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1AA8852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1DD115B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50≤X＜300</w:t>
            </w:r>
          </w:p>
        </w:tc>
        <w:tc>
          <w:tcPr>
            <w:tcW w:w="1426" w:type="dxa"/>
            <w:vAlign w:val="center"/>
          </w:tcPr>
          <w:p w14:paraId="261FD0F6">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 xml:space="preserve">10≤X＜50 </w:t>
            </w:r>
          </w:p>
        </w:tc>
        <w:tc>
          <w:tcPr>
            <w:tcW w:w="992" w:type="dxa"/>
            <w:vAlign w:val="center"/>
          </w:tcPr>
          <w:p w14:paraId="26109CD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66FAB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F69DE33">
            <w:pPr>
              <w:widowControl/>
              <w:spacing w:line="280" w:lineRule="exact"/>
              <w:jc w:val="left"/>
              <w:rPr>
                <w:rFonts w:ascii="宋体" w:hAnsi="宋体" w:cs="宋体"/>
                <w:color w:val="auto"/>
                <w:kern w:val="0"/>
                <w:sz w:val="18"/>
                <w:szCs w:val="18"/>
              </w:rPr>
            </w:pPr>
          </w:p>
        </w:tc>
        <w:tc>
          <w:tcPr>
            <w:tcW w:w="1369" w:type="dxa"/>
            <w:vAlign w:val="center"/>
          </w:tcPr>
          <w:p w14:paraId="1A081FB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72CF89A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766C979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w:t>
            </w:r>
          </w:p>
        </w:tc>
        <w:tc>
          <w:tcPr>
            <w:tcW w:w="1701" w:type="dxa"/>
            <w:vAlign w:val="center"/>
          </w:tcPr>
          <w:p w14:paraId="5B845E6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500≤Y＜20000</w:t>
            </w:r>
          </w:p>
        </w:tc>
        <w:tc>
          <w:tcPr>
            <w:tcW w:w="1426" w:type="dxa"/>
            <w:vAlign w:val="center"/>
          </w:tcPr>
          <w:p w14:paraId="24A23BE7">
            <w:pPr>
              <w:widowControl/>
              <w:spacing w:line="280" w:lineRule="exact"/>
              <w:ind w:left="-1" w:leftChars="-1" w:hanging="1"/>
              <w:jc w:val="center"/>
              <w:rPr>
                <w:rFonts w:ascii="宋体" w:hAnsi="宋体" w:cs="宋体"/>
                <w:color w:val="auto"/>
                <w:kern w:val="0"/>
                <w:sz w:val="18"/>
                <w:szCs w:val="18"/>
              </w:rPr>
            </w:pPr>
            <w:r>
              <w:rPr>
                <w:rFonts w:hint="eastAsia" w:ascii="宋体" w:hAnsi="宋体" w:cs="宋体"/>
                <w:color w:val="auto"/>
                <w:kern w:val="0"/>
                <w:sz w:val="18"/>
                <w:szCs w:val="18"/>
              </w:rPr>
              <w:t>100≤Y＜500</w:t>
            </w:r>
          </w:p>
        </w:tc>
        <w:tc>
          <w:tcPr>
            <w:tcW w:w="992" w:type="dxa"/>
            <w:vAlign w:val="center"/>
          </w:tcPr>
          <w:p w14:paraId="5D5B4C1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3696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FB7459A">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交通运输业 *</w:t>
            </w:r>
          </w:p>
        </w:tc>
        <w:tc>
          <w:tcPr>
            <w:tcW w:w="1369" w:type="dxa"/>
            <w:vAlign w:val="center"/>
          </w:tcPr>
          <w:p w14:paraId="54EF5A6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1B7ED4F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3AF1CF3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6C207BE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76666EE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14:paraId="2588C5B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29586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ACC2AFA">
            <w:pPr>
              <w:widowControl/>
              <w:spacing w:line="280" w:lineRule="exact"/>
              <w:jc w:val="left"/>
              <w:rPr>
                <w:rFonts w:ascii="宋体" w:hAnsi="宋体" w:cs="宋体"/>
                <w:color w:val="auto"/>
                <w:kern w:val="0"/>
                <w:sz w:val="18"/>
                <w:szCs w:val="18"/>
              </w:rPr>
            </w:pPr>
          </w:p>
        </w:tc>
        <w:tc>
          <w:tcPr>
            <w:tcW w:w="1369" w:type="dxa"/>
            <w:vAlign w:val="center"/>
          </w:tcPr>
          <w:p w14:paraId="4556F58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2347A35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49C2C59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14:paraId="7736085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3000≤Y＜30000</w:t>
            </w:r>
          </w:p>
        </w:tc>
        <w:tc>
          <w:tcPr>
            <w:tcW w:w="1426" w:type="dxa"/>
            <w:vAlign w:val="center"/>
          </w:tcPr>
          <w:p w14:paraId="2EA51BD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200≤Y＜3000</w:t>
            </w:r>
          </w:p>
        </w:tc>
        <w:tc>
          <w:tcPr>
            <w:tcW w:w="992" w:type="dxa"/>
            <w:vAlign w:val="center"/>
          </w:tcPr>
          <w:p w14:paraId="63990A7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w:t>
            </w:r>
          </w:p>
        </w:tc>
      </w:tr>
      <w:tr w14:paraId="7CE2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E756728">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仓储业*</w:t>
            </w:r>
          </w:p>
        </w:tc>
        <w:tc>
          <w:tcPr>
            <w:tcW w:w="1369" w:type="dxa"/>
            <w:vAlign w:val="center"/>
          </w:tcPr>
          <w:p w14:paraId="706D72A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73DAD23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57D9D68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w:t>
            </w:r>
          </w:p>
        </w:tc>
        <w:tc>
          <w:tcPr>
            <w:tcW w:w="1701" w:type="dxa"/>
            <w:vAlign w:val="center"/>
          </w:tcPr>
          <w:p w14:paraId="09E46AD7">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100≤X＜200</w:t>
            </w:r>
          </w:p>
        </w:tc>
        <w:tc>
          <w:tcPr>
            <w:tcW w:w="1426" w:type="dxa"/>
            <w:vAlign w:val="center"/>
          </w:tcPr>
          <w:p w14:paraId="707688E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20≤X＜100</w:t>
            </w:r>
          </w:p>
        </w:tc>
        <w:tc>
          <w:tcPr>
            <w:tcW w:w="992" w:type="dxa"/>
            <w:vAlign w:val="center"/>
          </w:tcPr>
          <w:p w14:paraId="3DFAB21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2D8A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0A792D2">
            <w:pPr>
              <w:widowControl/>
              <w:spacing w:line="280" w:lineRule="exact"/>
              <w:jc w:val="left"/>
              <w:rPr>
                <w:rFonts w:ascii="宋体" w:hAnsi="宋体" w:cs="宋体"/>
                <w:color w:val="auto"/>
                <w:kern w:val="0"/>
                <w:sz w:val="18"/>
                <w:szCs w:val="18"/>
              </w:rPr>
            </w:pPr>
          </w:p>
        </w:tc>
        <w:tc>
          <w:tcPr>
            <w:tcW w:w="1369" w:type="dxa"/>
            <w:vAlign w:val="center"/>
          </w:tcPr>
          <w:p w14:paraId="01644B9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6DB1A7E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20A26FA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14:paraId="0035644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1000≤Y＜30000</w:t>
            </w:r>
          </w:p>
        </w:tc>
        <w:tc>
          <w:tcPr>
            <w:tcW w:w="1426" w:type="dxa"/>
            <w:vAlign w:val="center"/>
          </w:tcPr>
          <w:p w14:paraId="33EACF0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14:paraId="43E837C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443F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DD8E276">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邮政业</w:t>
            </w:r>
          </w:p>
        </w:tc>
        <w:tc>
          <w:tcPr>
            <w:tcW w:w="1369" w:type="dxa"/>
            <w:vAlign w:val="center"/>
          </w:tcPr>
          <w:p w14:paraId="0B64424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4BD09F2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0A3BF24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2E2B052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583B4B9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20≤X＜300</w:t>
            </w:r>
          </w:p>
        </w:tc>
        <w:tc>
          <w:tcPr>
            <w:tcW w:w="992" w:type="dxa"/>
            <w:vAlign w:val="center"/>
          </w:tcPr>
          <w:p w14:paraId="5816184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w:t>
            </w:r>
          </w:p>
        </w:tc>
      </w:tr>
      <w:tr w14:paraId="3BA4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8AD9835">
            <w:pPr>
              <w:widowControl/>
              <w:spacing w:line="280" w:lineRule="exact"/>
              <w:jc w:val="left"/>
              <w:rPr>
                <w:rFonts w:ascii="宋体" w:hAnsi="宋体" w:cs="宋体"/>
                <w:color w:val="auto"/>
                <w:kern w:val="0"/>
                <w:sz w:val="18"/>
                <w:szCs w:val="18"/>
              </w:rPr>
            </w:pPr>
          </w:p>
        </w:tc>
        <w:tc>
          <w:tcPr>
            <w:tcW w:w="1369" w:type="dxa"/>
            <w:vAlign w:val="center"/>
          </w:tcPr>
          <w:p w14:paraId="06041A3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7AA58BD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0311544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Y≥30000</w:t>
            </w:r>
          </w:p>
        </w:tc>
        <w:tc>
          <w:tcPr>
            <w:tcW w:w="1701" w:type="dxa"/>
            <w:vAlign w:val="center"/>
          </w:tcPr>
          <w:p w14:paraId="390A5E5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2000≤Y＜30000</w:t>
            </w:r>
          </w:p>
        </w:tc>
        <w:tc>
          <w:tcPr>
            <w:tcW w:w="1426" w:type="dxa"/>
            <w:vAlign w:val="center"/>
          </w:tcPr>
          <w:p w14:paraId="04B8ED6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14:paraId="5FD4D50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69F4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F8DE118">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住宿业</w:t>
            </w:r>
          </w:p>
        </w:tc>
        <w:tc>
          <w:tcPr>
            <w:tcW w:w="1369" w:type="dxa"/>
            <w:vAlign w:val="center"/>
          </w:tcPr>
          <w:p w14:paraId="77B4D7E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0EBA08B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6AF5F11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60C0C302">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14:paraId="3FCFD99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13E922F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3425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A51E9AD">
            <w:pPr>
              <w:widowControl/>
              <w:spacing w:line="280" w:lineRule="exact"/>
              <w:jc w:val="left"/>
              <w:rPr>
                <w:rFonts w:ascii="宋体" w:hAnsi="宋体" w:cs="宋体"/>
                <w:color w:val="auto"/>
                <w:kern w:val="0"/>
                <w:sz w:val="18"/>
                <w:szCs w:val="18"/>
              </w:rPr>
            </w:pPr>
          </w:p>
        </w:tc>
        <w:tc>
          <w:tcPr>
            <w:tcW w:w="1369" w:type="dxa"/>
            <w:vAlign w:val="center"/>
          </w:tcPr>
          <w:p w14:paraId="2877C42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4622515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56C3D35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14:paraId="570C57A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14:paraId="0CF1713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14:paraId="426C94C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52CF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DDBA734">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餐饮业</w:t>
            </w:r>
          </w:p>
        </w:tc>
        <w:tc>
          <w:tcPr>
            <w:tcW w:w="1369" w:type="dxa"/>
            <w:vAlign w:val="center"/>
          </w:tcPr>
          <w:p w14:paraId="37022DA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380AF4A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34285F0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67D83697">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14:paraId="042C0DF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59AFFC8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30F4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BD626F4">
            <w:pPr>
              <w:widowControl/>
              <w:spacing w:line="280" w:lineRule="exact"/>
              <w:jc w:val="left"/>
              <w:rPr>
                <w:rFonts w:ascii="宋体" w:hAnsi="宋体" w:cs="宋体"/>
                <w:color w:val="auto"/>
                <w:kern w:val="0"/>
                <w:sz w:val="18"/>
                <w:szCs w:val="18"/>
              </w:rPr>
            </w:pPr>
          </w:p>
        </w:tc>
        <w:tc>
          <w:tcPr>
            <w:tcW w:w="1369" w:type="dxa"/>
            <w:vAlign w:val="center"/>
          </w:tcPr>
          <w:p w14:paraId="1784429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18E5053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148F284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14:paraId="214B8B9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2000≤Y＜10000</w:t>
            </w:r>
          </w:p>
        </w:tc>
        <w:tc>
          <w:tcPr>
            <w:tcW w:w="1426" w:type="dxa"/>
            <w:vAlign w:val="center"/>
          </w:tcPr>
          <w:p w14:paraId="1752433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100≤Y＜2000</w:t>
            </w:r>
          </w:p>
        </w:tc>
        <w:tc>
          <w:tcPr>
            <w:tcW w:w="992" w:type="dxa"/>
            <w:vAlign w:val="center"/>
          </w:tcPr>
          <w:p w14:paraId="2BA1352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BE9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39F58415">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信息传输业 *</w:t>
            </w:r>
          </w:p>
        </w:tc>
        <w:tc>
          <w:tcPr>
            <w:tcW w:w="1369" w:type="dxa"/>
            <w:vAlign w:val="center"/>
          </w:tcPr>
          <w:p w14:paraId="29F66A4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542F078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3263722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X≥2000</w:t>
            </w:r>
          </w:p>
        </w:tc>
        <w:tc>
          <w:tcPr>
            <w:tcW w:w="1701" w:type="dxa"/>
            <w:vAlign w:val="center"/>
          </w:tcPr>
          <w:p w14:paraId="4132270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100≤X＜2000</w:t>
            </w:r>
          </w:p>
        </w:tc>
        <w:tc>
          <w:tcPr>
            <w:tcW w:w="1426" w:type="dxa"/>
            <w:vAlign w:val="center"/>
          </w:tcPr>
          <w:p w14:paraId="062136B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1B76E54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2A3E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39C4D74">
            <w:pPr>
              <w:widowControl/>
              <w:spacing w:line="280" w:lineRule="exact"/>
              <w:jc w:val="left"/>
              <w:rPr>
                <w:rFonts w:ascii="宋体" w:hAnsi="宋体" w:cs="宋体"/>
                <w:color w:val="auto"/>
                <w:kern w:val="0"/>
                <w:sz w:val="18"/>
                <w:szCs w:val="18"/>
              </w:rPr>
            </w:pPr>
          </w:p>
        </w:tc>
        <w:tc>
          <w:tcPr>
            <w:tcW w:w="1369" w:type="dxa"/>
            <w:vAlign w:val="center"/>
          </w:tcPr>
          <w:p w14:paraId="4FAD1CD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73224C0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60A5C46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Y≥100000</w:t>
            </w:r>
          </w:p>
        </w:tc>
        <w:tc>
          <w:tcPr>
            <w:tcW w:w="1701" w:type="dxa"/>
            <w:vAlign w:val="center"/>
          </w:tcPr>
          <w:p w14:paraId="38E17CE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1000≤Y＜100000</w:t>
            </w:r>
          </w:p>
        </w:tc>
        <w:tc>
          <w:tcPr>
            <w:tcW w:w="1426" w:type="dxa"/>
            <w:vAlign w:val="center"/>
          </w:tcPr>
          <w:p w14:paraId="69244F5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14:paraId="02EABFE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1AA5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6E4476A7">
            <w:pPr>
              <w:widowControl/>
              <w:spacing w:line="280" w:lineRule="exact"/>
              <w:jc w:val="left"/>
              <w:rPr>
                <w:rFonts w:ascii="宋体" w:hAnsi="宋体" w:cs="宋体"/>
                <w:color w:val="auto"/>
                <w:spacing w:val="-12"/>
                <w:kern w:val="0"/>
                <w:sz w:val="18"/>
                <w:szCs w:val="18"/>
              </w:rPr>
            </w:pPr>
            <w:r>
              <w:rPr>
                <w:rFonts w:hint="eastAsia" w:ascii="宋体" w:hAnsi="宋体" w:cs="宋体"/>
                <w:color w:val="auto"/>
                <w:spacing w:val="-12"/>
                <w:kern w:val="0"/>
                <w:sz w:val="18"/>
                <w:szCs w:val="18"/>
              </w:rPr>
              <w:t>软件和信息技术服</w:t>
            </w:r>
            <w:r>
              <w:rPr>
                <w:rFonts w:hint="eastAsia" w:ascii="宋体" w:hAnsi="宋体" w:cs="宋体"/>
                <w:color w:val="auto"/>
                <w:kern w:val="0"/>
                <w:sz w:val="18"/>
                <w:szCs w:val="18"/>
              </w:rPr>
              <w:t>务业</w:t>
            </w:r>
          </w:p>
        </w:tc>
        <w:tc>
          <w:tcPr>
            <w:tcW w:w="1369" w:type="dxa"/>
            <w:vAlign w:val="center"/>
          </w:tcPr>
          <w:p w14:paraId="49E7E5D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1A0F48D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29483B0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559E3E65">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 xml:space="preserve">100≤X＜300 </w:t>
            </w:r>
          </w:p>
        </w:tc>
        <w:tc>
          <w:tcPr>
            <w:tcW w:w="1426" w:type="dxa"/>
            <w:vAlign w:val="center"/>
          </w:tcPr>
          <w:p w14:paraId="68E47D1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7584C72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4AE5F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25BD2360">
            <w:pPr>
              <w:widowControl/>
              <w:spacing w:line="280" w:lineRule="exact"/>
              <w:jc w:val="left"/>
              <w:rPr>
                <w:rFonts w:ascii="宋体" w:hAnsi="宋体" w:cs="宋体"/>
                <w:color w:val="auto"/>
                <w:spacing w:val="-12"/>
                <w:kern w:val="0"/>
                <w:sz w:val="18"/>
                <w:szCs w:val="18"/>
              </w:rPr>
            </w:pPr>
          </w:p>
        </w:tc>
        <w:tc>
          <w:tcPr>
            <w:tcW w:w="1369" w:type="dxa"/>
            <w:vAlign w:val="center"/>
          </w:tcPr>
          <w:p w14:paraId="041C283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3D2D721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5FCD135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Y≥10000</w:t>
            </w:r>
          </w:p>
        </w:tc>
        <w:tc>
          <w:tcPr>
            <w:tcW w:w="1701" w:type="dxa"/>
            <w:vAlign w:val="center"/>
          </w:tcPr>
          <w:p w14:paraId="26C183D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1000≤Y＜10000</w:t>
            </w:r>
          </w:p>
        </w:tc>
        <w:tc>
          <w:tcPr>
            <w:tcW w:w="1426" w:type="dxa"/>
            <w:vAlign w:val="center"/>
          </w:tcPr>
          <w:p w14:paraId="7FFEA62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50≤Y＜1000</w:t>
            </w:r>
          </w:p>
        </w:tc>
        <w:tc>
          <w:tcPr>
            <w:tcW w:w="992" w:type="dxa"/>
            <w:vAlign w:val="center"/>
          </w:tcPr>
          <w:p w14:paraId="6FBB080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w:t>
            </w:r>
          </w:p>
        </w:tc>
      </w:tr>
      <w:tr w14:paraId="4F835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5ECA5C4">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房地产开发经营</w:t>
            </w:r>
          </w:p>
        </w:tc>
        <w:tc>
          <w:tcPr>
            <w:tcW w:w="1369" w:type="dxa"/>
            <w:vAlign w:val="center"/>
          </w:tcPr>
          <w:p w14:paraId="12CF1F15">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37FFC37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01D5C4B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Y≥200000</w:t>
            </w:r>
          </w:p>
        </w:tc>
        <w:tc>
          <w:tcPr>
            <w:tcW w:w="1701" w:type="dxa"/>
            <w:vAlign w:val="center"/>
          </w:tcPr>
          <w:p w14:paraId="5A08BDF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1000≤Y＜200000</w:t>
            </w:r>
          </w:p>
        </w:tc>
        <w:tc>
          <w:tcPr>
            <w:tcW w:w="1426" w:type="dxa"/>
            <w:vAlign w:val="center"/>
          </w:tcPr>
          <w:p w14:paraId="03D1AAB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100≤Y＜1000</w:t>
            </w:r>
          </w:p>
        </w:tc>
        <w:tc>
          <w:tcPr>
            <w:tcW w:w="992" w:type="dxa"/>
            <w:vAlign w:val="center"/>
          </w:tcPr>
          <w:p w14:paraId="7B581C6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Y＜100</w:t>
            </w:r>
          </w:p>
        </w:tc>
      </w:tr>
      <w:tr w14:paraId="2B23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4A051181">
            <w:pPr>
              <w:widowControl/>
              <w:spacing w:line="280" w:lineRule="exact"/>
              <w:jc w:val="left"/>
              <w:rPr>
                <w:rFonts w:ascii="宋体" w:hAnsi="宋体" w:cs="宋体"/>
                <w:color w:val="auto"/>
                <w:kern w:val="0"/>
                <w:sz w:val="18"/>
                <w:szCs w:val="18"/>
              </w:rPr>
            </w:pPr>
          </w:p>
        </w:tc>
        <w:tc>
          <w:tcPr>
            <w:tcW w:w="1369" w:type="dxa"/>
            <w:vAlign w:val="center"/>
          </w:tcPr>
          <w:p w14:paraId="04D251D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14:paraId="0250E3D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6199CEE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Z≥10000</w:t>
            </w:r>
          </w:p>
        </w:tc>
        <w:tc>
          <w:tcPr>
            <w:tcW w:w="1701" w:type="dxa"/>
            <w:vAlign w:val="center"/>
          </w:tcPr>
          <w:p w14:paraId="46DD1E7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5000≤Z＜10000</w:t>
            </w:r>
          </w:p>
        </w:tc>
        <w:tc>
          <w:tcPr>
            <w:tcW w:w="1426" w:type="dxa"/>
            <w:vAlign w:val="center"/>
          </w:tcPr>
          <w:p w14:paraId="0958736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2000≤Z＜5000</w:t>
            </w:r>
          </w:p>
        </w:tc>
        <w:tc>
          <w:tcPr>
            <w:tcW w:w="992" w:type="dxa"/>
            <w:vAlign w:val="center"/>
          </w:tcPr>
          <w:p w14:paraId="7D3F3548">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Z＜2000</w:t>
            </w:r>
          </w:p>
        </w:tc>
      </w:tr>
      <w:tr w14:paraId="24D1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29E44F30">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物业管理</w:t>
            </w:r>
          </w:p>
        </w:tc>
        <w:tc>
          <w:tcPr>
            <w:tcW w:w="1369" w:type="dxa"/>
            <w:vAlign w:val="center"/>
          </w:tcPr>
          <w:p w14:paraId="6F3BBB4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225B55E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5582FEB7">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X≥1000</w:t>
            </w:r>
          </w:p>
        </w:tc>
        <w:tc>
          <w:tcPr>
            <w:tcW w:w="1701" w:type="dxa"/>
            <w:vAlign w:val="center"/>
          </w:tcPr>
          <w:p w14:paraId="0EF2CBB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300≤X＜1000</w:t>
            </w:r>
          </w:p>
        </w:tc>
        <w:tc>
          <w:tcPr>
            <w:tcW w:w="1426" w:type="dxa"/>
            <w:vAlign w:val="center"/>
          </w:tcPr>
          <w:p w14:paraId="18B8DA4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992" w:type="dxa"/>
            <w:vAlign w:val="center"/>
          </w:tcPr>
          <w:p w14:paraId="4882942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X＜100</w:t>
            </w:r>
          </w:p>
        </w:tc>
      </w:tr>
      <w:tr w14:paraId="1A490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6A706BC">
            <w:pPr>
              <w:widowControl/>
              <w:spacing w:line="280" w:lineRule="exact"/>
              <w:jc w:val="left"/>
              <w:rPr>
                <w:rFonts w:ascii="宋体" w:hAnsi="宋体" w:cs="宋体"/>
                <w:color w:val="auto"/>
                <w:kern w:val="0"/>
                <w:sz w:val="18"/>
                <w:szCs w:val="18"/>
              </w:rPr>
            </w:pPr>
          </w:p>
        </w:tc>
        <w:tc>
          <w:tcPr>
            <w:tcW w:w="1369" w:type="dxa"/>
            <w:vAlign w:val="center"/>
          </w:tcPr>
          <w:p w14:paraId="78A2FC9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营业收入(Y)</w:t>
            </w:r>
          </w:p>
        </w:tc>
        <w:tc>
          <w:tcPr>
            <w:tcW w:w="709" w:type="dxa"/>
            <w:vAlign w:val="center"/>
          </w:tcPr>
          <w:p w14:paraId="55166CC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2B85C954">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Y≥5000</w:t>
            </w:r>
          </w:p>
        </w:tc>
        <w:tc>
          <w:tcPr>
            <w:tcW w:w="1701" w:type="dxa"/>
            <w:vAlign w:val="center"/>
          </w:tcPr>
          <w:p w14:paraId="0FA84477">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1000≤Y＜5000</w:t>
            </w:r>
          </w:p>
        </w:tc>
        <w:tc>
          <w:tcPr>
            <w:tcW w:w="1426" w:type="dxa"/>
            <w:vAlign w:val="center"/>
          </w:tcPr>
          <w:p w14:paraId="2798671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500≤Y＜1000</w:t>
            </w:r>
          </w:p>
        </w:tc>
        <w:tc>
          <w:tcPr>
            <w:tcW w:w="992" w:type="dxa"/>
            <w:vAlign w:val="center"/>
          </w:tcPr>
          <w:p w14:paraId="04C3ADE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Y＜500</w:t>
            </w:r>
          </w:p>
        </w:tc>
      </w:tr>
      <w:tr w14:paraId="2A75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1640D4CC">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租赁和商务服务业</w:t>
            </w:r>
          </w:p>
        </w:tc>
        <w:tc>
          <w:tcPr>
            <w:tcW w:w="1369" w:type="dxa"/>
            <w:vAlign w:val="center"/>
          </w:tcPr>
          <w:p w14:paraId="7D228D33">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159F62FE">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2AA9757D">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56B626C0">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14:paraId="71ACEED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0317B13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r w14:paraId="54E9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02DE71FA">
            <w:pPr>
              <w:widowControl/>
              <w:spacing w:line="280" w:lineRule="exact"/>
              <w:jc w:val="left"/>
              <w:rPr>
                <w:rFonts w:ascii="宋体" w:hAnsi="宋体" w:cs="宋体"/>
                <w:color w:val="auto"/>
                <w:kern w:val="0"/>
                <w:sz w:val="18"/>
                <w:szCs w:val="18"/>
              </w:rPr>
            </w:pPr>
          </w:p>
        </w:tc>
        <w:tc>
          <w:tcPr>
            <w:tcW w:w="1369" w:type="dxa"/>
            <w:vAlign w:val="center"/>
          </w:tcPr>
          <w:p w14:paraId="6BAE50A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资产总额(Z)</w:t>
            </w:r>
          </w:p>
        </w:tc>
        <w:tc>
          <w:tcPr>
            <w:tcW w:w="709" w:type="dxa"/>
            <w:vAlign w:val="center"/>
          </w:tcPr>
          <w:p w14:paraId="6B10056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万元</w:t>
            </w:r>
          </w:p>
        </w:tc>
        <w:tc>
          <w:tcPr>
            <w:tcW w:w="1125" w:type="dxa"/>
            <w:vAlign w:val="center"/>
          </w:tcPr>
          <w:p w14:paraId="7A127F8B">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Z≥120000</w:t>
            </w:r>
          </w:p>
        </w:tc>
        <w:tc>
          <w:tcPr>
            <w:tcW w:w="1701" w:type="dxa"/>
            <w:vAlign w:val="center"/>
          </w:tcPr>
          <w:p w14:paraId="7CF87FAA">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8000≤Z＜120000</w:t>
            </w:r>
          </w:p>
        </w:tc>
        <w:tc>
          <w:tcPr>
            <w:tcW w:w="1426" w:type="dxa"/>
            <w:vAlign w:val="center"/>
          </w:tcPr>
          <w:p w14:paraId="3DB334E1">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100≤Z＜8000</w:t>
            </w:r>
          </w:p>
        </w:tc>
        <w:tc>
          <w:tcPr>
            <w:tcW w:w="992" w:type="dxa"/>
            <w:vAlign w:val="center"/>
          </w:tcPr>
          <w:p w14:paraId="544E01CC">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Z＜100</w:t>
            </w:r>
          </w:p>
        </w:tc>
      </w:tr>
      <w:tr w14:paraId="6B57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7BA9A780">
            <w:pPr>
              <w:widowControl/>
              <w:spacing w:line="280" w:lineRule="exact"/>
              <w:jc w:val="left"/>
              <w:rPr>
                <w:rFonts w:ascii="宋体" w:hAnsi="宋体" w:cs="宋体"/>
                <w:color w:val="auto"/>
                <w:kern w:val="0"/>
                <w:sz w:val="18"/>
                <w:szCs w:val="18"/>
              </w:rPr>
            </w:pPr>
            <w:r>
              <w:rPr>
                <w:rFonts w:hint="eastAsia" w:ascii="宋体" w:hAnsi="宋体" w:cs="宋体"/>
                <w:color w:val="auto"/>
                <w:kern w:val="0"/>
                <w:sz w:val="18"/>
                <w:szCs w:val="18"/>
              </w:rPr>
              <w:t>其他未列明行业 *</w:t>
            </w:r>
          </w:p>
        </w:tc>
        <w:tc>
          <w:tcPr>
            <w:tcW w:w="1369" w:type="dxa"/>
            <w:vAlign w:val="center"/>
          </w:tcPr>
          <w:p w14:paraId="5854EF12">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从业人员(X)</w:t>
            </w:r>
          </w:p>
        </w:tc>
        <w:tc>
          <w:tcPr>
            <w:tcW w:w="709" w:type="dxa"/>
            <w:vAlign w:val="center"/>
          </w:tcPr>
          <w:p w14:paraId="3349283F">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人</w:t>
            </w:r>
          </w:p>
        </w:tc>
        <w:tc>
          <w:tcPr>
            <w:tcW w:w="1125" w:type="dxa"/>
            <w:vAlign w:val="center"/>
          </w:tcPr>
          <w:p w14:paraId="62887C80">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X≥300</w:t>
            </w:r>
          </w:p>
        </w:tc>
        <w:tc>
          <w:tcPr>
            <w:tcW w:w="1701" w:type="dxa"/>
            <w:vAlign w:val="center"/>
          </w:tcPr>
          <w:p w14:paraId="3B06677B">
            <w:pPr>
              <w:widowControl/>
              <w:spacing w:line="280" w:lineRule="exact"/>
              <w:ind w:left="1" w:leftChars="-51" w:hanging="108" w:hangingChars="60"/>
              <w:jc w:val="center"/>
              <w:rPr>
                <w:rFonts w:ascii="宋体" w:hAnsi="宋体" w:cs="宋体"/>
                <w:color w:val="auto"/>
                <w:kern w:val="0"/>
                <w:sz w:val="18"/>
                <w:szCs w:val="18"/>
              </w:rPr>
            </w:pPr>
            <w:r>
              <w:rPr>
                <w:rFonts w:hint="eastAsia" w:ascii="宋体" w:hAnsi="宋体" w:cs="宋体"/>
                <w:color w:val="auto"/>
                <w:kern w:val="0"/>
                <w:sz w:val="18"/>
                <w:szCs w:val="18"/>
              </w:rPr>
              <w:t>100≤X＜300</w:t>
            </w:r>
          </w:p>
        </w:tc>
        <w:tc>
          <w:tcPr>
            <w:tcW w:w="1426" w:type="dxa"/>
            <w:vAlign w:val="center"/>
          </w:tcPr>
          <w:p w14:paraId="6C332AD6">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10≤X＜100</w:t>
            </w:r>
          </w:p>
        </w:tc>
        <w:tc>
          <w:tcPr>
            <w:tcW w:w="992" w:type="dxa"/>
            <w:vAlign w:val="center"/>
          </w:tcPr>
          <w:p w14:paraId="32D22309">
            <w:pPr>
              <w:widowControl/>
              <w:spacing w:line="280" w:lineRule="exact"/>
              <w:jc w:val="center"/>
              <w:rPr>
                <w:rFonts w:ascii="宋体" w:hAnsi="宋体" w:cs="宋体"/>
                <w:color w:val="auto"/>
                <w:kern w:val="0"/>
                <w:sz w:val="18"/>
                <w:szCs w:val="18"/>
              </w:rPr>
            </w:pPr>
            <w:r>
              <w:rPr>
                <w:rFonts w:hint="eastAsia" w:ascii="宋体" w:hAnsi="宋体" w:cs="宋体"/>
                <w:color w:val="auto"/>
                <w:kern w:val="0"/>
                <w:sz w:val="18"/>
                <w:szCs w:val="18"/>
              </w:rPr>
              <w:t>X＜10</w:t>
            </w:r>
          </w:p>
        </w:tc>
      </w:tr>
    </w:tbl>
    <w:p w14:paraId="522ECA57">
      <w:pPr>
        <w:widowControl/>
        <w:spacing w:line="280" w:lineRule="exact"/>
        <w:rPr>
          <w:rFonts w:ascii="宋体" w:hAnsi="宋体" w:cs="宋体"/>
          <w:color w:val="auto"/>
          <w:spacing w:val="8"/>
          <w:kern w:val="0"/>
          <w:sz w:val="24"/>
        </w:rPr>
      </w:pPr>
    </w:p>
    <w:p w14:paraId="7134BE2E">
      <w:pPr>
        <w:widowControl/>
        <w:spacing w:line="280" w:lineRule="exact"/>
        <w:rPr>
          <w:rFonts w:ascii="宋体" w:hAnsi="宋体" w:cs="宋体"/>
          <w:color w:val="auto"/>
          <w:spacing w:val="8"/>
          <w:kern w:val="0"/>
          <w:sz w:val="24"/>
        </w:rPr>
      </w:pPr>
      <w:r>
        <w:rPr>
          <w:rFonts w:hint="eastAsia" w:ascii="宋体" w:hAnsi="宋体" w:cs="宋体"/>
          <w:color w:val="auto"/>
          <w:spacing w:val="8"/>
          <w:kern w:val="0"/>
          <w:sz w:val="24"/>
        </w:rPr>
        <w:t>说明：</w:t>
      </w:r>
    </w:p>
    <w:p w14:paraId="248CD05B">
      <w:pPr>
        <w:pStyle w:val="17"/>
        <w:adjustRightInd w:val="0"/>
        <w:spacing w:line="280" w:lineRule="exact"/>
        <w:ind w:firstLine="512" w:firstLineChars="200"/>
        <w:contextualSpacing/>
        <w:rPr>
          <w:rFonts w:hAnsi="宋体" w:cs="宋体"/>
          <w:color w:val="auto"/>
          <w:spacing w:val="8"/>
          <w:kern w:val="0"/>
          <w:sz w:val="24"/>
          <w:szCs w:val="24"/>
        </w:rPr>
      </w:pPr>
      <w:r>
        <w:rPr>
          <w:rFonts w:hint="eastAsia" w:hAnsi="宋体" w:cs="宋体"/>
          <w:color w:val="auto"/>
          <w:spacing w:val="8"/>
          <w:kern w:val="0"/>
          <w:sz w:val="24"/>
          <w:szCs w:val="24"/>
        </w:rPr>
        <w:t>1.大型、中型和小型企业须同时满足所列指标的下限，否则下划一档；微型企业只须满足所列指标中的一项即可。</w:t>
      </w:r>
    </w:p>
    <w:p w14:paraId="144A4FF4">
      <w:pPr>
        <w:pStyle w:val="17"/>
        <w:adjustRightInd w:val="0"/>
        <w:spacing w:line="280" w:lineRule="exact"/>
        <w:ind w:firstLine="512" w:firstLineChars="200"/>
        <w:contextualSpacing/>
        <w:rPr>
          <w:rFonts w:hAnsi="宋体" w:cs="宋体"/>
          <w:color w:val="auto"/>
          <w:spacing w:val="8"/>
          <w:kern w:val="0"/>
          <w:sz w:val="24"/>
          <w:szCs w:val="24"/>
        </w:rPr>
      </w:pPr>
      <w:r>
        <w:rPr>
          <w:rFonts w:hint="eastAsia" w:hAnsi="宋体" w:cs="宋体"/>
          <w:color w:val="auto"/>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31B21B30">
      <w:pPr>
        <w:pStyle w:val="17"/>
        <w:spacing w:line="280" w:lineRule="exact"/>
        <w:ind w:firstLine="512" w:firstLineChars="200"/>
        <w:rPr>
          <w:rFonts w:hAnsi="宋体" w:cs="宋体"/>
          <w:color w:val="auto"/>
          <w:spacing w:val="8"/>
          <w:kern w:val="0"/>
          <w:sz w:val="24"/>
          <w:szCs w:val="24"/>
        </w:rPr>
        <w:sectPr>
          <w:footerReference r:id="rId7" w:type="first"/>
          <w:footerReference r:id="rId6" w:type="default"/>
          <w:pgSz w:w="11906" w:h="16838"/>
          <w:pgMar w:top="1500" w:right="1134" w:bottom="1258" w:left="1134" w:header="720" w:footer="720" w:gutter="0"/>
          <w:cols w:space="720" w:num="1"/>
          <w:titlePg/>
          <w:docGrid w:type="linesAndChars" w:linePitch="331" w:charSpace="0"/>
        </w:sectPr>
      </w:pPr>
      <w:r>
        <w:rPr>
          <w:rFonts w:hint="eastAsia" w:hAnsi="宋体" w:cs="宋体"/>
          <w:color w:val="auto"/>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w:t>
      </w:r>
      <w:bookmarkStart w:id="143" w:name="_Toc4774"/>
      <w:bookmarkStart w:id="144" w:name="_Toc8466"/>
    </w:p>
    <w:p w14:paraId="158B3AB9">
      <w:pPr>
        <w:pStyle w:val="3"/>
        <w:ind w:firstLine="1440" w:firstLineChars="400"/>
        <w:jc w:val="both"/>
        <w:rPr>
          <w:rFonts w:ascii="宋体" w:hAnsi="宋体"/>
          <w:color w:val="auto"/>
          <w:kern w:val="0"/>
          <w:sz w:val="32"/>
          <w:szCs w:val="32"/>
        </w:rPr>
      </w:pPr>
      <w:bookmarkStart w:id="145" w:name="_Toc5351"/>
      <w:bookmarkStart w:id="146" w:name="_Toc25360"/>
      <w:r>
        <w:rPr>
          <w:rFonts w:hint="eastAsia"/>
          <w:color w:val="auto"/>
        </w:rPr>
        <w:t>第五章采购合同（合同主要条款及格式）</w:t>
      </w:r>
      <w:bookmarkEnd w:id="143"/>
      <w:bookmarkEnd w:id="144"/>
      <w:bookmarkEnd w:id="145"/>
      <w:bookmarkEnd w:id="146"/>
      <w:bookmarkStart w:id="147" w:name="_Toc24269"/>
      <w:bookmarkStart w:id="148" w:name="_Toc10014"/>
      <w:bookmarkStart w:id="149" w:name="_Toc5077"/>
    </w:p>
    <w:p w14:paraId="305C8B9B">
      <w:pPr>
        <w:spacing w:line="400" w:lineRule="exact"/>
        <w:rPr>
          <w:rFonts w:ascii="宋体" w:hAnsi="宋体"/>
          <w:color w:val="auto"/>
        </w:rPr>
      </w:pPr>
      <w:r>
        <w:rPr>
          <w:rFonts w:hint="eastAsia" w:ascii="宋体" w:hAnsi="宋体"/>
          <w:color w:val="auto"/>
        </w:rPr>
        <w:t>甲方：（采购人，以下简称甲方）</w:t>
      </w:r>
    </w:p>
    <w:p w14:paraId="52C8A68A">
      <w:pPr>
        <w:spacing w:line="400" w:lineRule="exact"/>
        <w:rPr>
          <w:rFonts w:ascii="宋体" w:hAnsi="宋体"/>
          <w:color w:val="auto"/>
        </w:rPr>
      </w:pPr>
      <w:r>
        <w:rPr>
          <w:rFonts w:hint="eastAsia" w:ascii="宋体" w:hAnsi="宋体"/>
          <w:color w:val="auto"/>
        </w:rPr>
        <w:t>乙方：（成交供应商，以下简称乙方）</w:t>
      </w:r>
    </w:p>
    <w:p w14:paraId="745537BD">
      <w:pPr>
        <w:spacing w:line="400" w:lineRule="exact"/>
        <w:rPr>
          <w:rFonts w:ascii="宋体" w:hAnsi="宋体"/>
          <w:color w:val="auto"/>
        </w:rPr>
      </w:pPr>
    </w:p>
    <w:p w14:paraId="442B3312">
      <w:pPr>
        <w:spacing w:line="360" w:lineRule="auto"/>
        <w:ind w:firstLine="420" w:firstLineChars="200"/>
        <w:rPr>
          <w:rFonts w:ascii="宋体" w:hAnsi="宋体"/>
          <w:color w:val="auto"/>
        </w:rPr>
      </w:pPr>
      <w:r>
        <w:rPr>
          <w:rFonts w:hint="eastAsia" w:ascii="宋体" w:hAnsi="宋体"/>
          <w:color w:val="auto"/>
        </w:rPr>
        <w:t>根据《中华人民共和国政府采购法》、《中华人民共和国政府采购法实施条例》、政府采购竞争性磋商采购方式管理暂行办法》、《中华人民共和国民法典》等有关法律、法规规定，按照竞争性磋商文件（以下简称磋商文件）、响应文件规定条款和成交供应商的承诺，甲乙双方签订本采购合同。</w:t>
      </w:r>
    </w:p>
    <w:p w14:paraId="5F47846A">
      <w:pPr>
        <w:numPr>
          <w:ilvl w:val="0"/>
          <w:numId w:val="10"/>
        </w:numPr>
        <w:spacing w:line="360" w:lineRule="auto"/>
        <w:rPr>
          <w:rFonts w:ascii="宋体" w:hAnsi="宋体"/>
          <w:b/>
          <w:color w:val="auto"/>
          <w:szCs w:val="21"/>
        </w:rPr>
      </w:pPr>
      <w:r>
        <w:rPr>
          <w:rFonts w:hint="eastAsia" w:ascii="宋体" w:hAnsi="宋体"/>
          <w:b/>
          <w:color w:val="auto"/>
          <w:szCs w:val="21"/>
        </w:rPr>
        <w:t>合同标的及合同金额</w:t>
      </w:r>
    </w:p>
    <w:p w14:paraId="6CACA9AB">
      <w:pPr>
        <w:pStyle w:val="60"/>
        <w:spacing w:line="360" w:lineRule="auto"/>
        <w:ind w:firstLine="411" w:firstLineChars="196"/>
        <w:rPr>
          <w:rFonts w:hAnsi="宋体"/>
          <w:color w:val="auto"/>
        </w:rPr>
      </w:pPr>
      <w:r>
        <w:rPr>
          <w:rFonts w:hint="eastAsia" w:hAnsi="宋体"/>
          <w:color w:val="auto"/>
          <w:szCs w:val="21"/>
        </w:rPr>
        <w:t>根据《成交通知书》的成交内容，合同的总金额为人民币：（￥元），合同价格包括本项目采购范围内一切服务价款，含服务费、人员、材料、运输、管理费、购置费、税金、后续服务及其他所有成本费用的总和</w:t>
      </w:r>
      <w:r>
        <w:rPr>
          <w:rFonts w:hint="eastAsia" w:hAnsi="宋体" w:cs="Courier New"/>
          <w:color w:val="auto"/>
          <w:szCs w:val="21"/>
        </w:rPr>
        <w:t>。</w:t>
      </w:r>
    </w:p>
    <w:p w14:paraId="18DA2FB4">
      <w:pPr>
        <w:spacing w:line="360" w:lineRule="auto"/>
        <w:ind w:firstLine="411" w:firstLineChars="196"/>
        <w:rPr>
          <w:rFonts w:ascii="宋体" w:hAnsi="宋体"/>
          <w:b/>
          <w:color w:val="auto"/>
          <w:szCs w:val="21"/>
        </w:rPr>
      </w:pPr>
      <w:r>
        <w:rPr>
          <w:rFonts w:hint="eastAsia" w:ascii="宋体" w:hAnsi="宋体"/>
          <w:b/>
          <w:color w:val="auto"/>
          <w:szCs w:val="21"/>
        </w:rPr>
        <w:t>第二条  转运处置范围</w:t>
      </w:r>
    </w:p>
    <w:p w14:paraId="43AF98FA">
      <w:pPr>
        <w:widowControl/>
        <w:spacing w:line="360" w:lineRule="auto"/>
        <w:ind w:firstLine="420" w:firstLineChars="200"/>
        <w:jc w:val="left"/>
        <w:rPr>
          <w:rFonts w:ascii="宋体" w:hAnsi="宋体"/>
          <w:color w:val="auto"/>
          <w:szCs w:val="21"/>
        </w:rPr>
      </w:pPr>
      <w:r>
        <w:rPr>
          <w:rFonts w:hint="eastAsia" w:ascii="宋体" w:hAnsi="宋体"/>
          <w:color w:val="auto"/>
          <w:szCs w:val="21"/>
        </w:rPr>
        <w:t>桂林市妇女儿童医院凤北院区、东镇路院区、女性健康管理中心、清风院区等产生的医疗废物（详见医疗废物分类目录）。</w:t>
      </w:r>
    </w:p>
    <w:p w14:paraId="101EF92A">
      <w:pPr>
        <w:spacing w:line="380" w:lineRule="exact"/>
        <w:ind w:firstLine="411" w:firstLineChars="196"/>
        <w:rPr>
          <w:rFonts w:ascii="宋体" w:hAnsi="宋体"/>
          <w:b/>
          <w:color w:val="auto"/>
          <w:szCs w:val="21"/>
        </w:rPr>
      </w:pPr>
      <w:r>
        <w:rPr>
          <w:rFonts w:hint="eastAsia" w:ascii="宋体" w:hAnsi="宋体"/>
          <w:b/>
          <w:color w:val="auto"/>
          <w:szCs w:val="21"/>
        </w:rPr>
        <w:t>第三条  服务期</w:t>
      </w:r>
    </w:p>
    <w:p w14:paraId="0D86A4E9">
      <w:pPr>
        <w:widowControl/>
        <w:spacing w:line="360" w:lineRule="auto"/>
        <w:ind w:firstLine="420" w:firstLineChars="200"/>
        <w:jc w:val="left"/>
        <w:rPr>
          <w:rFonts w:hint="default" w:ascii="宋体" w:hAnsi="宋体"/>
          <w:color w:val="auto"/>
          <w:szCs w:val="21"/>
          <w:lang w:val="en-US"/>
        </w:rPr>
      </w:pPr>
      <w:r>
        <w:rPr>
          <w:rFonts w:hint="eastAsia" w:ascii="宋体" w:hAnsi="宋体" w:cs="宋体"/>
          <w:color w:val="auto"/>
          <w:szCs w:val="21"/>
          <w:u w:val="single"/>
          <w:lang w:val="en-US" w:eastAsia="zh-CN"/>
        </w:rPr>
        <w:t xml:space="preserve">    自签订合同之日起1+1年；服务期限内每天8:30－17:30 .乙方第1年合同期满，经甲方综合评定履约过程服务质量良好的可续签第2年合同。                        </w:t>
      </w:r>
    </w:p>
    <w:p w14:paraId="2D003673">
      <w:pPr>
        <w:spacing w:line="380" w:lineRule="exact"/>
        <w:ind w:firstLine="411" w:firstLineChars="196"/>
        <w:rPr>
          <w:rFonts w:ascii="宋体" w:hAnsi="宋体"/>
          <w:b/>
          <w:color w:val="auto"/>
          <w:szCs w:val="21"/>
        </w:rPr>
      </w:pPr>
      <w:r>
        <w:rPr>
          <w:rFonts w:hint="eastAsia" w:ascii="宋体" w:hAnsi="宋体"/>
          <w:b/>
          <w:color w:val="auto"/>
          <w:szCs w:val="21"/>
        </w:rPr>
        <w:t>第四条  甲方权利及义务</w:t>
      </w:r>
    </w:p>
    <w:p w14:paraId="7200AF9D">
      <w:pPr>
        <w:widowControl/>
        <w:spacing w:line="360" w:lineRule="auto"/>
        <w:ind w:firstLine="420" w:firstLineChars="200"/>
        <w:jc w:val="left"/>
        <w:rPr>
          <w:rFonts w:ascii="宋体" w:hAnsi="宋体"/>
          <w:color w:val="auto"/>
          <w:szCs w:val="21"/>
        </w:rPr>
      </w:pPr>
      <w:r>
        <w:rPr>
          <w:rFonts w:hint="eastAsia" w:ascii="宋体" w:hAnsi="宋体"/>
          <w:color w:val="auto"/>
          <w:szCs w:val="21"/>
        </w:rPr>
        <w:t>1、甲方设置合格的密封容器，在单位内设立暂存间，并派专职人员负责管理。</w:t>
      </w:r>
    </w:p>
    <w:p w14:paraId="0C26F393">
      <w:pPr>
        <w:widowControl/>
        <w:spacing w:line="360" w:lineRule="auto"/>
        <w:ind w:firstLine="420" w:firstLineChars="200"/>
        <w:jc w:val="left"/>
        <w:rPr>
          <w:rFonts w:ascii="宋体" w:hAnsi="宋体"/>
          <w:color w:val="auto"/>
          <w:szCs w:val="21"/>
        </w:rPr>
      </w:pPr>
      <w:r>
        <w:rPr>
          <w:rFonts w:hint="eastAsia" w:ascii="宋体" w:hAnsi="宋体"/>
          <w:color w:val="auto"/>
          <w:szCs w:val="21"/>
        </w:rPr>
        <w:t>2、甲方严格按照法律法规将各种废物按不同品种分别进行预处理，消毒、毁形、处理后分别密封包装，防止所盛装的废物泄露污染环境，并按要求存放在密封容器内，并做好相应标记，确保标识完整，否则因此出现问题造成任何损失，由甲方承担全部赔偿责任。</w:t>
      </w:r>
    </w:p>
    <w:p w14:paraId="3BE3F8C5">
      <w:pPr>
        <w:widowControl/>
        <w:spacing w:line="360" w:lineRule="auto"/>
        <w:ind w:firstLine="420" w:firstLineChars="200"/>
        <w:jc w:val="left"/>
        <w:rPr>
          <w:rFonts w:ascii="宋体" w:hAnsi="宋体"/>
          <w:color w:val="auto"/>
          <w:szCs w:val="21"/>
        </w:rPr>
      </w:pPr>
      <w:r>
        <w:rPr>
          <w:rFonts w:hint="eastAsia" w:ascii="宋体" w:hAnsi="宋体"/>
          <w:color w:val="auto"/>
          <w:szCs w:val="21"/>
        </w:rPr>
        <w:t>3、甲方负责将含有铁丝、钢丝的医疗废物单独分类、单独移交给乙方处置，以避免乙方炉排缠绕、卡死损坏。</w:t>
      </w:r>
    </w:p>
    <w:p w14:paraId="79A06AEB">
      <w:pPr>
        <w:widowControl/>
        <w:spacing w:line="360" w:lineRule="auto"/>
        <w:ind w:firstLine="420" w:firstLineChars="200"/>
        <w:jc w:val="left"/>
        <w:rPr>
          <w:rFonts w:ascii="宋体" w:hAnsi="宋体"/>
          <w:color w:val="auto"/>
          <w:szCs w:val="21"/>
        </w:rPr>
      </w:pPr>
      <w:r>
        <w:rPr>
          <w:rFonts w:hint="eastAsia" w:ascii="宋体" w:hAnsi="宋体"/>
          <w:color w:val="auto"/>
          <w:szCs w:val="21"/>
        </w:rPr>
        <w:t>4、甲方负责按照合同约定移交医疗废物给乙方，并且不出现以下异常情况：废物含有易燃易爆物质、放射性物质；因加温或物理、化学反应而产生剧毒气体等物质，若因此出现问题造成任何损失，由甲方承担全部赔偿责任。</w:t>
      </w:r>
    </w:p>
    <w:p w14:paraId="53A6B80C">
      <w:pPr>
        <w:widowControl/>
        <w:spacing w:line="360" w:lineRule="auto"/>
        <w:ind w:firstLine="420" w:firstLineChars="200"/>
        <w:jc w:val="left"/>
        <w:rPr>
          <w:rFonts w:ascii="宋体" w:hAnsi="宋体"/>
          <w:color w:val="auto"/>
          <w:szCs w:val="21"/>
        </w:rPr>
      </w:pPr>
      <w:r>
        <w:rPr>
          <w:rFonts w:hint="eastAsia" w:ascii="宋体" w:hAnsi="宋体"/>
          <w:color w:val="auto"/>
          <w:szCs w:val="21"/>
        </w:rPr>
        <w:t>5甲方负责指定专人协助乙方人员、车辆进出甲方场地，完成《医疗废物运送登记卡》、《危险废物转移联单》（医疗废物专用）签字交接手续。</w:t>
      </w:r>
    </w:p>
    <w:p w14:paraId="348AACE8">
      <w:pPr>
        <w:widowControl/>
        <w:spacing w:line="360" w:lineRule="auto"/>
        <w:ind w:firstLine="420" w:firstLineChars="200"/>
        <w:jc w:val="left"/>
        <w:rPr>
          <w:rFonts w:ascii="宋体" w:hAnsi="宋体"/>
          <w:color w:val="auto"/>
          <w:szCs w:val="21"/>
        </w:rPr>
      </w:pPr>
      <w:r>
        <w:rPr>
          <w:rFonts w:hint="eastAsia" w:ascii="宋体" w:hAnsi="宋体"/>
          <w:color w:val="auto"/>
          <w:szCs w:val="21"/>
        </w:rPr>
        <w:t xml:space="preserve">    6、甲方暂存间应达到医废车辆通行的条件，如达不到，甲方需将医疗废物周转桶推到车辆符合上车条件的地点，同时该地点达到合法停车的条件。</w:t>
      </w:r>
    </w:p>
    <w:p w14:paraId="24712ED8">
      <w:pPr>
        <w:spacing w:line="380" w:lineRule="exact"/>
        <w:ind w:firstLine="411" w:firstLineChars="196"/>
        <w:rPr>
          <w:rFonts w:ascii="宋体" w:hAnsi="宋体"/>
          <w:b/>
          <w:color w:val="auto"/>
          <w:szCs w:val="21"/>
        </w:rPr>
      </w:pPr>
      <w:r>
        <w:rPr>
          <w:rFonts w:hint="eastAsia" w:ascii="宋体" w:hAnsi="宋体"/>
          <w:b/>
          <w:color w:val="auto"/>
          <w:szCs w:val="21"/>
        </w:rPr>
        <w:t>第五条  乙方权利及义务</w:t>
      </w:r>
    </w:p>
    <w:p w14:paraId="564F21AA">
      <w:pPr>
        <w:widowControl/>
        <w:spacing w:line="360" w:lineRule="auto"/>
        <w:ind w:firstLine="420" w:firstLineChars="200"/>
        <w:jc w:val="left"/>
        <w:rPr>
          <w:rFonts w:ascii="宋体" w:hAnsi="宋体"/>
          <w:color w:val="auto"/>
          <w:szCs w:val="21"/>
        </w:rPr>
      </w:pPr>
      <w:r>
        <w:rPr>
          <w:rFonts w:hint="eastAsia" w:ascii="宋体" w:hAnsi="宋体"/>
          <w:color w:val="auto"/>
          <w:szCs w:val="21"/>
        </w:rPr>
        <w:t>1、乙方负责提供经消毒、清洗干净后的周转桶给甲方暂存医疗废物。乙方根据甲方的最大垃圾量以及实际情况分配周转箱，确保所放置的数量能够满足该医疗机构的垃圾最大产生量。如甲方未超量仍需要增加周转箱，需自行采购标准周转桶。服务期内，转运桶在运输过程中出现损坏，由乙方负责补充；若周转桶在甲方处发生任何损坏的，由甲方向乙方支付赔偿金。</w:t>
      </w:r>
    </w:p>
    <w:p w14:paraId="2C0B37C9">
      <w:pPr>
        <w:widowControl/>
        <w:spacing w:line="360" w:lineRule="auto"/>
        <w:ind w:firstLine="420" w:firstLineChars="200"/>
        <w:jc w:val="left"/>
        <w:rPr>
          <w:rFonts w:ascii="宋体" w:hAnsi="宋体"/>
          <w:color w:val="auto"/>
          <w:szCs w:val="21"/>
        </w:rPr>
      </w:pPr>
      <w:r>
        <w:rPr>
          <w:rFonts w:hint="eastAsia" w:ascii="宋体" w:hAnsi="宋体"/>
          <w:color w:val="auto"/>
          <w:szCs w:val="21"/>
        </w:rPr>
        <w:t>2、正常情况下，乙方按每天与甲方约定的收运时间将甲方收运处置范围内的医疗废物进行收运处置。如有特殊原因（需甲方认可）不得超过48小时，如有检查或甲方临时需求，乙方需按甲方要求增加转运次数。</w:t>
      </w:r>
    </w:p>
    <w:p w14:paraId="365D105E">
      <w:pPr>
        <w:widowControl/>
        <w:spacing w:line="360" w:lineRule="auto"/>
        <w:ind w:firstLine="420" w:firstLineChars="200"/>
        <w:jc w:val="left"/>
        <w:rPr>
          <w:rFonts w:ascii="宋体" w:hAnsi="宋体"/>
          <w:color w:val="auto"/>
          <w:szCs w:val="21"/>
        </w:rPr>
      </w:pPr>
      <w:r>
        <w:rPr>
          <w:rFonts w:hint="eastAsia" w:ascii="宋体" w:hAnsi="宋体"/>
          <w:color w:val="auto"/>
          <w:szCs w:val="21"/>
        </w:rPr>
        <w:t>3、乙方人员及车辆在医院作业时需遵守医院各项规章制度，爱护公物，否则造成甲方损失的应承担赔偿责任。</w:t>
      </w:r>
    </w:p>
    <w:p w14:paraId="4FB0D8EC">
      <w:pPr>
        <w:widowControl/>
        <w:spacing w:line="360" w:lineRule="auto"/>
        <w:ind w:firstLine="420" w:firstLineChars="200"/>
        <w:jc w:val="left"/>
        <w:rPr>
          <w:rFonts w:ascii="宋体" w:hAnsi="宋体"/>
          <w:color w:val="auto"/>
          <w:szCs w:val="21"/>
        </w:rPr>
      </w:pPr>
      <w:r>
        <w:rPr>
          <w:rFonts w:hint="eastAsia" w:ascii="宋体" w:hAnsi="宋体"/>
          <w:color w:val="auto"/>
          <w:szCs w:val="21"/>
        </w:rPr>
        <w:t>4、乙方负责将接收的医疗废物安全转运到处置中心，并严格按照国家相关法律法规进行集中焚烧处置。</w:t>
      </w:r>
    </w:p>
    <w:p w14:paraId="2CDDC792">
      <w:pPr>
        <w:widowControl/>
        <w:spacing w:line="360" w:lineRule="auto"/>
        <w:ind w:firstLine="420" w:firstLineChars="200"/>
        <w:jc w:val="left"/>
        <w:rPr>
          <w:rFonts w:ascii="宋体" w:hAnsi="宋体"/>
          <w:color w:val="auto"/>
          <w:szCs w:val="21"/>
        </w:rPr>
      </w:pPr>
      <w:r>
        <w:rPr>
          <w:rFonts w:hint="eastAsia" w:ascii="宋体" w:hAnsi="宋体"/>
          <w:color w:val="auto"/>
          <w:szCs w:val="21"/>
        </w:rPr>
        <w:t>5、乙方负责提供《医疗废物运送登记卡》给甲方填写签字。</w:t>
      </w:r>
    </w:p>
    <w:p w14:paraId="6078AB2D">
      <w:pPr>
        <w:widowControl/>
        <w:spacing w:line="360" w:lineRule="auto"/>
        <w:ind w:firstLine="420" w:firstLineChars="200"/>
        <w:jc w:val="left"/>
        <w:rPr>
          <w:rFonts w:ascii="宋体" w:hAnsi="宋体"/>
          <w:color w:val="auto"/>
          <w:szCs w:val="21"/>
        </w:rPr>
      </w:pPr>
      <w:r>
        <w:rPr>
          <w:rFonts w:hint="eastAsia" w:ascii="宋体" w:hAnsi="宋体"/>
          <w:color w:val="auto"/>
          <w:szCs w:val="21"/>
        </w:rPr>
        <w:t>6、乙方负责按照甲方填写的《医疗废物运送登记卡》信息如实填写《危险废物转移联单》（医疗废物专用），并将交接完成的《危险废物转移联单》（医疗废物专用）及时交与甲方保存。</w:t>
      </w:r>
    </w:p>
    <w:p w14:paraId="1E711FEC">
      <w:pPr>
        <w:widowControl/>
        <w:spacing w:line="360" w:lineRule="auto"/>
        <w:ind w:firstLine="420" w:firstLineChars="200"/>
        <w:jc w:val="left"/>
        <w:rPr>
          <w:rFonts w:ascii="宋体" w:hAnsi="宋体"/>
          <w:color w:val="auto"/>
          <w:szCs w:val="21"/>
        </w:rPr>
      </w:pPr>
      <w:r>
        <w:rPr>
          <w:rFonts w:hint="eastAsia" w:ascii="宋体" w:hAnsi="宋体"/>
          <w:color w:val="auto"/>
          <w:szCs w:val="21"/>
        </w:rPr>
        <w:t>7、乙方在收集、运输、处置医疗废物过程中造成的不良后果、环境污染、事故等，由乙方负全部责任。</w:t>
      </w:r>
    </w:p>
    <w:p w14:paraId="4D9334A5">
      <w:pPr>
        <w:spacing w:line="380" w:lineRule="exact"/>
        <w:ind w:firstLine="420" w:firstLineChars="200"/>
        <w:rPr>
          <w:rFonts w:ascii="宋体" w:hAnsi="宋体"/>
          <w:b/>
          <w:color w:val="auto"/>
          <w:szCs w:val="21"/>
        </w:rPr>
      </w:pPr>
      <w:r>
        <w:rPr>
          <w:rFonts w:hint="eastAsia" w:ascii="宋体" w:hAnsi="宋体"/>
          <w:b/>
          <w:color w:val="auto"/>
          <w:szCs w:val="21"/>
        </w:rPr>
        <w:t>第六条  交接地点、手续及责任</w:t>
      </w:r>
    </w:p>
    <w:p w14:paraId="539F977D">
      <w:pPr>
        <w:widowControl/>
        <w:spacing w:line="360" w:lineRule="auto"/>
        <w:ind w:firstLine="420" w:firstLineChars="200"/>
        <w:jc w:val="left"/>
        <w:rPr>
          <w:rFonts w:ascii="宋体" w:hAnsi="宋体"/>
          <w:color w:val="auto"/>
          <w:szCs w:val="21"/>
        </w:rPr>
      </w:pPr>
      <w:r>
        <w:rPr>
          <w:rFonts w:ascii="宋体" w:hAnsi="宋体"/>
          <w:color w:val="auto"/>
          <w:szCs w:val="21"/>
        </w:rPr>
        <w:t>1、医疗废物交接实行联单制度。乙方按照甲方填写的《医疗废物运送登记卡》的相关信息填写《医疗废物转移联单》（医疗废物专用），由甲乙双方的经办人认可并签字确认。乙方经办人在联单上签字前发生的环保安全问题由甲方负责，乙方经办人签字接收后发生的环保安全问题由乙方负责。为避免医疗废物二次污染城乡环境，甲乙双方均不能转让、买卖医疗废物；如有发生，各自承担相应的法律责任。</w:t>
      </w:r>
    </w:p>
    <w:p w14:paraId="7EFA9C59">
      <w:pPr>
        <w:widowControl/>
        <w:spacing w:line="360" w:lineRule="auto"/>
        <w:ind w:firstLine="420" w:firstLineChars="200"/>
        <w:jc w:val="left"/>
        <w:rPr>
          <w:rFonts w:ascii="宋体" w:hAnsi="宋体"/>
          <w:color w:val="auto"/>
          <w:szCs w:val="21"/>
        </w:rPr>
      </w:pPr>
      <w:r>
        <w:rPr>
          <w:rFonts w:ascii="宋体" w:hAnsi="宋体"/>
          <w:color w:val="auto"/>
          <w:szCs w:val="21"/>
        </w:rPr>
        <w:t>2、甲方产生的医疗废物应当与生活垃圾严格区分（传染病科室的生活垃圾须严格按照国家法律法规包装和标注），如乙方在收集过程中发现甲方未按《医疗废物分类目录》分类，乙方有权拒收混装的医疗废物，待甲方分装完成后再收集、转运到处置中心集中处置。</w:t>
      </w:r>
    </w:p>
    <w:p w14:paraId="5CAB5C48">
      <w:pPr>
        <w:widowControl/>
        <w:spacing w:line="360" w:lineRule="auto"/>
        <w:ind w:firstLine="420" w:firstLineChars="200"/>
        <w:jc w:val="left"/>
        <w:rPr>
          <w:rFonts w:ascii="宋体" w:hAnsi="宋体"/>
          <w:color w:val="auto"/>
          <w:szCs w:val="21"/>
        </w:rPr>
      </w:pPr>
      <w:r>
        <w:rPr>
          <w:rFonts w:ascii="宋体" w:hAnsi="宋体"/>
          <w:color w:val="auto"/>
          <w:szCs w:val="21"/>
        </w:rPr>
        <w:t>3、医疗废物不能放在室外日晒雨淋，不准零散洒在地面，需按照国家相关法律法规进行包装和贮存。甲方负责对暂存间进行消毒清洁。</w:t>
      </w:r>
    </w:p>
    <w:p w14:paraId="5A9F8290">
      <w:pPr>
        <w:widowControl/>
        <w:spacing w:line="360" w:lineRule="auto"/>
        <w:ind w:firstLine="420" w:firstLineChars="200"/>
        <w:jc w:val="left"/>
        <w:rPr>
          <w:rFonts w:ascii="宋体" w:hAnsi="宋体"/>
          <w:color w:val="auto"/>
          <w:szCs w:val="21"/>
        </w:rPr>
      </w:pPr>
      <w:r>
        <w:rPr>
          <w:rFonts w:ascii="宋体" w:hAnsi="宋体"/>
          <w:color w:val="auto"/>
          <w:szCs w:val="21"/>
        </w:rPr>
        <w:t>4、甲方负责将治疗过程中产生的含铁丝、钢丝的医疗废物单独分类、包装、移交给乙方。如乙方在收集过程中发现甲方未按要求单独分类、移交，乙方有权拒收混装的医疗废物，待甲方分装完成后再收集、转运到处置中心集中处置。</w:t>
      </w:r>
    </w:p>
    <w:p w14:paraId="6B3A862E">
      <w:pPr>
        <w:widowControl/>
        <w:spacing w:line="360" w:lineRule="auto"/>
        <w:ind w:firstLine="420" w:firstLineChars="200"/>
        <w:jc w:val="left"/>
        <w:rPr>
          <w:rFonts w:ascii="宋体" w:hAnsi="宋体"/>
          <w:color w:val="auto"/>
          <w:szCs w:val="21"/>
        </w:rPr>
      </w:pPr>
      <w:r>
        <w:rPr>
          <w:rFonts w:ascii="宋体" w:hAnsi="宋体"/>
          <w:color w:val="auto"/>
          <w:szCs w:val="21"/>
        </w:rPr>
        <w:t>5、甲方设置的医疗废物暂存间应达到《医疗废物管理条例》的规定要求，方便车辆通行。如甲方暂存间交通堵塞或无法达到车辆通行条件，甲方需安排人员在</w:t>
      </w:r>
      <w:r>
        <w:rPr>
          <w:rFonts w:hint="eastAsia" w:ascii="宋体" w:hAnsi="宋体"/>
          <w:color w:val="auto"/>
          <w:szCs w:val="21"/>
        </w:rPr>
        <w:t>60分钟内协调解决好，逾期视同乙方已经完成本次服务任务。</w:t>
      </w:r>
    </w:p>
    <w:p w14:paraId="10B4676C">
      <w:pPr>
        <w:spacing w:line="380" w:lineRule="exact"/>
        <w:ind w:firstLine="411" w:firstLineChars="196"/>
        <w:rPr>
          <w:rFonts w:ascii="宋体" w:hAnsi="宋体"/>
          <w:b/>
          <w:color w:val="auto"/>
          <w:szCs w:val="21"/>
        </w:rPr>
      </w:pPr>
      <w:r>
        <w:rPr>
          <w:rFonts w:hint="eastAsia" w:ascii="宋体" w:hAnsi="宋体"/>
          <w:b/>
          <w:color w:val="auto"/>
          <w:szCs w:val="21"/>
        </w:rPr>
        <w:t>第七条  税费</w:t>
      </w:r>
    </w:p>
    <w:p w14:paraId="380D4FA1">
      <w:pPr>
        <w:spacing w:line="380" w:lineRule="exact"/>
        <w:ind w:firstLine="411" w:firstLineChars="196"/>
        <w:rPr>
          <w:rFonts w:ascii="宋体" w:hAnsi="宋体"/>
          <w:color w:val="auto"/>
          <w:szCs w:val="21"/>
        </w:rPr>
      </w:pPr>
      <w:r>
        <w:rPr>
          <w:rFonts w:hint="eastAsia" w:ascii="宋体" w:hAnsi="宋体"/>
          <w:color w:val="auto"/>
          <w:szCs w:val="21"/>
        </w:rPr>
        <w:t>本合同执行中相关的一切税费均由乙方负担。</w:t>
      </w:r>
    </w:p>
    <w:p w14:paraId="3470155B">
      <w:pPr>
        <w:spacing w:line="380" w:lineRule="exact"/>
        <w:ind w:firstLine="411" w:firstLineChars="196"/>
        <w:rPr>
          <w:rFonts w:ascii="宋体" w:hAnsi="宋体"/>
          <w:b/>
          <w:color w:val="auto"/>
          <w:szCs w:val="21"/>
        </w:rPr>
      </w:pPr>
      <w:r>
        <w:rPr>
          <w:rFonts w:hint="eastAsia" w:ascii="宋体" w:hAnsi="宋体"/>
          <w:b/>
          <w:color w:val="auto"/>
          <w:szCs w:val="21"/>
        </w:rPr>
        <w:t>第八条  付款方式</w:t>
      </w:r>
    </w:p>
    <w:p w14:paraId="27636334">
      <w:pPr>
        <w:widowControl/>
        <w:spacing w:line="360" w:lineRule="auto"/>
        <w:ind w:firstLine="420" w:firstLineChars="200"/>
        <w:jc w:val="left"/>
        <w:rPr>
          <w:rFonts w:ascii="宋体" w:hAnsi="宋体"/>
          <w:color w:val="auto"/>
          <w:szCs w:val="21"/>
        </w:rPr>
      </w:pPr>
      <w:r>
        <w:rPr>
          <w:rFonts w:hint="eastAsia" w:ascii="宋体" w:hAnsi="宋体"/>
          <w:color w:val="auto"/>
          <w:szCs w:val="21"/>
        </w:rPr>
        <w:t>1、经甲乙双方友好协商，甲方同意向乙方每月交纳医疗废物处置费人民币      元整【（桂林市妇女儿童医院凤北院区中标金额+桂林市妇女儿童医院东镇路院区中标金额）÷12】＝ 元／月计）。</w:t>
      </w:r>
    </w:p>
    <w:p w14:paraId="2256DEDB">
      <w:pPr>
        <w:widowControl/>
        <w:spacing w:line="360" w:lineRule="auto"/>
        <w:ind w:firstLine="420" w:firstLineChars="200"/>
        <w:jc w:val="left"/>
        <w:rPr>
          <w:rFonts w:ascii="宋体" w:hAnsi="宋体"/>
          <w:color w:val="auto"/>
          <w:szCs w:val="21"/>
        </w:rPr>
      </w:pPr>
      <w:r>
        <w:rPr>
          <w:rFonts w:hint="eastAsia" w:ascii="宋体" w:hAnsi="宋体"/>
          <w:color w:val="auto"/>
          <w:szCs w:val="21"/>
        </w:rPr>
        <w:t>2、合同期内成交供应商不得因任何原因要求增加中标价格外的费用。</w:t>
      </w:r>
    </w:p>
    <w:p w14:paraId="40F6A13B">
      <w:pPr>
        <w:widowControl/>
        <w:spacing w:line="360" w:lineRule="auto"/>
        <w:ind w:firstLine="420" w:firstLineChars="200"/>
        <w:jc w:val="left"/>
        <w:rPr>
          <w:rFonts w:ascii="宋体" w:hAnsi="宋体"/>
          <w:color w:val="auto"/>
          <w:szCs w:val="21"/>
        </w:rPr>
      </w:pPr>
      <w:r>
        <w:rPr>
          <w:rFonts w:hint="eastAsia" w:ascii="宋体" w:hAnsi="宋体"/>
          <w:color w:val="auto"/>
          <w:szCs w:val="21"/>
        </w:rPr>
        <w:t>3、支付方式</w:t>
      </w:r>
    </w:p>
    <w:p w14:paraId="03221BCE">
      <w:pPr>
        <w:widowControl/>
        <w:spacing w:line="360" w:lineRule="auto"/>
        <w:ind w:firstLine="420" w:firstLineChars="200"/>
        <w:jc w:val="left"/>
        <w:rPr>
          <w:rFonts w:ascii="宋体" w:hAnsi="宋体"/>
          <w:color w:val="auto"/>
          <w:szCs w:val="21"/>
        </w:rPr>
      </w:pPr>
      <w:r>
        <w:rPr>
          <w:rFonts w:hint="eastAsia" w:ascii="宋体" w:hAnsi="宋体"/>
          <w:color w:val="auto"/>
          <w:szCs w:val="21"/>
        </w:rPr>
        <w:t>甲方向乙方支付的医疗处置费，以转账方式支付，转账付至乙方指定的以下账户：</w:t>
      </w:r>
    </w:p>
    <w:p w14:paraId="552DC738">
      <w:pPr>
        <w:widowControl/>
        <w:spacing w:line="360" w:lineRule="auto"/>
        <w:ind w:firstLine="420" w:firstLineChars="200"/>
        <w:jc w:val="left"/>
        <w:rPr>
          <w:rFonts w:ascii="宋体" w:hAnsi="宋体"/>
          <w:color w:val="auto"/>
          <w:szCs w:val="21"/>
        </w:rPr>
      </w:pPr>
      <w:r>
        <w:rPr>
          <w:rFonts w:hint="eastAsia" w:ascii="宋体" w:hAnsi="宋体"/>
          <w:color w:val="auto"/>
          <w:szCs w:val="21"/>
        </w:rPr>
        <w:t>户名：</w:t>
      </w:r>
    </w:p>
    <w:p w14:paraId="0CD4CACB">
      <w:pPr>
        <w:widowControl/>
        <w:spacing w:line="360" w:lineRule="auto"/>
        <w:ind w:firstLine="420" w:firstLineChars="200"/>
        <w:jc w:val="left"/>
        <w:rPr>
          <w:rFonts w:ascii="宋体" w:hAnsi="宋体"/>
          <w:color w:val="auto"/>
          <w:szCs w:val="21"/>
        </w:rPr>
      </w:pPr>
      <w:r>
        <w:rPr>
          <w:rFonts w:hint="eastAsia" w:ascii="宋体" w:hAnsi="宋体"/>
          <w:color w:val="auto"/>
          <w:szCs w:val="21"/>
        </w:rPr>
        <w:t>开户行：</w:t>
      </w:r>
    </w:p>
    <w:p w14:paraId="484F3088">
      <w:pPr>
        <w:widowControl/>
        <w:spacing w:line="360" w:lineRule="auto"/>
        <w:ind w:firstLine="420" w:firstLineChars="200"/>
        <w:jc w:val="left"/>
        <w:rPr>
          <w:rFonts w:ascii="宋体" w:hAnsi="宋体"/>
          <w:color w:val="auto"/>
          <w:szCs w:val="21"/>
        </w:rPr>
      </w:pPr>
      <w:r>
        <w:rPr>
          <w:rFonts w:hint="eastAsia" w:ascii="宋体" w:hAnsi="宋体"/>
          <w:color w:val="auto"/>
          <w:szCs w:val="21"/>
        </w:rPr>
        <w:t>账号：</w:t>
      </w:r>
    </w:p>
    <w:p w14:paraId="4E66FB01">
      <w:pPr>
        <w:widowControl/>
        <w:numPr>
          <w:ilvl w:val="255"/>
          <w:numId w:val="0"/>
        </w:numPr>
        <w:spacing w:line="360" w:lineRule="auto"/>
        <w:ind w:firstLine="420" w:firstLineChars="200"/>
        <w:jc w:val="left"/>
        <w:rPr>
          <w:rFonts w:ascii="宋体" w:hAnsi="宋体"/>
          <w:color w:val="auto"/>
          <w:szCs w:val="21"/>
        </w:rPr>
      </w:pPr>
      <w:r>
        <w:rPr>
          <w:rFonts w:hint="eastAsia" w:ascii="宋体" w:hAnsi="宋体"/>
          <w:color w:val="auto"/>
          <w:szCs w:val="21"/>
        </w:rPr>
        <w:t>4、乙方是先服务，后收费。即乙方在每月</w:t>
      </w:r>
      <w:r>
        <w:rPr>
          <w:rFonts w:ascii="宋体" w:hAnsi="宋体"/>
          <w:color w:val="auto"/>
          <w:szCs w:val="21"/>
        </w:rPr>
        <w:t>5</w:t>
      </w:r>
      <w:r>
        <w:rPr>
          <w:rFonts w:hint="eastAsia" w:ascii="宋体" w:hAnsi="宋体"/>
          <w:color w:val="auto"/>
          <w:szCs w:val="21"/>
        </w:rPr>
        <w:t>日前将上月的医疗废物处置费发票原件及应付款账单明细送达给甲方，甲方在核对了乙方开具的金额准确的发票及明细后15个工作日内将对应的医疗废物处置费转账到乙方账户。</w:t>
      </w:r>
    </w:p>
    <w:p w14:paraId="33596E37">
      <w:pPr>
        <w:numPr>
          <w:ilvl w:val="255"/>
          <w:numId w:val="0"/>
        </w:numPr>
        <w:spacing w:line="380" w:lineRule="exact"/>
        <w:ind w:left="420"/>
        <w:rPr>
          <w:rFonts w:ascii="宋体" w:hAnsi="宋体"/>
          <w:b/>
          <w:color w:val="auto"/>
          <w:szCs w:val="21"/>
        </w:rPr>
      </w:pPr>
      <w:r>
        <w:rPr>
          <w:rFonts w:hint="eastAsia" w:ascii="宋体" w:hAnsi="宋体"/>
          <w:b/>
          <w:color w:val="auto"/>
          <w:szCs w:val="21"/>
        </w:rPr>
        <w:t>第九条  违约责任</w:t>
      </w:r>
    </w:p>
    <w:p w14:paraId="34501645">
      <w:pPr>
        <w:widowControl/>
        <w:spacing w:line="360" w:lineRule="auto"/>
        <w:ind w:firstLine="420" w:firstLineChars="200"/>
        <w:jc w:val="left"/>
        <w:rPr>
          <w:rFonts w:ascii="宋体" w:hAnsi="宋体"/>
          <w:color w:val="auto"/>
          <w:szCs w:val="21"/>
        </w:rPr>
      </w:pPr>
      <w:r>
        <w:rPr>
          <w:rFonts w:hint="eastAsia" w:ascii="宋体" w:hAnsi="宋体"/>
          <w:color w:val="auto"/>
          <w:szCs w:val="21"/>
        </w:rPr>
        <w:t>1、合同期内双方不得更改成交价。</w:t>
      </w:r>
    </w:p>
    <w:p w14:paraId="36CC67F7">
      <w:pPr>
        <w:widowControl/>
        <w:spacing w:line="360" w:lineRule="auto"/>
        <w:ind w:firstLine="420" w:firstLineChars="200"/>
        <w:jc w:val="left"/>
        <w:rPr>
          <w:rFonts w:ascii="宋体" w:hAnsi="宋体"/>
          <w:color w:val="auto"/>
          <w:szCs w:val="21"/>
        </w:rPr>
      </w:pPr>
      <w:r>
        <w:rPr>
          <w:rFonts w:hint="eastAsia" w:ascii="宋体" w:hAnsi="宋体"/>
          <w:color w:val="auto"/>
          <w:szCs w:val="21"/>
        </w:rPr>
        <w:t>2、如遇乙方医疗废物处置中心周边村民无理闹事，封锁大门、阻止生产，乙方必须第一时间向当地镇、县、市政府及相关单位报告、请求尽快解决，并在事件发生后2日内以书面方式告知甲方实际情况。甲方到现场或向相关单位核实后，视情况考虑免除乙方超出24小时转运医疗废物的违约责任，但是在应急方案中乙方必须优先转移甲方的医疗废物(应急方案详见附件）。</w:t>
      </w:r>
    </w:p>
    <w:p w14:paraId="7534A565">
      <w:pPr>
        <w:widowControl/>
        <w:spacing w:line="360" w:lineRule="auto"/>
        <w:ind w:firstLine="420" w:firstLineChars="200"/>
        <w:jc w:val="left"/>
        <w:rPr>
          <w:rFonts w:ascii="宋体" w:hAnsi="宋体"/>
          <w:color w:val="auto"/>
          <w:szCs w:val="21"/>
        </w:rPr>
      </w:pPr>
      <w:r>
        <w:rPr>
          <w:rFonts w:hint="eastAsia" w:ascii="宋体" w:hAnsi="宋体"/>
          <w:color w:val="auto"/>
          <w:szCs w:val="21"/>
        </w:rPr>
        <w:t>3、乙方必须按照《医疗废物管理条例》规定和合同约定及时转运甲方产生的医疗废物，滞留时间不能超过48小时（发生不可抗力因素及第九条第2点情况除外）。如超过48小时，甲方有权直接按每月处置费的千分之一按日违约金最高限额不超过逾期处置费5%并由乙方承担相应责任。</w:t>
      </w:r>
    </w:p>
    <w:p w14:paraId="6AAC6166">
      <w:pPr>
        <w:widowControl/>
        <w:spacing w:line="360" w:lineRule="auto"/>
        <w:ind w:firstLine="420" w:firstLineChars="200"/>
        <w:jc w:val="left"/>
        <w:rPr>
          <w:rFonts w:ascii="宋体" w:hAnsi="宋体"/>
          <w:color w:val="auto"/>
          <w:szCs w:val="21"/>
        </w:rPr>
      </w:pPr>
      <w:r>
        <w:rPr>
          <w:rFonts w:hint="eastAsia" w:ascii="宋体" w:hAnsi="宋体"/>
          <w:color w:val="auto"/>
          <w:szCs w:val="21"/>
        </w:rPr>
        <w:t>4、甲方必须按照合同条款第八条第4点规定支付处置费，如逾期10日仍未支付或拒绝支付的，乙方按上月处置费的千分之一按日收取违约金，违约金最高限额不超过逾期处置费5%，且有权暂停接收医疗废物，并由甲方承担相应责任。</w:t>
      </w:r>
    </w:p>
    <w:p w14:paraId="5F3F7B33">
      <w:pPr>
        <w:spacing w:line="380" w:lineRule="exact"/>
        <w:ind w:firstLine="411" w:firstLineChars="196"/>
        <w:rPr>
          <w:rFonts w:hint="eastAsia" w:ascii="宋体" w:hAnsi="宋体"/>
          <w:color w:val="auto"/>
          <w:szCs w:val="21"/>
        </w:rPr>
      </w:pPr>
      <w:r>
        <w:rPr>
          <w:rFonts w:hint="eastAsia" w:ascii="宋体" w:hAnsi="宋体"/>
          <w:color w:val="auto"/>
          <w:szCs w:val="21"/>
        </w:rPr>
        <w:t>5、乙方对甲方所交付的医疗废物不按规范标准处置的，由乙方自行承担全部责任。乙方在一年中累计3次不按甲方要求收集、转运和处置医疗废物的（甲方未按照合同约定提前通知乙方的除外），甲方可单方面解除合同并要求乙方赔偿相应的经济损失；</w:t>
      </w:r>
    </w:p>
    <w:p w14:paraId="6B1290B5">
      <w:pPr>
        <w:spacing w:line="380" w:lineRule="exact"/>
        <w:ind w:firstLine="411" w:firstLineChars="196"/>
        <w:rPr>
          <w:rFonts w:ascii="宋体" w:hAnsi="宋体"/>
          <w:b/>
          <w:color w:val="auto"/>
          <w:szCs w:val="21"/>
        </w:rPr>
      </w:pPr>
      <w:r>
        <w:rPr>
          <w:rFonts w:hint="eastAsia" w:ascii="宋体" w:hAnsi="宋体"/>
          <w:b/>
          <w:color w:val="auto"/>
          <w:szCs w:val="21"/>
        </w:rPr>
        <w:t>第十条  不可抗力事件处理</w:t>
      </w:r>
    </w:p>
    <w:p w14:paraId="2CB8FB12">
      <w:pPr>
        <w:widowControl/>
        <w:spacing w:line="360" w:lineRule="auto"/>
        <w:ind w:firstLine="420" w:firstLineChars="200"/>
        <w:jc w:val="left"/>
        <w:rPr>
          <w:rFonts w:ascii="宋体" w:hAnsi="宋体"/>
          <w:color w:val="auto"/>
          <w:szCs w:val="21"/>
        </w:rPr>
      </w:pPr>
      <w:r>
        <w:rPr>
          <w:rFonts w:hint="eastAsia" w:ascii="宋体" w:hAnsi="宋体"/>
          <w:color w:val="auto"/>
          <w:szCs w:val="21"/>
        </w:rPr>
        <w:t>1. 甲乙任何一方如确因不可抗力的原因，不能履行本合同时，应在不可抗力的事件发生之后3日内向对方通知不能履行或需延期履行，部分履行的理由。在取得相关证明后，本合同可以不履行或部分履行，并免除相关的违约责任。</w:t>
      </w:r>
    </w:p>
    <w:p w14:paraId="2521278A">
      <w:pPr>
        <w:widowControl/>
        <w:spacing w:line="360" w:lineRule="auto"/>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 不可抗力事件延续一百二十天以上，双方应通过友好协商，确定是否继续履行合同。</w:t>
      </w:r>
    </w:p>
    <w:p w14:paraId="40A879B2">
      <w:pPr>
        <w:spacing w:line="380" w:lineRule="exact"/>
        <w:ind w:firstLine="411" w:firstLineChars="196"/>
        <w:rPr>
          <w:rFonts w:ascii="宋体" w:hAnsi="宋体"/>
          <w:b/>
          <w:color w:val="auto"/>
          <w:szCs w:val="21"/>
        </w:rPr>
      </w:pPr>
      <w:r>
        <w:rPr>
          <w:rFonts w:hint="eastAsia" w:ascii="宋体" w:hAnsi="宋体"/>
          <w:b/>
          <w:color w:val="auto"/>
          <w:szCs w:val="21"/>
        </w:rPr>
        <w:t>第十一条  合同争议解决</w:t>
      </w:r>
    </w:p>
    <w:p w14:paraId="775C1434">
      <w:pPr>
        <w:widowControl/>
        <w:spacing w:line="360" w:lineRule="auto"/>
        <w:ind w:firstLine="420" w:firstLineChars="200"/>
        <w:jc w:val="left"/>
        <w:rPr>
          <w:rFonts w:ascii="宋体" w:hAnsi="宋体"/>
          <w:color w:val="auto"/>
          <w:szCs w:val="21"/>
        </w:rPr>
      </w:pPr>
      <w:r>
        <w:rPr>
          <w:rFonts w:hint="eastAsia" w:ascii="宋体" w:hAnsi="宋体"/>
          <w:color w:val="auto"/>
          <w:szCs w:val="21"/>
        </w:rPr>
        <w:t>1. 因履行本合同引起的或与本合同有关的争议，甲乙双方应首先通过友好协商解决，如果协商不能解决，可向甲方住所地人民法院提起诉讼。</w:t>
      </w:r>
    </w:p>
    <w:p w14:paraId="0A364DA6">
      <w:pPr>
        <w:spacing w:line="380" w:lineRule="exact"/>
        <w:ind w:firstLine="411" w:firstLineChars="196"/>
        <w:rPr>
          <w:rFonts w:ascii="宋体" w:hAnsi="宋体"/>
          <w:b/>
          <w:color w:val="auto"/>
          <w:szCs w:val="21"/>
        </w:rPr>
      </w:pPr>
      <w:r>
        <w:rPr>
          <w:rFonts w:hint="eastAsia" w:ascii="宋体" w:hAnsi="宋体"/>
          <w:b/>
          <w:color w:val="auto"/>
          <w:szCs w:val="21"/>
        </w:rPr>
        <w:t>第十二条  合同生效及其它</w:t>
      </w:r>
    </w:p>
    <w:p w14:paraId="799105B9">
      <w:pPr>
        <w:widowControl/>
        <w:spacing w:line="360" w:lineRule="auto"/>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本合同一式陆份，甲方四份、乙方壹份，自甲乙双方签字盖章后生效，具有同等法律效力。</w:t>
      </w:r>
    </w:p>
    <w:p w14:paraId="64DFB50A">
      <w:pPr>
        <w:widowControl/>
        <w:spacing w:line="360" w:lineRule="auto"/>
        <w:ind w:firstLine="420" w:firstLineChars="200"/>
        <w:jc w:val="left"/>
        <w:rPr>
          <w:rFonts w:ascii="宋体" w:hAnsi="宋体"/>
          <w:color w:val="auto"/>
          <w:szCs w:val="21"/>
        </w:rPr>
      </w:pPr>
      <w:r>
        <w:rPr>
          <w:rFonts w:hint="eastAsia" w:ascii="宋体" w:hAnsi="宋体"/>
          <w:color w:val="auto"/>
          <w:szCs w:val="21"/>
        </w:rPr>
        <w:t>2、协议生效期内如有新法律新文件颁布，与本合同有冲突的，按新法律新文件执行。</w:t>
      </w:r>
    </w:p>
    <w:p w14:paraId="2C7CC33E">
      <w:pPr>
        <w:widowControl/>
        <w:spacing w:line="360" w:lineRule="auto"/>
        <w:ind w:firstLine="420" w:firstLineChars="200"/>
        <w:jc w:val="left"/>
        <w:rPr>
          <w:rFonts w:ascii="宋体" w:hAnsi="宋体"/>
          <w:color w:val="auto"/>
          <w:szCs w:val="21"/>
        </w:rPr>
      </w:pPr>
      <w:r>
        <w:rPr>
          <w:rFonts w:hint="eastAsia" w:ascii="宋体" w:hAnsi="宋体"/>
          <w:color w:val="auto"/>
          <w:szCs w:val="21"/>
        </w:rPr>
        <w:t>3、其它未尽事宜双方协商解决。</w:t>
      </w:r>
    </w:p>
    <w:p w14:paraId="06C9C9F3">
      <w:pPr>
        <w:spacing w:line="380" w:lineRule="exact"/>
        <w:ind w:firstLine="411" w:firstLineChars="196"/>
        <w:rPr>
          <w:rFonts w:ascii="宋体" w:hAnsi="宋体"/>
          <w:b/>
          <w:color w:val="auto"/>
          <w:szCs w:val="21"/>
        </w:rPr>
      </w:pPr>
      <w:r>
        <w:rPr>
          <w:rFonts w:hint="eastAsia" w:ascii="宋体" w:hAnsi="宋体"/>
          <w:b/>
          <w:color w:val="auto"/>
          <w:szCs w:val="21"/>
        </w:rPr>
        <w:t>第十三条  合同的变更、终止与转让</w:t>
      </w:r>
    </w:p>
    <w:p w14:paraId="0996DEE0">
      <w:pPr>
        <w:widowControl/>
        <w:spacing w:line="360" w:lineRule="auto"/>
        <w:ind w:firstLine="420" w:firstLineChars="200"/>
        <w:jc w:val="left"/>
        <w:rPr>
          <w:rFonts w:ascii="宋体" w:hAnsi="宋体"/>
          <w:color w:val="auto"/>
          <w:szCs w:val="21"/>
        </w:rPr>
      </w:pPr>
      <w:r>
        <w:rPr>
          <w:rFonts w:hint="eastAsia" w:ascii="宋体" w:hAnsi="宋体"/>
          <w:color w:val="auto"/>
          <w:szCs w:val="21"/>
        </w:rPr>
        <w:t>1. 除《中华人民共和国政府采购法》第五十条规定的情形及合同约定的解除合同情形外，本合同一经签订，甲乙双方不得擅自变更，中止或终止。</w:t>
      </w:r>
    </w:p>
    <w:p w14:paraId="7AB30CAB">
      <w:pPr>
        <w:widowControl/>
        <w:spacing w:line="360" w:lineRule="auto"/>
        <w:ind w:firstLine="420" w:firstLineChars="200"/>
        <w:jc w:val="left"/>
        <w:rPr>
          <w:rFonts w:ascii="宋体" w:hAnsi="宋体"/>
          <w:color w:val="auto"/>
          <w:szCs w:val="21"/>
        </w:rPr>
      </w:pPr>
      <w:r>
        <w:rPr>
          <w:rFonts w:hint="eastAsia" w:ascii="宋体" w:hAnsi="宋体"/>
          <w:color w:val="auto"/>
          <w:szCs w:val="21"/>
        </w:rPr>
        <w:t>2. 乙方不得擅自转让其应履行的合同义务。</w:t>
      </w:r>
    </w:p>
    <w:p w14:paraId="057916FD">
      <w:pPr>
        <w:spacing w:line="400" w:lineRule="exact"/>
        <w:ind w:firstLine="420" w:firstLineChars="200"/>
        <w:rPr>
          <w:rFonts w:ascii="宋体" w:hAnsi="宋体"/>
          <w:b/>
          <w:color w:val="auto"/>
          <w:szCs w:val="21"/>
        </w:rPr>
      </w:pPr>
      <w:r>
        <w:rPr>
          <w:rFonts w:hint="eastAsia" w:ascii="宋体" w:hAnsi="宋体"/>
          <w:b/>
          <w:color w:val="auto"/>
          <w:szCs w:val="21"/>
        </w:rPr>
        <w:t>第十四条  签订本合同依据：</w:t>
      </w:r>
    </w:p>
    <w:p w14:paraId="59E0ED8D">
      <w:pPr>
        <w:widowControl/>
        <w:spacing w:line="360" w:lineRule="auto"/>
        <w:ind w:firstLine="420" w:firstLineChars="200"/>
        <w:jc w:val="left"/>
        <w:rPr>
          <w:rFonts w:ascii="宋体" w:hAnsi="宋体"/>
          <w:color w:val="auto"/>
          <w:szCs w:val="21"/>
        </w:rPr>
      </w:pPr>
      <w:r>
        <w:rPr>
          <w:rFonts w:hint="eastAsia" w:ascii="宋体" w:hAnsi="宋体"/>
          <w:color w:val="auto"/>
          <w:szCs w:val="21"/>
        </w:rPr>
        <w:t>1. 竞争性磋商文件；</w:t>
      </w:r>
    </w:p>
    <w:p w14:paraId="69318DA5">
      <w:pPr>
        <w:widowControl/>
        <w:spacing w:line="360" w:lineRule="auto"/>
        <w:ind w:firstLine="420" w:firstLineChars="200"/>
        <w:jc w:val="left"/>
        <w:rPr>
          <w:rFonts w:ascii="宋体" w:hAnsi="宋体"/>
          <w:color w:val="auto"/>
          <w:szCs w:val="21"/>
        </w:rPr>
      </w:pPr>
      <w:r>
        <w:rPr>
          <w:rFonts w:hint="eastAsia" w:ascii="宋体" w:hAnsi="宋体"/>
          <w:color w:val="auto"/>
          <w:szCs w:val="21"/>
        </w:rPr>
        <w:t>2. 乙方提供的响应（或应答）文件；</w:t>
      </w:r>
    </w:p>
    <w:p w14:paraId="189356E7">
      <w:pPr>
        <w:widowControl/>
        <w:spacing w:line="360" w:lineRule="auto"/>
        <w:ind w:firstLine="420" w:firstLineChars="200"/>
        <w:jc w:val="left"/>
        <w:rPr>
          <w:rFonts w:ascii="宋体" w:hAnsi="宋体"/>
          <w:color w:val="auto"/>
          <w:szCs w:val="21"/>
        </w:rPr>
      </w:pPr>
      <w:r>
        <w:rPr>
          <w:rFonts w:hint="eastAsia" w:ascii="宋体" w:hAnsi="宋体"/>
          <w:color w:val="auto"/>
          <w:szCs w:val="21"/>
        </w:rPr>
        <w:t>3. 服务承诺书；</w:t>
      </w:r>
    </w:p>
    <w:p w14:paraId="77636FAF">
      <w:pPr>
        <w:widowControl/>
        <w:spacing w:line="360" w:lineRule="auto"/>
        <w:ind w:firstLine="420" w:firstLineChars="200"/>
        <w:jc w:val="left"/>
        <w:rPr>
          <w:rFonts w:ascii="宋体" w:hAnsi="宋体"/>
          <w:color w:val="auto"/>
          <w:szCs w:val="21"/>
        </w:rPr>
      </w:pPr>
      <w:r>
        <w:rPr>
          <w:rFonts w:hint="eastAsia" w:ascii="宋体" w:hAnsi="宋体"/>
          <w:color w:val="auto"/>
          <w:szCs w:val="21"/>
        </w:rPr>
        <w:t>4. 磋商中的磋商记录；</w:t>
      </w:r>
    </w:p>
    <w:p w14:paraId="43267433">
      <w:pPr>
        <w:widowControl/>
        <w:spacing w:line="360" w:lineRule="auto"/>
        <w:ind w:firstLine="420" w:firstLineChars="200"/>
        <w:jc w:val="left"/>
        <w:rPr>
          <w:rFonts w:ascii="宋体" w:hAnsi="宋体"/>
          <w:color w:val="auto"/>
          <w:szCs w:val="21"/>
        </w:rPr>
      </w:pPr>
      <w:r>
        <w:rPr>
          <w:rFonts w:hint="eastAsia" w:ascii="宋体" w:hAnsi="宋体"/>
          <w:color w:val="auto"/>
          <w:szCs w:val="21"/>
        </w:rPr>
        <w:t>5. 成交通知书。</w:t>
      </w:r>
    </w:p>
    <w:p w14:paraId="50EDF496">
      <w:pPr>
        <w:widowControl/>
        <w:spacing w:line="360" w:lineRule="auto"/>
        <w:ind w:firstLine="210" w:firstLineChars="100"/>
        <w:jc w:val="left"/>
        <w:rPr>
          <w:rFonts w:ascii="宋体" w:hAnsi="宋体"/>
          <w:color w:val="auto"/>
          <w:szCs w:val="21"/>
        </w:rPr>
      </w:pPr>
      <w:r>
        <w:rPr>
          <w:rFonts w:hint="eastAsia" w:ascii="宋体" w:hAnsi="宋体"/>
          <w:color w:val="auto"/>
          <w:szCs w:val="21"/>
        </w:rPr>
        <w:t>（以下为签署页，无正文）</w:t>
      </w:r>
    </w:p>
    <w:p w14:paraId="0A4BC5DB">
      <w:pPr>
        <w:spacing w:line="360" w:lineRule="auto"/>
        <w:ind w:firstLine="420" w:firstLineChars="200"/>
        <w:rPr>
          <w:rFonts w:ascii="宋体" w:hAnsi="宋体"/>
          <w:color w:val="auto"/>
        </w:rPr>
      </w:pPr>
      <w:r>
        <w:rPr>
          <w:rFonts w:hint="eastAsia" w:ascii="宋体" w:hAnsi="宋体"/>
          <w:color w:val="auto"/>
        </w:rPr>
        <w:t xml:space="preserve">甲方：                              乙方： </w:t>
      </w:r>
    </w:p>
    <w:p w14:paraId="24C92603">
      <w:pPr>
        <w:spacing w:line="360" w:lineRule="auto"/>
        <w:ind w:firstLine="420" w:firstLineChars="200"/>
        <w:rPr>
          <w:rFonts w:ascii="宋体" w:hAnsi="宋体"/>
          <w:color w:val="auto"/>
        </w:rPr>
      </w:pPr>
      <w:r>
        <w:rPr>
          <w:rFonts w:hint="eastAsia" w:ascii="宋体" w:hAnsi="宋体"/>
          <w:color w:val="auto"/>
        </w:rPr>
        <w:t xml:space="preserve">纳税识别号：            纳税识别号： </w:t>
      </w:r>
    </w:p>
    <w:p w14:paraId="6461DDE1">
      <w:pPr>
        <w:spacing w:line="360" w:lineRule="auto"/>
        <w:ind w:firstLine="420" w:firstLineChars="200"/>
        <w:rPr>
          <w:rFonts w:ascii="宋体" w:hAnsi="宋体"/>
          <w:color w:val="auto"/>
        </w:rPr>
      </w:pPr>
      <w:r>
        <w:rPr>
          <w:rFonts w:hint="eastAsia" w:ascii="宋体" w:hAnsi="宋体"/>
          <w:color w:val="auto"/>
        </w:rPr>
        <w:t>委托代理人：                        委托代理人签字：</w:t>
      </w:r>
    </w:p>
    <w:p w14:paraId="701C1538">
      <w:pPr>
        <w:spacing w:line="360" w:lineRule="auto"/>
        <w:ind w:firstLine="420" w:firstLineChars="200"/>
        <w:rPr>
          <w:rFonts w:ascii="宋体" w:hAnsi="宋体"/>
          <w:color w:val="auto"/>
        </w:rPr>
      </w:pPr>
      <w:r>
        <w:rPr>
          <w:rFonts w:hint="eastAsia" w:ascii="宋体" w:hAnsi="宋体"/>
          <w:color w:val="auto"/>
        </w:rPr>
        <w:t xml:space="preserve">（签字或盖章）                      （签字或盖章）  </w:t>
      </w:r>
    </w:p>
    <w:p w14:paraId="1459288B">
      <w:pPr>
        <w:spacing w:line="360" w:lineRule="auto"/>
        <w:ind w:firstLine="420" w:firstLineChars="200"/>
        <w:rPr>
          <w:rFonts w:ascii="宋体" w:hAnsi="宋体"/>
          <w:color w:val="auto"/>
        </w:rPr>
      </w:pPr>
      <w:r>
        <w:rPr>
          <w:rFonts w:hint="eastAsia" w:ascii="宋体" w:hAnsi="宋体"/>
          <w:color w:val="auto"/>
        </w:rPr>
        <w:t>电话：                                电话：</w:t>
      </w:r>
    </w:p>
    <w:p w14:paraId="5C33692E">
      <w:pPr>
        <w:spacing w:line="360" w:lineRule="auto"/>
        <w:ind w:firstLine="420" w:firstLineChars="200"/>
        <w:rPr>
          <w:rFonts w:ascii="宋体" w:hAnsi="宋体"/>
          <w:color w:val="auto"/>
        </w:rPr>
      </w:pPr>
      <w:r>
        <w:rPr>
          <w:rFonts w:hint="eastAsia" w:ascii="宋体" w:hAnsi="宋体"/>
          <w:color w:val="auto"/>
        </w:rPr>
        <w:t>地址：                             地址：</w:t>
      </w:r>
    </w:p>
    <w:p w14:paraId="1E6E8215">
      <w:pPr>
        <w:spacing w:line="360" w:lineRule="auto"/>
        <w:ind w:firstLine="420" w:firstLineChars="200"/>
        <w:rPr>
          <w:rFonts w:ascii="宋体" w:hAnsi="宋体"/>
          <w:color w:val="auto"/>
        </w:rPr>
      </w:pPr>
      <w:r>
        <w:rPr>
          <w:rFonts w:hint="eastAsia" w:ascii="宋体" w:hAnsi="宋体"/>
          <w:color w:val="auto"/>
          <w:szCs w:val="21"/>
        </w:rPr>
        <w:t>开户名称：                            开户名称：</w:t>
      </w:r>
    </w:p>
    <w:p w14:paraId="58BFF29F">
      <w:pPr>
        <w:spacing w:line="360" w:lineRule="auto"/>
        <w:ind w:firstLine="420" w:firstLineChars="200"/>
        <w:rPr>
          <w:rFonts w:ascii="宋体" w:hAnsi="宋体"/>
          <w:color w:val="auto"/>
          <w:szCs w:val="21"/>
        </w:rPr>
      </w:pPr>
      <w:r>
        <w:rPr>
          <w:rFonts w:hint="eastAsia" w:ascii="宋体" w:hAnsi="宋体"/>
          <w:color w:val="auto"/>
          <w:szCs w:val="21"/>
        </w:rPr>
        <w:t>开户银行：                            开户银行：</w:t>
      </w:r>
    </w:p>
    <w:p w14:paraId="450AC0D8">
      <w:pPr>
        <w:spacing w:line="360" w:lineRule="auto"/>
        <w:ind w:firstLine="420" w:firstLineChars="200"/>
        <w:rPr>
          <w:rFonts w:ascii="宋体" w:hAnsi="宋体"/>
          <w:color w:val="auto"/>
        </w:rPr>
      </w:pPr>
      <w:r>
        <w:rPr>
          <w:rFonts w:hint="eastAsia" w:ascii="宋体" w:hAnsi="宋体"/>
          <w:color w:val="auto"/>
          <w:szCs w:val="21"/>
        </w:rPr>
        <w:t>银行账号：银行账号：</w:t>
      </w:r>
    </w:p>
    <w:p w14:paraId="7AA309A1">
      <w:pPr>
        <w:spacing w:line="360" w:lineRule="auto"/>
        <w:ind w:firstLine="420" w:firstLineChars="200"/>
        <w:rPr>
          <w:rFonts w:ascii="宋体" w:hAnsi="宋体"/>
          <w:color w:val="auto"/>
        </w:rPr>
      </w:pPr>
      <w:r>
        <w:rPr>
          <w:rFonts w:hint="eastAsia" w:ascii="宋体" w:hAnsi="宋体"/>
          <w:color w:val="auto"/>
        </w:rPr>
        <w:t>日期：    年   月   日            日期：     年   月   日</w:t>
      </w:r>
    </w:p>
    <w:p w14:paraId="1B9B4D10">
      <w:pPr>
        <w:spacing w:line="360" w:lineRule="exact"/>
        <w:rPr>
          <w:rFonts w:ascii="宋体" w:hAnsi="宋体"/>
          <w:color w:val="auto"/>
        </w:rPr>
      </w:pPr>
    </w:p>
    <w:p w14:paraId="7442359D">
      <w:pPr>
        <w:rPr>
          <w:rFonts w:ascii="宋体" w:hAnsi="宋体"/>
          <w:b/>
          <w:color w:val="auto"/>
          <w:szCs w:val="21"/>
        </w:rPr>
      </w:pPr>
    </w:p>
    <w:p w14:paraId="5D527D03">
      <w:pPr>
        <w:adjustRightInd w:val="0"/>
        <w:snapToGrid w:val="0"/>
        <w:spacing w:line="380" w:lineRule="exact"/>
        <w:jc w:val="center"/>
        <w:rPr>
          <w:b/>
          <w:color w:val="auto"/>
          <w:sz w:val="32"/>
          <w:szCs w:val="32"/>
        </w:rPr>
      </w:pPr>
    </w:p>
    <w:p w14:paraId="656CFAE6">
      <w:pPr>
        <w:adjustRightInd w:val="0"/>
        <w:snapToGrid w:val="0"/>
        <w:spacing w:line="380" w:lineRule="exact"/>
        <w:jc w:val="center"/>
        <w:rPr>
          <w:b/>
          <w:color w:val="auto"/>
          <w:sz w:val="32"/>
          <w:szCs w:val="32"/>
        </w:rPr>
      </w:pPr>
    </w:p>
    <w:p w14:paraId="135DBD93">
      <w:pPr>
        <w:adjustRightInd w:val="0"/>
        <w:snapToGrid w:val="0"/>
        <w:spacing w:line="380" w:lineRule="exact"/>
        <w:jc w:val="center"/>
        <w:rPr>
          <w:b/>
          <w:color w:val="auto"/>
          <w:sz w:val="32"/>
          <w:szCs w:val="32"/>
        </w:rPr>
      </w:pPr>
    </w:p>
    <w:p w14:paraId="1FD22D05">
      <w:pPr>
        <w:adjustRightInd w:val="0"/>
        <w:snapToGrid w:val="0"/>
        <w:spacing w:line="380" w:lineRule="exact"/>
        <w:jc w:val="center"/>
        <w:rPr>
          <w:b/>
          <w:color w:val="auto"/>
          <w:sz w:val="32"/>
          <w:szCs w:val="32"/>
        </w:rPr>
      </w:pPr>
    </w:p>
    <w:p w14:paraId="548080DB">
      <w:pPr>
        <w:adjustRightInd w:val="0"/>
        <w:snapToGrid w:val="0"/>
        <w:spacing w:line="380" w:lineRule="exact"/>
        <w:jc w:val="center"/>
        <w:rPr>
          <w:b/>
          <w:color w:val="auto"/>
          <w:sz w:val="32"/>
          <w:szCs w:val="32"/>
        </w:rPr>
      </w:pPr>
    </w:p>
    <w:p w14:paraId="3F679335">
      <w:pPr>
        <w:adjustRightInd w:val="0"/>
        <w:snapToGrid w:val="0"/>
        <w:spacing w:line="380" w:lineRule="exact"/>
        <w:jc w:val="center"/>
        <w:rPr>
          <w:b/>
          <w:color w:val="auto"/>
          <w:sz w:val="32"/>
          <w:szCs w:val="32"/>
        </w:rPr>
      </w:pPr>
    </w:p>
    <w:p w14:paraId="03568AF3">
      <w:pPr>
        <w:adjustRightInd w:val="0"/>
        <w:snapToGrid w:val="0"/>
        <w:spacing w:line="380" w:lineRule="exact"/>
        <w:jc w:val="center"/>
        <w:rPr>
          <w:b/>
          <w:color w:val="auto"/>
          <w:sz w:val="32"/>
          <w:szCs w:val="32"/>
        </w:rPr>
      </w:pPr>
    </w:p>
    <w:p w14:paraId="0F16257C">
      <w:pPr>
        <w:adjustRightInd w:val="0"/>
        <w:snapToGrid w:val="0"/>
        <w:spacing w:line="380" w:lineRule="exact"/>
        <w:rPr>
          <w:b/>
          <w:color w:val="auto"/>
          <w:sz w:val="32"/>
          <w:szCs w:val="32"/>
        </w:rPr>
      </w:pPr>
    </w:p>
    <w:p w14:paraId="7C8F6683">
      <w:pPr>
        <w:adjustRightInd w:val="0"/>
        <w:snapToGrid w:val="0"/>
        <w:spacing w:line="380" w:lineRule="exact"/>
        <w:jc w:val="center"/>
        <w:rPr>
          <w:b/>
          <w:color w:val="auto"/>
          <w:sz w:val="32"/>
          <w:szCs w:val="32"/>
        </w:rPr>
      </w:pPr>
    </w:p>
    <w:p w14:paraId="4E72A722">
      <w:pPr>
        <w:adjustRightInd w:val="0"/>
        <w:snapToGrid w:val="0"/>
        <w:spacing w:line="380" w:lineRule="exact"/>
        <w:jc w:val="center"/>
        <w:rPr>
          <w:b/>
          <w:color w:val="auto"/>
          <w:sz w:val="32"/>
          <w:szCs w:val="32"/>
        </w:rPr>
      </w:pPr>
    </w:p>
    <w:p w14:paraId="034E131B">
      <w:pPr>
        <w:adjustRightInd w:val="0"/>
        <w:snapToGrid w:val="0"/>
        <w:spacing w:line="380" w:lineRule="exact"/>
        <w:jc w:val="center"/>
        <w:rPr>
          <w:b/>
          <w:color w:val="auto"/>
          <w:sz w:val="32"/>
          <w:szCs w:val="32"/>
        </w:rPr>
      </w:pPr>
    </w:p>
    <w:p w14:paraId="18F75EC9">
      <w:pPr>
        <w:adjustRightInd w:val="0"/>
        <w:snapToGrid w:val="0"/>
        <w:spacing w:line="380" w:lineRule="exact"/>
        <w:jc w:val="center"/>
        <w:rPr>
          <w:b/>
          <w:color w:val="auto"/>
          <w:sz w:val="32"/>
          <w:szCs w:val="32"/>
        </w:rPr>
      </w:pPr>
    </w:p>
    <w:p w14:paraId="19AA836C">
      <w:pPr>
        <w:adjustRightInd w:val="0"/>
        <w:snapToGrid w:val="0"/>
        <w:spacing w:line="380" w:lineRule="exact"/>
        <w:jc w:val="center"/>
        <w:rPr>
          <w:b/>
          <w:color w:val="auto"/>
          <w:sz w:val="32"/>
          <w:szCs w:val="32"/>
        </w:rPr>
      </w:pPr>
    </w:p>
    <w:p w14:paraId="6736BFB8">
      <w:pPr>
        <w:adjustRightInd w:val="0"/>
        <w:snapToGrid w:val="0"/>
        <w:spacing w:line="380" w:lineRule="exact"/>
        <w:jc w:val="center"/>
        <w:rPr>
          <w:b/>
          <w:color w:val="auto"/>
          <w:sz w:val="32"/>
          <w:szCs w:val="32"/>
        </w:rPr>
      </w:pPr>
    </w:p>
    <w:p w14:paraId="08644EF5">
      <w:pPr>
        <w:pStyle w:val="2"/>
        <w:rPr>
          <w:b/>
          <w:color w:val="auto"/>
          <w:sz w:val="32"/>
          <w:szCs w:val="32"/>
        </w:rPr>
      </w:pPr>
    </w:p>
    <w:p w14:paraId="315D06C7">
      <w:pPr>
        <w:pStyle w:val="2"/>
        <w:rPr>
          <w:b/>
          <w:color w:val="auto"/>
          <w:sz w:val="32"/>
          <w:szCs w:val="32"/>
        </w:rPr>
      </w:pPr>
    </w:p>
    <w:p w14:paraId="503B2CC2">
      <w:pPr>
        <w:adjustRightInd w:val="0"/>
        <w:snapToGrid w:val="0"/>
        <w:spacing w:line="380" w:lineRule="exact"/>
        <w:jc w:val="center"/>
        <w:rPr>
          <w:b/>
          <w:color w:val="auto"/>
          <w:sz w:val="32"/>
          <w:szCs w:val="32"/>
        </w:rPr>
      </w:pPr>
    </w:p>
    <w:p w14:paraId="3D5F8A58">
      <w:pPr>
        <w:adjustRightInd w:val="0"/>
        <w:snapToGrid w:val="0"/>
        <w:spacing w:line="380" w:lineRule="exact"/>
        <w:jc w:val="center"/>
        <w:rPr>
          <w:b/>
          <w:color w:val="auto"/>
          <w:sz w:val="32"/>
          <w:szCs w:val="32"/>
        </w:rPr>
      </w:pPr>
    </w:p>
    <w:p w14:paraId="61B19E30">
      <w:pPr>
        <w:adjustRightInd w:val="0"/>
        <w:snapToGrid w:val="0"/>
        <w:spacing w:line="380" w:lineRule="exact"/>
        <w:jc w:val="center"/>
        <w:rPr>
          <w:b/>
          <w:color w:val="auto"/>
          <w:sz w:val="32"/>
          <w:szCs w:val="32"/>
        </w:rPr>
      </w:pPr>
      <w:r>
        <w:rPr>
          <w:rFonts w:hint="eastAsia"/>
          <w:b/>
          <w:color w:val="auto"/>
          <w:sz w:val="32"/>
          <w:szCs w:val="32"/>
        </w:rPr>
        <w:t>医疗卫生机构廉洁购销合同</w:t>
      </w:r>
    </w:p>
    <w:p w14:paraId="41EBE65F">
      <w:pPr>
        <w:spacing w:line="400" w:lineRule="exact"/>
        <w:jc w:val="center"/>
        <w:rPr>
          <w:b/>
          <w:color w:val="auto"/>
          <w:sz w:val="32"/>
          <w:szCs w:val="32"/>
        </w:rPr>
      </w:pPr>
    </w:p>
    <w:p w14:paraId="0E3CFE6F">
      <w:pPr>
        <w:spacing w:line="420" w:lineRule="exact"/>
        <w:rPr>
          <w:rFonts w:ascii="宋体" w:hAnsi="宋体"/>
          <w:color w:val="auto"/>
          <w:szCs w:val="21"/>
        </w:rPr>
      </w:pPr>
      <w:r>
        <w:rPr>
          <w:rFonts w:hint="eastAsia" w:ascii="宋体" w:hAnsi="宋体"/>
          <w:color w:val="auto"/>
          <w:szCs w:val="21"/>
        </w:rPr>
        <w:t>甲方（采购人）：</w:t>
      </w:r>
    </w:p>
    <w:p w14:paraId="68F45135">
      <w:pPr>
        <w:spacing w:line="420" w:lineRule="exact"/>
        <w:rPr>
          <w:rFonts w:ascii="宋体" w:hAnsi="宋体"/>
          <w:color w:val="auto"/>
          <w:szCs w:val="21"/>
        </w:rPr>
      </w:pPr>
      <w:r>
        <w:rPr>
          <w:rFonts w:hint="eastAsia" w:ascii="宋体" w:hAnsi="宋体"/>
          <w:color w:val="auto"/>
          <w:szCs w:val="21"/>
        </w:rPr>
        <w:t>乙方（成交人）：</w:t>
      </w:r>
    </w:p>
    <w:p w14:paraId="49030937">
      <w:pPr>
        <w:spacing w:line="420" w:lineRule="exact"/>
        <w:rPr>
          <w:rFonts w:ascii="宋体" w:hAnsi="宋体"/>
          <w:color w:val="auto"/>
          <w:szCs w:val="21"/>
        </w:rPr>
      </w:pPr>
    </w:p>
    <w:p w14:paraId="3D535888">
      <w:pPr>
        <w:spacing w:line="420" w:lineRule="exact"/>
        <w:ind w:firstLine="420"/>
        <w:rPr>
          <w:rFonts w:ascii="宋体" w:hAnsi="宋体"/>
          <w:color w:val="auto"/>
          <w:szCs w:val="21"/>
        </w:rPr>
      </w:pPr>
      <w:r>
        <w:rPr>
          <w:rFonts w:hint="eastAsia" w:ascii="宋体" w:hAnsi="宋体"/>
          <w:color w:val="auto"/>
          <w:szCs w:val="21"/>
        </w:rPr>
        <w:t>为进一步加强医疗卫生行风建设，规范医疗卫生机构购销行为，有效防范商业贿赂行为，营造公平交易、诚实守信的购销环境，经甲、乙双方协商，同意签订本合同，并共同遵守：</w:t>
      </w:r>
    </w:p>
    <w:p w14:paraId="144679B4">
      <w:pPr>
        <w:spacing w:line="420" w:lineRule="exact"/>
        <w:ind w:firstLine="420"/>
        <w:rPr>
          <w:rFonts w:ascii="宋体" w:hAnsi="宋体"/>
          <w:color w:val="auto"/>
          <w:szCs w:val="21"/>
        </w:rPr>
      </w:pPr>
      <w:r>
        <w:rPr>
          <w:rFonts w:hint="eastAsia" w:ascii="宋体" w:hAnsi="宋体"/>
          <w:color w:val="auto"/>
          <w:szCs w:val="21"/>
        </w:rPr>
        <w:t>一、甲乙双方按照《中华人民共和国民法典》及合同约定进行规范操作。</w:t>
      </w:r>
    </w:p>
    <w:p w14:paraId="2E2CF988">
      <w:pPr>
        <w:spacing w:line="420" w:lineRule="exact"/>
        <w:ind w:firstLine="420"/>
        <w:rPr>
          <w:rFonts w:ascii="宋体" w:hAnsi="宋体"/>
          <w:color w:val="auto"/>
          <w:szCs w:val="21"/>
        </w:rPr>
      </w:pPr>
      <w:r>
        <w:rPr>
          <w:rFonts w:hint="eastAsia" w:ascii="宋体" w:hAnsi="宋体"/>
          <w:color w:val="auto"/>
          <w:szCs w:val="21"/>
        </w:rPr>
        <w:t>二、甲方应当严格执行购销合同验收制度，对施工采购物品进行查验，确保施工所用材料符合合同约定标准。</w:t>
      </w:r>
    </w:p>
    <w:p w14:paraId="4BCF2533">
      <w:pPr>
        <w:spacing w:line="420" w:lineRule="exact"/>
        <w:ind w:firstLine="420"/>
        <w:rPr>
          <w:rFonts w:ascii="宋体" w:hAnsi="宋体"/>
          <w:color w:val="auto"/>
          <w:szCs w:val="21"/>
        </w:rPr>
      </w:pPr>
      <w:r>
        <w:rPr>
          <w:rFonts w:hint="eastAsia" w:ascii="宋体" w:hAnsi="宋体"/>
          <w:color w:val="auto"/>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5AA80B1B">
      <w:pPr>
        <w:spacing w:line="420" w:lineRule="exact"/>
        <w:ind w:firstLine="420"/>
        <w:rPr>
          <w:rFonts w:ascii="宋体" w:hAnsi="宋体"/>
          <w:color w:val="auto"/>
          <w:szCs w:val="21"/>
        </w:rPr>
      </w:pPr>
      <w:r>
        <w:rPr>
          <w:rFonts w:hint="eastAsia" w:ascii="宋体" w:hAnsi="宋体"/>
          <w:color w:val="auto"/>
          <w:szCs w:val="21"/>
        </w:rPr>
        <w:t>四、严禁甲方工作人员利用任何途径和方式，为乙方施工和材料提供购销信息，或为乙方统计提供便利。</w:t>
      </w:r>
    </w:p>
    <w:p w14:paraId="66302E51">
      <w:pPr>
        <w:spacing w:line="420" w:lineRule="exact"/>
        <w:rPr>
          <w:rFonts w:ascii="宋体" w:hAnsi="宋体"/>
          <w:color w:val="auto"/>
          <w:szCs w:val="21"/>
        </w:rPr>
      </w:pPr>
      <w:r>
        <w:rPr>
          <w:rFonts w:hint="eastAsia" w:ascii="宋体" w:hAnsi="宋体"/>
          <w:color w:val="auto"/>
          <w:szCs w:val="21"/>
        </w:rPr>
        <w:t xml:space="preserve">    五、乙方不得以回扣、宴请等方式影响甲方工作人员监督施工，不得在通过其它活动中提供旅游、超标准支付食宿费用。</w:t>
      </w:r>
    </w:p>
    <w:p w14:paraId="0336D71C">
      <w:pPr>
        <w:spacing w:line="420" w:lineRule="exact"/>
        <w:ind w:firstLine="420"/>
        <w:rPr>
          <w:rFonts w:ascii="宋体" w:hAnsi="宋体"/>
          <w:color w:val="auto"/>
          <w:szCs w:val="21"/>
        </w:rPr>
      </w:pPr>
      <w:r>
        <w:rPr>
          <w:rFonts w:hint="eastAsia" w:ascii="宋体" w:hAnsi="宋体"/>
          <w:color w:val="auto"/>
          <w:szCs w:val="21"/>
        </w:rPr>
        <w:t>六、乙方指定____________洽谈业务。销售代表必须在工作时间到甲方指定地点联系商谈，不得借故到甲方相关领导、部门负责人及相关工作人员家中访谈并提供任何好处费。</w:t>
      </w:r>
    </w:p>
    <w:p w14:paraId="3EEE36AB">
      <w:pPr>
        <w:spacing w:line="420" w:lineRule="exact"/>
        <w:ind w:firstLine="420"/>
        <w:rPr>
          <w:rFonts w:ascii="宋体" w:hAnsi="宋体"/>
          <w:color w:val="auto"/>
          <w:szCs w:val="21"/>
        </w:rPr>
      </w:pPr>
      <w:r>
        <w:rPr>
          <w:rFonts w:hint="eastAsia" w:ascii="宋体" w:hAnsi="宋体"/>
          <w:color w:val="auto"/>
          <w:szCs w:val="21"/>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6A18517C">
      <w:pPr>
        <w:spacing w:line="420" w:lineRule="exact"/>
        <w:ind w:firstLine="420"/>
        <w:rPr>
          <w:rFonts w:ascii="宋体" w:hAnsi="宋体"/>
          <w:color w:val="auto"/>
          <w:szCs w:val="21"/>
        </w:rPr>
      </w:pPr>
      <w:r>
        <w:rPr>
          <w:rFonts w:hint="eastAsia" w:ascii="宋体" w:hAnsi="宋体"/>
          <w:color w:val="auto"/>
          <w:szCs w:val="21"/>
        </w:rPr>
        <w:t>八、本合同作为廉洁购销合同的重要组成部分，与购销合同一并执行，具有同等的法律效力。</w:t>
      </w:r>
    </w:p>
    <w:p w14:paraId="13E0380B">
      <w:pPr>
        <w:spacing w:line="420" w:lineRule="exact"/>
        <w:ind w:firstLine="420"/>
        <w:rPr>
          <w:rFonts w:ascii="宋体" w:hAnsi="宋体"/>
          <w:color w:val="auto"/>
          <w:szCs w:val="21"/>
        </w:rPr>
      </w:pPr>
      <w:r>
        <w:rPr>
          <w:rFonts w:hint="eastAsia" w:ascii="宋体" w:hAnsi="宋体"/>
          <w:color w:val="auto"/>
          <w:szCs w:val="21"/>
        </w:rPr>
        <w:t>九、本合同一式三份，甲、乙双方各执一份，甲方纪检监察部门（基层医疗卫生机构上报上级卫生计生行政部门）执一份，并从签订之日起生效。</w:t>
      </w:r>
    </w:p>
    <w:p w14:paraId="40094E75">
      <w:pPr>
        <w:spacing w:line="420" w:lineRule="exact"/>
        <w:rPr>
          <w:rFonts w:ascii="宋体" w:hAnsi="宋体"/>
          <w:color w:val="auto"/>
          <w:szCs w:val="21"/>
        </w:rPr>
      </w:pPr>
    </w:p>
    <w:p w14:paraId="56D415A5">
      <w:pPr>
        <w:spacing w:line="420" w:lineRule="exact"/>
        <w:rPr>
          <w:rFonts w:ascii="宋体" w:hAnsi="宋体"/>
          <w:color w:val="auto"/>
          <w:szCs w:val="21"/>
        </w:rPr>
      </w:pPr>
      <w:r>
        <w:rPr>
          <w:rFonts w:hint="eastAsia" w:ascii="宋体" w:hAnsi="宋体"/>
          <w:color w:val="auto"/>
          <w:szCs w:val="21"/>
        </w:rPr>
        <w:t>甲方（盖章）：                       乙方（盖章）：</w:t>
      </w:r>
    </w:p>
    <w:p w14:paraId="6C5208F6">
      <w:pPr>
        <w:spacing w:line="420" w:lineRule="exact"/>
        <w:rPr>
          <w:rFonts w:ascii="宋体" w:hAnsi="宋体"/>
          <w:color w:val="auto"/>
          <w:szCs w:val="21"/>
        </w:rPr>
      </w:pPr>
      <w:r>
        <w:rPr>
          <w:rFonts w:hint="eastAsia" w:ascii="宋体" w:hAnsi="宋体"/>
          <w:color w:val="auto"/>
          <w:szCs w:val="21"/>
        </w:rPr>
        <w:t>法定代表人：                         法定代表人：</w:t>
      </w:r>
    </w:p>
    <w:p w14:paraId="2BC6B4AD">
      <w:pPr>
        <w:spacing w:line="420" w:lineRule="exact"/>
        <w:rPr>
          <w:rFonts w:ascii="宋体" w:hAnsi="宋体"/>
          <w:color w:val="auto"/>
          <w:szCs w:val="21"/>
        </w:rPr>
      </w:pPr>
      <w:r>
        <w:rPr>
          <w:rFonts w:hint="eastAsia" w:ascii="宋体" w:hAnsi="宋体"/>
          <w:color w:val="auto"/>
          <w:szCs w:val="21"/>
        </w:rPr>
        <w:t>经办人签名：                         经办人签名：</w:t>
      </w:r>
    </w:p>
    <w:p w14:paraId="66A9ECCD">
      <w:pPr>
        <w:spacing w:line="420" w:lineRule="exact"/>
        <w:ind w:firstLine="480"/>
        <w:rPr>
          <w:rFonts w:ascii="宋体" w:hAnsi="宋体"/>
          <w:b/>
          <w:color w:val="auto"/>
          <w:szCs w:val="21"/>
        </w:rPr>
      </w:pPr>
      <w:r>
        <w:rPr>
          <w:rFonts w:hint="eastAsia" w:ascii="宋体" w:hAnsi="宋体"/>
          <w:color w:val="auto"/>
          <w:szCs w:val="21"/>
        </w:rPr>
        <w:t>年    月    日                       年    月    日</w:t>
      </w:r>
    </w:p>
    <w:p w14:paraId="15B88A97">
      <w:pPr>
        <w:spacing w:line="420" w:lineRule="exact"/>
        <w:jc w:val="center"/>
        <w:rPr>
          <w:rFonts w:ascii="宋体" w:hAnsi="宋体"/>
          <w:b/>
          <w:color w:val="auto"/>
          <w:sz w:val="32"/>
          <w:szCs w:val="32"/>
        </w:rPr>
      </w:pPr>
    </w:p>
    <w:p w14:paraId="74B690C5">
      <w:pPr>
        <w:tabs>
          <w:tab w:val="left" w:pos="5040"/>
        </w:tabs>
        <w:spacing w:line="360" w:lineRule="auto"/>
        <w:rPr>
          <w:rFonts w:ascii="宋体" w:hAnsi="宋体" w:cs="宋体"/>
          <w:color w:val="auto"/>
        </w:rPr>
      </w:pPr>
    </w:p>
    <w:bookmarkEnd w:id="147"/>
    <w:bookmarkEnd w:id="148"/>
    <w:p w14:paraId="10729BD7">
      <w:pPr>
        <w:pStyle w:val="3"/>
        <w:numPr>
          <w:ilvl w:val="0"/>
          <w:numId w:val="11"/>
        </w:numPr>
        <w:rPr>
          <w:color w:val="auto"/>
        </w:rPr>
      </w:pPr>
      <w:bookmarkStart w:id="150" w:name="_Toc16171"/>
      <w:bookmarkStart w:id="151" w:name="_Toc13185"/>
      <w:r>
        <w:rPr>
          <w:rFonts w:hint="eastAsia"/>
          <w:color w:val="auto"/>
        </w:rPr>
        <w:t>响应文件（格式）</w:t>
      </w:r>
      <w:bookmarkEnd w:id="149"/>
      <w:bookmarkEnd w:id="150"/>
      <w:bookmarkEnd w:id="151"/>
    </w:p>
    <w:p w14:paraId="0B9DA2BA">
      <w:pPr>
        <w:rPr>
          <w:color w:val="auto"/>
        </w:rPr>
      </w:pPr>
    </w:p>
    <w:p w14:paraId="76354D30">
      <w:pPr>
        <w:rPr>
          <w:color w:val="auto"/>
        </w:rPr>
      </w:pPr>
    </w:p>
    <w:p w14:paraId="0B131F65">
      <w:pPr>
        <w:pStyle w:val="17"/>
        <w:rPr>
          <w:rFonts w:hAnsi="宋体" w:cs="宋体"/>
          <w:b/>
          <w:color w:val="auto"/>
          <w:sz w:val="44"/>
          <w:szCs w:val="44"/>
        </w:rPr>
      </w:pPr>
      <w:bookmarkStart w:id="152" w:name="_Toc18351"/>
      <w:bookmarkStart w:id="153" w:name="_Toc21496"/>
      <w:bookmarkStart w:id="154" w:name="_Toc497927069"/>
      <w:r>
        <w:rPr>
          <w:rFonts w:hint="eastAsia" w:hAnsi="宋体" w:cs="宋体"/>
          <w:b/>
          <w:color w:val="auto"/>
          <w:sz w:val="32"/>
        </w:rPr>
        <w:t>一、响应文件袋（盒、箱）标记</w:t>
      </w:r>
      <w:bookmarkEnd w:id="152"/>
      <w:bookmarkEnd w:id="153"/>
      <w:bookmarkEnd w:id="154"/>
    </w:p>
    <w:p w14:paraId="1392012E">
      <w:pPr>
        <w:pStyle w:val="46"/>
        <w:rPr>
          <w:rFonts w:ascii="宋体" w:hAnsi="宋体" w:cs="宋体"/>
          <w:color w:val="auto"/>
        </w:rPr>
      </w:pPr>
    </w:p>
    <w:p w14:paraId="01BCC9FC">
      <w:pPr>
        <w:snapToGrid w:val="0"/>
        <w:spacing w:beforeLines="50" w:after="50"/>
        <w:jc w:val="center"/>
        <w:rPr>
          <w:rFonts w:ascii="宋体" w:hAnsi="宋体" w:cs="宋体"/>
          <w:b/>
          <w:color w:val="auto"/>
          <w:sz w:val="36"/>
          <w:szCs w:val="36"/>
        </w:rPr>
      </w:pPr>
      <w:r>
        <w:rPr>
          <w:rFonts w:hint="eastAsia" w:ascii="宋体" w:hAnsi="宋体" w:cs="宋体"/>
          <w:b/>
          <w:color w:val="auto"/>
          <w:sz w:val="36"/>
          <w:szCs w:val="36"/>
        </w:rPr>
        <w:t>响 应 文 件</w:t>
      </w:r>
    </w:p>
    <w:p w14:paraId="12CF54A6">
      <w:pPr>
        <w:snapToGrid w:val="0"/>
        <w:spacing w:beforeLines="50" w:after="50"/>
        <w:rPr>
          <w:rFonts w:ascii="宋体" w:hAnsi="宋体" w:cs="宋体"/>
          <w:b/>
          <w:color w:val="auto"/>
          <w:sz w:val="28"/>
          <w:szCs w:val="28"/>
        </w:rPr>
      </w:pPr>
    </w:p>
    <w:p w14:paraId="6E9A91FA">
      <w:pPr>
        <w:snapToGrid w:val="0"/>
        <w:spacing w:beforeLines="50" w:after="50"/>
        <w:ind w:firstLine="420" w:firstLineChars="150"/>
        <w:rPr>
          <w:rFonts w:ascii="宋体" w:hAnsi="宋体" w:cs="宋体"/>
          <w:b/>
          <w:color w:val="auto"/>
          <w:sz w:val="28"/>
          <w:szCs w:val="28"/>
        </w:rPr>
      </w:pPr>
    </w:p>
    <w:p w14:paraId="0CC47611">
      <w:pPr>
        <w:snapToGrid w:val="0"/>
        <w:spacing w:beforeLines="50" w:after="50"/>
        <w:jc w:val="center"/>
        <w:rPr>
          <w:rFonts w:ascii="宋体" w:hAnsi="宋体" w:cs="宋体"/>
          <w:b/>
          <w:color w:val="auto"/>
          <w:sz w:val="28"/>
          <w:szCs w:val="28"/>
          <w:u w:val="single"/>
        </w:rPr>
      </w:pPr>
      <w:r>
        <w:rPr>
          <w:rFonts w:hint="eastAsia" w:ascii="宋体" w:hAnsi="宋体" w:cs="宋体"/>
          <w:b/>
          <w:color w:val="auto"/>
          <w:sz w:val="28"/>
          <w:szCs w:val="28"/>
        </w:rPr>
        <w:t>项目名称：</w:t>
      </w:r>
      <w:r>
        <w:rPr>
          <w:rFonts w:hint="eastAsia" w:ascii="宋体" w:hAnsi="宋体" w:cs="宋体"/>
          <w:b/>
          <w:bCs/>
          <w:color w:val="auto"/>
          <w:sz w:val="28"/>
          <w:szCs w:val="28"/>
          <w:u w:val="single"/>
        </w:rPr>
        <w:t>医疗废物转运处理服务采购</w:t>
      </w:r>
    </w:p>
    <w:p w14:paraId="0B0EE314">
      <w:pPr>
        <w:snapToGrid w:val="0"/>
        <w:spacing w:beforeLines="50" w:after="50"/>
        <w:ind w:firstLine="2693" w:firstLineChars="962"/>
        <w:rPr>
          <w:rFonts w:ascii="宋体" w:hAnsi="宋体" w:cs="宋体"/>
          <w:b/>
          <w:color w:val="auto"/>
          <w:sz w:val="28"/>
          <w:szCs w:val="28"/>
        </w:rPr>
      </w:pPr>
    </w:p>
    <w:p w14:paraId="00985C1F">
      <w:pPr>
        <w:snapToGrid w:val="0"/>
        <w:spacing w:beforeLines="50" w:after="50"/>
        <w:ind w:firstLine="2240" w:firstLineChars="800"/>
        <w:rPr>
          <w:rFonts w:ascii="宋体" w:hAnsi="宋体" w:cs="宋体"/>
          <w:b/>
          <w:color w:val="auto"/>
          <w:sz w:val="28"/>
          <w:szCs w:val="28"/>
        </w:rPr>
      </w:pPr>
      <w:r>
        <w:rPr>
          <w:rFonts w:hint="eastAsia" w:ascii="宋体" w:hAnsi="宋体" w:cs="宋体"/>
          <w:b/>
          <w:color w:val="auto"/>
          <w:sz w:val="28"/>
          <w:szCs w:val="28"/>
        </w:rPr>
        <w:t>项目编号：</w:t>
      </w:r>
    </w:p>
    <w:p w14:paraId="1FCECA66">
      <w:pPr>
        <w:rPr>
          <w:rFonts w:ascii="宋体" w:hAnsi="宋体" w:cs="宋体"/>
          <w:b/>
          <w:color w:val="auto"/>
        </w:rPr>
      </w:pPr>
    </w:p>
    <w:p w14:paraId="3C60F340">
      <w:pPr>
        <w:pStyle w:val="46"/>
        <w:rPr>
          <w:rFonts w:ascii="宋体" w:hAnsi="宋体" w:cs="宋体"/>
          <w:color w:val="auto"/>
          <w:sz w:val="28"/>
          <w:szCs w:val="28"/>
        </w:rPr>
      </w:pPr>
    </w:p>
    <w:p w14:paraId="4FA00140">
      <w:pPr>
        <w:pStyle w:val="46"/>
        <w:rPr>
          <w:rFonts w:ascii="宋体" w:hAnsi="宋体" w:cs="宋体"/>
          <w:color w:val="auto"/>
          <w:sz w:val="28"/>
          <w:szCs w:val="28"/>
        </w:rPr>
      </w:pPr>
    </w:p>
    <w:p w14:paraId="0553FDD3">
      <w:pPr>
        <w:snapToGrid w:val="0"/>
        <w:spacing w:beforeLines="50" w:after="50"/>
        <w:rPr>
          <w:rFonts w:ascii="宋体" w:hAnsi="宋体" w:cs="宋体"/>
          <w:b/>
          <w:color w:val="auto"/>
          <w:sz w:val="28"/>
          <w:szCs w:val="28"/>
          <w:u w:val="single"/>
        </w:rPr>
      </w:pPr>
      <w:r>
        <w:rPr>
          <w:rFonts w:hint="eastAsia" w:ascii="宋体" w:hAnsi="宋体" w:cs="宋体"/>
          <w:bCs/>
          <w:color w:val="auto"/>
          <w:sz w:val="28"/>
          <w:szCs w:val="28"/>
        </w:rPr>
        <w:t>采购代理机构：</w:t>
      </w:r>
      <w:r>
        <w:rPr>
          <w:rFonts w:hint="eastAsia" w:ascii="宋体" w:hAnsi="宋体" w:cs="宋体"/>
          <w:bCs/>
          <w:color w:val="auto"/>
          <w:sz w:val="28"/>
          <w:szCs w:val="28"/>
          <w:u w:val="single"/>
        </w:rPr>
        <w:t>欧邦工程管理集团有限公司</w:t>
      </w:r>
    </w:p>
    <w:p w14:paraId="4CB04FA4">
      <w:pPr>
        <w:pStyle w:val="14"/>
        <w:ind w:left="0" w:leftChars="0" w:firstLine="0" w:firstLineChars="0"/>
        <w:rPr>
          <w:rFonts w:ascii="宋体" w:hAnsi="宋体" w:cs="宋体"/>
          <w:bCs/>
          <w:color w:val="auto"/>
          <w:sz w:val="28"/>
          <w:szCs w:val="28"/>
        </w:rPr>
      </w:pPr>
      <w:bookmarkStart w:id="155" w:name="_Toc4932_WPSOffice_Level2"/>
      <w:bookmarkStart w:id="156" w:name="_Toc20319_WPSOffice_Level2"/>
      <w:r>
        <w:rPr>
          <w:rFonts w:hint="eastAsia" w:ascii="宋体" w:hAnsi="宋体" w:cs="宋体"/>
          <w:bCs/>
          <w:color w:val="auto"/>
          <w:sz w:val="28"/>
          <w:szCs w:val="28"/>
        </w:rPr>
        <w:t>磋商供应商[(CA证书签章)、自然人除外]：</w:t>
      </w:r>
      <w:bookmarkEnd w:id="155"/>
      <w:bookmarkEnd w:id="156"/>
    </w:p>
    <w:p w14:paraId="6109B34C">
      <w:pPr>
        <w:pStyle w:val="17"/>
        <w:spacing w:line="320" w:lineRule="exact"/>
        <w:ind w:firstLine="0"/>
        <w:rPr>
          <w:rFonts w:hAnsi="宋体" w:cs="宋体"/>
          <w:color w:val="auto"/>
          <w:sz w:val="28"/>
          <w:szCs w:val="28"/>
        </w:rPr>
      </w:pPr>
      <w:bookmarkStart w:id="157" w:name="_Toc9622_WPSOffice_Level2"/>
      <w:bookmarkStart w:id="158" w:name="_Toc32056_WPSOffice_Level2"/>
      <w:r>
        <w:rPr>
          <w:rFonts w:hint="eastAsia" w:hAnsi="宋体" w:cs="宋体"/>
          <w:color w:val="auto"/>
          <w:sz w:val="28"/>
          <w:szCs w:val="28"/>
        </w:rPr>
        <w:t>法定代表人、负责人、自然人或相应的委托代理人签字[或盖章(CA证书签章)]</w:t>
      </w:r>
    </w:p>
    <w:p w14:paraId="526C9341">
      <w:pPr>
        <w:pStyle w:val="14"/>
        <w:ind w:left="0" w:leftChars="0" w:firstLine="0" w:firstLineChars="0"/>
        <w:rPr>
          <w:rFonts w:ascii="宋体" w:hAnsi="宋体" w:cs="宋体"/>
          <w:color w:val="auto"/>
          <w:sz w:val="28"/>
          <w:szCs w:val="28"/>
          <w:u w:val="single"/>
        </w:rPr>
      </w:pPr>
      <w:r>
        <w:rPr>
          <w:rFonts w:hint="eastAsia" w:ascii="宋体" w:hAnsi="宋体" w:cs="宋体"/>
          <w:color w:val="auto"/>
          <w:sz w:val="28"/>
          <w:szCs w:val="28"/>
        </w:rPr>
        <w:t>（属自然人的应在签名处加盖大拇指指印或个人CA证书签章）：</w:t>
      </w:r>
    </w:p>
    <w:p w14:paraId="4B525E24">
      <w:pPr>
        <w:pStyle w:val="14"/>
        <w:ind w:left="0" w:leftChars="0" w:firstLine="0" w:firstLineChars="0"/>
        <w:rPr>
          <w:rFonts w:ascii="宋体" w:hAnsi="宋体" w:cs="宋体"/>
          <w:bCs/>
          <w:color w:val="auto"/>
          <w:sz w:val="28"/>
          <w:szCs w:val="28"/>
          <w:u w:val="single"/>
        </w:rPr>
      </w:pPr>
      <w:r>
        <w:rPr>
          <w:rFonts w:hint="eastAsia" w:ascii="宋体" w:hAnsi="宋体" w:cs="宋体"/>
          <w:bCs/>
          <w:color w:val="auto"/>
          <w:sz w:val="28"/>
          <w:szCs w:val="28"/>
        </w:rPr>
        <w:t>联系电话：</w:t>
      </w:r>
      <w:bookmarkEnd w:id="157"/>
      <w:bookmarkEnd w:id="158"/>
    </w:p>
    <w:p w14:paraId="1A75736A">
      <w:pPr>
        <w:pStyle w:val="14"/>
        <w:ind w:left="0" w:leftChars="0"/>
        <w:rPr>
          <w:rFonts w:ascii="宋体" w:hAnsi="宋体" w:cs="宋体"/>
          <w:bCs/>
          <w:color w:val="auto"/>
          <w:sz w:val="28"/>
          <w:szCs w:val="28"/>
        </w:rPr>
        <w:sectPr>
          <w:pgSz w:w="11906" w:h="16838"/>
          <w:pgMar w:top="1500" w:right="1134" w:bottom="1258" w:left="1134" w:header="720" w:footer="720" w:gutter="0"/>
          <w:cols w:space="720" w:num="1"/>
          <w:titlePg/>
          <w:docGrid w:type="linesAndChars" w:linePitch="331" w:charSpace="0"/>
        </w:sectPr>
      </w:pPr>
      <w:bookmarkStart w:id="159" w:name="_Toc15933_WPSOffice_Level2"/>
      <w:bookmarkStart w:id="160" w:name="_Toc26465_WPSOffice_Level2"/>
      <w:r>
        <w:rPr>
          <w:rFonts w:hint="eastAsia" w:ascii="宋体" w:hAnsi="宋体" w:cs="宋体"/>
          <w:bCs/>
          <w:color w:val="auto"/>
          <w:sz w:val="28"/>
          <w:szCs w:val="28"/>
        </w:rPr>
        <w:t>日期：年月日</w:t>
      </w:r>
      <w:bookmarkEnd w:id="159"/>
      <w:bookmarkEnd w:id="160"/>
    </w:p>
    <w:p w14:paraId="71A0FCAD">
      <w:pPr>
        <w:rPr>
          <w:rFonts w:ascii="宋体" w:hAnsi="宋体" w:cs="宋体"/>
          <w:b/>
          <w:bCs/>
          <w:color w:val="auto"/>
          <w:sz w:val="32"/>
          <w:szCs w:val="32"/>
        </w:rPr>
      </w:pPr>
      <w:bookmarkStart w:id="161" w:name="_Toc497927070"/>
      <w:bookmarkStart w:id="162" w:name="_Toc21615"/>
      <w:bookmarkStart w:id="163" w:name="_Toc19430"/>
      <w:r>
        <w:rPr>
          <w:rFonts w:hint="eastAsia" w:ascii="宋体" w:hAnsi="宋体" w:cs="宋体"/>
          <w:b/>
          <w:bCs/>
          <w:color w:val="auto"/>
          <w:sz w:val="32"/>
          <w:szCs w:val="32"/>
        </w:rPr>
        <w:t>二、响应文件组成</w:t>
      </w:r>
      <w:bookmarkEnd w:id="161"/>
      <w:bookmarkEnd w:id="162"/>
      <w:bookmarkEnd w:id="163"/>
    </w:p>
    <w:p w14:paraId="203248B0">
      <w:pPr>
        <w:pStyle w:val="12"/>
        <w:rPr>
          <w:rFonts w:ascii="宋体" w:hAnsi="宋体" w:cs="宋体"/>
          <w:color w:val="auto"/>
        </w:rPr>
      </w:pPr>
    </w:p>
    <w:p w14:paraId="2842B913">
      <w:pPr>
        <w:pStyle w:val="12"/>
        <w:rPr>
          <w:rFonts w:ascii="宋体" w:hAnsi="宋体" w:cs="宋体"/>
          <w:color w:val="auto"/>
        </w:rPr>
      </w:pPr>
    </w:p>
    <w:p w14:paraId="40CCFC2B">
      <w:pPr>
        <w:spacing w:line="400" w:lineRule="exact"/>
        <w:rPr>
          <w:rFonts w:ascii="宋体" w:hAnsi="宋体" w:cs="宋体"/>
          <w:b/>
          <w:bCs/>
          <w:color w:val="auto"/>
          <w:sz w:val="28"/>
          <w:szCs w:val="28"/>
        </w:rPr>
      </w:pPr>
    </w:p>
    <w:p w14:paraId="5E36C712">
      <w:pPr>
        <w:pStyle w:val="12"/>
        <w:rPr>
          <w:rFonts w:ascii="宋体" w:hAnsi="宋体" w:cs="宋体"/>
          <w:b/>
          <w:bCs/>
          <w:color w:val="auto"/>
          <w:sz w:val="28"/>
          <w:szCs w:val="28"/>
        </w:rPr>
      </w:pPr>
    </w:p>
    <w:p w14:paraId="57BF7805">
      <w:pPr>
        <w:numPr>
          <w:ilvl w:val="0"/>
          <w:numId w:val="12"/>
        </w:numPr>
        <w:spacing w:line="400" w:lineRule="exact"/>
        <w:ind w:firstLine="565" w:firstLineChars="202"/>
        <w:rPr>
          <w:rFonts w:ascii="宋体" w:hAnsi="宋体" w:cs="宋体"/>
          <w:b/>
          <w:bCs/>
          <w:color w:val="auto"/>
          <w:sz w:val="28"/>
          <w:szCs w:val="28"/>
        </w:rPr>
      </w:pPr>
      <w:r>
        <w:rPr>
          <w:rFonts w:hint="eastAsia" w:ascii="宋体" w:hAnsi="宋体" w:cs="宋体"/>
          <w:b/>
          <w:bCs/>
          <w:color w:val="auto"/>
          <w:sz w:val="28"/>
          <w:szCs w:val="28"/>
        </w:rPr>
        <w:t>资格性响应证明材料</w:t>
      </w:r>
    </w:p>
    <w:p w14:paraId="761483D5">
      <w:pPr>
        <w:pStyle w:val="12"/>
        <w:rPr>
          <w:rFonts w:ascii="宋体" w:hAnsi="宋体" w:cs="宋体"/>
          <w:b/>
          <w:bCs/>
          <w:color w:val="auto"/>
          <w:sz w:val="28"/>
          <w:szCs w:val="28"/>
        </w:rPr>
      </w:pPr>
    </w:p>
    <w:p w14:paraId="3201D892">
      <w:pPr>
        <w:pStyle w:val="12"/>
        <w:rPr>
          <w:rFonts w:ascii="宋体" w:hAnsi="宋体" w:cs="宋体"/>
          <w:b/>
          <w:bCs/>
          <w:color w:val="auto"/>
          <w:sz w:val="28"/>
          <w:szCs w:val="28"/>
        </w:rPr>
      </w:pPr>
    </w:p>
    <w:p w14:paraId="3687C642">
      <w:pPr>
        <w:numPr>
          <w:ilvl w:val="0"/>
          <w:numId w:val="12"/>
        </w:numPr>
        <w:spacing w:line="400" w:lineRule="exact"/>
        <w:ind w:firstLine="565" w:firstLineChars="202"/>
        <w:rPr>
          <w:rFonts w:ascii="宋体" w:hAnsi="宋体" w:cs="宋体"/>
          <w:b/>
          <w:bCs/>
          <w:color w:val="auto"/>
          <w:sz w:val="28"/>
          <w:szCs w:val="28"/>
        </w:rPr>
      </w:pPr>
      <w:r>
        <w:rPr>
          <w:rFonts w:hint="eastAsia" w:ascii="宋体" w:hAnsi="宋体" w:cs="宋体"/>
          <w:b/>
          <w:bCs/>
          <w:color w:val="auto"/>
          <w:sz w:val="28"/>
          <w:szCs w:val="28"/>
        </w:rPr>
        <w:t>符合性响应证明材料</w:t>
      </w:r>
    </w:p>
    <w:p w14:paraId="7439F0A1">
      <w:pPr>
        <w:pStyle w:val="12"/>
        <w:rPr>
          <w:rFonts w:ascii="宋体" w:hAnsi="宋体" w:cs="宋体"/>
          <w:b/>
          <w:bCs/>
          <w:color w:val="auto"/>
          <w:sz w:val="28"/>
          <w:szCs w:val="28"/>
        </w:rPr>
      </w:pPr>
    </w:p>
    <w:p w14:paraId="30E46B13">
      <w:pPr>
        <w:pStyle w:val="12"/>
        <w:rPr>
          <w:rFonts w:ascii="宋体" w:hAnsi="宋体" w:cs="宋体"/>
          <w:b/>
          <w:bCs/>
          <w:color w:val="auto"/>
          <w:sz w:val="28"/>
          <w:szCs w:val="28"/>
        </w:rPr>
      </w:pPr>
    </w:p>
    <w:p w14:paraId="3740C161">
      <w:pPr>
        <w:numPr>
          <w:ilvl w:val="0"/>
          <w:numId w:val="12"/>
        </w:numPr>
        <w:spacing w:line="400" w:lineRule="exact"/>
        <w:ind w:firstLine="565" w:firstLineChars="202"/>
        <w:rPr>
          <w:rFonts w:ascii="宋体" w:hAnsi="宋体" w:cs="宋体"/>
          <w:b/>
          <w:bCs/>
          <w:color w:val="auto"/>
          <w:sz w:val="28"/>
          <w:szCs w:val="28"/>
        </w:rPr>
      </w:pPr>
      <w:r>
        <w:rPr>
          <w:rFonts w:hint="eastAsia" w:ascii="宋体" w:hAnsi="宋体" w:cs="宋体"/>
          <w:b/>
          <w:bCs/>
          <w:color w:val="auto"/>
          <w:sz w:val="28"/>
          <w:szCs w:val="28"/>
        </w:rPr>
        <w:t>其他有效证明材料</w:t>
      </w:r>
    </w:p>
    <w:p w14:paraId="081BDEB4">
      <w:pPr>
        <w:pStyle w:val="46"/>
        <w:rPr>
          <w:rFonts w:ascii="宋体" w:hAnsi="宋体" w:cs="宋体"/>
          <w:color w:val="auto"/>
        </w:rPr>
      </w:pPr>
    </w:p>
    <w:p w14:paraId="6E61E3A5">
      <w:pPr>
        <w:tabs>
          <w:tab w:val="left" w:pos="5040"/>
        </w:tabs>
        <w:spacing w:line="400" w:lineRule="exact"/>
        <w:rPr>
          <w:rFonts w:ascii="宋体" w:hAnsi="宋体" w:cs="宋体"/>
          <w:color w:val="auto"/>
          <w:szCs w:val="21"/>
        </w:rPr>
      </w:pPr>
    </w:p>
    <w:p w14:paraId="6F491E63">
      <w:pPr>
        <w:pStyle w:val="12"/>
        <w:rPr>
          <w:rFonts w:ascii="宋体" w:hAnsi="宋体" w:cs="宋体"/>
          <w:color w:val="auto"/>
          <w:szCs w:val="21"/>
        </w:rPr>
      </w:pPr>
    </w:p>
    <w:p w14:paraId="36A45F93">
      <w:pPr>
        <w:pStyle w:val="12"/>
        <w:rPr>
          <w:rFonts w:ascii="宋体" w:hAnsi="宋体" w:cs="宋体"/>
          <w:color w:val="auto"/>
          <w:szCs w:val="21"/>
        </w:rPr>
      </w:pPr>
    </w:p>
    <w:p w14:paraId="20619681">
      <w:pPr>
        <w:pStyle w:val="12"/>
        <w:rPr>
          <w:rFonts w:ascii="宋体" w:hAnsi="宋体" w:cs="宋体"/>
          <w:color w:val="auto"/>
          <w:szCs w:val="21"/>
        </w:rPr>
      </w:pPr>
    </w:p>
    <w:p w14:paraId="6D5A962F">
      <w:pPr>
        <w:pStyle w:val="12"/>
        <w:rPr>
          <w:rFonts w:ascii="宋体" w:hAnsi="宋体" w:cs="宋体"/>
          <w:color w:val="auto"/>
          <w:szCs w:val="21"/>
        </w:rPr>
      </w:pPr>
    </w:p>
    <w:p w14:paraId="50D079E5">
      <w:pPr>
        <w:rPr>
          <w:rFonts w:ascii="宋体" w:hAnsi="宋体" w:cs="宋体"/>
          <w:color w:val="auto"/>
          <w:szCs w:val="21"/>
        </w:rPr>
      </w:pPr>
    </w:p>
    <w:p w14:paraId="2196ECA2">
      <w:pPr>
        <w:pStyle w:val="46"/>
        <w:rPr>
          <w:rFonts w:ascii="宋体" w:hAnsi="宋体" w:cs="宋体"/>
          <w:color w:val="auto"/>
          <w:szCs w:val="21"/>
        </w:rPr>
      </w:pPr>
    </w:p>
    <w:p w14:paraId="613095FD">
      <w:pPr>
        <w:pStyle w:val="46"/>
        <w:rPr>
          <w:rFonts w:ascii="宋体" w:hAnsi="宋体" w:cs="宋体"/>
          <w:color w:val="auto"/>
          <w:szCs w:val="21"/>
        </w:rPr>
      </w:pPr>
    </w:p>
    <w:p w14:paraId="5B65F066">
      <w:pPr>
        <w:pStyle w:val="46"/>
        <w:rPr>
          <w:rFonts w:ascii="宋体" w:hAnsi="宋体" w:cs="宋体"/>
          <w:color w:val="auto"/>
          <w:szCs w:val="21"/>
        </w:rPr>
      </w:pPr>
    </w:p>
    <w:p w14:paraId="37B755BF">
      <w:pPr>
        <w:pStyle w:val="46"/>
        <w:rPr>
          <w:rFonts w:ascii="宋体" w:hAnsi="宋体" w:cs="宋体"/>
          <w:color w:val="auto"/>
          <w:szCs w:val="21"/>
        </w:rPr>
      </w:pPr>
    </w:p>
    <w:p w14:paraId="3D720791">
      <w:pPr>
        <w:pStyle w:val="46"/>
        <w:rPr>
          <w:rFonts w:ascii="宋体" w:hAnsi="宋体" w:cs="宋体"/>
          <w:color w:val="auto"/>
          <w:szCs w:val="21"/>
        </w:rPr>
      </w:pPr>
    </w:p>
    <w:p w14:paraId="2C3DC842">
      <w:pPr>
        <w:pStyle w:val="46"/>
        <w:rPr>
          <w:rFonts w:ascii="宋体" w:hAnsi="宋体" w:cs="宋体"/>
          <w:color w:val="auto"/>
          <w:szCs w:val="21"/>
        </w:rPr>
      </w:pPr>
    </w:p>
    <w:p w14:paraId="56045038">
      <w:pPr>
        <w:pStyle w:val="46"/>
        <w:rPr>
          <w:rFonts w:ascii="宋体" w:hAnsi="宋体" w:cs="宋体"/>
          <w:color w:val="auto"/>
          <w:szCs w:val="21"/>
        </w:rPr>
      </w:pPr>
    </w:p>
    <w:p w14:paraId="302CA264">
      <w:pPr>
        <w:pStyle w:val="46"/>
        <w:rPr>
          <w:rFonts w:ascii="宋体" w:hAnsi="宋体" w:cs="宋体"/>
          <w:color w:val="auto"/>
          <w:szCs w:val="21"/>
        </w:rPr>
      </w:pPr>
    </w:p>
    <w:p w14:paraId="198538CB">
      <w:pPr>
        <w:pStyle w:val="46"/>
        <w:rPr>
          <w:rFonts w:ascii="宋体" w:hAnsi="宋体" w:cs="宋体"/>
          <w:color w:val="auto"/>
          <w:szCs w:val="21"/>
        </w:rPr>
      </w:pPr>
    </w:p>
    <w:p w14:paraId="1E322F73">
      <w:pPr>
        <w:pStyle w:val="6"/>
        <w:jc w:val="center"/>
        <w:rPr>
          <w:rFonts w:ascii="宋体" w:hAnsi="宋体" w:cs="宋体"/>
          <w:color w:val="auto"/>
        </w:rPr>
      </w:pPr>
      <w:bookmarkStart w:id="164" w:name="_Toc7185"/>
      <w:bookmarkStart w:id="165" w:name="_Toc497927071"/>
      <w:bookmarkStart w:id="166" w:name="_Toc11067"/>
      <w:r>
        <w:rPr>
          <w:rFonts w:hint="eastAsia" w:ascii="宋体" w:hAnsi="宋体" w:cs="宋体"/>
          <w:color w:val="auto"/>
          <w:sz w:val="32"/>
          <w:szCs w:val="32"/>
        </w:rPr>
        <w:t>（一）资格性响应证明材料目录</w:t>
      </w:r>
      <w:bookmarkEnd w:id="164"/>
      <w:bookmarkEnd w:id="165"/>
      <w:bookmarkEnd w:id="166"/>
    </w:p>
    <w:p w14:paraId="1F243AC1">
      <w:pPr>
        <w:spacing w:line="360" w:lineRule="auto"/>
        <w:ind w:firstLine="480" w:firstLineChars="200"/>
        <w:rPr>
          <w:rFonts w:ascii="宋体" w:hAnsi="宋体" w:cs="宋体"/>
          <w:color w:val="auto"/>
          <w:sz w:val="24"/>
        </w:rPr>
      </w:pPr>
      <w:r>
        <w:rPr>
          <w:rFonts w:hint="eastAsia" w:ascii="宋体" w:hAnsi="宋体" w:cs="宋体"/>
          <w:color w:val="auto"/>
          <w:sz w:val="24"/>
        </w:rPr>
        <w:t>1.供应商相应的法定代表人、负责人、自然人身份证正反两面复印件（必须提供）；</w:t>
      </w:r>
    </w:p>
    <w:p w14:paraId="5F0B90F6">
      <w:pPr>
        <w:spacing w:line="360" w:lineRule="auto"/>
        <w:ind w:firstLine="480" w:firstLineChars="200"/>
        <w:rPr>
          <w:rFonts w:ascii="宋体" w:hAnsi="宋体" w:cs="宋体"/>
          <w:color w:val="auto"/>
          <w:sz w:val="24"/>
        </w:rPr>
      </w:pPr>
      <w:r>
        <w:rPr>
          <w:rFonts w:hint="eastAsia" w:ascii="宋体" w:hAnsi="宋体" w:cs="宋体"/>
          <w:color w:val="auto"/>
          <w:sz w:val="24"/>
        </w:rPr>
        <w:t>2.供应商的授权委托书原件、委托代理人身份证正反面复印件以及由县级以上（含县级）社会养老保险经办机构出具的供应商为委托代理人交纳的截标时间前半年内任意1个月社保证明复印件，除供应商为以下三种情形的：</w:t>
      </w:r>
    </w:p>
    <w:p w14:paraId="3D34E973">
      <w:pPr>
        <w:spacing w:line="360" w:lineRule="auto"/>
        <w:ind w:firstLine="480" w:firstLineChars="200"/>
        <w:rPr>
          <w:rFonts w:ascii="宋体" w:hAnsi="宋体" w:cs="宋体"/>
          <w:color w:val="auto"/>
          <w:sz w:val="24"/>
        </w:rPr>
      </w:pPr>
      <w:r>
        <w:rPr>
          <w:rFonts w:hint="eastAsia" w:ascii="宋体" w:hAnsi="宋体" w:cs="宋体"/>
          <w:color w:val="auto"/>
          <w:sz w:val="24"/>
        </w:rPr>
        <w:t>①如供应商为截标时间前60日以内成立的公司，可以提供供应商与委托代理人签订的劳动合同复印件代替社保证明复印件；</w:t>
      </w:r>
    </w:p>
    <w:p w14:paraId="752F0459">
      <w:pPr>
        <w:spacing w:line="360" w:lineRule="auto"/>
        <w:ind w:firstLine="480" w:firstLineChars="200"/>
        <w:rPr>
          <w:rFonts w:ascii="宋体" w:hAnsi="宋体" w:cs="宋体"/>
          <w:color w:val="auto"/>
          <w:sz w:val="24"/>
        </w:rPr>
      </w:pPr>
      <w:r>
        <w:rPr>
          <w:rFonts w:hint="eastAsia" w:ascii="宋体" w:hAnsi="宋体" w:cs="宋体"/>
          <w:color w:val="auto"/>
          <w:sz w:val="24"/>
        </w:rPr>
        <w:t>②如供应商为事业单位，可以提供事业单位机构编制管理证复印件或事业单位机构为其发放工资的工资条复印件代替社保证明复印件；</w:t>
      </w:r>
    </w:p>
    <w:p w14:paraId="2AC671BC">
      <w:pPr>
        <w:spacing w:line="360" w:lineRule="auto"/>
        <w:ind w:firstLine="480" w:firstLineChars="200"/>
        <w:rPr>
          <w:rFonts w:ascii="宋体" w:hAnsi="宋体" w:cs="宋体"/>
          <w:color w:val="auto"/>
          <w:sz w:val="24"/>
        </w:rPr>
      </w:pPr>
      <w:r>
        <w:rPr>
          <w:rFonts w:hint="eastAsia" w:ascii="宋体" w:hAnsi="宋体" w:cs="宋体"/>
          <w:color w:val="auto"/>
          <w:sz w:val="24"/>
        </w:rPr>
        <w:t>③如委托代理人为免缴纳社保人员，提供免缴纳社保的证明材料复印件及供应商与委托代理人签订的劳动合同复印件代替社保证明复印件。</w:t>
      </w:r>
    </w:p>
    <w:p w14:paraId="0DD3AF32">
      <w:pPr>
        <w:spacing w:line="360" w:lineRule="auto"/>
        <w:ind w:firstLine="480" w:firstLineChars="200"/>
        <w:rPr>
          <w:rFonts w:ascii="宋体" w:hAnsi="宋体" w:cs="宋体"/>
          <w:color w:val="auto"/>
          <w:sz w:val="24"/>
        </w:rPr>
      </w:pPr>
      <w:r>
        <w:rPr>
          <w:rFonts w:hint="eastAsia" w:ascii="宋体" w:hAnsi="宋体" w:cs="宋体"/>
          <w:color w:val="auto"/>
          <w:sz w:val="24"/>
        </w:rPr>
        <w:t>【属自然人的应提供由县级以上（含县级）社会养老保险经办机构出具的自然人本人及委托代理人所交纳的截标时间前半年内任意1个月社保证明复印件】（委托代理时必须提供；如为联合体的，授权委托书原件须由牵头人出具）</w:t>
      </w:r>
    </w:p>
    <w:p w14:paraId="483C6A73">
      <w:pPr>
        <w:spacing w:line="360" w:lineRule="auto"/>
        <w:ind w:firstLine="480" w:firstLineChars="200"/>
        <w:rPr>
          <w:rFonts w:ascii="宋体" w:hAnsi="宋体" w:cs="宋体"/>
          <w:color w:val="auto"/>
          <w:sz w:val="24"/>
        </w:rPr>
      </w:pPr>
      <w:r>
        <w:rPr>
          <w:rFonts w:hint="eastAsia" w:ascii="宋体" w:hAnsi="宋体" w:cs="宋体"/>
          <w:color w:val="auto"/>
          <w:sz w:val="24"/>
        </w:rPr>
        <w:t>3.供应商参加政府采购活动前3年内在经营活动中没有重大违法记录及有关信用信息的书面声明（必须提供）；</w:t>
      </w:r>
    </w:p>
    <w:p w14:paraId="2E7D0F35">
      <w:pPr>
        <w:spacing w:line="360" w:lineRule="auto"/>
        <w:ind w:firstLine="480" w:firstLineChars="200"/>
        <w:rPr>
          <w:rFonts w:ascii="宋体" w:hAnsi="宋体" w:cs="宋体"/>
          <w:color w:val="auto"/>
          <w:sz w:val="24"/>
        </w:rPr>
      </w:pPr>
      <w:r>
        <w:rPr>
          <w:rFonts w:hint="eastAsia" w:ascii="宋体" w:hAnsi="宋体" w:cs="宋体"/>
          <w:color w:val="auto"/>
          <w:sz w:val="24"/>
        </w:rPr>
        <w:t>4.供应商的法人或者其他组织营业执照等证明文件复印件（必须提供，自然人除外）；</w:t>
      </w:r>
    </w:p>
    <w:p w14:paraId="3ACD6EB9">
      <w:pPr>
        <w:spacing w:line="360" w:lineRule="auto"/>
        <w:ind w:firstLine="480" w:firstLineChars="200"/>
        <w:rPr>
          <w:rFonts w:ascii="宋体" w:hAnsi="宋体" w:cs="宋体"/>
          <w:color w:val="auto"/>
          <w:sz w:val="24"/>
        </w:rPr>
      </w:pPr>
      <w:r>
        <w:rPr>
          <w:rFonts w:hint="eastAsia" w:ascii="宋体" w:hAnsi="宋体" w:cs="宋体"/>
          <w:color w:val="auto"/>
          <w:sz w:val="24"/>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0A2A8983">
      <w:pPr>
        <w:spacing w:line="360" w:lineRule="auto"/>
        <w:ind w:firstLine="480" w:firstLineChars="200"/>
        <w:rPr>
          <w:rFonts w:ascii="宋体" w:hAnsi="宋体" w:cs="宋体"/>
          <w:color w:val="auto"/>
          <w:sz w:val="24"/>
        </w:rPr>
      </w:pPr>
      <w:r>
        <w:rPr>
          <w:rFonts w:hint="eastAsia" w:ascii="宋体" w:hAnsi="宋体" w:cs="宋体"/>
          <w:color w:val="auto"/>
          <w:sz w:val="24"/>
        </w:rPr>
        <w:t>5.供应商的具有由相关部门颁发的有效《危险废物经营许可证》复印件【核准经营危险废物类别包含HW01（医疗废物）】（必须提供）。</w:t>
      </w:r>
    </w:p>
    <w:p w14:paraId="6801F3EF">
      <w:pPr>
        <w:spacing w:line="360" w:lineRule="auto"/>
        <w:ind w:firstLine="480" w:firstLineChars="200"/>
        <w:rPr>
          <w:rFonts w:ascii="宋体" w:hAnsi="宋体" w:cs="宋体"/>
          <w:color w:val="auto"/>
          <w:sz w:val="24"/>
        </w:rPr>
      </w:pPr>
      <w:r>
        <w:rPr>
          <w:rFonts w:hint="eastAsia" w:ascii="宋体" w:hAnsi="宋体" w:cs="宋体"/>
          <w:color w:val="auto"/>
          <w:sz w:val="24"/>
        </w:rPr>
        <w:t>6.供应商的具有《道路运输经营许可证》，经营范围含危险货物运输（医疗废物）（必须提供）。</w:t>
      </w:r>
    </w:p>
    <w:p w14:paraId="23652A77">
      <w:pPr>
        <w:spacing w:line="360" w:lineRule="auto"/>
        <w:ind w:firstLine="480" w:firstLineChars="200"/>
        <w:rPr>
          <w:rFonts w:ascii="宋体" w:hAnsi="宋体" w:cs="宋体"/>
          <w:color w:val="auto"/>
          <w:sz w:val="24"/>
        </w:rPr>
      </w:pPr>
      <w:r>
        <w:rPr>
          <w:rFonts w:hint="eastAsia" w:ascii="宋体" w:hAnsi="宋体" w:cs="宋体"/>
          <w:color w:val="auto"/>
          <w:sz w:val="24"/>
        </w:rPr>
        <w:t>7.供应商的拟投入收集、运输人员：服务本项目人员必须同时具有危险货物运输驾驶员、押运人员从业资格证双证。提供证件扫描件等证明材料（必须提供）。</w:t>
      </w:r>
    </w:p>
    <w:p w14:paraId="4BF2735E">
      <w:pPr>
        <w:spacing w:line="360" w:lineRule="auto"/>
        <w:ind w:firstLine="480" w:firstLineChars="200"/>
        <w:rPr>
          <w:rFonts w:ascii="宋体" w:hAnsi="宋体" w:cs="宋体"/>
          <w:color w:val="auto"/>
          <w:sz w:val="24"/>
        </w:rPr>
      </w:pPr>
      <w:r>
        <w:rPr>
          <w:rFonts w:hint="eastAsia" w:ascii="宋体" w:hAnsi="宋体" w:cs="宋体"/>
          <w:color w:val="auto"/>
          <w:sz w:val="24"/>
        </w:rPr>
        <w:t>8.供应商的拟投入装卸管理人员：至少具有1名道路运输企业安全生产管理人员。提供证件扫描件等证明材料（必须提供）。</w:t>
      </w:r>
    </w:p>
    <w:p w14:paraId="05B119A2">
      <w:pPr>
        <w:pStyle w:val="17"/>
        <w:rPr>
          <w:rFonts w:hAnsi="宋体" w:cs="宋体"/>
          <w:b/>
          <w:color w:val="auto"/>
          <w:sz w:val="32"/>
        </w:rPr>
      </w:pPr>
      <w:r>
        <w:rPr>
          <w:rFonts w:hint="eastAsia" w:hAnsi="宋体" w:cs="宋体"/>
          <w:b/>
          <w:color w:val="auto"/>
          <w:sz w:val="32"/>
        </w:rPr>
        <w:t xml:space="preserve">附件：            </w:t>
      </w:r>
    </w:p>
    <w:p w14:paraId="3BC89F56">
      <w:pPr>
        <w:pStyle w:val="17"/>
        <w:ind w:firstLine="627" w:firstLineChars="196"/>
        <w:jc w:val="center"/>
        <w:rPr>
          <w:rFonts w:hAnsi="宋体" w:cs="宋体"/>
          <w:b/>
          <w:color w:val="auto"/>
          <w:sz w:val="32"/>
        </w:rPr>
      </w:pPr>
      <w:bookmarkStart w:id="167" w:name="_Toc5420_WPSOffice_Level1"/>
      <w:bookmarkStart w:id="168" w:name="_Toc964_WPSOffice_Level1"/>
      <w:r>
        <w:rPr>
          <w:rFonts w:hint="eastAsia" w:hAnsi="宋体" w:cs="宋体"/>
          <w:b/>
          <w:color w:val="auto"/>
          <w:sz w:val="32"/>
        </w:rPr>
        <w:t>授权委托书（格式一）</w:t>
      </w:r>
      <w:bookmarkEnd w:id="167"/>
      <w:bookmarkEnd w:id="168"/>
    </w:p>
    <w:p w14:paraId="76058245">
      <w:pPr>
        <w:pStyle w:val="17"/>
        <w:rPr>
          <w:rFonts w:hAnsi="宋体" w:cs="宋体"/>
          <w:color w:val="auto"/>
        </w:rPr>
      </w:pPr>
    </w:p>
    <w:p w14:paraId="24803CAF">
      <w:pPr>
        <w:spacing w:line="400" w:lineRule="exact"/>
        <w:rPr>
          <w:rFonts w:ascii="宋体" w:hAnsi="宋体" w:cs="宋体"/>
          <w:color w:val="auto"/>
        </w:rPr>
      </w:pPr>
      <w:r>
        <w:rPr>
          <w:rFonts w:hint="eastAsia" w:ascii="宋体" w:hAnsi="宋体" w:cs="宋体"/>
          <w:color w:val="auto"/>
          <w:szCs w:val="21"/>
        </w:rPr>
        <w:t>致：</w:t>
      </w:r>
      <w:r>
        <w:rPr>
          <w:rFonts w:hint="eastAsia" w:ascii="宋体" w:hAnsi="宋体" w:cs="宋体"/>
          <w:color w:val="auto"/>
          <w:szCs w:val="21"/>
          <w:u w:val="single"/>
        </w:rPr>
        <w:t>欧邦工程管理集团有限公司</w:t>
      </w:r>
    </w:p>
    <w:p w14:paraId="0A3C6DCC">
      <w:pPr>
        <w:spacing w:line="400" w:lineRule="exact"/>
        <w:rPr>
          <w:rFonts w:ascii="宋体" w:hAnsi="宋体" w:cs="宋体"/>
          <w:color w:val="auto"/>
          <w:szCs w:val="21"/>
        </w:rPr>
      </w:pPr>
    </w:p>
    <w:p w14:paraId="3C1E6F76">
      <w:pPr>
        <w:pStyle w:val="17"/>
        <w:spacing w:line="400" w:lineRule="exact"/>
        <w:ind w:firstLine="420" w:firstLineChars="200"/>
        <w:rPr>
          <w:rFonts w:hAnsi="宋体" w:cs="宋体"/>
          <w:color w:val="auto"/>
        </w:rPr>
      </w:pPr>
      <w:r>
        <w:rPr>
          <w:rFonts w:hint="eastAsia" w:hAnsi="宋体" w:cs="宋体"/>
          <w:color w:val="auto"/>
          <w:kern w:val="0"/>
        </w:rPr>
        <w:t>我（姓名）系（供应商名称）的法定代表人（负责人），现授权委托本单位在职职工（姓 名）以我公司名义参加</w:t>
      </w:r>
      <w:r>
        <w:rPr>
          <w:rFonts w:hint="eastAsia" w:hAnsi="宋体" w:cs="宋体"/>
          <w:color w:val="auto"/>
          <w:u w:val="single"/>
        </w:rPr>
        <w:t xml:space="preserve">（项目名称及项目编号）        </w:t>
      </w:r>
      <w:r>
        <w:rPr>
          <w:rFonts w:hint="eastAsia" w:hAnsi="宋体" w:cs="宋体"/>
          <w:color w:val="auto"/>
        </w:rPr>
        <w:t>项目的磋商活动，并代表我方全权办理针对上述项目的磋商、签约等具体事务和签署相关文件。</w:t>
      </w:r>
    </w:p>
    <w:p w14:paraId="3D99B802">
      <w:pPr>
        <w:pStyle w:val="17"/>
        <w:spacing w:line="400" w:lineRule="exact"/>
        <w:ind w:firstLine="420" w:firstLineChars="200"/>
        <w:rPr>
          <w:rFonts w:hAnsi="宋体" w:cs="宋体"/>
          <w:color w:val="auto"/>
        </w:rPr>
      </w:pPr>
      <w:r>
        <w:rPr>
          <w:rFonts w:hint="eastAsia" w:hAnsi="宋体" w:cs="宋体"/>
          <w:color w:val="auto"/>
        </w:rPr>
        <w:t>我方对被授权人的签字事项负全部责任。</w:t>
      </w:r>
    </w:p>
    <w:p w14:paraId="13FB04FD">
      <w:pPr>
        <w:pStyle w:val="17"/>
        <w:spacing w:line="400" w:lineRule="exact"/>
        <w:ind w:firstLine="420" w:firstLineChars="200"/>
        <w:rPr>
          <w:rFonts w:hAnsi="宋体" w:cs="宋体"/>
          <w:color w:val="auto"/>
          <w:u w:val="single"/>
        </w:rPr>
      </w:pPr>
      <w:r>
        <w:rPr>
          <w:rFonts w:hint="eastAsia" w:hAnsi="宋体" w:cs="宋体"/>
          <w:color w:val="auto"/>
        </w:rPr>
        <w:t>授权委托代理期限：从年月  日起至年月 日止。</w:t>
      </w:r>
    </w:p>
    <w:p w14:paraId="54CCE6EC">
      <w:pPr>
        <w:pStyle w:val="17"/>
        <w:spacing w:line="400" w:lineRule="exact"/>
        <w:rPr>
          <w:rFonts w:hAnsi="宋体" w:cs="宋体"/>
          <w:color w:val="auto"/>
          <w:u w:val="single"/>
        </w:rPr>
      </w:pPr>
    </w:p>
    <w:p w14:paraId="61F2502B">
      <w:pPr>
        <w:spacing w:line="40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14:paraId="7733FE1C">
      <w:pPr>
        <w:snapToGrid w:val="0"/>
        <w:spacing w:line="400" w:lineRule="exact"/>
        <w:ind w:firstLine="525"/>
        <w:outlineLvl w:val="4"/>
        <w:rPr>
          <w:rFonts w:ascii="宋体" w:hAnsi="宋体" w:cs="宋体"/>
          <w:color w:val="auto"/>
          <w:szCs w:val="21"/>
        </w:rPr>
      </w:pPr>
    </w:p>
    <w:p w14:paraId="6579B3D8">
      <w:pPr>
        <w:spacing w:line="400" w:lineRule="exact"/>
        <w:ind w:firstLine="420" w:firstLineChars="200"/>
        <w:rPr>
          <w:rFonts w:ascii="宋体" w:hAnsi="宋体" w:cs="宋体"/>
          <w:color w:val="auto"/>
          <w:szCs w:val="21"/>
        </w:rPr>
      </w:pPr>
      <w:r>
        <w:rPr>
          <w:rFonts w:hint="eastAsia" w:ascii="宋体" w:hAnsi="宋体" w:cs="宋体"/>
          <w:color w:val="auto"/>
          <w:szCs w:val="21"/>
        </w:rPr>
        <w:t>我已在下面签字，以资证明。</w:t>
      </w:r>
    </w:p>
    <w:p w14:paraId="083D424E">
      <w:pPr>
        <w:spacing w:line="400" w:lineRule="exact"/>
        <w:ind w:firstLine="420" w:firstLineChars="200"/>
        <w:rPr>
          <w:rFonts w:ascii="宋体" w:hAnsi="宋体" w:cs="宋体"/>
          <w:color w:val="auto"/>
          <w:szCs w:val="21"/>
        </w:rPr>
      </w:pPr>
    </w:p>
    <w:p w14:paraId="4B18DE55">
      <w:pPr>
        <w:spacing w:line="400" w:lineRule="exact"/>
        <w:ind w:firstLine="420" w:firstLineChars="200"/>
        <w:rPr>
          <w:rFonts w:ascii="宋体" w:hAnsi="宋体" w:cs="宋体"/>
          <w:color w:val="auto"/>
          <w:szCs w:val="21"/>
        </w:rPr>
      </w:pPr>
    </w:p>
    <w:p w14:paraId="38ECB6C5">
      <w:pPr>
        <w:snapToGrid w:val="0"/>
        <w:spacing w:line="400" w:lineRule="exact"/>
        <w:ind w:firstLine="420"/>
        <w:rPr>
          <w:rFonts w:ascii="宋体" w:hAnsi="宋体" w:cs="宋体"/>
          <w:color w:val="auto"/>
          <w:szCs w:val="21"/>
          <w:u w:val="single"/>
        </w:rPr>
      </w:pPr>
      <w:r>
        <w:rPr>
          <w:rFonts w:hint="eastAsia" w:ascii="宋体" w:hAnsi="宋体" w:cs="宋体"/>
          <w:color w:val="auto"/>
          <w:szCs w:val="21"/>
        </w:rPr>
        <w:t>磋商供应商[（CA证书签章）]：</w:t>
      </w:r>
    </w:p>
    <w:p w14:paraId="62CF5A1C">
      <w:pPr>
        <w:snapToGrid w:val="0"/>
        <w:spacing w:line="400" w:lineRule="exact"/>
        <w:ind w:firstLine="420"/>
        <w:rPr>
          <w:rFonts w:ascii="宋体" w:hAnsi="宋体" w:cs="宋体"/>
          <w:color w:val="auto"/>
          <w:szCs w:val="21"/>
        </w:rPr>
      </w:pPr>
    </w:p>
    <w:p w14:paraId="3698FC5B">
      <w:pPr>
        <w:snapToGrid w:val="0"/>
        <w:spacing w:line="400" w:lineRule="exact"/>
        <w:ind w:firstLine="420"/>
        <w:rPr>
          <w:rFonts w:ascii="宋体" w:hAnsi="宋体" w:cs="宋体"/>
          <w:color w:val="auto"/>
          <w:szCs w:val="21"/>
        </w:rPr>
      </w:pPr>
      <w:r>
        <w:rPr>
          <w:rFonts w:hint="eastAsia" w:ascii="宋体" w:hAnsi="宋体" w:cs="宋体"/>
          <w:color w:val="auto"/>
          <w:szCs w:val="21"/>
        </w:rPr>
        <w:t>法定代表人（负责人）签字（或个人CA证书签章）：年月日</w:t>
      </w:r>
    </w:p>
    <w:p w14:paraId="05F06B4D">
      <w:pPr>
        <w:snapToGrid w:val="0"/>
        <w:spacing w:line="400" w:lineRule="exact"/>
        <w:ind w:firstLine="420"/>
        <w:rPr>
          <w:rFonts w:ascii="宋体" w:hAnsi="宋体" w:cs="宋体"/>
          <w:color w:val="auto"/>
          <w:szCs w:val="21"/>
        </w:rPr>
      </w:pPr>
    </w:p>
    <w:p w14:paraId="3378E004">
      <w:pPr>
        <w:pStyle w:val="12"/>
        <w:rPr>
          <w:rFonts w:ascii="宋体" w:hAnsi="宋体" w:cs="宋体"/>
          <w:color w:val="auto"/>
        </w:rPr>
      </w:pPr>
    </w:p>
    <w:p w14:paraId="5D016820">
      <w:pPr>
        <w:pStyle w:val="17"/>
        <w:jc w:val="center"/>
        <w:rPr>
          <w:rFonts w:hAnsi="宋体" w:cs="宋体"/>
          <w:b/>
          <w:color w:val="auto"/>
          <w:sz w:val="32"/>
        </w:rPr>
      </w:pPr>
      <w:bookmarkStart w:id="169" w:name="_Toc21370_WPSOffice_Level1"/>
      <w:bookmarkStart w:id="170" w:name="_Toc6975_WPSOffice_Level1"/>
    </w:p>
    <w:p w14:paraId="0ACF7FCA">
      <w:pPr>
        <w:pStyle w:val="17"/>
        <w:jc w:val="center"/>
        <w:rPr>
          <w:rFonts w:hAnsi="宋体" w:cs="宋体"/>
          <w:b/>
          <w:color w:val="auto"/>
          <w:sz w:val="32"/>
        </w:rPr>
      </w:pPr>
    </w:p>
    <w:p w14:paraId="7CD1B4C1">
      <w:pPr>
        <w:pStyle w:val="17"/>
        <w:jc w:val="center"/>
        <w:rPr>
          <w:rFonts w:hAnsi="宋体" w:cs="宋体"/>
          <w:b/>
          <w:color w:val="auto"/>
          <w:sz w:val="32"/>
        </w:rPr>
      </w:pPr>
    </w:p>
    <w:p w14:paraId="7242A6BE">
      <w:pPr>
        <w:pStyle w:val="17"/>
        <w:jc w:val="center"/>
        <w:rPr>
          <w:rFonts w:hAnsi="宋体" w:cs="宋体"/>
          <w:b/>
          <w:color w:val="auto"/>
          <w:sz w:val="32"/>
        </w:rPr>
      </w:pPr>
    </w:p>
    <w:p w14:paraId="04E36217">
      <w:pPr>
        <w:pStyle w:val="17"/>
        <w:jc w:val="center"/>
        <w:rPr>
          <w:rFonts w:hAnsi="宋体" w:cs="宋体"/>
          <w:b/>
          <w:color w:val="auto"/>
          <w:sz w:val="32"/>
        </w:rPr>
      </w:pPr>
    </w:p>
    <w:p w14:paraId="7163E838">
      <w:pPr>
        <w:pStyle w:val="17"/>
        <w:rPr>
          <w:rFonts w:hAnsi="宋体" w:cs="宋体"/>
          <w:b/>
          <w:color w:val="auto"/>
          <w:sz w:val="32"/>
        </w:rPr>
      </w:pPr>
    </w:p>
    <w:p w14:paraId="7E571CF1">
      <w:pPr>
        <w:pStyle w:val="17"/>
        <w:jc w:val="center"/>
        <w:rPr>
          <w:rFonts w:hAnsi="宋体" w:cs="宋体"/>
          <w:b/>
          <w:color w:val="auto"/>
          <w:sz w:val="32"/>
        </w:rPr>
      </w:pPr>
      <w:r>
        <w:rPr>
          <w:rFonts w:hint="eastAsia" w:hAnsi="宋体" w:cs="宋体"/>
          <w:b/>
          <w:color w:val="auto"/>
          <w:sz w:val="32"/>
        </w:rPr>
        <w:t>授权委托书（格式二）</w:t>
      </w:r>
      <w:bookmarkEnd w:id="169"/>
      <w:bookmarkEnd w:id="170"/>
    </w:p>
    <w:p w14:paraId="031274D7">
      <w:pPr>
        <w:pStyle w:val="17"/>
        <w:rPr>
          <w:rFonts w:hAnsi="宋体" w:cs="宋体"/>
          <w:b/>
          <w:color w:val="auto"/>
          <w:sz w:val="32"/>
        </w:rPr>
      </w:pPr>
    </w:p>
    <w:p w14:paraId="59DC87AD">
      <w:pPr>
        <w:snapToGrid w:val="0"/>
        <w:spacing w:line="400" w:lineRule="exact"/>
        <w:outlineLvl w:val="4"/>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szCs w:val="21"/>
          <w:u w:val="single"/>
        </w:rPr>
        <w:t>欧邦工程管理集团有限公司</w:t>
      </w:r>
    </w:p>
    <w:p w14:paraId="25E34F1E">
      <w:pPr>
        <w:snapToGrid w:val="0"/>
        <w:spacing w:line="400" w:lineRule="exact"/>
        <w:outlineLvl w:val="4"/>
        <w:rPr>
          <w:rFonts w:ascii="宋体" w:hAnsi="宋体" w:cs="宋体"/>
          <w:color w:val="auto"/>
          <w:szCs w:val="21"/>
          <w:u w:val="single"/>
        </w:rPr>
      </w:pPr>
    </w:p>
    <w:p w14:paraId="6756BD5F">
      <w:pPr>
        <w:pStyle w:val="17"/>
        <w:spacing w:line="340" w:lineRule="exact"/>
        <w:ind w:firstLine="420" w:firstLineChars="200"/>
        <w:rPr>
          <w:rFonts w:hAnsi="宋体" w:cs="宋体"/>
          <w:color w:val="auto"/>
        </w:rPr>
      </w:pPr>
      <w:r>
        <w:rPr>
          <w:rFonts w:hint="eastAsia" w:hAnsi="宋体" w:cs="宋体"/>
          <w:color w:val="auto"/>
          <w:kern w:val="0"/>
        </w:rPr>
        <w:t>我（姓名）系自然人，现授权委托（姓 名）以本人名义参加</w:t>
      </w:r>
      <w:r>
        <w:rPr>
          <w:rFonts w:hint="eastAsia" w:hAnsi="宋体" w:cs="宋体"/>
          <w:color w:val="auto"/>
          <w:u w:val="single"/>
        </w:rPr>
        <w:t xml:space="preserve">（项目名称及项目编号）        </w:t>
      </w:r>
      <w:r>
        <w:rPr>
          <w:rFonts w:hint="eastAsia" w:hAnsi="宋体" w:cs="宋体"/>
          <w:color w:val="auto"/>
        </w:rPr>
        <w:t>项目的磋商活动，并代表本人全权办理针对上述项目的磋商、签约等具体事务和签署相关文件。</w:t>
      </w:r>
    </w:p>
    <w:p w14:paraId="423666BE">
      <w:pPr>
        <w:pStyle w:val="17"/>
        <w:spacing w:line="340" w:lineRule="exact"/>
        <w:ind w:firstLine="420" w:firstLineChars="200"/>
        <w:rPr>
          <w:rFonts w:hAnsi="宋体" w:cs="宋体"/>
          <w:color w:val="auto"/>
        </w:rPr>
      </w:pPr>
      <w:r>
        <w:rPr>
          <w:rFonts w:hint="eastAsia" w:hAnsi="宋体" w:cs="宋体"/>
          <w:color w:val="auto"/>
        </w:rPr>
        <w:t>本人对被授权人的签字事项负全部责任。</w:t>
      </w:r>
    </w:p>
    <w:p w14:paraId="40F31049">
      <w:pPr>
        <w:pStyle w:val="17"/>
        <w:spacing w:line="340" w:lineRule="exact"/>
        <w:ind w:firstLine="420" w:firstLineChars="200"/>
        <w:rPr>
          <w:rFonts w:hAnsi="宋体" w:cs="宋体"/>
          <w:color w:val="auto"/>
          <w:u w:val="single"/>
        </w:rPr>
      </w:pPr>
      <w:r>
        <w:rPr>
          <w:rFonts w:hint="eastAsia" w:hAnsi="宋体" w:cs="宋体"/>
          <w:color w:val="auto"/>
        </w:rPr>
        <w:t>授权委托代理期限：从年月  日起至年月 日止。</w:t>
      </w:r>
    </w:p>
    <w:p w14:paraId="24A79D27">
      <w:pPr>
        <w:pStyle w:val="17"/>
        <w:spacing w:line="340" w:lineRule="exact"/>
        <w:rPr>
          <w:rFonts w:hAnsi="宋体" w:cs="宋体"/>
          <w:color w:val="auto"/>
          <w:u w:val="single"/>
        </w:rPr>
      </w:pPr>
    </w:p>
    <w:p w14:paraId="2529DD15">
      <w:pPr>
        <w:spacing w:line="340" w:lineRule="exact"/>
        <w:ind w:firstLine="420" w:firstLineChars="200"/>
        <w:rPr>
          <w:rFonts w:ascii="宋体" w:hAnsi="宋体" w:cs="宋体"/>
          <w:color w:val="auto"/>
          <w:kern w:val="0"/>
        </w:rPr>
      </w:pPr>
      <w:r>
        <w:rPr>
          <w:rFonts w:hint="eastAsia" w:ascii="宋体" w:hAnsi="宋体" w:cs="宋体"/>
          <w:color w:val="auto"/>
          <w:kern w:val="0"/>
        </w:rPr>
        <w:t xml:space="preserve">代理人无转委托权,特此委托。 </w:t>
      </w:r>
    </w:p>
    <w:p w14:paraId="77FAC71A">
      <w:pPr>
        <w:snapToGrid w:val="0"/>
        <w:spacing w:line="340" w:lineRule="exact"/>
        <w:ind w:firstLine="525"/>
        <w:outlineLvl w:val="4"/>
        <w:rPr>
          <w:rFonts w:ascii="宋体" w:hAnsi="宋体" w:cs="宋体"/>
          <w:color w:val="auto"/>
          <w:szCs w:val="21"/>
        </w:rPr>
      </w:pPr>
    </w:p>
    <w:p w14:paraId="6443CC48">
      <w:pPr>
        <w:spacing w:line="340" w:lineRule="exact"/>
        <w:ind w:firstLine="420" w:firstLineChars="200"/>
        <w:rPr>
          <w:rFonts w:ascii="宋体" w:hAnsi="宋体" w:cs="宋体"/>
          <w:color w:val="auto"/>
          <w:szCs w:val="21"/>
        </w:rPr>
      </w:pPr>
      <w:r>
        <w:rPr>
          <w:rFonts w:hint="eastAsia" w:ascii="宋体" w:hAnsi="宋体" w:cs="宋体"/>
          <w:color w:val="auto"/>
          <w:szCs w:val="21"/>
        </w:rPr>
        <w:t>我已在下面签字，以资证明。</w:t>
      </w:r>
    </w:p>
    <w:p w14:paraId="7757B69E">
      <w:pPr>
        <w:spacing w:line="340" w:lineRule="exact"/>
        <w:ind w:firstLine="420" w:firstLineChars="200"/>
        <w:rPr>
          <w:rFonts w:ascii="宋体" w:hAnsi="宋体" w:cs="宋体"/>
          <w:color w:val="auto"/>
          <w:szCs w:val="21"/>
        </w:rPr>
      </w:pPr>
    </w:p>
    <w:p w14:paraId="31FC8E00">
      <w:pPr>
        <w:snapToGrid w:val="0"/>
        <w:spacing w:line="340" w:lineRule="exact"/>
        <w:ind w:firstLine="420"/>
        <w:rPr>
          <w:rFonts w:ascii="宋体" w:hAnsi="宋体" w:cs="宋体"/>
          <w:color w:val="auto"/>
          <w:szCs w:val="21"/>
        </w:rPr>
      </w:pPr>
      <w:r>
        <w:rPr>
          <w:rFonts w:hint="eastAsia" w:ascii="宋体" w:hAnsi="宋体" w:cs="宋体"/>
          <w:color w:val="auto"/>
          <w:szCs w:val="21"/>
        </w:rPr>
        <w:t>自然人签字并在签名处加盖大拇指指印或个人CA证书签章：年月日</w:t>
      </w:r>
    </w:p>
    <w:p w14:paraId="5534750A">
      <w:pPr>
        <w:pStyle w:val="17"/>
        <w:spacing w:line="400" w:lineRule="exact"/>
        <w:ind w:left="420" w:leftChars="200"/>
        <w:rPr>
          <w:rFonts w:hAnsi="宋体" w:cs="宋体"/>
          <w:color w:val="auto"/>
          <w:szCs w:val="21"/>
        </w:rPr>
      </w:pPr>
    </w:p>
    <w:p w14:paraId="318C7174">
      <w:pPr>
        <w:pStyle w:val="17"/>
        <w:spacing w:line="400" w:lineRule="exact"/>
        <w:rPr>
          <w:rFonts w:hAnsi="宋体" w:cs="宋体"/>
          <w:b/>
          <w:color w:val="auto"/>
          <w:szCs w:val="21"/>
        </w:rPr>
        <w:sectPr>
          <w:pgSz w:w="11906" w:h="16838"/>
          <w:pgMar w:top="1500" w:right="1134" w:bottom="1258" w:left="1134" w:header="720" w:footer="720" w:gutter="0"/>
          <w:cols w:space="720" w:num="1"/>
          <w:titlePg/>
          <w:docGrid w:type="linesAndChars" w:linePitch="331" w:charSpace="0"/>
        </w:sectPr>
      </w:pPr>
      <w:r>
        <w:rPr>
          <w:rFonts w:hint="eastAsia" w:hAnsi="宋体" w:cs="宋体"/>
          <w:b/>
          <w:color w:val="auto"/>
          <w:szCs w:val="21"/>
        </w:rPr>
        <w:t>附：委托代理人身份证正反面复印件</w:t>
      </w:r>
    </w:p>
    <w:p w14:paraId="71B12666">
      <w:pPr>
        <w:spacing w:line="440" w:lineRule="atLeast"/>
        <w:rPr>
          <w:rFonts w:ascii="宋体" w:hAnsi="宋体" w:cs="宋体"/>
          <w:b/>
          <w:color w:val="auto"/>
          <w:sz w:val="28"/>
          <w:szCs w:val="28"/>
        </w:rPr>
      </w:pPr>
      <w:r>
        <w:rPr>
          <w:rFonts w:hint="eastAsia" w:ascii="宋体" w:hAnsi="宋体" w:cs="宋体"/>
          <w:b/>
          <w:color w:val="auto"/>
          <w:sz w:val="28"/>
          <w:szCs w:val="28"/>
        </w:rPr>
        <w:t>3.供应商参加政府采购活动前3年内在经营活动中没有重大违法记录及有关信用信息的书面声明（必须提供）；</w:t>
      </w:r>
    </w:p>
    <w:p w14:paraId="1BE2DAB3">
      <w:pPr>
        <w:pStyle w:val="17"/>
        <w:spacing w:line="400" w:lineRule="exact"/>
        <w:ind w:left="420" w:leftChars="200" w:firstLine="156" w:firstLineChars="49"/>
        <w:rPr>
          <w:rFonts w:hAnsi="宋体" w:cs="宋体"/>
          <w:b/>
          <w:color w:val="auto"/>
          <w:sz w:val="32"/>
          <w:szCs w:val="32"/>
        </w:rPr>
      </w:pPr>
    </w:p>
    <w:p w14:paraId="4EA79701">
      <w:pPr>
        <w:pStyle w:val="17"/>
        <w:spacing w:line="400" w:lineRule="exact"/>
        <w:rPr>
          <w:rFonts w:hAnsi="宋体" w:cs="宋体"/>
          <w:b/>
          <w:color w:val="auto"/>
          <w:sz w:val="32"/>
          <w:szCs w:val="32"/>
        </w:rPr>
      </w:pPr>
      <w:r>
        <w:rPr>
          <w:rFonts w:hint="eastAsia" w:hAnsi="宋体" w:cs="宋体"/>
          <w:b/>
          <w:color w:val="auto"/>
          <w:sz w:val="32"/>
          <w:szCs w:val="32"/>
        </w:rPr>
        <w:t>附件：</w:t>
      </w:r>
    </w:p>
    <w:p w14:paraId="76337BB5">
      <w:pPr>
        <w:pStyle w:val="17"/>
        <w:spacing w:line="400" w:lineRule="exact"/>
        <w:jc w:val="center"/>
        <w:rPr>
          <w:rFonts w:hAnsi="宋体" w:cs="宋体"/>
          <w:b/>
          <w:color w:val="auto"/>
          <w:sz w:val="32"/>
          <w:szCs w:val="32"/>
        </w:rPr>
      </w:pPr>
      <w:bookmarkStart w:id="171" w:name="_Toc30890_WPSOffice_Level1"/>
      <w:bookmarkStart w:id="172" w:name="_Toc30304_WPSOffice_Level1"/>
      <w:r>
        <w:rPr>
          <w:rFonts w:hint="eastAsia" w:hAnsi="宋体" w:cs="宋体"/>
          <w:b/>
          <w:color w:val="auto"/>
          <w:sz w:val="32"/>
          <w:szCs w:val="32"/>
        </w:rPr>
        <w:t>声   明</w:t>
      </w:r>
      <w:bookmarkEnd w:id="171"/>
      <w:bookmarkEnd w:id="172"/>
    </w:p>
    <w:p w14:paraId="3EC8AED8">
      <w:pPr>
        <w:pStyle w:val="17"/>
        <w:spacing w:line="400" w:lineRule="exact"/>
        <w:rPr>
          <w:rFonts w:hAnsi="宋体" w:cs="宋体"/>
          <w:b/>
          <w:color w:val="auto"/>
          <w:sz w:val="32"/>
          <w:szCs w:val="32"/>
        </w:rPr>
      </w:pPr>
    </w:p>
    <w:p w14:paraId="65ACAE6D">
      <w:pPr>
        <w:snapToGrid w:val="0"/>
        <w:spacing w:line="400" w:lineRule="exact"/>
        <w:outlineLvl w:val="4"/>
        <w:rPr>
          <w:rFonts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szCs w:val="21"/>
          <w:u w:val="single"/>
        </w:rPr>
        <w:t>欧邦工程管理集团有限公司</w:t>
      </w:r>
    </w:p>
    <w:p w14:paraId="4A2A7DE6">
      <w:pPr>
        <w:snapToGrid w:val="0"/>
        <w:spacing w:line="400" w:lineRule="exact"/>
        <w:outlineLvl w:val="4"/>
        <w:rPr>
          <w:rFonts w:ascii="宋体" w:hAnsi="宋体" w:cs="宋体"/>
          <w:color w:val="auto"/>
          <w:szCs w:val="21"/>
          <w:u w:val="single"/>
        </w:rPr>
      </w:pPr>
    </w:p>
    <w:p w14:paraId="16632A30">
      <w:pPr>
        <w:pStyle w:val="17"/>
        <w:spacing w:line="400" w:lineRule="exact"/>
        <w:ind w:firstLine="420" w:firstLineChars="200"/>
        <w:rPr>
          <w:rFonts w:hAnsi="宋体" w:cs="宋体"/>
          <w:color w:val="auto"/>
        </w:rPr>
      </w:pPr>
      <w:r>
        <w:rPr>
          <w:rFonts w:hint="eastAsia" w:hAnsi="宋体" w:cs="宋体"/>
          <w:color w:val="auto"/>
        </w:rPr>
        <w:t>我（公司）郑重声明，在参加政府采购活动前3年内在经营活动中没有重大违法记录（重大违法记录是指供应商因违法经营受到刑事处罚或者责令停产停业、吊销许可证或者执照、较大数额罚款等行政处罚）。</w:t>
      </w:r>
    </w:p>
    <w:p w14:paraId="4AEEC1BD">
      <w:pPr>
        <w:pStyle w:val="17"/>
        <w:spacing w:line="400" w:lineRule="exact"/>
        <w:ind w:firstLine="420" w:firstLineChars="200"/>
        <w:rPr>
          <w:rFonts w:hAnsi="宋体" w:cs="宋体"/>
          <w:color w:val="auto"/>
        </w:rPr>
      </w:pPr>
    </w:p>
    <w:p w14:paraId="1F5EDD5C">
      <w:pPr>
        <w:rPr>
          <w:color w:val="auto"/>
        </w:rPr>
      </w:pPr>
    </w:p>
    <w:p w14:paraId="2A1E7176">
      <w:pPr>
        <w:rPr>
          <w:rFonts w:ascii="宋体" w:hAnsi="宋体" w:cs="宋体"/>
          <w:color w:val="auto"/>
        </w:rPr>
      </w:pPr>
    </w:p>
    <w:p w14:paraId="190C9C85">
      <w:pPr>
        <w:snapToGrid w:val="0"/>
        <w:spacing w:line="400" w:lineRule="exact"/>
        <w:ind w:firstLine="1890" w:firstLineChars="900"/>
        <w:rPr>
          <w:rFonts w:ascii="宋体" w:hAnsi="宋体" w:cs="宋体"/>
          <w:color w:val="auto"/>
        </w:rPr>
      </w:pPr>
      <w:r>
        <w:rPr>
          <w:rFonts w:hint="eastAsia" w:ascii="宋体" w:hAnsi="宋体" w:cs="宋体"/>
          <w:color w:val="auto"/>
          <w:szCs w:val="21"/>
        </w:rPr>
        <w:t>磋商供应商[(CA证书签章)，自然人签字或个人CA证书签章]：</w:t>
      </w:r>
    </w:p>
    <w:p w14:paraId="1659A35B">
      <w:pPr>
        <w:pStyle w:val="17"/>
        <w:ind w:firstLine="3990" w:firstLineChars="1900"/>
        <w:rPr>
          <w:rFonts w:hAnsi="宋体" w:cs="宋体"/>
          <w:color w:val="auto"/>
          <w:u w:val="single"/>
        </w:rPr>
      </w:pPr>
      <w:r>
        <w:rPr>
          <w:rFonts w:hint="eastAsia" w:hAnsi="宋体" w:cs="宋体"/>
          <w:color w:val="auto"/>
        </w:rPr>
        <w:t>日          期：</w:t>
      </w:r>
    </w:p>
    <w:p w14:paraId="66262983">
      <w:pPr>
        <w:pStyle w:val="17"/>
        <w:rPr>
          <w:rFonts w:hAnsi="宋体" w:cs="宋体"/>
          <w:b/>
          <w:color w:val="auto"/>
          <w:sz w:val="28"/>
          <w:szCs w:val="28"/>
        </w:rPr>
      </w:pPr>
    </w:p>
    <w:p w14:paraId="10BF51E5">
      <w:pPr>
        <w:pStyle w:val="17"/>
        <w:rPr>
          <w:rFonts w:hAnsi="宋体" w:cs="宋体"/>
          <w:b/>
          <w:color w:val="auto"/>
          <w:sz w:val="28"/>
          <w:szCs w:val="28"/>
        </w:rPr>
      </w:pPr>
    </w:p>
    <w:p w14:paraId="3E4FC5E9">
      <w:pPr>
        <w:pStyle w:val="17"/>
        <w:rPr>
          <w:rFonts w:hAnsi="宋体" w:cs="宋体"/>
          <w:b/>
          <w:color w:val="auto"/>
          <w:sz w:val="28"/>
          <w:szCs w:val="28"/>
        </w:rPr>
      </w:pPr>
    </w:p>
    <w:p w14:paraId="187B4B34">
      <w:pPr>
        <w:pStyle w:val="17"/>
        <w:rPr>
          <w:rFonts w:hAnsi="宋体" w:cs="宋体"/>
          <w:b/>
          <w:color w:val="auto"/>
          <w:sz w:val="28"/>
          <w:szCs w:val="28"/>
        </w:rPr>
      </w:pPr>
    </w:p>
    <w:p w14:paraId="57105490">
      <w:pPr>
        <w:pStyle w:val="17"/>
        <w:rPr>
          <w:rFonts w:hAnsi="宋体" w:cs="宋体"/>
          <w:b/>
          <w:color w:val="auto"/>
          <w:sz w:val="28"/>
          <w:szCs w:val="28"/>
        </w:rPr>
      </w:pPr>
      <w:r>
        <w:rPr>
          <w:rFonts w:hint="eastAsia" w:hAnsi="宋体" w:cs="宋体"/>
          <w:b/>
          <w:color w:val="auto"/>
          <w:sz w:val="28"/>
          <w:szCs w:val="28"/>
        </w:rPr>
        <w:t>4.供应商的法人或者其他组织营业执照等证明文件复印件（必须提供，自然人除外）；</w:t>
      </w:r>
    </w:p>
    <w:p w14:paraId="58B25F26">
      <w:pPr>
        <w:tabs>
          <w:tab w:val="left" w:pos="1305"/>
        </w:tabs>
        <w:spacing w:line="340" w:lineRule="exact"/>
        <w:rPr>
          <w:rFonts w:ascii="宋体" w:hAnsi="宋体" w:cs="宋体"/>
          <w:b/>
          <w:color w:val="auto"/>
          <w:szCs w:val="21"/>
        </w:rPr>
      </w:pPr>
    </w:p>
    <w:p w14:paraId="553B1AB7">
      <w:pPr>
        <w:tabs>
          <w:tab w:val="left" w:pos="1305"/>
        </w:tabs>
        <w:spacing w:line="400" w:lineRule="exact"/>
        <w:rPr>
          <w:rFonts w:ascii="宋体" w:hAnsi="宋体" w:cs="宋体"/>
          <w:b/>
          <w:color w:val="auto"/>
          <w:szCs w:val="21"/>
        </w:rPr>
      </w:pPr>
      <w:r>
        <w:rPr>
          <w:rFonts w:hint="eastAsia" w:ascii="宋体" w:hAnsi="宋体" w:cs="宋体"/>
          <w:b/>
          <w:color w:val="auto"/>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9DF660A">
      <w:pPr>
        <w:rPr>
          <w:rFonts w:ascii="宋体" w:hAnsi="宋体" w:cs="宋体"/>
          <w:b/>
          <w:bCs/>
          <w:color w:val="auto"/>
          <w:sz w:val="28"/>
          <w:szCs w:val="28"/>
        </w:rPr>
      </w:pPr>
    </w:p>
    <w:p w14:paraId="729C0E03">
      <w:pPr>
        <w:rPr>
          <w:rFonts w:ascii="宋体" w:hAnsi="宋体" w:cs="宋体"/>
          <w:b/>
          <w:bCs/>
          <w:color w:val="auto"/>
          <w:sz w:val="28"/>
          <w:szCs w:val="28"/>
        </w:rPr>
      </w:pPr>
    </w:p>
    <w:p w14:paraId="66484259">
      <w:pPr>
        <w:tabs>
          <w:tab w:val="left" w:pos="1305"/>
        </w:tabs>
        <w:spacing w:line="380" w:lineRule="exact"/>
        <w:rPr>
          <w:rFonts w:ascii="宋体" w:hAnsi="宋体" w:cs="宋体"/>
          <w:b/>
          <w:color w:val="auto"/>
          <w:sz w:val="32"/>
          <w:szCs w:val="32"/>
        </w:rPr>
      </w:pPr>
    </w:p>
    <w:p w14:paraId="3E50D1EF">
      <w:pPr>
        <w:pStyle w:val="17"/>
        <w:rPr>
          <w:rFonts w:hAnsi="宋体" w:cs="宋体"/>
          <w:b/>
          <w:color w:val="auto"/>
          <w:sz w:val="28"/>
          <w:szCs w:val="28"/>
        </w:rPr>
      </w:pPr>
      <w:r>
        <w:rPr>
          <w:rFonts w:hint="eastAsia" w:hAnsi="宋体" w:cs="宋体"/>
          <w:b/>
          <w:color w:val="auto"/>
          <w:sz w:val="28"/>
          <w:szCs w:val="28"/>
        </w:rPr>
        <w:t>5.由相关部门颁发的有效《危险废物经营许可证》复印件【核准经营危险废物类别包含HW01（医疗废物）】（必须提供）。</w:t>
      </w:r>
    </w:p>
    <w:p w14:paraId="606CF8E5">
      <w:pPr>
        <w:pStyle w:val="17"/>
        <w:rPr>
          <w:rFonts w:hAnsi="宋体" w:cs="宋体"/>
          <w:b/>
          <w:color w:val="auto"/>
          <w:sz w:val="28"/>
          <w:szCs w:val="28"/>
        </w:rPr>
      </w:pPr>
    </w:p>
    <w:p w14:paraId="5C34485A">
      <w:pPr>
        <w:pStyle w:val="17"/>
        <w:rPr>
          <w:rFonts w:hAnsi="宋体" w:cs="宋体"/>
          <w:b/>
          <w:color w:val="auto"/>
          <w:sz w:val="28"/>
          <w:szCs w:val="28"/>
        </w:rPr>
      </w:pPr>
    </w:p>
    <w:p w14:paraId="33B99A4B">
      <w:pPr>
        <w:pStyle w:val="17"/>
        <w:rPr>
          <w:rFonts w:hAnsi="宋体" w:cs="宋体"/>
          <w:b/>
          <w:color w:val="auto"/>
          <w:sz w:val="28"/>
          <w:szCs w:val="28"/>
        </w:rPr>
      </w:pPr>
    </w:p>
    <w:p w14:paraId="49D97A9D">
      <w:pPr>
        <w:pStyle w:val="17"/>
        <w:rPr>
          <w:rFonts w:hAnsi="宋体" w:cs="宋体"/>
          <w:b/>
          <w:color w:val="auto"/>
          <w:sz w:val="28"/>
          <w:szCs w:val="28"/>
        </w:rPr>
      </w:pPr>
    </w:p>
    <w:p w14:paraId="38557219">
      <w:pPr>
        <w:pStyle w:val="17"/>
        <w:rPr>
          <w:rFonts w:hAnsi="宋体" w:cs="宋体"/>
          <w:b/>
          <w:color w:val="auto"/>
          <w:sz w:val="28"/>
          <w:szCs w:val="28"/>
        </w:rPr>
      </w:pPr>
      <w:r>
        <w:rPr>
          <w:rFonts w:hint="eastAsia" w:hAnsi="宋体" w:cs="宋体"/>
          <w:b/>
          <w:color w:val="auto"/>
          <w:sz w:val="28"/>
          <w:szCs w:val="28"/>
        </w:rPr>
        <w:t>6.提供《道路运输经营许可证》，经营范围含危险货物运输（医疗废物）(必须提供）。</w:t>
      </w:r>
    </w:p>
    <w:p w14:paraId="0E0A4B12">
      <w:pPr>
        <w:pStyle w:val="17"/>
        <w:rPr>
          <w:rFonts w:hAnsi="宋体" w:cs="宋体"/>
          <w:b/>
          <w:color w:val="auto"/>
          <w:sz w:val="28"/>
          <w:szCs w:val="28"/>
        </w:rPr>
      </w:pPr>
    </w:p>
    <w:p w14:paraId="637BCE12">
      <w:pPr>
        <w:pStyle w:val="17"/>
        <w:rPr>
          <w:rFonts w:hAnsi="宋体" w:cs="宋体"/>
          <w:b/>
          <w:color w:val="auto"/>
          <w:sz w:val="28"/>
          <w:szCs w:val="28"/>
        </w:rPr>
      </w:pPr>
    </w:p>
    <w:p w14:paraId="0E01D950">
      <w:pPr>
        <w:pStyle w:val="17"/>
        <w:rPr>
          <w:rFonts w:hAnsi="宋体" w:cs="宋体"/>
          <w:b/>
          <w:color w:val="auto"/>
          <w:sz w:val="28"/>
          <w:szCs w:val="28"/>
        </w:rPr>
      </w:pPr>
    </w:p>
    <w:p w14:paraId="55E7C5D6">
      <w:pPr>
        <w:pStyle w:val="17"/>
        <w:rPr>
          <w:rFonts w:hAnsi="宋体" w:cs="宋体"/>
          <w:b/>
          <w:color w:val="auto"/>
          <w:sz w:val="28"/>
          <w:szCs w:val="28"/>
        </w:rPr>
      </w:pPr>
    </w:p>
    <w:p w14:paraId="55105DD4">
      <w:pPr>
        <w:pStyle w:val="17"/>
        <w:rPr>
          <w:rFonts w:hAnsi="宋体" w:cs="宋体"/>
          <w:b/>
          <w:color w:val="auto"/>
          <w:sz w:val="28"/>
          <w:szCs w:val="28"/>
        </w:rPr>
      </w:pPr>
      <w:r>
        <w:rPr>
          <w:rFonts w:hint="eastAsia" w:hAnsi="宋体" w:cs="宋体"/>
          <w:b/>
          <w:color w:val="auto"/>
          <w:sz w:val="28"/>
          <w:szCs w:val="28"/>
        </w:rPr>
        <w:t>7.拟投入收集、运输人员：服务本项目人员必须同时具有危险货物运输驾驶员、押运人员从业资格证双证。提供证件扫描件等证明材料(必须提供）。</w:t>
      </w:r>
    </w:p>
    <w:p w14:paraId="70FAA84F">
      <w:pPr>
        <w:pStyle w:val="17"/>
        <w:rPr>
          <w:rFonts w:hAnsi="宋体" w:cs="宋体"/>
          <w:b/>
          <w:color w:val="auto"/>
          <w:sz w:val="28"/>
          <w:szCs w:val="28"/>
        </w:rPr>
      </w:pPr>
    </w:p>
    <w:p w14:paraId="6632DEDD">
      <w:pPr>
        <w:pStyle w:val="17"/>
        <w:rPr>
          <w:rFonts w:hAnsi="宋体" w:cs="宋体"/>
          <w:b/>
          <w:color w:val="auto"/>
          <w:sz w:val="28"/>
          <w:szCs w:val="28"/>
        </w:rPr>
      </w:pPr>
    </w:p>
    <w:p w14:paraId="70C83D62">
      <w:pPr>
        <w:pStyle w:val="17"/>
        <w:rPr>
          <w:rFonts w:hAnsi="宋体" w:cs="宋体"/>
          <w:b/>
          <w:color w:val="auto"/>
          <w:sz w:val="28"/>
          <w:szCs w:val="28"/>
        </w:rPr>
      </w:pPr>
    </w:p>
    <w:p w14:paraId="19F4D06A">
      <w:pPr>
        <w:pStyle w:val="17"/>
        <w:rPr>
          <w:rFonts w:hAnsi="宋体" w:cs="宋体"/>
          <w:b/>
          <w:color w:val="auto"/>
          <w:sz w:val="28"/>
          <w:szCs w:val="28"/>
        </w:rPr>
      </w:pPr>
    </w:p>
    <w:p w14:paraId="1100BBD0">
      <w:pPr>
        <w:pStyle w:val="17"/>
        <w:rPr>
          <w:rFonts w:hAnsi="宋体" w:cs="宋体"/>
          <w:b/>
          <w:color w:val="auto"/>
          <w:sz w:val="28"/>
          <w:szCs w:val="28"/>
        </w:rPr>
      </w:pPr>
    </w:p>
    <w:p w14:paraId="3D4196B9">
      <w:pPr>
        <w:pStyle w:val="17"/>
        <w:numPr>
          <w:ilvl w:val="0"/>
          <w:numId w:val="13"/>
        </w:numPr>
        <w:rPr>
          <w:rFonts w:hAnsi="宋体" w:cs="宋体"/>
          <w:b/>
          <w:color w:val="auto"/>
          <w:sz w:val="28"/>
          <w:szCs w:val="28"/>
        </w:rPr>
      </w:pPr>
      <w:r>
        <w:rPr>
          <w:rFonts w:hint="eastAsia" w:hAnsi="宋体" w:cs="宋体"/>
          <w:b/>
          <w:color w:val="auto"/>
          <w:sz w:val="28"/>
          <w:szCs w:val="28"/>
        </w:rPr>
        <w:t>装卸管理人员：竞标单位至少具有1名道路运输企业安全生产管理人员。提供证件扫描件等证明材料(必须提供）。</w:t>
      </w:r>
    </w:p>
    <w:p w14:paraId="0386B75D">
      <w:pPr>
        <w:rPr>
          <w:color w:val="auto"/>
        </w:rPr>
      </w:pPr>
    </w:p>
    <w:p w14:paraId="5F1E6B25">
      <w:pPr>
        <w:tabs>
          <w:tab w:val="left" w:pos="1305"/>
        </w:tabs>
        <w:spacing w:line="380" w:lineRule="exact"/>
        <w:rPr>
          <w:rFonts w:ascii="宋体" w:hAnsi="宋体" w:cs="宋体"/>
          <w:b/>
          <w:bCs/>
          <w:color w:val="auto"/>
          <w:sz w:val="32"/>
          <w:szCs w:val="32"/>
        </w:rPr>
      </w:pPr>
    </w:p>
    <w:p w14:paraId="556691B4">
      <w:pPr>
        <w:pStyle w:val="45"/>
        <w:ind w:firstLine="562"/>
        <w:rPr>
          <w:rFonts w:cs="宋体"/>
          <w:b/>
          <w:bCs/>
          <w:color w:val="auto"/>
          <w:sz w:val="28"/>
          <w:szCs w:val="28"/>
        </w:rPr>
      </w:pPr>
    </w:p>
    <w:p w14:paraId="12084B77">
      <w:pPr>
        <w:ind w:left="420"/>
        <w:jc w:val="center"/>
        <w:rPr>
          <w:rFonts w:ascii="宋体" w:hAnsi="宋体" w:cs="宋体"/>
          <w:b/>
          <w:bCs/>
          <w:color w:val="auto"/>
          <w:sz w:val="32"/>
          <w:szCs w:val="32"/>
        </w:rPr>
      </w:pPr>
      <w:r>
        <w:rPr>
          <w:rFonts w:hint="eastAsia" w:ascii="宋体" w:hAnsi="宋体" w:cs="宋体"/>
          <w:b/>
          <w:bCs/>
          <w:color w:val="auto"/>
          <w:sz w:val="32"/>
          <w:szCs w:val="32"/>
        </w:rPr>
        <w:t>（二）符合性响应证明材料目录</w:t>
      </w:r>
    </w:p>
    <w:p w14:paraId="0B9CFAA7">
      <w:pPr>
        <w:spacing w:line="360" w:lineRule="auto"/>
        <w:ind w:firstLine="420" w:firstLineChars="200"/>
        <w:rPr>
          <w:rFonts w:ascii="宋体" w:hAnsi="宋体" w:cs="宋体"/>
          <w:color w:val="auto"/>
          <w:szCs w:val="21"/>
        </w:rPr>
      </w:pPr>
      <w:r>
        <w:rPr>
          <w:rFonts w:hint="eastAsia" w:ascii="宋体" w:hAnsi="宋体" w:cs="宋体"/>
          <w:color w:val="auto"/>
          <w:szCs w:val="21"/>
        </w:rPr>
        <w:t>1.响应函（格式见附件）（必须提供）；</w:t>
      </w:r>
    </w:p>
    <w:p w14:paraId="427EEDB0">
      <w:pPr>
        <w:spacing w:line="360" w:lineRule="auto"/>
        <w:ind w:firstLine="420" w:firstLineChars="200"/>
        <w:rPr>
          <w:rFonts w:ascii="宋体" w:hAnsi="宋体" w:cs="宋体"/>
          <w:color w:val="auto"/>
          <w:szCs w:val="21"/>
        </w:rPr>
      </w:pPr>
      <w:r>
        <w:rPr>
          <w:rFonts w:hint="eastAsia" w:ascii="宋体" w:hAnsi="宋体" w:cs="宋体"/>
          <w:color w:val="auto"/>
          <w:szCs w:val="21"/>
        </w:rPr>
        <w:t>2.磋商报价表（格式见附件）（必须提供）</w:t>
      </w:r>
    </w:p>
    <w:p w14:paraId="00A3EEB5">
      <w:pPr>
        <w:spacing w:line="360" w:lineRule="auto"/>
        <w:ind w:firstLine="420" w:firstLineChars="200"/>
        <w:rPr>
          <w:rFonts w:ascii="宋体" w:hAnsi="宋体" w:cs="宋体"/>
          <w:color w:val="auto"/>
          <w:szCs w:val="21"/>
        </w:rPr>
      </w:pPr>
      <w:r>
        <w:rPr>
          <w:rFonts w:hint="eastAsia" w:ascii="宋体" w:hAnsi="宋体" w:cs="宋体"/>
          <w:color w:val="auto"/>
          <w:szCs w:val="21"/>
        </w:rPr>
        <w:t>3.服务采购要求响应偏离表（格式见附件）（必须提供）；</w:t>
      </w:r>
    </w:p>
    <w:p w14:paraId="2DA4ABE0">
      <w:pPr>
        <w:spacing w:line="360" w:lineRule="auto"/>
        <w:ind w:firstLine="420" w:firstLineChars="200"/>
        <w:rPr>
          <w:rFonts w:ascii="宋体" w:hAnsi="宋体" w:cs="宋体"/>
          <w:b/>
          <w:bCs/>
          <w:color w:val="auto"/>
          <w:szCs w:val="21"/>
        </w:rPr>
      </w:pPr>
      <w:r>
        <w:rPr>
          <w:rFonts w:hint="eastAsia" w:ascii="宋体" w:hAnsi="宋体" w:cs="宋体"/>
          <w:color w:val="auto"/>
          <w:szCs w:val="21"/>
        </w:rPr>
        <w:t>4.商务要求响应偏离表（格式见附件）</w:t>
      </w:r>
      <w:r>
        <w:rPr>
          <w:rFonts w:hint="eastAsia" w:ascii="宋体" w:hAnsi="宋体" w:cs="宋体"/>
          <w:b/>
          <w:bCs/>
          <w:color w:val="auto"/>
          <w:szCs w:val="21"/>
        </w:rPr>
        <w:t>（必须提供）；</w:t>
      </w:r>
    </w:p>
    <w:p w14:paraId="683C74A3">
      <w:pPr>
        <w:spacing w:line="360" w:lineRule="auto"/>
        <w:ind w:firstLine="420" w:firstLineChars="200"/>
        <w:rPr>
          <w:rFonts w:ascii="宋体" w:hAnsi="宋体" w:cs="宋体"/>
          <w:b/>
          <w:bCs/>
          <w:color w:val="auto"/>
          <w:szCs w:val="21"/>
        </w:rPr>
      </w:pPr>
      <w:r>
        <w:rPr>
          <w:rFonts w:hint="eastAsia" w:ascii="宋体" w:hAnsi="宋体" w:cs="宋体"/>
          <w:b/>
          <w:bCs/>
          <w:color w:val="auto"/>
          <w:szCs w:val="21"/>
        </w:rPr>
        <w:t>5.</w:t>
      </w:r>
      <w:r>
        <w:rPr>
          <w:rFonts w:hint="eastAsia" w:ascii="宋体" w:hAnsi="宋体" w:cs="宋体"/>
          <w:color w:val="auto"/>
          <w:szCs w:val="21"/>
        </w:rPr>
        <w:t>项目实施方案（包括但不限于项目实施方案、管理规章制度及员工培训计划方案、作业质量及安全保障措施方案等）（必须提供）</w:t>
      </w:r>
    </w:p>
    <w:p w14:paraId="52EC2360">
      <w:pPr>
        <w:pStyle w:val="12"/>
        <w:rPr>
          <w:rFonts w:ascii="宋体" w:hAnsi="宋体" w:cs="宋体"/>
          <w:color w:val="auto"/>
        </w:rPr>
      </w:pPr>
    </w:p>
    <w:p w14:paraId="7F277FE6">
      <w:pPr>
        <w:pStyle w:val="46"/>
        <w:rPr>
          <w:rFonts w:ascii="宋体" w:hAnsi="宋体" w:cs="宋体"/>
          <w:color w:val="auto"/>
        </w:rPr>
      </w:pPr>
    </w:p>
    <w:p w14:paraId="7659F387">
      <w:pPr>
        <w:pStyle w:val="46"/>
        <w:rPr>
          <w:rFonts w:ascii="宋体" w:hAnsi="宋体" w:cs="宋体"/>
          <w:color w:val="auto"/>
        </w:rPr>
      </w:pPr>
    </w:p>
    <w:p w14:paraId="4EA3DD11">
      <w:pPr>
        <w:pStyle w:val="46"/>
        <w:rPr>
          <w:rFonts w:ascii="宋体" w:hAnsi="宋体" w:cs="宋体"/>
          <w:color w:val="auto"/>
        </w:rPr>
      </w:pPr>
    </w:p>
    <w:p w14:paraId="53613951">
      <w:pPr>
        <w:pStyle w:val="17"/>
        <w:spacing w:line="400" w:lineRule="exact"/>
        <w:ind w:firstLine="420" w:firstLineChars="200"/>
        <w:rPr>
          <w:rFonts w:hAnsi="宋体" w:cs="宋体"/>
          <w:color w:val="auto"/>
        </w:rPr>
      </w:pPr>
    </w:p>
    <w:p w14:paraId="755EB305">
      <w:pPr>
        <w:pStyle w:val="46"/>
        <w:rPr>
          <w:rFonts w:ascii="宋体" w:hAnsi="宋体" w:cs="宋体"/>
          <w:color w:val="auto"/>
        </w:rPr>
      </w:pPr>
    </w:p>
    <w:p w14:paraId="1FFDFE10">
      <w:pPr>
        <w:pStyle w:val="46"/>
        <w:rPr>
          <w:rFonts w:ascii="宋体" w:hAnsi="宋体" w:cs="宋体"/>
          <w:color w:val="auto"/>
        </w:rPr>
      </w:pPr>
    </w:p>
    <w:p w14:paraId="3EAD0671">
      <w:pPr>
        <w:pStyle w:val="46"/>
        <w:rPr>
          <w:rFonts w:ascii="宋体" w:hAnsi="宋体" w:cs="宋体"/>
          <w:color w:val="auto"/>
        </w:rPr>
      </w:pPr>
    </w:p>
    <w:p w14:paraId="7FFDF091">
      <w:pPr>
        <w:pStyle w:val="46"/>
        <w:rPr>
          <w:rFonts w:ascii="宋体" w:hAnsi="宋体" w:cs="宋体"/>
          <w:color w:val="auto"/>
        </w:rPr>
      </w:pPr>
    </w:p>
    <w:p w14:paraId="74C9B8AA">
      <w:pPr>
        <w:pStyle w:val="46"/>
        <w:rPr>
          <w:rFonts w:ascii="宋体" w:hAnsi="宋体" w:cs="宋体"/>
          <w:color w:val="auto"/>
        </w:rPr>
      </w:pPr>
    </w:p>
    <w:p w14:paraId="52A774DB">
      <w:pPr>
        <w:pStyle w:val="12"/>
        <w:rPr>
          <w:rFonts w:ascii="宋体" w:hAnsi="宋体" w:cs="宋体"/>
          <w:color w:val="auto"/>
        </w:rPr>
      </w:pPr>
    </w:p>
    <w:p w14:paraId="46AC55EC">
      <w:pPr>
        <w:pStyle w:val="17"/>
        <w:spacing w:line="340" w:lineRule="exact"/>
        <w:rPr>
          <w:rFonts w:hAnsi="宋体" w:cs="宋体"/>
          <w:b/>
          <w:color w:val="auto"/>
          <w:sz w:val="28"/>
          <w:szCs w:val="28"/>
        </w:rPr>
      </w:pPr>
    </w:p>
    <w:p w14:paraId="33C6F7E7">
      <w:pPr>
        <w:pStyle w:val="17"/>
        <w:spacing w:line="340" w:lineRule="exact"/>
        <w:rPr>
          <w:rFonts w:hAnsi="宋体" w:cs="宋体"/>
          <w:b/>
          <w:color w:val="auto"/>
          <w:sz w:val="28"/>
          <w:szCs w:val="28"/>
        </w:rPr>
      </w:pPr>
    </w:p>
    <w:p w14:paraId="73F8144D">
      <w:pPr>
        <w:rPr>
          <w:rFonts w:ascii="宋体" w:hAnsi="宋体" w:cs="宋体"/>
          <w:b/>
          <w:color w:val="auto"/>
          <w:sz w:val="28"/>
          <w:szCs w:val="28"/>
        </w:rPr>
      </w:pPr>
    </w:p>
    <w:p w14:paraId="1E7E7DF5">
      <w:pPr>
        <w:pStyle w:val="12"/>
        <w:rPr>
          <w:rFonts w:ascii="宋体" w:hAnsi="宋体" w:cs="宋体"/>
          <w:b/>
          <w:color w:val="auto"/>
          <w:sz w:val="28"/>
          <w:szCs w:val="28"/>
        </w:rPr>
      </w:pPr>
    </w:p>
    <w:p w14:paraId="04BB70D5">
      <w:pPr>
        <w:rPr>
          <w:rFonts w:ascii="宋体" w:hAnsi="宋体" w:cs="宋体"/>
          <w:b/>
          <w:color w:val="auto"/>
          <w:sz w:val="28"/>
          <w:szCs w:val="28"/>
        </w:rPr>
      </w:pPr>
    </w:p>
    <w:p w14:paraId="678097EE">
      <w:pPr>
        <w:pStyle w:val="12"/>
        <w:rPr>
          <w:rFonts w:ascii="宋体" w:hAnsi="宋体" w:cs="宋体"/>
          <w:b/>
          <w:color w:val="auto"/>
          <w:sz w:val="28"/>
          <w:szCs w:val="28"/>
        </w:rPr>
      </w:pPr>
    </w:p>
    <w:p w14:paraId="6F7A28FF">
      <w:pPr>
        <w:pStyle w:val="13"/>
        <w:rPr>
          <w:color w:val="auto"/>
        </w:rPr>
      </w:pPr>
    </w:p>
    <w:p w14:paraId="7BB32B4D">
      <w:pPr>
        <w:rPr>
          <w:rFonts w:ascii="宋体" w:hAnsi="宋体" w:cs="宋体"/>
          <w:b/>
          <w:color w:val="auto"/>
          <w:sz w:val="28"/>
          <w:szCs w:val="28"/>
        </w:rPr>
      </w:pPr>
    </w:p>
    <w:p w14:paraId="567A9059">
      <w:pPr>
        <w:pStyle w:val="12"/>
        <w:rPr>
          <w:rFonts w:ascii="宋体" w:hAnsi="宋体" w:cs="宋体"/>
          <w:b/>
          <w:color w:val="auto"/>
          <w:sz w:val="28"/>
          <w:szCs w:val="28"/>
        </w:rPr>
      </w:pPr>
    </w:p>
    <w:p w14:paraId="69249C12">
      <w:pPr>
        <w:spacing w:line="400" w:lineRule="exact"/>
        <w:rPr>
          <w:rFonts w:ascii="宋体" w:hAnsi="宋体" w:cs="宋体"/>
          <w:b/>
          <w:bCs/>
          <w:color w:val="auto"/>
          <w:sz w:val="28"/>
          <w:szCs w:val="28"/>
        </w:rPr>
      </w:pPr>
      <w:bookmarkStart w:id="173" w:name="_Toc17617"/>
      <w:bookmarkStart w:id="174" w:name="_Toc497927072"/>
      <w:bookmarkStart w:id="175" w:name="_Toc12920"/>
      <w:r>
        <w:rPr>
          <w:rFonts w:hint="eastAsia" w:ascii="宋体" w:hAnsi="宋体" w:cs="宋体"/>
          <w:b/>
          <w:bCs/>
          <w:color w:val="auto"/>
          <w:sz w:val="28"/>
          <w:szCs w:val="28"/>
        </w:rPr>
        <w:t>1.响应函（格式见附件）（必须提供）</w:t>
      </w:r>
      <w:bookmarkEnd w:id="173"/>
      <w:bookmarkEnd w:id="174"/>
      <w:bookmarkEnd w:id="175"/>
    </w:p>
    <w:p w14:paraId="54D0483F">
      <w:pPr>
        <w:pStyle w:val="46"/>
        <w:rPr>
          <w:rFonts w:ascii="宋体" w:hAnsi="宋体" w:cs="宋体"/>
          <w:color w:val="auto"/>
        </w:rPr>
      </w:pPr>
    </w:p>
    <w:p w14:paraId="3BC7D75D">
      <w:pPr>
        <w:pStyle w:val="17"/>
        <w:rPr>
          <w:rFonts w:hAnsi="宋体" w:cs="宋体"/>
          <w:b/>
          <w:color w:val="auto"/>
          <w:sz w:val="32"/>
        </w:rPr>
      </w:pPr>
      <w:r>
        <w:rPr>
          <w:rFonts w:hint="eastAsia" w:hAnsi="宋体" w:cs="宋体"/>
          <w:b/>
          <w:color w:val="auto"/>
          <w:sz w:val="32"/>
        </w:rPr>
        <w:t>附件：</w:t>
      </w:r>
    </w:p>
    <w:p w14:paraId="1151D77A">
      <w:pPr>
        <w:pStyle w:val="17"/>
        <w:ind w:firstLine="800" w:firstLineChars="250"/>
        <w:jc w:val="center"/>
        <w:rPr>
          <w:rFonts w:hAnsi="宋体" w:cs="宋体"/>
          <w:b/>
          <w:color w:val="auto"/>
          <w:sz w:val="32"/>
        </w:rPr>
      </w:pPr>
      <w:r>
        <w:rPr>
          <w:rFonts w:hint="eastAsia" w:hAnsi="宋体" w:cs="宋体"/>
          <w:b/>
          <w:color w:val="auto"/>
          <w:sz w:val="32"/>
        </w:rPr>
        <w:t>响 应 函 （格 式）</w:t>
      </w:r>
    </w:p>
    <w:p w14:paraId="4DC93216">
      <w:pPr>
        <w:spacing w:line="240" w:lineRule="exact"/>
        <w:jc w:val="center"/>
        <w:rPr>
          <w:rFonts w:ascii="宋体" w:hAnsi="宋体" w:cs="宋体"/>
          <w:color w:val="auto"/>
          <w:sz w:val="32"/>
        </w:rPr>
      </w:pPr>
    </w:p>
    <w:p w14:paraId="2E578DF5">
      <w:pPr>
        <w:spacing w:line="400" w:lineRule="exact"/>
        <w:rPr>
          <w:rFonts w:ascii="宋体" w:hAnsi="宋体" w:cs="宋体"/>
          <w:color w:val="auto"/>
        </w:rPr>
      </w:pPr>
      <w:r>
        <w:rPr>
          <w:rFonts w:hint="eastAsia" w:ascii="宋体" w:hAnsi="宋体" w:cs="宋体"/>
          <w:color w:val="auto"/>
          <w:szCs w:val="21"/>
        </w:rPr>
        <w:t>致</w:t>
      </w:r>
      <w:r>
        <w:rPr>
          <w:rFonts w:hint="eastAsia" w:ascii="宋体" w:hAnsi="宋体" w:cs="宋体"/>
          <w:color w:val="auto"/>
          <w:szCs w:val="21"/>
          <w:u w:val="single"/>
        </w:rPr>
        <w:t xml:space="preserve">：欧邦工程管理集团有限公司   </w:t>
      </w:r>
    </w:p>
    <w:p w14:paraId="13BCA3CF">
      <w:pPr>
        <w:spacing w:line="400" w:lineRule="exact"/>
        <w:rPr>
          <w:rFonts w:ascii="宋体" w:hAnsi="宋体" w:cs="宋体"/>
          <w:color w:val="auto"/>
          <w:szCs w:val="21"/>
        </w:rPr>
      </w:pPr>
    </w:p>
    <w:p w14:paraId="2C29224C">
      <w:pPr>
        <w:pStyle w:val="17"/>
        <w:spacing w:line="360" w:lineRule="exact"/>
        <w:ind w:firstLine="420"/>
        <w:rPr>
          <w:rFonts w:hAnsi="宋体" w:cs="宋体"/>
          <w:color w:val="auto"/>
        </w:rPr>
      </w:pPr>
      <w:r>
        <w:rPr>
          <w:rFonts w:hint="eastAsia" w:hAnsi="宋体" w:cs="宋体"/>
          <w:color w:val="auto"/>
        </w:rPr>
        <w:t xml:space="preserve">根据贵方项目磋商文件，项目编号 </w:t>
      </w:r>
      <w:r>
        <w:rPr>
          <w:rFonts w:hint="eastAsia" w:hAnsi="宋体" w:cs="宋体"/>
          <w:color w:val="auto"/>
          <w:szCs w:val="21"/>
        </w:rPr>
        <w:t>，签字代表</w:t>
      </w:r>
      <w:r>
        <w:rPr>
          <w:rFonts w:hint="eastAsia" w:hAnsi="宋体" w:cs="宋体"/>
          <w:color w:val="auto"/>
        </w:rPr>
        <w:t xml:space="preserve">（姓名）经正式授权并代表供应商 </w:t>
      </w:r>
      <w:r>
        <w:rPr>
          <w:rFonts w:hint="eastAsia" w:hAnsi="宋体" w:cs="宋体"/>
          <w:color w:val="auto"/>
          <w:u w:val="single"/>
        </w:rPr>
        <w:t xml:space="preserve">                                   （</w:t>
      </w:r>
      <w:r>
        <w:rPr>
          <w:rFonts w:hint="eastAsia" w:hAnsi="宋体" w:cs="宋体"/>
          <w:color w:val="auto"/>
        </w:rPr>
        <w:t>供应商单位名称），提交响应文件正本一份，副本三份，电子文件一份。</w:t>
      </w:r>
    </w:p>
    <w:p w14:paraId="66695006">
      <w:pPr>
        <w:pStyle w:val="17"/>
        <w:spacing w:line="360" w:lineRule="exact"/>
        <w:ind w:firstLine="420"/>
        <w:rPr>
          <w:rFonts w:hAnsi="宋体" w:cs="宋体"/>
          <w:color w:val="auto"/>
        </w:rPr>
      </w:pPr>
      <w:r>
        <w:rPr>
          <w:rFonts w:hint="eastAsia" w:hAnsi="宋体" w:cs="宋体"/>
          <w:color w:val="auto"/>
        </w:rPr>
        <w:t>据此函，签字代表宣布同意如下：</w:t>
      </w:r>
    </w:p>
    <w:p w14:paraId="11C6F536">
      <w:pPr>
        <w:pStyle w:val="17"/>
        <w:spacing w:line="360" w:lineRule="exact"/>
        <w:ind w:firstLine="420"/>
        <w:rPr>
          <w:rFonts w:hAnsi="宋体" w:cs="宋体"/>
          <w:color w:val="auto"/>
        </w:rPr>
      </w:pPr>
      <w:r>
        <w:rPr>
          <w:rFonts w:hint="eastAsia" w:hAnsi="宋体" w:cs="宋体"/>
          <w:color w:val="auto"/>
        </w:rPr>
        <w:t>1. 按磋商文件采购需求和磋商报价表：</w:t>
      </w:r>
    </w:p>
    <w:p w14:paraId="5B5A48EA">
      <w:pPr>
        <w:pStyle w:val="17"/>
        <w:spacing w:line="360" w:lineRule="exact"/>
        <w:ind w:firstLine="840" w:firstLineChars="400"/>
        <w:rPr>
          <w:rFonts w:hAnsi="宋体" w:cs="宋体"/>
          <w:color w:val="auto"/>
        </w:rPr>
      </w:pPr>
      <w:r>
        <w:rPr>
          <w:rFonts w:hint="eastAsia" w:hAnsi="宋体" w:cs="宋体"/>
          <w:color w:val="auto"/>
          <w:szCs w:val="21"/>
        </w:rPr>
        <w:t>磋商总报价为（大写）元人民币(￥)/床·日。</w:t>
      </w:r>
    </w:p>
    <w:p w14:paraId="3E73EECA">
      <w:pPr>
        <w:pStyle w:val="17"/>
        <w:spacing w:line="360" w:lineRule="exact"/>
        <w:ind w:firstLine="420"/>
        <w:rPr>
          <w:rFonts w:hAnsi="宋体" w:cs="宋体"/>
          <w:color w:val="auto"/>
        </w:rPr>
      </w:pPr>
      <w:r>
        <w:rPr>
          <w:rFonts w:hint="eastAsia" w:hAnsi="宋体" w:cs="宋体"/>
          <w:color w:val="auto"/>
        </w:rPr>
        <w:t>2.我方承诺已具备磋商文件规定的供应商资格条件。</w:t>
      </w:r>
    </w:p>
    <w:p w14:paraId="6CFAB805">
      <w:pPr>
        <w:pStyle w:val="17"/>
        <w:spacing w:line="360" w:lineRule="exact"/>
        <w:ind w:firstLine="420"/>
        <w:rPr>
          <w:rFonts w:hAnsi="宋体" w:cs="宋体"/>
          <w:color w:val="auto"/>
        </w:rPr>
      </w:pPr>
      <w:r>
        <w:rPr>
          <w:rFonts w:hint="eastAsia" w:hAnsi="宋体" w:cs="宋体"/>
          <w:color w:val="auto"/>
        </w:rPr>
        <w:t>3.我方已详细审核磋商文件，包括修改文件（如有的话）和有关附件，将自行承担因对全部磋商文件理解不正确或误解而产生的相应后果。</w:t>
      </w:r>
    </w:p>
    <w:p w14:paraId="6D6016A7">
      <w:pPr>
        <w:pStyle w:val="17"/>
        <w:spacing w:line="360" w:lineRule="exact"/>
        <w:ind w:firstLine="420"/>
        <w:rPr>
          <w:rFonts w:hAnsi="宋体" w:cs="宋体"/>
          <w:color w:val="auto"/>
        </w:rPr>
      </w:pPr>
      <w:r>
        <w:rPr>
          <w:rFonts w:hint="eastAsia" w:hAnsi="宋体" w:cs="宋体"/>
          <w:color w:val="auto"/>
        </w:rPr>
        <w:t>4. 响应文件有效期为</w:t>
      </w:r>
      <w:r>
        <w:rPr>
          <w:rFonts w:hint="eastAsia" w:hAnsi="宋体" w:cs="宋体"/>
          <w:color w:val="auto"/>
          <w:szCs w:val="21"/>
        </w:rPr>
        <w:t>响应文件递交截止时间之日起90天。</w:t>
      </w:r>
    </w:p>
    <w:p w14:paraId="6BF8CCAE">
      <w:pPr>
        <w:pStyle w:val="17"/>
        <w:spacing w:line="360" w:lineRule="exact"/>
        <w:ind w:firstLine="420"/>
        <w:rPr>
          <w:rFonts w:hAnsi="宋体" w:cs="宋体"/>
          <w:color w:val="auto"/>
        </w:rPr>
      </w:pPr>
      <w:r>
        <w:rPr>
          <w:rFonts w:hint="eastAsia" w:hAnsi="宋体" w:cs="宋体"/>
          <w:color w:val="auto"/>
          <w:szCs w:val="21"/>
        </w:rPr>
        <w:t>5. 保证金有效期为响应文件递交截止时间之日起90天。</w:t>
      </w:r>
    </w:p>
    <w:p w14:paraId="08BE2B2C">
      <w:pPr>
        <w:pStyle w:val="17"/>
        <w:spacing w:line="360" w:lineRule="exact"/>
        <w:ind w:firstLine="420"/>
        <w:rPr>
          <w:rFonts w:hAnsi="宋体" w:cs="宋体"/>
          <w:color w:val="auto"/>
        </w:rPr>
      </w:pPr>
      <w:r>
        <w:rPr>
          <w:rFonts w:hint="eastAsia" w:hAnsi="宋体" w:cs="宋体"/>
          <w:color w:val="auto"/>
        </w:rPr>
        <w:t>6. 如我方成交：</w:t>
      </w:r>
    </w:p>
    <w:p w14:paraId="43AF428D">
      <w:pPr>
        <w:pStyle w:val="17"/>
        <w:spacing w:line="360" w:lineRule="exact"/>
        <w:ind w:firstLine="420"/>
        <w:rPr>
          <w:rFonts w:hAnsi="宋体" w:cs="宋体"/>
          <w:color w:val="auto"/>
        </w:rPr>
      </w:pPr>
      <w:r>
        <w:rPr>
          <w:rFonts w:hint="eastAsia" w:hAnsi="宋体" w:cs="宋体"/>
          <w:color w:val="auto"/>
        </w:rPr>
        <w:t>（1）我方承诺在收到成交通知书后，在成交通知书规定的期限内与采购人签订合同。</w:t>
      </w:r>
    </w:p>
    <w:p w14:paraId="314B25D7">
      <w:pPr>
        <w:pStyle w:val="17"/>
        <w:spacing w:line="360" w:lineRule="exact"/>
        <w:ind w:firstLine="420"/>
        <w:rPr>
          <w:rFonts w:hAnsi="宋体" w:cs="宋体"/>
          <w:color w:val="auto"/>
        </w:rPr>
      </w:pPr>
      <w:r>
        <w:rPr>
          <w:rFonts w:hint="eastAsia" w:hAnsi="宋体" w:cs="宋体"/>
          <w:color w:val="auto"/>
        </w:rPr>
        <w:t>（2）我方承诺按照磋商文件规定递交履约担保。</w:t>
      </w:r>
    </w:p>
    <w:p w14:paraId="4E8AB523">
      <w:pPr>
        <w:pStyle w:val="17"/>
        <w:spacing w:line="360" w:lineRule="exact"/>
        <w:ind w:firstLine="420"/>
        <w:rPr>
          <w:rFonts w:hAnsi="宋体" w:cs="宋体"/>
          <w:color w:val="auto"/>
        </w:rPr>
      </w:pPr>
      <w:r>
        <w:rPr>
          <w:rFonts w:hint="eastAsia" w:hAnsi="宋体" w:cs="宋体"/>
          <w:color w:val="auto"/>
        </w:rPr>
        <w:t>（3）我方承诺本响应文件至本项目合同履行完毕止均保持有效，按磋商文件及政府采购法律、法规的规定履行合同责任和义务。</w:t>
      </w:r>
    </w:p>
    <w:p w14:paraId="21AD81EE">
      <w:pPr>
        <w:pStyle w:val="17"/>
        <w:spacing w:line="360" w:lineRule="exact"/>
        <w:ind w:firstLine="420"/>
        <w:rPr>
          <w:rFonts w:hAnsi="宋体" w:cs="宋体"/>
          <w:color w:val="auto"/>
        </w:rPr>
      </w:pPr>
      <w:r>
        <w:rPr>
          <w:rFonts w:hint="eastAsia" w:hAnsi="宋体" w:cs="宋体"/>
          <w:color w:val="auto"/>
        </w:rPr>
        <w:t>与本项目有关的正式通讯地址为：</w:t>
      </w:r>
    </w:p>
    <w:p w14:paraId="7D7B7642">
      <w:pPr>
        <w:rPr>
          <w:rFonts w:ascii="宋体" w:hAnsi="宋体" w:cs="宋体"/>
          <w:color w:val="auto"/>
          <w:szCs w:val="21"/>
        </w:rPr>
      </w:pPr>
    </w:p>
    <w:p w14:paraId="46A4CA11">
      <w:pPr>
        <w:pStyle w:val="17"/>
        <w:spacing w:line="320" w:lineRule="exact"/>
        <w:ind w:firstLine="420"/>
        <w:rPr>
          <w:rFonts w:hAnsi="宋体" w:cs="宋体"/>
          <w:color w:val="auto"/>
          <w:szCs w:val="21"/>
          <w:u w:val="single"/>
        </w:rPr>
      </w:pPr>
      <w:r>
        <w:rPr>
          <w:rFonts w:hint="eastAsia" w:hAnsi="宋体" w:cs="宋体"/>
          <w:color w:val="auto"/>
          <w:szCs w:val="21"/>
        </w:rPr>
        <w:t>地址： 邮编：  电话、传真：</w:t>
      </w:r>
    </w:p>
    <w:p w14:paraId="47DFB95E">
      <w:pPr>
        <w:pStyle w:val="17"/>
        <w:spacing w:line="320" w:lineRule="exact"/>
        <w:ind w:firstLine="420"/>
        <w:rPr>
          <w:rFonts w:hAnsi="宋体" w:cs="宋体"/>
          <w:color w:val="auto"/>
          <w:szCs w:val="21"/>
        </w:rPr>
      </w:pPr>
      <w:r>
        <w:rPr>
          <w:rFonts w:hint="eastAsia" w:hAnsi="宋体" w:cs="宋体"/>
          <w:color w:val="auto"/>
          <w:szCs w:val="21"/>
        </w:rPr>
        <w:t>开户名称：</w:t>
      </w:r>
    </w:p>
    <w:p w14:paraId="526D54DB">
      <w:pPr>
        <w:pStyle w:val="17"/>
        <w:spacing w:line="320" w:lineRule="exact"/>
        <w:ind w:firstLine="420"/>
        <w:rPr>
          <w:rFonts w:hAnsi="宋体" w:cs="宋体"/>
          <w:color w:val="auto"/>
          <w:szCs w:val="21"/>
        </w:rPr>
      </w:pPr>
      <w:r>
        <w:rPr>
          <w:rFonts w:hint="eastAsia" w:hAnsi="宋体" w:cs="宋体"/>
          <w:color w:val="auto"/>
          <w:szCs w:val="21"/>
        </w:rPr>
        <w:t>开户银行：</w:t>
      </w:r>
      <w:r>
        <w:rPr>
          <w:rFonts w:hint="eastAsia" w:hAnsi="宋体" w:cs="宋体"/>
          <w:color w:val="auto"/>
          <w:szCs w:val="21"/>
          <w:u w:val="single"/>
        </w:rPr>
        <w:t xml:space="preserve">                               　       </w:t>
      </w:r>
    </w:p>
    <w:p w14:paraId="5DB0C12F">
      <w:pPr>
        <w:pStyle w:val="17"/>
        <w:spacing w:line="320" w:lineRule="exact"/>
        <w:ind w:firstLine="420"/>
        <w:rPr>
          <w:rFonts w:hAnsi="宋体" w:cs="宋体"/>
          <w:color w:val="auto"/>
          <w:szCs w:val="21"/>
        </w:rPr>
      </w:pPr>
      <w:r>
        <w:rPr>
          <w:rFonts w:hint="eastAsia" w:hAnsi="宋体" w:cs="宋体"/>
          <w:color w:val="auto"/>
          <w:szCs w:val="21"/>
        </w:rPr>
        <w:t>账号：</w:t>
      </w:r>
      <w:r>
        <w:rPr>
          <w:rFonts w:hint="eastAsia" w:hAnsi="宋体" w:cs="宋体"/>
          <w:color w:val="auto"/>
          <w:szCs w:val="21"/>
          <w:u w:val="single"/>
        </w:rPr>
        <w:t xml:space="preserve">                                   　　　   </w:t>
      </w:r>
    </w:p>
    <w:p w14:paraId="5E9F6359">
      <w:pPr>
        <w:pStyle w:val="17"/>
        <w:spacing w:line="320" w:lineRule="exact"/>
        <w:ind w:firstLine="420"/>
        <w:rPr>
          <w:rFonts w:hAnsi="宋体" w:cs="宋体"/>
          <w:bCs/>
          <w:color w:val="auto"/>
          <w:szCs w:val="21"/>
          <w:u w:val="single"/>
        </w:rPr>
      </w:pPr>
      <w:r>
        <w:rPr>
          <w:rFonts w:hint="eastAsia" w:hAnsi="宋体" w:cs="宋体"/>
          <w:bCs/>
          <w:color w:val="auto"/>
          <w:szCs w:val="21"/>
        </w:rPr>
        <w:t>供应商[(CA证书签章)、自然人除外]：</w:t>
      </w:r>
    </w:p>
    <w:p w14:paraId="32345ACC">
      <w:pPr>
        <w:pStyle w:val="17"/>
        <w:spacing w:line="320" w:lineRule="exact"/>
        <w:ind w:firstLine="420"/>
        <w:rPr>
          <w:rFonts w:hAnsi="宋体" w:cs="宋体"/>
          <w:color w:val="auto"/>
          <w:szCs w:val="21"/>
          <w:u w:val="single"/>
        </w:rPr>
      </w:pPr>
      <w:r>
        <w:rPr>
          <w:rFonts w:hint="eastAsia" w:hAnsi="宋体" w:cs="宋体"/>
          <w:color w:val="auto"/>
          <w:szCs w:val="21"/>
        </w:rPr>
        <w:t>法定代表人、负责人、自然人或相应的委托代理人签字[或盖章(CA证书签章)]（属自然人的应在签名处加盖大拇指指印或个人CA证书签章）：</w:t>
      </w:r>
    </w:p>
    <w:p w14:paraId="491CEB23">
      <w:pPr>
        <w:pStyle w:val="17"/>
        <w:spacing w:line="320" w:lineRule="exact"/>
        <w:ind w:firstLine="420"/>
        <w:rPr>
          <w:rFonts w:hAnsi="宋体" w:cs="宋体"/>
          <w:color w:val="auto"/>
          <w:szCs w:val="21"/>
        </w:rPr>
        <w:sectPr>
          <w:pgSz w:w="11906" w:h="16838"/>
          <w:pgMar w:top="1440" w:right="935" w:bottom="1440" w:left="777" w:header="851" w:footer="992" w:gutter="0"/>
          <w:cols w:space="720" w:num="1"/>
          <w:docGrid w:type="linesAndChars" w:linePitch="312" w:charSpace="0"/>
        </w:sectPr>
      </w:pPr>
      <w:r>
        <w:rPr>
          <w:rFonts w:hint="eastAsia" w:hAnsi="宋体" w:cs="宋体"/>
          <w:bCs/>
          <w:color w:val="auto"/>
          <w:szCs w:val="21"/>
        </w:rPr>
        <w:t>响应</w:t>
      </w:r>
      <w:r>
        <w:rPr>
          <w:rFonts w:hint="eastAsia" w:hAnsi="宋体" w:cs="宋体"/>
          <w:color w:val="auto"/>
          <w:szCs w:val="21"/>
        </w:rPr>
        <w:t>日期：</w:t>
      </w:r>
    </w:p>
    <w:p w14:paraId="7FDC5677">
      <w:pPr>
        <w:pStyle w:val="17"/>
        <w:spacing w:line="340" w:lineRule="exact"/>
        <w:rPr>
          <w:rFonts w:hAnsi="宋体" w:cs="宋体"/>
          <w:color w:val="auto"/>
        </w:rPr>
      </w:pPr>
      <w:r>
        <w:rPr>
          <w:rFonts w:hint="eastAsia" w:hAnsi="宋体" w:cs="宋体"/>
          <w:b/>
          <w:color w:val="auto"/>
          <w:sz w:val="28"/>
          <w:szCs w:val="28"/>
        </w:rPr>
        <w:t>2. 磋商报价表（必须提供）；</w:t>
      </w:r>
    </w:p>
    <w:p w14:paraId="7F4EF6B8">
      <w:pPr>
        <w:pStyle w:val="17"/>
        <w:spacing w:line="320" w:lineRule="exact"/>
        <w:jc w:val="left"/>
        <w:rPr>
          <w:rFonts w:hAnsi="宋体" w:cs="宋体"/>
          <w:b/>
          <w:color w:val="auto"/>
          <w:sz w:val="28"/>
          <w:szCs w:val="28"/>
        </w:rPr>
      </w:pPr>
    </w:p>
    <w:p w14:paraId="23233F19">
      <w:pPr>
        <w:pStyle w:val="9"/>
        <w:ind w:left="0"/>
        <w:rPr>
          <w:rFonts w:ascii="宋体" w:hAnsi="宋体" w:cs="宋体"/>
          <w:color w:val="auto"/>
        </w:rPr>
      </w:pPr>
      <w:r>
        <w:rPr>
          <w:rFonts w:hint="eastAsia" w:ascii="宋体" w:hAnsi="宋体" w:cs="宋体"/>
          <w:b/>
          <w:bCs/>
          <w:color w:val="auto"/>
          <w:sz w:val="30"/>
          <w:szCs w:val="30"/>
        </w:rPr>
        <w:t>附件：</w:t>
      </w:r>
    </w:p>
    <w:p w14:paraId="66B506AF">
      <w:pPr>
        <w:spacing w:line="480" w:lineRule="auto"/>
        <w:ind w:firstLine="3040" w:firstLineChars="950"/>
        <w:rPr>
          <w:rFonts w:ascii="宋体" w:hAnsi="宋体" w:cs="宋体"/>
          <w:b/>
          <w:color w:val="auto"/>
          <w:sz w:val="32"/>
          <w:szCs w:val="32"/>
        </w:rPr>
      </w:pPr>
      <w:r>
        <w:rPr>
          <w:rFonts w:hint="eastAsia" w:hAnsi="宋体"/>
          <w:b/>
          <w:color w:val="auto"/>
          <w:sz w:val="32"/>
        </w:rPr>
        <w:t>磋商报价表（格式）</w:t>
      </w:r>
    </w:p>
    <w:p w14:paraId="08015960">
      <w:pPr>
        <w:pStyle w:val="17"/>
        <w:spacing w:line="400" w:lineRule="exact"/>
        <w:ind w:firstLine="420" w:firstLineChars="200"/>
        <w:rPr>
          <w:rFonts w:hAnsi="宋体" w:cs="宋体"/>
          <w:bCs/>
          <w:color w:val="auto"/>
          <w:szCs w:val="21"/>
        </w:rPr>
      </w:pPr>
    </w:p>
    <w:tbl>
      <w:tblPr>
        <w:tblStyle w:val="2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880"/>
        <w:gridCol w:w="813"/>
        <w:gridCol w:w="709"/>
        <w:gridCol w:w="1701"/>
        <w:gridCol w:w="1985"/>
        <w:gridCol w:w="1327"/>
      </w:tblGrid>
      <w:tr w14:paraId="24B22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7" w:hRule="atLeast"/>
        </w:trPr>
        <w:tc>
          <w:tcPr>
            <w:tcW w:w="709" w:type="dxa"/>
            <w:tcBorders>
              <w:top w:val="single" w:color="auto" w:sz="4" w:space="0"/>
              <w:left w:val="single" w:color="auto" w:sz="4" w:space="0"/>
              <w:bottom w:val="single" w:color="auto" w:sz="4" w:space="0"/>
              <w:right w:val="single" w:color="auto" w:sz="4" w:space="0"/>
            </w:tcBorders>
            <w:noWrap/>
            <w:vAlign w:val="center"/>
          </w:tcPr>
          <w:p w14:paraId="46B9F4B6">
            <w:pPr>
              <w:spacing w:line="300" w:lineRule="exact"/>
              <w:jc w:val="center"/>
              <w:rPr>
                <w:rFonts w:ascii="宋体" w:hAnsi="宋体"/>
                <w:color w:val="auto"/>
              </w:rPr>
            </w:pPr>
            <w:r>
              <w:rPr>
                <w:rFonts w:hint="eastAsia" w:ascii="宋体" w:hAnsi="宋体"/>
                <w:color w:val="auto"/>
              </w:rPr>
              <w:t>序号</w:t>
            </w:r>
          </w:p>
        </w:tc>
        <w:tc>
          <w:tcPr>
            <w:tcW w:w="1880" w:type="dxa"/>
            <w:tcBorders>
              <w:top w:val="single" w:color="auto" w:sz="4" w:space="0"/>
              <w:left w:val="single" w:color="auto" w:sz="4" w:space="0"/>
              <w:bottom w:val="single" w:color="auto" w:sz="4" w:space="0"/>
              <w:right w:val="single" w:color="auto" w:sz="4" w:space="0"/>
            </w:tcBorders>
            <w:noWrap/>
            <w:vAlign w:val="center"/>
          </w:tcPr>
          <w:p w14:paraId="2FC0087A">
            <w:pPr>
              <w:spacing w:line="280" w:lineRule="exact"/>
              <w:jc w:val="center"/>
              <w:rPr>
                <w:rFonts w:ascii="宋体" w:hAnsi="宋体"/>
                <w:color w:val="auto"/>
              </w:rPr>
            </w:pPr>
            <w:r>
              <w:rPr>
                <w:rFonts w:hint="eastAsia" w:ascii="宋体" w:hAnsi="宋体"/>
                <w:color w:val="auto"/>
              </w:rPr>
              <w:t>服务名称</w:t>
            </w:r>
          </w:p>
        </w:tc>
        <w:tc>
          <w:tcPr>
            <w:tcW w:w="813" w:type="dxa"/>
            <w:tcBorders>
              <w:top w:val="single" w:color="auto" w:sz="4" w:space="0"/>
              <w:left w:val="single" w:color="auto" w:sz="4" w:space="0"/>
              <w:bottom w:val="single" w:color="auto" w:sz="4" w:space="0"/>
              <w:right w:val="single" w:color="auto" w:sz="4" w:space="0"/>
            </w:tcBorders>
            <w:noWrap/>
            <w:vAlign w:val="center"/>
          </w:tcPr>
          <w:p w14:paraId="2089E8D7">
            <w:pPr>
              <w:spacing w:line="300" w:lineRule="exact"/>
              <w:jc w:val="center"/>
              <w:rPr>
                <w:rFonts w:ascii="宋体" w:hAnsi="宋体"/>
                <w:color w:val="auto"/>
              </w:rPr>
            </w:pPr>
            <w:r>
              <w:rPr>
                <w:rFonts w:hint="eastAsia" w:ascii="宋体" w:hAnsi="宋体"/>
                <w:color w:val="auto"/>
              </w:rPr>
              <w:t>数量</w:t>
            </w:r>
          </w:p>
        </w:tc>
        <w:tc>
          <w:tcPr>
            <w:tcW w:w="709" w:type="dxa"/>
            <w:tcBorders>
              <w:top w:val="single" w:color="auto" w:sz="4" w:space="0"/>
              <w:left w:val="single" w:color="auto" w:sz="4" w:space="0"/>
              <w:bottom w:val="single" w:color="auto" w:sz="4" w:space="0"/>
              <w:right w:val="single" w:color="auto" w:sz="4" w:space="0"/>
            </w:tcBorders>
            <w:noWrap/>
            <w:vAlign w:val="center"/>
          </w:tcPr>
          <w:p w14:paraId="54EA4482">
            <w:pPr>
              <w:spacing w:line="300" w:lineRule="exact"/>
              <w:jc w:val="center"/>
              <w:rPr>
                <w:rFonts w:ascii="宋体" w:hAnsi="宋体"/>
                <w:color w:val="auto"/>
              </w:rPr>
            </w:pPr>
            <w:r>
              <w:rPr>
                <w:rFonts w:hint="eastAsia" w:ascii="宋体" w:hAnsi="宋体"/>
                <w:color w:val="auto"/>
              </w:rPr>
              <w:t>单位</w:t>
            </w:r>
          </w:p>
        </w:tc>
        <w:tc>
          <w:tcPr>
            <w:tcW w:w="1701" w:type="dxa"/>
            <w:tcBorders>
              <w:top w:val="single" w:color="auto" w:sz="4" w:space="0"/>
              <w:left w:val="single" w:color="auto" w:sz="4" w:space="0"/>
              <w:bottom w:val="single" w:color="auto" w:sz="4" w:space="0"/>
              <w:right w:val="single" w:color="auto" w:sz="4" w:space="0"/>
            </w:tcBorders>
            <w:noWrap/>
            <w:vAlign w:val="center"/>
          </w:tcPr>
          <w:p w14:paraId="2FF8C771">
            <w:pPr>
              <w:spacing w:line="300" w:lineRule="exact"/>
              <w:jc w:val="center"/>
              <w:rPr>
                <w:rFonts w:ascii="宋体" w:hAnsi="宋体"/>
                <w:color w:val="auto"/>
              </w:rPr>
            </w:pPr>
            <w:r>
              <w:rPr>
                <w:rFonts w:hint="eastAsia" w:ascii="宋体" w:hAnsi="宋体"/>
                <w:color w:val="auto"/>
              </w:rPr>
              <w:t>单价（元）</w:t>
            </w:r>
          </w:p>
        </w:tc>
        <w:tc>
          <w:tcPr>
            <w:tcW w:w="1985" w:type="dxa"/>
            <w:tcBorders>
              <w:top w:val="single" w:color="auto" w:sz="4" w:space="0"/>
              <w:left w:val="single" w:color="auto" w:sz="4" w:space="0"/>
              <w:bottom w:val="single" w:color="auto" w:sz="4" w:space="0"/>
              <w:right w:val="single" w:color="auto" w:sz="4" w:space="0"/>
            </w:tcBorders>
            <w:noWrap/>
            <w:vAlign w:val="center"/>
          </w:tcPr>
          <w:p w14:paraId="1BFE3054">
            <w:pPr>
              <w:spacing w:line="300" w:lineRule="exact"/>
              <w:jc w:val="center"/>
              <w:rPr>
                <w:rFonts w:ascii="宋体" w:hAnsi="宋体" w:eastAsia="仿宋_GB2312"/>
                <w:color w:val="auto"/>
              </w:rPr>
            </w:pPr>
            <w:r>
              <w:rPr>
                <w:rFonts w:hint="eastAsia" w:ascii="宋体" w:hAnsi="宋体"/>
                <w:color w:val="auto"/>
              </w:rPr>
              <w:t>合计（元）</w:t>
            </w:r>
          </w:p>
        </w:tc>
        <w:tc>
          <w:tcPr>
            <w:tcW w:w="1327" w:type="dxa"/>
            <w:tcBorders>
              <w:bottom w:val="single" w:color="auto" w:sz="4" w:space="0"/>
            </w:tcBorders>
            <w:noWrap/>
            <w:vAlign w:val="center"/>
          </w:tcPr>
          <w:p w14:paraId="2A8388A5">
            <w:pPr>
              <w:spacing w:line="300" w:lineRule="exact"/>
              <w:jc w:val="center"/>
              <w:rPr>
                <w:rFonts w:ascii="宋体" w:hAnsi="宋体"/>
                <w:color w:val="auto"/>
              </w:rPr>
            </w:pPr>
            <w:r>
              <w:rPr>
                <w:rFonts w:hint="eastAsia" w:ascii="宋体" w:hAnsi="宋体"/>
                <w:color w:val="auto"/>
              </w:rPr>
              <w:t>备注</w:t>
            </w:r>
          </w:p>
        </w:tc>
      </w:tr>
      <w:tr w14:paraId="5E117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2" w:hRule="exact"/>
        </w:trPr>
        <w:tc>
          <w:tcPr>
            <w:tcW w:w="709" w:type="dxa"/>
            <w:tcBorders>
              <w:top w:val="single" w:color="auto" w:sz="4" w:space="0"/>
              <w:left w:val="single" w:color="auto" w:sz="4" w:space="0"/>
              <w:bottom w:val="single" w:color="auto" w:sz="4" w:space="0"/>
              <w:right w:val="single" w:color="auto" w:sz="4" w:space="0"/>
            </w:tcBorders>
            <w:noWrap/>
            <w:vAlign w:val="center"/>
          </w:tcPr>
          <w:p w14:paraId="2FAA5576">
            <w:pPr>
              <w:jc w:val="center"/>
              <w:rPr>
                <w:rFonts w:ascii="宋体" w:hAnsi="宋体" w:cs="宋体"/>
                <w:color w:val="auto"/>
                <w:szCs w:val="21"/>
              </w:rPr>
            </w:pPr>
            <w:r>
              <w:rPr>
                <w:rFonts w:hint="eastAsia" w:ascii="宋体" w:hAnsi="宋体" w:cs="宋体"/>
                <w:color w:val="auto"/>
                <w:szCs w:val="21"/>
              </w:rPr>
              <w:t>1</w:t>
            </w:r>
          </w:p>
        </w:tc>
        <w:tc>
          <w:tcPr>
            <w:tcW w:w="1880" w:type="dxa"/>
            <w:tcBorders>
              <w:top w:val="single" w:color="auto" w:sz="4" w:space="0"/>
              <w:left w:val="single" w:color="auto" w:sz="4" w:space="0"/>
              <w:bottom w:val="single" w:color="auto" w:sz="4" w:space="0"/>
              <w:right w:val="single" w:color="auto" w:sz="4" w:space="0"/>
            </w:tcBorders>
            <w:noWrap/>
            <w:vAlign w:val="center"/>
          </w:tcPr>
          <w:p w14:paraId="38F01CB5">
            <w:pPr>
              <w:jc w:val="center"/>
              <w:rPr>
                <w:rFonts w:ascii="宋体" w:hAnsi="宋体" w:cs="宋体"/>
                <w:color w:val="auto"/>
                <w:szCs w:val="21"/>
              </w:rPr>
            </w:pPr>
          </w:p>
        </w:tc>
        <w:tc>
          <w:tcPr>
            <w:tcW w:w="813" w:type="dxa"/>
            <w:tcBorders>
              <w:top w:val="single" w:color="auto" w:sz="4" w:space="0"/>
              <w:left w:val="single" w:color="auto" w:sz="4" w:space="0"/>
              <w:bottom w:val="single" w:color="auto" w:sz="4" w:space="0"/>
              <w:right w:val="single" w:color="auto" w:sz="4" w:space="0"/>
            </w:tcBorders>
            <w:noWrap/>
            <w:vAlign w:val="center"/>
          </w:tcPr>
          <w:p w14:paraId="15FA6D5A">
            <w:pPr>
              <w:jc w:val="center"/>
              <w:rPr>
                <w:rFonts w:ascii="宋体" w:hAnsi="宋体" w:cs="宋体"/>
                <w:color w:val="auto"/>
                <w:szCs w:val="21"/>
              </w:rPr>
            </w:pPr>
          </w:p>
        </w:tc>
        <w:tc>
          <w:tcPr>
            <w:tcW w:w="709" w:type="dxa"/>
            <w:tcBorders>
              <w:top w:val="single" w:color="auto" w:sz="4" w:space="0"/>
              <w:left w:val="single" w:color="auto" w:sz="4" w:space="0"/>
              <w:bottom w:val="single" w:color="auto" w:sz="4" w:space="0"/>
              <w:right w:val="single" w:color="auto" w:sz="4" w:space="0"/>
            </w:tcBorders>
            <w:noWrap/>
            <w:vAlign w:val="center"/>
          </w:tcPr>
          <w:p w14:paraId="57572BB9">
            <w:pPr>
              <w:jc w:val="center"/>
              <w:rPr>
                <w:rFonts w:ascii="宋体" w:hAnsi="宋体" w:cs="宋体"/>
                <w:color w:val="auto"/>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14:paraId="74785112">
            <w:pPr>
              <w:spacing w:line="300" w:lineRule="exact"/>
              <w:jc w:val="center"/>
              <w:rPr>
                <w:rFonts w:ascii="宋体" w:hAnsi="宋体"/>
                <w:b/>
                <w:bCs/>
                <w:color w:val="auto"/>
              </w:rPr>
            </w:pPr>
          </w:p>
        </w:tc>
        <w:tc>
          <w:tcPr>
            <w:tcW w:w="1985" w:type="dxa"/>
            <w:tcBorders>
              <w:top w:val="single" w:color="auto" w:sz="4" w:space="0"/>
              <w:left w:val="single" w:color="auto" w:sz="4" w:space="0"/>
              <w:bottom w:val="single" w:color="auto" w:sz="4" w:space="0"/>
              <w:right w:val="single" w:color="auto" w:sz="4" w:space="0"/>
            </w:tcBorders>
            <w:noWrap/>
            <w:vAlign w:val="center"/>
          </w:tcPr>
          <w:p w14:paraId="456EAF7A">
            <w:pPr>
              <w:spacing w:line="300" w:lineRule="exact"/>
              <w:jc w:val="center"/>
              <w:rPr>
                <w:rFonts w:ascii="宋体" w:hAnsi="宋体"/>
                <w:b/>
                <w:bCs/>
                <w:color w:val="auto"/>
              </w:rPr>
            </w:pPr>
          </w:p>
        </w:tc>
        <w:tc>
          <w:tcPr>
            <w:tcW w:w="1327" w:type="dxa"/>
            <w:tcBorders>
              <w:top w:val="single" w:color="auto" w:sz="4" w:space="0"/>
              <w:bottom w:val="single" w:color="auto" w:sz="4" w:space="0"/>
            </w:tcBorders>
            <w:noWrap/>
            <w:vAlign w:val="center"/>
          </w:tcPr>
          <w:p w14:paraId="29A23813">
            <w:pPr>
              <w:spacing w:line="300" w:lineRule="exact"/>
              <w:jc w:val="center"/>
              <w:rPr>
                <w:rFonts w:ascii="宋体" w:hAnsi="宋体"/>
                <w:b/>
                <w:bCs/>
                <w:color w:val="auto"/>
              </w:rPr>
            </w:pPr>
          </w:p>
        </w:tc>
      </w:tr>
      <w:tr w14:paraId="524E8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2" w:hRule="atLeast"/>
        </w:trPr>
        <w:tc>
          <w:tcPr>
            <w:tcW w:w="9124" w:type="dxa"/>
            <w:gridSpan w:val="7"/>
            <w:tcBorders>
              <w:top w:val="single" w:color="auto" w:sz="4" w:space="0"/>
              <w:left w:val="single" w:color="auto" w:sz="4" w:space="0"/>
              <w:bottom w:val="single" w:color="auto" w:sz="4" w:space="0"/>
            </w:tcBorders>
            <w:noWrap/>
            <w:vAlign w:val="center"/>
          </w:tcPr>
          <w:p w14:paraId="39D0F1FF">
            <w:pPr>
              <w:spacing w:line="300" w:lineRule="exact"/>
              <w:jc w:val="left"/>
              <w:rPr>
                <w:rFonts w:ascii="宋体" w:hAnsi="宋体"/>
                <w:b/>
                <w:bCs/>
                <w:color w:val="auto"/>
              </w:rPr>
            </w:pPr>
            <w:r>
              <w:rPr>
                <w:rFonts w:hint="eastAsia" w:ascii="宋体" w:hAnsi="宋体"/>
                <w:color w:val="auto"/>
                <w:spacing w:val="-6"/>
              </w:rPr>
              <w:t>磋商总</w:t>
            </w:r>
            <w:r>
              <w:rPr>
                <w:rFonts w:ascii="宋体" w:hAnsi="宋体"/>
                <w:color w:val="auto"/>
                <w:spacing w:val="-6"/>
              </w:rPr>
              <w:t xml:space="preserve">报价（大写）：                     </w:t>
            </w:r>
            <w:r>
              <w:rPr>
                <w:rFonts w:hint="eastAsia" w:ascii="宋体" w:hAnsi="宋体"/>
                <w:color w:val="auto"/>
                <w:spacing w:val="-6"/>
              </w:rPr>
              <w:t>元</w:t>
            </w:r>
            <w:r>
              <w:rPr>
                <w:rFonts w:ascii="宋体" w:hAnsi="宋体"/>
                <w:color w:val="auto"/>
                <w:spacing w:val="-6"/>
              </w:rPr>
              <w:t>人民币（￥                      ）</w:t>
            </w:r>
          </w:p>
        </w:tc>
      </w:tr>
      <w:tr w14:paraId="0422B7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2" w:hRule="atLeast"/>
        </w:trPr>
        <w:tc>
          <w:tcPr>
            <w:tcW w:w="9124" w:type="dxa"/>
            <w:gridSpan w:val="7"/>
            <w:tcBorders>
              <w:top w:val="single" w:color="auto" w:sz="4" w:space="0"/>
              <w:left w:val="single" w:color="auto" w:sz="4" w:space="0"/>
              <w:bottom w:val="single" w:color="auto" w:sz="4" w:space="0"/>
            </w:tcBorders>
            <w:noWrap/>
            <w:vAlign w:val="center"/>
          </w:tcPr>
          <w:p w14:paraId="76196171">
            <w:pPr>
              <w:spacing w:line="300" w:lineRule="exact"/>
              <w:rPr>
                <w:rFonts w:ascii="宋体" w:hAnsi="宋体"/>
                <w:color w:val="auto"/>
                <w:spacing w:val="-6"/>
              </w:rPr>
            </w:pPr>
            <w:r>
              <w:rPr>
                <w:rFonts w:hint="eastAsia" w:ascii="宋体" w:hAnsi="宋体"/>
                <w:color w:val="auto"/>
                <w:spacing w:val="-6"/>
              </w:rPr>
              <w:t>服务时间:</w:t>
            </w:r>
          </w:p>
        </w:tc>
      </w:tr>
      <w:tr w14:paraId="50F9E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7" w:hRule="atLeast"/>
        </w:trPr>
        <w:tc>
          <w:tcPr>
            <w:tcW w:w="9124" w:type="dxa"/>
            <w:gridSpan w:val="7"/>
            <w:tcBorders>
              <w:top w:val="single" w:color="auto" w:sz="4" w:space="0"/>
              <w:left w:val="single" w:color="auto" w:sz="4" w:space="0"/>
              <w:bottom w:val="single" w:color="auto" w:sz="4" w:space="0"/>
            </w:tcBorders>
            <w:noWrap/>
            <w:vAlign w:val="center"/>
          </w:tcPr>
          <w:p w14:paraId="35DF6411">
            <w:pPr>
              <w:spacing w:line="340" w:lineRule="exact"/>
              <w:rPr>
                <w:rFonts w:ascii="宋体" w:hAnsi="宋体"/>
                <w:b/>
                <w:bCs/>
                <w:color w:val="auto"/>
              </w:rPr>
            </w:pPr>
            <w:r>
              <w:rPr>
                <w:rFonts w:hint="eastAsia" w:ascii="宋体" w:hAnsi="宋体"/>
                <w:color w:val="auto"/>
              </w:rPr>
              <w:t>说明：磋商报价包括本次采购服务范围内的服务所需耗材、人工费、管理费用、专用工具、保险、报送、验收、维护、税金、政策性文件规定及合同包含的所有风险等全部费用的总和；供应商应综合考虑在报价中</w:t>
            </w:r>
            <w:r>
              <w:rPr>
                <w:rFonts w:hint="eastAsia" w:ascii="宋体" w:hAnsi="宋体" w:cs="宋体"/>
                <w:color w:val="auto"/>
              </w:rPr>
              <w:t>。</w:t>
            </w:r>
          </w:p>
        </w:tc>
      </w:tr>
    </w:tbl>
    <w:p w14:paraId="582404B6">
      <w:pPr>
        <w:spacing w:line="340" w:lineRule="exact"/>
        <w:rPr>
          <w:rFonts w:ascii="宋体" w:hAnsi="宋体" w:cs="宋体"/>
          <w:color w:val="auto"/>
          <w:szCs w:val="21"/>
        </w:rPr>
      </w:pPr>
    </w:p>
    <w:p w14:paraId="2264CB0A">
      <w:pPr>
        <w:spacing w:line="340" w:lineRule="exact"/>
        <w:rPr>
          <w:rFonts w:ascii="宋体" w:hAnsi="宋体" w:cs="宋体"/>
          <w:color w:val="auto"/>
          <w:szCs w:val="21"/>
          <w:u w:val="single"/>
        </w:rPr>
      </w:pPr>
      <w:r>
        <w:rPr>
          <w:rFonts w:hint="eastAsia" w:ascii="宋体" w:hAnsi="宋体" w:cs="宋体"/>
          <w:color w:val="auto"/>
          <w:szCs w:val="21"/>
        </w:rPr>
        <w:t>供应商（CA证书签章，自然人除外）：</w:t>
      </w:r>
    </w:p>
    <w:p w14:paraId="14D17ABE">
      <w:pPr>
        <w:spacing w:line="340" w:lineRule="exact"/>
        <w:rPr>
          <w:rFonts w:ascii="宋体" w:hAnsi="宋体" w:cs="宋体"/>
          <w:color w:val="auto"/>
          <w:szCs w:val="21"/>
          <w:u w:val="single"/>
        </w:rPr>
      </w:pPr>
      <w:r>
        <w:rPr>
          <w:rFonts w:hint="eastAsia" w:ascii="宋体" w:hAnsi="宋体" w:cs="宋体"/>
          <w:color w:val="auto"/>
        </w:rPr>
        <w:t>法定代表人、负责人、自然人或相应的委托代理人签字或个人CA证书签章（属自然人的应在签名处加盖食指指印或个人CA证书签章）：</w:t>
      </w:r>
    </w:p>
    <w:p w14:paraId="0C8A3776">
      <w:pPr>
        <w:tabs>
          <w:tab w:val="left" w:pos="1305"/>
        </w:tabs>
        <w:spacing w:line="340" w:lineRule="exact"/>
        <w:rPr>
          <w:rFonts w:ascii="宋体" w:hAnsi="宋体" w:cs="宋体"/>
          <w:bCs/>
          <w:color w:val="auto"/>
          <w:szCs w:val="21"/>
        </w:rPr>
      </w:pPr>
    </w:p>
    <w:p w14:paraId="4E89DF0C">
      <w:pPr>
        <w:tabs>
          <w:tab w:val="left" w:pos="1305"/>
        </w:tabs>
        <w:spacing w:line="340" w:lineRule="exact"/>
        <w:rPr>
          <w:rFonts w:ascii="宋体" w:hAnsi="宋体" w:cs="宋体"/>
          <w:bCs/>
          <w:color w:val="auto"/>
          <w:szCs w:val="21"/>
        </w:rPr>
      </w:pPr>
      <w:r>
        <w:rPr>
          <w:rFonts w:hint="eastAsia" w:ascii="宋体" w:hAnsi="宋体" w:cs="宋体"/>
          <w:bCs/>
          <w:color w:val="auto"/>
          <w:szCs w:val="21"/>
        </w:rPr>
        <w:t>注</w:t>
      </w:r>
      <w:r>
        <w:rPr>
          <w:rFonts w:hint="eastAsia" w:ascii="宋体" w:hAnsi="宋体" w:cs="宋体"/>
          <w:b/>
          <w:bCs/>
          <w:color w:val="auto"/>
          <w:szCs w:val="21"/>
        </w:rPr>
        <w:t>：</w:t>
      </w:r>
      <w:r>
        <w:rPr>
          <w:rFonts w:hint="eastAsia" w:ascii="宋体" w:hAnsi="宋体" w:cs="宋体"/>
          <w:bCs/>
          <w:color w:val="auto"/>
          <w:szCs w:val="21"/>
        </w:rPr>
        <w:t>1.各</w:t>
      </w:r>
      <w:r>
        <w:rPr>
          <w:rFonts w:hint="eastAsia" w:ascii="宋体" w:hAnsi="宋体" w:cs="宋体"/>
          <w:color w:val="auto"/>
          <w:szCs w:val="21"/>
        </w:rPr>
        <w:t>供应商必须作完整唯一报价，否则，其投标将被拒绝。响应文件只允许有一个报价。</w:t>
      </w:r>
    </w:p>
    <w:p w14:paraId="3A22F745">
      <w:pPr>
        <w:pStyle w:val="17"/>
        <w:spacing w:line="360" w:lineRule="exact"/>
        <w:ind w:firstLine="420" w:firstLineChars="200"/>
        <w:rPr>
          <w:rFonts w:hAnsi="宋体" w:cs="宋体"/>
          <w:color w:val="auto"/>
          <w:szCs w:val="21"/>
        </w:rPr>
      </w:pPr>
      <w:r>
        <w:rPr>
          <w:rFonts w:hint="eastAsia" w:hAnsi="宋体" w:cs="宋体"/>
          <w:color w:val="auto"/>
          <w:szCs w:val="21"/>
        </w:rPr>
        <w:t>2.供应商应根据所投项目如实填写磋商单项单价报价表</w:t>
      </w:r>
      <w:r>
        <w:rPr>
          <w:rFonts w:hint="eastAsia" w:hAnsi="宋体" w:cs="宋体"/>
          <w:bCs/>
          <w:color w:val="auto"/>
          <w:szCs w:val="21"/>
        </w:rPr>
        <w:t>的各项内容。</w:t>
      </w:r>
    </w:p>
    <w:p w14:paraId="208BE8DE">
      <w:pPr>
        <w:ind w:firstLine="420" w:firstLineChars="200"/>
        <w:rPr>
          <w:rFonts w:ascii="宋体" w:hAnsi="宋体" w:cs="宋体"/>
          <w:b/>
          <w:bCs/>
          <w:color w:val="auto"/>
          <w:sz w:val="32"/>
          <w:szCs w:val="32"/>
        </w:rPr>
      </w:pPr>
      <w:r>
        <w:rPr>
          <w:rFonts w:hint="eastAsia" w:ascii="宋体" w:hAnsi="宋体" w:cs="宋体"/>
          <w:color w:val="auto"/>
          <w:szCs w:val="21"/>
        </w:rPr>
        <w:t>3.</w:t>
      </w:r>
      <w:r>
        <w:rPr>
          <w:rFonts w:hint="eastAsia" w:ascii="宋体" w:hAnsi="宋体" w:cs="宋体"/>
          <w:color w:val="auto"/>
        </w:rPr>
        <w:t>磋商单项单价报价表须由法定代表人负责人、自然人或相应的委托代理人签字或个人CA证书签章（属自然人的应在签名处加盖食指指印或个人CA证书签章）并加盖供应商CA证书签章（自然人除外）。</w:t>
      </w:r>
      <w:r>
        <w:rPr>
          <w:rFonts w:hint="eastAsia" w:ascii="宋体" w:hAnsi="宋体" w:cs="宋体"/>
          <w:b/>
          <w:color w:val="auto"/>
        </w:rPr>
        <w:t>当本表由多页构成时，需逐页加盖供应商CA证书签章（属自然人的须逐页签字或个人CA证书签章）</w:t>
      </w:r>
    </w:p>
    <w:p w14:paraId="5CE640AF">
      <w:pPr>
        <w:rPr>
          <w:rFonts w:ascii="宋体" w:hAnsi="宋体" w:cs="宋体"/>
          <w:b/>
          <w:bCs/>
          <w:color w:val="auto"/>
          <w:sz w:val="32"/>
          <w:szCs w:val="32"/>
        </w:rPr>
      </w:pPr>
    </w:p>
    <w:p w14:paraId="5EA9908B">
      <w:pPr>
        <w:pStyle w:val="11"/>
        <w:rPr>
          <w:rFonts w:ascii="宋体" w:hAnsi="宋体" w:cs="宋体"/>
          <w:color w:val="auto"/>
        </w:rPr>
        <w:sectPr>
          <w:pgSz w:w="11906" w:h="16838"/>
          <w:pgMar w:top="1440" w:right="935" w:bottom="1440" w:left="777" w:header="851" w:footer="992" w:gutter="0"/>
          <w:cols w:space="720" w:num="1"/>
          <w:docGrid w:type="linesAndChars" w:linePitch="312" w:charSpace="0"/>
        </w:sectPr>
      </w:pPr>
    </w:p>
    <w:p w14:paraId="25593167">
      <w:pPr>
        <w:pStyle w:val="17"/>
        <w:spacing w:line="340" w:lineRule="exact"/>
        <w:rPr>
          <w:rFonts w:hAnsi="宋体" w:cs="宋体"/>
          <w:b/>
          <w:color w:val="auto"/>
          <w:sz w:val="28"/>
          <w:szCs w:val="28"/>
        </w:rPr>
      </w:pPr>
      <w:r>
        <w:rPr>
          <w:rFonts w:hint="eastAsia" w:hAnsi="宋体" w:cs="宋体"/>
          <w:b/>
          <w:color w:val="auto"/>
          <w:sz w:val="28"/>
          <w:szCs w:val="28"/>
        </w:rPr>
        <w:t>3、</w:t>
      </w:r>
      <w:r>
        <w:rPr>
          <w:rFonts w:hint="eastAsia" w:hAnsi="宋体" w:cs="宋体"/>
          <w:b/>
          <w:bCs/>
          <w:color w:val="auto"/>
          <w:sz w:val="32"/>
          <w:szCs w:val="32"/>
        </w:rPr>
        <w:t>服务采购要求响应偏离表</w:t>
      </w:r>
      <w:r>
        <w:rPr>
          <w:rFonts w:hint="eastAsia" w:hAnsi="宋体" w:cs="宋体"/>
          <w:b/>
          <w:color w:val="auto"/>
          <w:sz w:val="28"/>
          <w:szCs w:val="28"/>
        </w:rPr>
        <w:t>（格式见附件）(必须提供)；</w:t>
      </w:r>
    </w:p>
    <w:p w14:paraId="16353BD3">
      <w:pPr>
        <w:rPr>
          <w:rFonts w:ascii="宋体" w:hAnsi="宋体" w:cs="宋体"/>
          <w:color w:val="auto"/>
        </w:rPr>
      </w:pPr>
    </w:p>
    <w:p w14:paraId="0AC58FCF">
      <w:pPr>
        <w:spacing w:line="660" w:lineRule="exact"/>
        <w:jc w:val="center"/>
        <w:rPr>
          <w:rFonts w:ascii="宋体" w:hAnsi="宋体" w:cs="宋体"/>
          <w:b/>
          <w:bCs/>
          <w:color w:val="auto"/>
          <w:sz w:val="32"/>
        </w:rPr>
      </w:pPr>
      <w:r>
        <w:rPr>
          <w:rFonts w:hint="eastAsia" w:ascii="宋体" w:hAnsi="宋体" w:cs="宋体"/>
          <w:b/>
          <w:bCs/>
          <w:color w:val="auto"/>
          <w:sz w:val="32"/>
          <w:szCs w:val="32"/>
        </w:rPr>
        <w:t>服务采购要求响应偏离表</w:t>
      </w:r>
      <w:r>
        <w:rPr>
          <w:rFonts w:hint="eastAsia" w:ascii="宋体" w:hAnsi="宋体" w:cs="宋体"/>
          <w:b/>
          <w:bCs/>
          <w:color w:val="auto"/>
          <w:sz w:val="32"/>
        </w:rPr>
        <w:t>（格式）</w:t>
      </w:r>
    </w:p>
    <w:tbl>
      <w:tblPr>
        <w:tblStyle w:val="29"/>
        <w:tblW w:w="0" w:type="auto"/>
        <w:tblInd w:w="102" w:type="dxa"/>
        <w:tblLayout w:type="fixed"/>
        <w:tblCellMar>
          <w:top w:w="0" w:type="dxa"/>
          <w:left w:w="0" w:type="dxa"/>
          <w:bottom w:w="0" w:type="dxa"/>
          <w:right w:w="0" w:type="dxa"/>
        </w:tblCellMar>
      </w:tblPr>
      <w:tblGrid>
        <w:gridCol w:w="851"/>
        <w:gridCol w:w="1600"/>
        <w:gridCol w:w="2408"/>
        <w:gridCol w:w="2490"/>
        <w:gridCol w:w="1936"/>
      </w:tblGrid>
      <w:tr w14:paraId="0C06AEE9">
        <w:tblPrEx>
          <w:tblCellMar>
            <w:top w:w="0" w:type="dxa"/>
            <w:left w:w="0" w:type="dxa"/>
            <w:bottom w:w="0" w:type="dxa"/>
            <w:right w:w="0" w:type="dxa"/>
          </w:tblCellMar>
        </w:tblPrEx>
        <w:trPr>
          <w:trHeight w:val="796" w:hRule="exact"/>
        </w:trPr>
        <w:tc>
          <w:tcPr>
            <w:tcW w:w="851" w:type="dxa"/>
            <w:tcBorders>
              <w:top w:val="single" w:color="000000" w:sz="4" w:space="0"/>
              <w:left w:val="single" w:color="000000" w:sz="4" w:space="0"/>
              <w:bottom w:val="single" w:color="000000" w:sz="4" w:space="0"/>
              <w:right w:val="single" w:color="000000" w:sz="4" w:space="0"/>
            </w:tcBorders>
            <w:noWrap/>
          </w:tcPr>
          <w:p w14:paraId="2EFF2384">
            <w:pPr>
              <w:pStyle w:val="56"/>
              <w:spacing w:before="13"/>
              <w:rPr>
                <w:color w:val="auto"/>
                <w:sz w:val="14"/>
                <w:szCs w:val="14"/>
                <w:lang w:eastAsia="zh-CN"/>
              </w:rPr>
            </w:pPr>
          </w:p>
          <w:p w14:paraId="0F3834CA">
            <w:pPr>
              <w:pStyle w:val="56"/>
              <w:ind w:left="289"/>
              <w:rPr>
                <w:color w:val="auto"/>
                <w:szCs w:val="21"/>
              </w:rPr>
            </w:pPr>
            <w:r>
              <w:rPr>
                <w:color w:val="auto"/>
                <w:szCs w:val="21"/>
              </w:rPr>
              <w:t>序号</w:t>
            </w:r>
          </w:p>
        </w:tc>
        <w:tc>
          <w:tcPr>
            <w:tcW w:w="1600" w:type="dxa"/>
            <w:tcBorders>
              <w:top w:val="single" w:color="000000" w:sz="4" w:space="0"/>
              <w:left w:val="single" w:color="000000" w:sz="4" w:space="0"/>
              <w:bottom w:val="single" w:color="000000" w:sz="4" w:space="0"/>
              <w:right w:val="single" w:color="000000" w:sz="4" w:space="0"/>
            </w:tcBorders>
            <w:noWrap/>
          </w:tcPr>
          <w:p w14:paraId="799DEBA1">
            <w:pPr>
              <w:pStyle w:val="56"/>
              <w:spacing w:before="13"/>
              <w:rPr>
                <w:color w:val="auto"/>
                <w:sz w:val="14"/>
                <w:szCs w:val="14"/>
              </w:rPr>
            </w:pPr>
          </w:p>
          <w:p w14:paraId="57D316A3">
            <w:pPr>
              <w:pStyle w:val="56"/>
              <w:rPr>
                <w:color w:val="auto"/>
                <w:szCs w:val="21"/>
              </w:rPr>
            </w:pPr>
            <w:r>
              <w:rPr>
                <w:rFonts w:hint="eastAsia"/>
                <w:color w:val="auto"/>
                <w:szCs w:val="21"/>
              </w:rPr>
              <w:t>服务需求内容</w:t>
            </w:r>
          </w:p>
        </w:tc>
        <w:tc>
          <w:tcPr>
            <w:tcW w:w="2408" w:type="dxa"/>
            <w:tcBorders>
              <w:top w:val="single" w:color="000000" w:sz="4" w:space="0"/>
              <w:left w:val="single" w:color="000000" w:sz="4" w:space="0"/>
              <w:bottom w:val="single" w:color="000000" w:sz="4" w:space="0"/>
              <w:right w:val="single" w:color="000000" w:sz="4" w:space="0"/>
            </w:tcBorders>
            <w:noWrap/>
          </w:tcPr>
          <w:p w14:paraId="69983B56">
            <w:pPr>
              <w:pStyle w:val="56"/>
              <w:spacing w:before="167"/>
              <w:rPr>
                <w:color w:val="auto"/>
                <w:szCs w:val="21"/>
                <w:lang w:eastAsia="zh-CN"/>
              </w:rPr>
            </w:pPr>
            <w:r>
              <w:rPr>
                <w:rFonts w:hint="eastAsia"/>
                <w:color w:val="auto"/>
                <w:szCs w:val="21"/>
                <w:lang w:eastAsia="zh-CN"/>
              </w:rPr>
              <w:t>磋商文件</w:t>
            </w:r>
            <w:r>
              <w:rPr>
                <w:color w:val="auto"/>
                <w:szCs w:val="21"/>
                <w:lang w:eastAsia="zh-CN"/>
              </w:rPr>
              <w:t>项目要求及技术需求</w:t>
            </w:r>
          </w:p>
        </w:tc>
        <w:tc>
          <w:tcPr>
            <w:tcW w:w="2490" w:type="dxa"/>
            <w:tcBorders>
              <w:top w:val="single" w:color="000000" w:sz="4" w:space="0"/>
              <w:left w:val="single" w:color="000000" w:sz="4" w:space="0"/>
              <w:bottom w:val="single" w:color="000000" w:sz="4" w:space="0"/>
              <w:right w:val="single" w:color="000000" w:sz="4" w:space="0"/>
            </w:tcBorders>
            <w:noWrap/>
          </w:tcPr>
          <w:p w14:paraId="6FFC303B">
            <w:pPr>
              <w:pStyle w:val="56"/>
              <w:spacing w:before="167"/>
              <w:ind w:left="308"/>
              <w:rPr>
                <w:color w:val="auto"/>
                <w:szCs w:val="21"/>
              </w:rPr>
            </w:pPr>
            <w:r>
              <w:rPr>
                <w:rFonts w:hint="eastAsia"/>
                <w:color w:val="auto"/>
                <w:szCs w:val="21"/>
              </w:rPr>
              <w:t>响应文件</w:t>
            </w:r>
            <w:r>
              <w:rPr>
                <w:color w:val="auto"/>
                <w:szCs w:val="21"/>
              </w:rPr>
              <w:t>的响应情况</w:t>
            </w:r>
          </w:p>
        </w:tc>
        <w:tc>
          <w:tcPr>
            <w:tcW w:w="1936" w:type="dxa"/>
            <w:tcBorders>
              <w:top w:val="single" w:color="000000" w:sz="4" w:space="0"/>
              <w:left w:val="single" w:color="000000" w:sz="4" w:space="0"/>
              <w:bottom w:val="single" w:color="000000" w:sz="4" w:space="0"/>
              <w:right w:val="single" w:color="000000" w:sz="4" w:space="0"/>
            </w:tcBorders>
            <w:noWrap/>
          </w:tcPr>
          <w:p w14:paraId="09068144">
            <w:pPr>
              <w:pStyle w:val="56"/>
              <w:spacing w:before="13"/>
              <w:rPr>
                <w:color w:val="auto"/>
                <w:sz w:val="14"/>
                <w:szCs w:val="14"/>
              </w:rPr>
            </w:pPr>
          </w:p>
          <w:p w14:paraId="2775B9B4">
            <w:pPr>
              <w:pStyle w:val="56"/>
              <w:rPr>
                <w:color w:val="auto"/>
                <w:szCs w:val="21"/>
              </w:rPr>
            </w:pPr>
            <w:r>
              <w:rPr>
                <w:color w:val="auto"/>
                <w:szCs w:val="21"/>
              </w:rPr>
              <w:t>偏离情况说明</w:t>
            </w:r>
          </w:p>
        </w:tc>
      </w:tr>
      <w:tr w14:paraId="0F255482">
        <w:tblPrEx>
          <w:tblCellMar>
            <w:top w:w="0" w:type="dxa"/>
            <w:left w:w="0" w:type="dxa"/>
            <w:bottom w:w="0" w:type="dxa"/>
            <w:right w:w="0" w:type="dxa"/>
          </w:tblCellMar>
        </w:tblPrEx>
        <w:trPr>
          <w:trHeight w:val="610" w:hRule="exact"/>
        </w:trPr>
        <w:tc>
          <w:tcPr>
            <w:tcW w:w="851" w:type="dxa"/>
            <w:tcBorders>
              <w:top w:val="single" w:color="000000" w:sz="4" w:space="0"/>
              <w:left w:val="single" w:color="000000" w:sz="4" w:space="0"/>
              <w:bottom w:val="single" w:color="000000" w:sz="4" w:space="0"/>
              <w:right w:val="single" w:color="000000" w:sz="4" w:space="0"/>
            </w:tcBorders>
            <w:noWrap/>
            <w:vAlign w:val="center"/>
          </w:tcPr>
          <w:p w14:paraId="395E1444">
            <w:pPr>
              <w:pStyle w:val="56"/>
              <w:spacing w:before="130"/>
              <w:jc w:val="center"/>
              <w:rPr>
                <w:color w:val="auto"/>
                <w:szCs w:val="21"/>
              </w:rPr>
            </w:pPr>
            <w:r>
              <w:rPr>
                <w:color w:val="auto"/>
                <w:w w:val="99"/>
              </w:rPr>
              <w:t>1</w:t>
            </w:r>
          </w:p>
        </w:tc>
        <w:tc>
          <w:tcPr>
            <w:tcW w:w="1600" w:type="dxa"/>
            <w:tcBorders>
              <w:top w:val="single" w:color="000000" w:sz="4" w:space="0"/>
              <w:left w:val="single" w:color="000000" w:sz="4" w:space="0"/>
              <w:bottom w:val="single" w:color="000000" w:sz="4" w:space="0"/>
              <w:right w:val="single" w:color="000000" w:sz="4" w:space="0"/>
            </w:tcBorders>
            <w:noWrap/>
          </w:tcPr>
          <w:p w14:paraId="698E6D61">
            <w:pPr>
              <w:rPr>
                <w:color w:val="auto"/>
              </w:rPr>
            </w:pPr>
            <w:r>
              <w:rPr>
                <w:rFonts w:hint="eastAsia"/>
                <w:color w:val="auto"/>
              </w:rPr>
              <w:t>一、</w:t>
            </w:r>
          </w:p>
        </w:tc>
        <w:tc>
          <w:tcPr>
            <w:tcW w:w="2408" w:type="dxa"/>
            <w:tcBorders>
              <w:top w:val="single" w:color="000000" w:sz="4" w:space="0"/>
              <w:left w:val="single" w:color="000000" w:sz="4" w:space="0"/>
              <w:bottom w:val="single" w:color="000000" w:sz="4" w:space="0"/>
              <w:right w:val="single" w:color="000000" w:sz="4" w:space="0"/>
            </w:tcBorders>
            <w:noWrap/>
          </w:tcPr>
          <w:p w14:paraId="51C9389B">
            <w:pPr>
              <w:rPr>
                <w:color w:val="auto"/>
              </w:rPr>
            </w:pPr>
          </w:p>
        </w:tc>
        <w:tc>
          <w:tcPr>
            <w:tcW w:w="2490" w:type="dxa"/>
            <w:tcBorders>
              <w:top w:val="single" w:color="000000" w:sz="4" w:space="0"/>
              <w:left w:val="single" w:color="000000" w:sz="4" w:space="0"/>
              <w:bottom w:val="single" w:color="000000" w:sz="4" w:space="0"/>
              <w:right w:val="single" w:color="000000" w:sz="4" w:space="0"/>
            </w:tcBorders>
            <w:noWrap/>
          </w:tcPr>
          <w:p w14:paraId="5145113D">
            <w:pPr>
              <w:rPr>
                <w:color w:val="auto"/>
              </w:rPr>
            </w:pPr>
          </w:p>
        </w:tc>
        <w:tc>
          <w:tcPr>
            <w:tcW w:w="1936" w:type="dxa"/>
            <w:tcBorders>
              <w:top w:val="single" w:color="000000" w:sz="4" w:space="0"/>
              <w:left w:val="single" w:color="000000" w:sz="4" w:space="0"/>
              <w:bottom w:val="single" w:color="000000" w:sz="4" w:space="0"/>
              <w:right w:val="single" w:color="000000" w:sz="4" w:space="0"/>
            </w:tcBorders>
            <w:noWrap/>
          </w:tcPr>
          <w:p w14:paraId="3986DD10">
            <w:pPr>
              <w:rPr>
                <w:color w:val="auto"/>
              </w:rPr>
            </w:pPr>
          </w:p>
        </w:tc>
      </w:tr>
      <w:tr w14:paraId="64105475">
        <w:tblPrEx>
          <w:tblCellMar>
            <w:top w:w="0" w:type="dxa"/>
            <w:left w:w="0" w:type="dxa"/>
            <w:bottom w:w="0" w:type="dxa"/>
            <w:right w:w="0" w:type="dxa"/>
          </w:tblCellMar>
        </w:tblPrEx>
        <w:trPr>
          <w:trHeight w:val="610" w:hRule="exact"/>
        </w:trPr>
        <w:tc>
          <w:tcPr>
            <w:tcW w:w="851" w:type="dxa"/>
            <w:tcBorders>
              <w:top w:val="single" w:color="000000" w:sz="4" w:space="0"/>
              <w:left w:val="single" w:color="000000" w:sz="4" w:space="0"/>
              <w:bottom w:val="single" w:color="000000" w:sz="4" w:space="0"/>
              <w:right w:val="single" w:color="000000" w:sz="4" w:space="0"/>
            </w:tcBorders>
            <w:noWrap/>
            <w:vAlign w:val="center"/>
          </w:tcPr>
          <w:p w14:paraId="32D6EC56">
            <w:pPr>
              <w:jc w:val="center"/>
              <w:rPr>
                <w:color w:val="auto"/>
              </w:rPr>
            </w:pPr>
            <w:r>
              <w:rPr>
                <w:rFonts w:hint="eastAsia"/>
                <w:color w:val="auto"/>
              </w:rPr>
              <w:t>2</w:t>
            </w:r>
          </w:p>
        </w:tc>
        <w:tc>
          <w:tcPr>
            <w:tcW w:w="1600" w:type="dxa"/>
            <w:tcBorders>
              <w:top w:val="single" w:color="000000" w:sz="4" w:space="0"/>
              <w:left w:val="single" w:color="000000" w:sz="4" w:space="0"/>
              <w:bottom w:val="single" w:color="000000" w:sz="4" w:space="0"/>
              <w:right w:val="single" w:color="000000" w:sz="4" w:space="0"/>
            </w:tcBorders>
            <w:noWrap/>
          </w:tcPr>
          <w:p w14:paraId="477AD657">
            <w:pPr>
              <w:rPr>
                <w:color w:val="auto"/>
              </w:rPr>
            </w:pPr>
            <w:r>
              <w:rPr>
                <w:rFonts w:hint="eastAsia"/>
                <w:color w:val="auto"/>
              </w:rPr>
              <w:t>二、</w:t>
            </w:r>
          </w:p>
        </w:tc>
        <w:tc>
          <w:tcPr>
            <w:tcW w:w="2408" w:type="dxa"/>
            <w:tcBorders>
              <w:top w:val="single" w:color="000000" w:sz="4" w:space="0"/>
              <w:left w:val="single" w:color="000000" w:sz="4" w:space="0"/>
              <w:bottom w:val="single" w:color="000000" w:sz="4" w:space="0"/>
              <w:right w:val="single" w:color="000000" w:sz="4" w:space="0"/>
            </w:tcBorders>
            <w:noWrap/>
          </w:tcPr>
          <w:p w14:paraId="7CEF1E81">
            <w:pPr>
              <w:rPr>
                <w:color w:val="auto"/>
              </w:rPr>
            </w:pPr>
          </w:p>
        </w:tc>
        <w:tc>
          <w:tcPr>
            <w:tcW w:w="2490" w:type="dxa"/>
            <w:tcBorders>
              <w:top w:val="single" w:color="000000" w:sz="4" w:space="0"/>
              <w:left w:val="single" w:color="000000" w:sz="4" w:space="0"/>
              <w:bottom w:val="single" w:color="000000" w:sz="4" w:space="0"/>
              <w:right w:val="single" w:color="000000" w:sz="4" w:space="0"/>
            </w:tcBorders>
            <w:noWrap/>
          </w:tcPr>
          <w:p w14:paraId="0208F111">
            <w:pPr>
              <w:rPr>
                <w:color w:val="auto"/>
              </w:rPr>
            </w:pPr>
          </w:p>
        </w:tc>
        <w:tc>
          <w:tcPr>
            <w:tcW w:w="1936" w:type="dxa"/>
            <w:tcBorders>
              <w:top w:val="single" w:color="000000" w:sz="4" w:space="0"/>
              <w:left w:val="single" w:color="000000" w:sz="4" w:space="0"/>
              <w:bottom w:val="single" w:color="000000" w:sz="4" w:space="0"/>
              <w:right w:val="single" w:color="000000" w:sz="4" w:space="0"/>
            </w:tcBorders>
            <w:noWrap/>
          </w:tcPr>
          <w:p w14:paraId="27FA2562">
            <w:pPr>
              <w:rPr>
                <w:color w:val="auto"/>
              </w:rPr>
            </w:pPr>
          </w:p>
        </w:tc>
      </w:tr>
      <w:tr w14:paraId="218A9505">
        <w:tblPrEx>
          <w:tblCellMar>
            <w:top w:w="0" w:type="dxa"/>
            <w:left w:w="0" w:type="dxa"/>
            <w:bottom w:w="0" w:type="dxa"/>
            <w:right w:w="0" w:type="dxa"/>
          </w:tblCellMar>
        </w:tblPrEx>
        <w:trPr>
          <w:trHeight w:val="575" w:hRule="exact"/>
        </w:trPr>
        <w:tc>
          <w:tcPr>
            <w:tcW w:w="851" w:type="dxa"/>
            <w:tcBorders>
              <w:top w:val="single" w:color="000000" w:sz="4" w:space="0"/>
              <w:left w:val="single" w:color="000000" w:sz="4" w:space="0"/>
              <w:bottom w:val="single" w:color="000000" w:sz="4" w:space="0"/>
              <w:right w:val="single" w:color="000000" w:sz="4" w:space="0"/>
            </w:tcBorders>
            <w:noWrap/>
            <w:vAlign w:val="center"/>
          </w:tcPr>
          <w:p w14:paraId="6BC256A9">
            <w:pPr>
              <w:pStyle w:val="56"/>
              <w:spacing w:before="130"/>
              <w:ind w:right="1"/>
              <w:jc w:val="center"/>
              <w:rPr>
                <w:color w:val="auto"/>
                <w:szCs w:val="21"/>
              </w:rPr>
            </w:pPr>
            <w:r>
              <w:rPr>
                <w:rFonts w:hint="eastAsia"/>
                <w:color w:val="auto"/>
                <w:w w:val="99"/>
                <w:szCs w:val="21"/>
              </w:rPr>
              <w:t>3</w:t>
            </w:r>
            <w:r>
              <w:rPr>
                <w:color w:val="auto"/>
                <w:w w:val="99"/>
                <w:szCs w:val="21"/>
              </w:rPr>
              <w:t>…</w:t>
            </w:r>
          </w:p>
        </w:tc>
        <w:tc>
          <w:tcPr>
            <w:tcW w:w="1600" w:type="dxa"/>
            <w:tcBorders>
              <w:top w:val="single" w:color="000000" w:sz="4" w:space="0"/>
              <w:left w:val="single" w:color="000000" w:sz="4" w:space="0"/>
              <w:bottom w:val="single" w:color="000000" w:sz="4" w:space="0"/>
              <w:right w:val="single" w:color="000000" w:sz="4" w:space="0"/>
            </w:tcBorders>
            <w:noWrap/>
          </w:tcPr>
          <w:p w14:paraId="5CFD85F1">
            <w:pPr>
              <w:rPr>
                <w:color w:val="auto"/>
              </w:rPr>
            </w:pPr>
            <w:r>
              <w:rPr>
                <w:rFonts w:hint="eastAsia"/>
                <w:color w:val="auto"/>
              </w:rPr>
              <w:t>三、</w:t>
            </w:r>
          </w:p>
        </w:tc>
        <w:tc>
          <w:tcPr>
            <w:tcW w:w="2408" w:type="dxa"/>
            <w:tcBorders>
              <w:top w:val="single" w:color="000000" w:sz="4" w:space="0"/>
              <w:left w:val="single" w:color="000000" w:sz="4" w:space="0"/>
              <w:bottom w:val="single" w:color="000000" w:sz="4" w:space="0"/>
              <w:right w:val="single" w:color="000000" w:sz="4" w:space="0"/>
            </w:tcBorders>
            <w:noWrap/>
          </w:tcPr>
          <w:p w14:paraId="4DC062F1">
            <w:pPr>
              <w:rPr>
                <w:color w:val="auto"/>
              </w:rPr>
            </w:pPr>
          </w:p>
        </w:tc>
        <w:tc>
          <w:tcPr>
            <w:tcW w:w="2490" w:type="dxa"/>
            <w:tcBorders>
              <w:top w:val="single" w:color="000000" w:sz="4" w:space="0"/>
              <w:left w:val="single" w:color="000000" w:sz="4" w:space="0"/>
              <w:bottom w:val="single" w:color="000000" w:sz="4" w:space="0"/>
              <w:right w:val="single" w:color="000000" w:sz="4" w:space="0"/>
            </w:tcBorders>
            <w:noWrap/>
          </w:tcPr>
          <w:p w14:paraId="76614219">
            <w:pPr>
              <w:rPr>
                <w:color w:val="auto"/>
              </w:rPr>
            </w:pPr>
          </w:p>
        </w:tc>
        <w:tc>
          <w:tcPr>
            <w:tcW w:w="1936" w:type="dxa"/>
            <w:tcBorders>
              <w:top w:val="single" w:color="000000" w:sz="4" w:space="0"/>
              <w:left w:val="single" w:color="000000" w:sz="4" w:space="0"/>
              <w:bottom w:val="single" w:color="000000" w:sz="4" w:space="0"/>
              <w:right w:val="single" w:color="000000" w:sz="4" w:space="0"/>
            </w:tcBorders>
            <w:noWrap/>
          </w:tcPr>
          <w:p w14:paraId="341BDF65">
            <w:pPr>
              <w:rPr>
                <w:color w:val="auto"/>
              </w:rPr>
            </w:pPr>
          </w:p>
        </w:tc>
      </w:tr>
    </w:tbl>
    <w:p w14:paraId="580BF01C">
      <w:pPr>
        <w:snapToGrid w:val="0"/>
        <w:spacing w:line="400" w:lineRule="exact"/>
        <w:ind w:firstLine="420" w:firstLineChars="200"/>
        <w:outlineLvl w:val="4"/>
        <w:rPr>
          <w:rFonts w:ascii="宋体" w:hAnsi="宋体"/>
          <w:color w:val="auto"/>
          <w:szCs w:val="21"/>
        </w:rPr>
      </w:pPr>
    </w:p>
    <w:p w14:paraId="4C44DE45">
      <w:pPr>
        <w:spacing w:line="360" w:lineRule="auto"/>
        <w:ind w:right="-817" w:rightChars="-389"/>
        <w:contextualSpacing/>
        <w:rPr>
          <w:rFonts w:ascii="宋体" w:hAnsi="宋体" w:cs="仿宋_GB2312"/>
          <w:color w:val="auto"/>
          <w:sz w:val="24"/>
        </w:rPr>
      </w:pPr>
    </w:p>
    <w:p w14:paraId="52290D84">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法定代表人或者委托代理人（签字或者盖章或者电子签名）：</w:t>
      </w:r>
    </w:p>
    <w:p w14:paraId="1AE9CC8B">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14:paraId="3B1F8F22">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14:paraId="78817033">
      <w:pPr>
        <w:pStyle w:val="12"/>
        <w:rPr>
          <w:rFonts w:ascii="宋体" w:hAnsi="宋体" w:cs="宋体"/>
          <w:color w:val="auto"/>
        </w:rPr>
      </w:pPr>
    </w:p>
    <w:p w14:paraId="6FF6F65B">
      <w:pPr>
        <w:pStyle w:val="13"/>
        <w:rPr>
          <w:rFonts w:ascii="宋体" w:hAnsi="宋体" w:cs="宋体"/>
          <w:color w:val="auto"/>
        </w:rPr>
      </w:pPr>
    </w:p>
    <w:p w14:paraId="4A8CB9DB">
      <w:pPr>
        <w:pStyle w:val="10"/>
        <w:rPr>
          <w:rFonts w:ascii="宋体" w:hAnsi="宋体" w:cs="宋体"/>
          <w:color w:val="auto"/>
        </w:rPr>
      </w:pPr>
    </w:p>
    <w:p w14:paraId="582CBB4C">
      <w:pPr>
        <w:rPr>
          <w:rFonts w:ascii="宋体" w:hAnsi="宋体" w:cs="宋体"/>
          <w:color w:val="auto"/>
        </w:rPr>
      </w:pPr>
    </w:p>
    <w:p w14:paraId="2EA878DB">
      <w:pPr>
        <w:rPr>
          <w:rFonts w:ascii="宋体" w:hAnsi="宋体" w:cs="宋体"/>
          <w:color w:val="auto"/>
        </w:rPr>
      </w:pPr>
    </w:p>
    <w:p w14:paraId="5467BE40">
      <w:pPr>
        <w:rPr>
          <w:rFonts w:ascii="宋体" w:hAnsi="宋体" w:cs="宋体"/>
          <w:color w:val="auto"/>
        </w:rPr>
      </w:pPr>
    </w:p>
    <w:p w14:paraId="640BB19E">
      <w:pPr>
        <w:rPr>
          <w:rFonts w:ascii="宋体" w:hAnsi="宋体" w:cs="宋体"/>
          <w:color w:val="auto"/>
        </w:rPr>
      </w:pPr>
    </w:p>
    <w:p w14:paraId="5EAB9303">
      <w:pPr>
        <w:rPr>
          <w:rFonts w:ascii="宋体" w:hAnsi="宋体" w:cs="宋体"/>
          <w:color w:val="auto"/>
        </w:rPr>
      </w:pPr>
    </w:p>
    <w:p w14:paraId="264F47B3">
      <w:pPr>
        <w:rPr>
          <w:rFonts w:ascii="宋体" w:hAnsi="宋体" w:cs="宋体"/>
          <w:color w:val="auto"/>
        </w:rPr>
      </w:pPr>
    </w:p>
    <w:p w14:paraId="58EDED78">
      <w:pPr>
        <w:rPr>
          <w:rFonts w:ascii="宋体" w:hAnsi="宋体" w:cs="宋体"/>
          <w:color w:val="auto"/>
        </w:rPr>
      </w:pPr>
    </w:p>
    <w:p w14:paraId="22823A50">
      <w:pPr>
        <w:rPr>
          <w:rFonts w:ascii="宋体" w:hAnsi="宋体" w:cs="宋体"/>
          <w:color w:val="auto"/>
        </w:rPr>
      </w:pPr>
    </w:p>
    <w:p w14:paraId="68FD5E95">
      <w:pPr>
        <w:rPr>
          <w:rFonts w:ascii="宋体" w:hAnsi="宋体" w:cs="宋体"/>
          <w:color w:val="auto"/>
        </w:rPr>
      </w:pPr>
    </w:p>
    <w:p w14:paraId="67FFDA84">
      <w:pPr>
        <w:rPr>
          <w:rFonts w:ascii="宋体" w:hAnsi="宋体" w:cs="宋体"/>
          <w:color w:val="auto"/>
        </w:rPr>
      </w:pPr>
    </w:p>
    <w:p w14:paraId="0E584FC8">
      <w:pPr>
        <w:rPr>
          <w:rFonts w:ascii="宋体" w:hAnsi="宋体" w:cs="宋体"/>
          <w:color w:val="auto"/>
        </w:rPr>
      </w:pPr>
    </w:p>
    <w:p w14:paraId="0D64EAEB">
      <w:pPr>
        <w:rPr>
          <w:rFonts w:ascii="宋体" w:hAnsi="宋体" w:cs="宋体"/>
          <w:color w:val="auto"/>
        </w:rPr>
      </w:pPr>
    </w:p>
    <w:p w14:paraId="47EC52BB">
      <w:pPr>
        <w:rPr>
          <w:rFonts w:ascii="宋体" w:hAnsi="宋体" w:cs="宋体"/>
          <w:color w:val="auto"/>
        </w:rPr>
      </w:pPr>
    </w:p>
    <w:p w14:paraId="46F86CD0">
      <w:pPr>
        <w:rPr>
          <w:rFonts w:ascii="宋体" w:hAnsi="宋体" w:cs="宋体"/>
          <w:color w:val="auto"/>
        </w:rPr>
      </w:pPr>
    </w:p>
    <w:p w14:paraId="72051B4C">
      <w:pPr>
        <w:rPr>
          <w:rFonts w:ascii="宋体" w:hAnsi="宋体" w:cs="宋体"/>
          <w:color w:val="auto"/>
        </w:rPr>
      </w:pPr>
    </w:p>
    <w:p w14:paraId="2CC12040">
      <w:pPr>
        <w:rPr>
          <w:rFonts w:ascii="宋体" w:hAnsi="宋体" w:cs="宋体"/>
          <w:color w:val="auto"/>
        </w:rPr>
      </w:pPr>
    </w:p>
    <w:p w14:paraId="31F4F574">
      <w:pPr>
        <w:rPr>
          <w:rFonts w:ascii="宋体" w:hAnsi="宋体" w:cs="宋体"/>
          <w:color w:val="auto"/>
        </w:rPr>
      </w:pPr>
    </w:p>
    <w:p w14:paraId="1ACC5EBF">
      <w:pPr>
        <w:rPr>
          <w:rFonts w:ascii="宋体" w:hAnsi="宋体" w:cs="宋体"/>
          <w:color w:val="auto"/>
        </w:rPr>
      </w:pPr>
    </w:p>
    <w:p w14:paraId="13C7FCED">
      <w:pPr>
        <w:rPr>
          <w:rFonts w:ascii="宋体" w:hAnsi="宋体" w:cs="宋体"/>
          <w:color w:val="auto"/>
        </w:rPr>
      </w:pPr>
    </w:p>
    <w:p w14:paraId="5C74BEF0">
      <w:pPr>
        <w:rPr>
          <w:rFonts w:ascii="宋体" w:hAnsi="宋体" w:cs="宋体"/>
          <w:color w:val="auto"/>
        </w:rPr>
      </w:pPr>
    </w:p>
    <w:p w14:paraId="3AAA030E">
      <w:pPr>
        <w:pStyle w:val="12"/>
        <w:rPr>
          <w:rFonts w:ascii="宋体" w:hAnsi="宋体" w:cs="宋体"/>
          <w:color w:val="auto"/>
        </w:rPr>
      </w:pPr>
    </w:p>
    <w:p w14:paraId="0167F9A3">
      <w:pPr>
        <w:pStyle w:val="17"/>
        <w:numPr>
          <w:ilvl w:val="0"/>
          <w:numId w:val="2"/>
        </w:numPr>
        <w:spacing w:line="340" w:lineRule="exact"/>
        <w:ind w:firstLine="480"/>
        <w:rPr>
          <w:rFonts w:hAnsi="宋体" w:cs="宋体"/>
          <w:b/>
          <w:bCs/>
          <w:color w:val="auto"/>
          <w:sz w:val="32"/>
          <w:szCs w:val="32"/>
        </w:rPr>
      </w:pPr>
      <w:r>
        <w:rPr>
          <w:rFonts w:hint="eastAsia" w:hAnsi="宋体" w:cs="宋体"/>
          <w:b/>
          <w:bCs/>
          <w:color w:val="auto"/>
          <w:sz w:val="32"/>
          <w:szCs w:val="32"/>
        </w:rPr>
        <w:t>商务要求响应偏离表（格式见附件）(必须提供)：</w:t>
      </w:r>
    </w:p>
    <w:p w14:paraId="58E44CE3">
      <w:pPr>
        <w:ind w:left="420"/>
        <w:rPr>
          <w:color w:val="auto"/>
        </w:rPr>
      </w:pPr>
    </w:p>
    <w:p w14:paraId="098F6470">
      <w:pPr>
        <w:pStyle w:val="13"/>
        <w:rPr>
          <w:rFonts w:ascii="宋体" w:hAnsi="宋体" w:cs="宋体"/>
          <w:color w:val="auto"/>
        </w:rPr>
      </w:pPr>
    </w:p>
    <w:p w14:paraId="1ABB0516">
      <w:pPr>
        <w:pStyle w:val="13"/>
        <w:ind w:left="0" w:leftChars="0" w:firstLine="0" w:firstLineChars="0"/>
        <w:rPr>
          <w:rFonts w:ascii="宋体" w:hAnsi="宋体" w:cs="宋体"/>
          <w:b/>
          <w:bCs/>
          <w:color w:val="auto"/>
          <w:sz w:val="32"/>
          <w:szCs w:val="32"/>
        </w:rPr>
      </w:pPr>
      <w:r>
        <w:rPr>
          <w:rFonts w:hint="eastAsia" w:ascii="宋体" w:hAnsi="宋体" w:cs="宋体"/>
          <w:b/>
          <w:bCs/>
          <w:color w:val="auto"/>
          <w:sz w:val="32"/>
          <w:szCs w:val="32"/>
        </w:rPr>
        <w:t>附件：</w:t>
      </w:r>
    </w:p>
    <w:p w14:paraId="0D31089A">
      <w:pPr>
        <w:rPr>
          <w:rFonts w:hAnsi="宋体" w:cs="宋体"/>
          <w:b/>
          <w:bCs/>
          <w:color w:val="auto"/>
          <w:sz w:val="32"/>
          <w:szCs w:val="32"/>
        </w:rPr>
      </w:pPr>
    </w:p>
    <w:p w14:paraId="1A66DDC6">
      <w:pPr>
        <w:jc w:val="center"/>
        <w:rPr>
          <w:rFonts w:ascii="宋体" w:hAnsi="宋体" w:cs="宋体"/>
          <w:b/>
          <w:bCs/>
          <w:color w:val="auto"/>
          <w:sz w:val="32"/>
          <w:szCs w:val="32"/>
        </w:rPr>
      </w:pPr>
      <w:r>
        <w:rPr>
          <w:rFonts w:hint="eastAsia" w:ascii="宋体" w:hAnsi="宋体" w:cs="宋体"/>
          <w:b/>
          <w:bCs/>
          <w:color w:val="auto"/>
          <w:sz w:val="32"/>
          <w:szCs w:val="32"/>
        </w:rPr>
        <w:t>商务要求响应偏离表（格式）</w:t>
      </w:r>
    </w:p>
    <w:p w14:paraId="5F93E3D9">
      <w:pPr>
        <w:pStyle w:val="46"/>
        <w:rPr>
          <w:color w:val="auto"/>
        </w:rPr>
      </w:pPr>
    </w:p>
    <w:tbl>
      <w:tblPr>
        <w:tblStyle w:val="29"/>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5"/>
        <w:gridCol w:w="1708"/>
        <w:gridCol w:w="2173"/>
        <w:gridCol w:w="2835"/>
        <w:gridCol w:w="2410"/>
      </w:tblGrid>
      <w:tr w14:paraId="66EC3D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65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DE01B31">
            <w:pPr>
              <w:snapToGrid w:val="0"/>
              <w:spacing w:line="360" w:lineRule="exact"/>
              <w:jc w:val="center"/>
              <w:rPr>
                <w:rFonts w:ascii="宋体" w:hAnsi="宋体" w:cs="宋体"/>
                <w:b/>
                <w:bCs/>
                <w:color w:val="auto"/>
                <w:szCs w:val="21"/>
              </w:rPr>
            </w:pPr>
            <w:r>
              <w:rPr>
                <w:rFonts w:hint="eastAsia" w:ascii="宋体" w:hAnsi="宋体" w:cs="宋体"/>
                <w:b/>
                <w:bCs/>
                <w:color w:val="auto"/>
                <w:szCs w:val="21"/>
              </w:rPr>
              <w:t>项号</w:t>
            </w:r>
          </w:p>
        </w:tc>
        <w:tc>
          <w:tcPr>
            <w:tcW w:w="1708"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18D065D2">
            <w:pPr>
              <w:pStyle w:val="17"/>
              <w:spacing w:line="360" w:lineRule="exact"/>
              <w:jc w:val="center"/>
              <w:rPr>
                <w:rFonts w:hAnsi="宋体" w:cs="宋体"/>
                <w:b/>
                <w:bCs/>
                <w:color w:val="auto"/>
              </w:rPr>
            </w:pPr>
            <w:r>
              <w:rPr>
                <w:rFonts w:hint="eastAsia" w:hAnsi="宋体" w:cs="宋体"/>
                <w:b/>
                <w:bCs/>
                <w:color w:val="auto"/>
              </w:rPr>
              <w:t>商务要求名称</w:t>
            </w:r>
          </w:p>
        </w:tc>
        <w:tc>
          <w:tcPr>
            <w:tcW w:w="2173"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7D75237D">
            <w:pPr>
              <w:pStyle w:val="17"/>
              <w:spacing w:line="360" w:lineRule="exact"/>
              <w:jc w:val="center"/>
              <w:rPr>
                <w:rFonts w:hAnsi="宋体" w:cs="宋体"/>
                <w:b/>
                <w:bCs/>
                <w:color w:val="auto"/>
              </w:rPr>
            </w:pPr>
            <w:r>
              <w:rPr>
                <w:rFonts w:hint="eastAsia" w:hAnsi="宋体" w:cs="宋体"/>
                <w:b/>
                <w:bCs/>
                <w:color w:val="auto"/>
              </w:rPr>
              <w:t>磋商文件服务采购需求内容中（商务要求条款）</w:t>
            </w:r>
          </w:p>
        </w:tc>
        <w:tc>
          <w:tcPr>
            <w:tcW w:w="283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6553BB56">
            <w:pPr>
              <w:pStyle w:val="17"/>
              <w:spacing w:line="360" w:lineRule="exact"/>
              <w:jc w:val="center"/>
              <w:rPr>
                <w:rFonts w:hAnsi="宋体" w:cs="宋体"/>
                <w:b/>
                <w:bCs/>
                <w:color w:val="auto"/>
              </w:rPr>
            </w:pPr>
            <w:r>
              <w:rPr>
                <w:rFonts w:hint="eastAsia" w:hAnsi="宋体" w:cs="宋体"/>
                <w:b/>
                <w:bCs/>
                <w:color w:val="auto"/>
              </w:rPr>
              <w:t>响应文件的响应情况及偏离情况</w:t>
            </w:r>
          </w:p>
        </w:tc>
        <w:tc>
          <w:tcPr>
            <w:tcW w:w="2410"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08E03D1">
            <w:pPr>
              <w:pStyle w:val="17"/>
              <w:spacing w:line="360" w:lineRule="exact"/>
              <w:jc w:val="center"/>
              <w:rPr>
                <w:rFonts w:hAnsi="宋体" w:cs="宋体"/>
                <w:b/>
                <w:bCs/>
                <w:color w:val="auto"/>
              </w:rPr>
            </w:pPr>
            <w:r>
              <w:rPr>
                <w:rFonts w:hint="eastAsia" w:hAnsi="宋体" w:cs="宋体"/>
                <w:b/>
                <w:bCs/>
                <w:color w:val="auto"/>
                <w:szCs w:val="24"/>
              </w:rPr>
              <w:t>偏离情况说明</w:t>
            </w:r>
          </w:p>
        </w:tc>
      </w:tr>
      <w:tr w14:paraId="2ADCF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55" w:type="dxa"/>
            <w:tcBorders>
              <w:top w:val="single" w:color="auto" w:sz="4" w:space="0"/>
              <w:left w:val="single" w:color="auto" w:sz="4" w:space="0"/>
              <w:bottom w:val="single" w:color="auto" w:sz="4" w:space="0"/>
              <w:right w:val="single" w:color="auto" w:sz="4" w:space="0"/>
            </w:tcBorders>
            <w:noWrap/>
            <w:vAlign w:val="center"/>
          </w:tcPr>
          <w:p w14:paraId="357A722A">
            <w:pPr>
              <w:snapToGrid w:val="0"/>
              <w:spacing w:beforeLines="50"/>
              <w:jc w:val="center"/>
              <w:rPr>
                <w:rFonts w:ascii="宋体" w:hAnsi="宋体" w:cs="宋体"/>
                <w:color w:val="auto"/>
                <w:szCs w:val="21"/>
              </w:rPr>
            </w:pPr>
            <w:r>
              <w:rPr>
                <w:rFonts w:hint="eastAsia" w:ascii="宋体" w:hAnsi="宋体" w:cs="宋体"/>
                <w:color w:val="auto"/>
                <w:szCs w:val="21"/>
              </w:rPr>
              <w:t>1</w:t>
            </w:r>
          </w:p>
        </w:tc>
        <w:tc>
          <w:tcPr>
            <w:tcW w:w="1708" w:type="dxa"/>
            <w:tcBorders>
              <w:top w:val="single" w:color="auto" w:sz="4" w:space="0"/>
              <w:left w:val="single" w:color="auto" w:sz="4" w:space="0"/>
              <w:bottom w:val="single" w:color="auto" w:sz="4" w:space="0"/>
              <w:right w:val="single" w:color="auto" w:sz="4" w:space="0"/>
            </w:tcBorders>
            <w:noWrap/>
            <w:vAlign w:val="center"/>
          </w:tcPr>
          <w:p w14:paraId="115F6AB6">
            <w:pPr>
              <w:widowControl/>
              <w:spacing w:line="360" w:lineRule="exact"/>
              <w:jc w:val="left"/>
              <w:rPr>
                <w:rFonts w:ascii="宋体" w:hAnsi="宋体" w:cs="新宋体"/>
                <w:bCs/>
                <w:color w:val="auto"/>
                <w:kern w:val="0"/>
                <w:szCs w:val="21"/>
              </w:rPr>
            </w:pPr>
            <w:r>
              <w:rPr>
                <w:rFonts w:hint="eastAsia" w:ascii="宋体" w:hAnsi="宋体" w:cs="新宋体"/>
                <w:bCs/>
                <w:color w:val="auto"/>
                <w:kern w:val="0"/>
                <w:szCs w:val="21"/>
              </w:rPr>
              <w:t>（一）</w:t>
            </w:r>
          </w:p>
        </w:tc>
        <w:tc>
          <w:tcPr>
            <w:tcW w:w="2173" w:type="dxa"/>
            <w:tcBorders>
              <w:top w:val="single" w:color="auto" w:sz="4" w:space="0"/>
              <w:left w:val="single" w:color="auto" w:sz="4" w:space="0"/>
              <w:bottom w:val="single" w:color="auto" w:sz="4" w:space="0"/>
              <w:right w:val="single" w:color="auto" w:sz="4" w:space="0"/>
            </w:tcBorders>
            <w:noWrap/>
            <w:vAlign w:val="center"/>
          </w:tcPr>
          <w:p w14:paraId="0B20495A">
            <w:pPr>
              <w:snapToGrid w:val="0"/>
              <w:spacing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0E816A9F">
            <w:pPr>
              <w:snapToGrid w:val="0"/>
              <w:spacing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14:paraId="5F76297B">
            <w:pPr>
              <w:snapToGrid w:val="0"/>
              <w:spacing w:beforeLines="50"/>
              <w:jc w:val="center"/>
              <w:rPr>
                <w:rFonts w:ascii="宋体" w:hAnsi="宋体" w:cs="宋体"/>
                <w:color w:val="auto"/>
                <w:szCs w:val="21"/>
              </w:rPr>
            </w:pPr>
          </w:p>
        </w:tc>
      </w:tr>
      <w:tr w14:paraId="274FA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655" w:type="dxa"/>
            <w:tcBorders>
              <w:top w:val="single" w:color="auto" w:sz="4" w:space="0"/>
              <w:left w:val="single" w:color="auto" w:sz="4" w:space="0"/>
              <w:bottom w:val="single" w:color="auto" w:sz="4" w:space="0"/>
              <w:right w:val="single" w:color="auto" w:sz="4" w:space="0"/>
            </w:tcBorders>
            <w:noWrap/>
            <w:vAlign w:val="center"/>
          </w:tcPr>
          <w:p w14:paraId="116BA091">
            <w:pPr>
              <w:snapToGrid w:val="0"/>
              <w:spacing w:beforeLines="50"/>
              <w:jc w:val="center"/>
              <w:rPr>
                <w:rFonts w:ascii="宋体" w:hAnsi="宋体" w:cs="宋体"/>
                <w:color w:val="auto"/>
                <w:szCs w:val="21"/>
              </w:rPr>
            </w:pPr>
            <w:r>
              <w:rPr>
                <w:rFonts w:hint="eastAsia" w:ascii="宋体" w:hAnsi="宋体" w:cs="宋体"/>
                <w:color w:val="auto"/>
                <w:szCs w:val="21"/>
              </w:rPr>
              <w:t>2</w:t>
            </w:r>
          </w:p>
        </w:tc>
        <w:tc>
          <w:tcPr>
            <w:tcW w:w="1708" w:type="dxa"/>
            <w:tcBorders>
              <w:top w:val="single" w:color="auto" w:sz="4" w:space="0"/>
              <w:left w:val="single" w:color="auto" w:sz="4" w:space="0"/>
              <w:bottom w:val="single" w:color="auto" w:sz="4" w:space="0"/>
              <w:right w:val="single" w:color="auto" w:sz="4" w:space="0"/>
            </w:tcBorders>
            <w:noWrap/>
            <w:vAlign w:val="center"/>
          </w:tcPr>
          <w:p w14:paraId="40724457">
            <w:pPr>
              <w:widowControl/>
              <w:spacing w:line="360" w:lineRule="exact"/>
              <w:jc w:val="left"/>
              <w:rPr>
                <w:rFonts w:ascii="宋体" w:hAnsi="宋体" w:cs="新宋体"/>
                <w:bCs/>
                <w:color w:val="auto"/>
                <w:kern w:val="0"/>
                <w:szCs w:val="21"/>
              </w:rPr>
            </w:pPr>
          </w:p>
        </w:tc>
        <w:tc>
          <w:tcPr>
            <w:tcW w:w="2173" w:type="dxa"/>
            <w:tcBorders>
              <w:top w:val="single" w:color="auto" w:sz="4" w:space="0"/>
              <w:left w:val="single" w:color="auto" w:sz="4" w:space="0"/>
              <w:bottom w:val="single" w:color="auto" w:sz="4" w:space="0"/>
              <w:right w:val="single" w:color="auto" w:sz="4" w:space="0"/>
            </w:tcBorders>
            <w:noWrap/>
            <w:vAlign w:val="center"/>
          </w:tcPr>
          <w:p w14:paraId="388FADC7">
            <w:pPr>
              <w:snapToGrid w:val="0"/>
              <w:spacing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43D486E4">
            <w:pPr>
              <w:snapToGrid w:val="0"/>
              <w:spacing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14:paraId="3B82FEFE">
            <w:pPr>
              <w:snapToGrid w:val="0"/>
              <w:spacing w:beforeLines="50"/>
              <w:jc w:val="center"/>
              <w:rPr>
                <w:rFonts w:ascii="宋体" w:hAnsi="宋体" w:cs="宋体"/>
                <w:color w:val="auto"/>
                <w:szCs w:val="21"/>
              </w:rPr>
            </w:pPr>
          </w:p>
        </w:tc>
      </w:tr>
      <w:tr w14:paraId="0E1722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655" w:type="dxa"/>
            <w:tcBorders>
              <w:top w:val="single" w:color="auto" w:sz="4" w:space="0"/>
              <w:left w:val="single" w:color="auto" w:sz="4" w:space="0"/>
              <w:bottom w:val="single" w:color="auto" w:sz="4" w:space="0"/>
              <w:right w:val="single" w:color="auto" w:sz="4" w:space="0"/>
            </w:tcBorders>
            <w:noWrap/>
            <w:vAlign w:val="center"/>
          </w:tcPr>
          <w:p w14:paraId="20EB3BF2">
            <w:pPr>
              <w:snapToGrid w:val="0"/>
              <w:spacing w:beforeLines="50"/>
              <w:jc w:val="center"/>
              <w:rPr>
                <w:rFonts w:ascii="宋体" w:hAnsi="宋体" w:cs="宋体"/>
                <w:color w:val="auto"/>
                <w:szCs w:val="21"/>
              </w:rPr>
            </w:pPr>
            <w:r>
              <w:rPr>
                <w:rFonts w:hint="eastAsia" w:ascii="宋体" w:hAnsi="宋体" w:cs="宋体"/>
                <w:color w:val="auto"/>
                <w:szCs w:val="21"/>
              </w:rPr>
              <w:t>3</w:t>
            </w:r>
          </w:p>
        </w:tc>
        <w:tc>
          <w:tcPr>
            <w:tcW w:w="1708" w:type="dxa"/>
            <w:tcBorders>
              <w:top w:val="single" w:color="auto" w:sz="4" w:space="0"/>
              <w:left w:val="single" w:color="auto" w:sz="4" w:space="0"/>
              <w:bottom w:val="single" w:color="auto" w:sz="4" w:space="0"/>
              <w:right w:val="single" w:color="auto" w:sz="4" w:space="0"/>
            </w:tcBorders>
            <w:noWrap/>
            <w:vAlign w:val="center"/>
          </w:tcPr>
          <w:p w14:paraId="62239DF7">
            <w:pPr>
              <w:widowControl/>
              <w:spacing w:line="360" w:lineRule="exact"/>
              <w:jc w:val="left"/>
              <w:rPr>
                <w:rFonts w:ascii="宋体" w:hAnsi="宋体" w:cs="新宋体"/>
                <w:bCs/>
                <w:color w:val="auto"/>
                <w:kern w:val="0"/>
                <w:szCs w:val="21"/>
              </w:rPr>
            </w:pPr>
          </w:p>
        </w:tc>
        <w:tc>
          <w:tcPr>
            <w:tcW w:w="2173" w:type="dxa"/>
            <w:tcBorders>
              <w:top w:val="single" w:color="auto" w:sz="4" w:space="0"/>
              <w:left w:val="single" w:color="auto" w:sz="4" w:space="0"/>
              <w:bottom w:val="single" w:color="auto" w:sz="4" w:space="0"/>
              <w:right w:val="single" w:color="auto" w:sz="4" w:space="0"/>
            </w:tcBorders>
            <w:noWrap/>
            <w:vAlign w:val="center"/>
          </w:tcPr>
          <w:p w14:paraId="566CDE25">
            <w:pPr>
              <w:snapToGrid w:val="0"/>
              <w:spacing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4CEBE461">
            <w:pPr>
              <w:snapToGrid w:val="0"/>
              <w:spacing w:beforeLines="50"/>
              <w:ind w:left="43"/>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14:paraId="5B51811F">
            <w:pPr>
              <w:snapToGrid w:val="0"/>
              <w:spacing w:beforeLines="50"/>
              <w:ind w:left="43"/>
              <w:jc w:val="center"/>
              <w:rPr>
                <w:rFonts w:ascii="宋体" w:hAnsi="宋体" w:cs="宋体"/>
                <w:color w:val="auto"/>
                <w:szCs w:val="21"/>
              </w:rPr>
            </w:pPr>
          </w:p>
        </w:tc>
      </w:tr>
      <w:tr w14:paraId="62285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55" w:type="dxa"/>
            <w:tcBorders>
              <w:top w:val="single" w:color="auto" w:sz="4" w:space="0"/>
              <w:left w:val="single" w:color="auto" w:sz="4" w:space="0"/>
              <w:bottom w:val="single" w:color="auto" w:sz="4" w:space="0"/>
              <w:right w:val="single" w:color="auto" w:sz="4" w:space="0"/>
            </w:tcBorders>
            <w:noWrap/>
            <w:vAlign w:val="center"/>
          </w:tcPr>
          <w:p w14:paraId="5AEF96FB">
            <w:pPr>
              <w:snapToGrid w:val="0"/>
              <w:spacing w:beforeLines="50"/>
              <w:jc w:val="center"/>
              <w:rPr>
                <w:rFonts w:ascii="宋体" w:hAnsi="宋体" w:cs="宋体"/>
                <w:color w:val="auto"/>
                <w:szCs w:val="21"/>
              </w:rPr>
            </w:pPr>
            <w:r>
              <w:rPr>
                <w:rFonts w:hint="eastAsia" w:ascii="宋体" w:hAnsi="宋体" w:cs="宋体"/>
                <w:color w:val="auto"/>
                <w:szCs w:val="21"/>
              </w:rPr>
              <w:t>4</w:t>
            </w:r>
          </w:p>
        </w:tc>
        <w:tc>
          <w:tcPr>
            <w:tcW w:w="1708" w:type="dxa"/>
            <w:tcBorders>
              <w:top w:val="single" w:color="auto" w:sz="4" w:space="0"/>
              <w:left w:val="single" w:color="auto" w:sz="4" w:space="0"/>
              <w:bottom w:val="single" w:color="auto" w:sz="4" w:space="0"/>
              <w:right w:val="single" w:color="auto" w:sz="4" w:space="0"/>
            </w:tcBorders>
            <w:noWrap/>
            <w:vAlign w:val="center"/>
          </w:tcPr>
          <w:p w14:paraId="21E378FB">
            <w:pPr>
              <w:widowControl/>
              <w:spacing w:line="360" w:lineRule="exact"/>
              <w:jc w:val="left"/>
              <w:rPr>
                <w:rFonts w:ascii="宋体" w:hAnsi="宋体" w:cs="新宋体"/>
                <w:bCs/>
                <w:color w:val="auto"/>
                <w:kern w:val="0"/>
                <w:szCs w:val="21"/>
              </w:rPr>
            </w:pPr>
          </w:p>
        </w:tc>
        <w:tc>
          <w:tcPr>
            <w:tcW w:w="2173" w:type="dxa"/>
            <w:tcBorders>
              <w:top w:val="single" w:color="auto" w:sz="4" w:space="0"/>
              <w:left w:val="single" w:color="auto" w:sz="4" w:space="0"/>
              <w:bottom w:val="single" w:color="auto" w:sz="4" w:space="0"/>
              <w:right w:val="single" w:color="auto" w:sz="4" w:space="0"/>
            </w:tcBorders>
            <w:noWrap/>
            <w:vAlign w:val="center"/>
          </w:tcPr>
          <w:p w14:paraId="5ED693B7">
            <w:pPr>
              <w:snapToGrid w:val="0"/>
              <w:spacing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18C0F826">
            <w:pPr>
              <w:snapToGrid w:val="0"/>
              <w:spacing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14:paraId="561C5AA9">
            <w:pPr>
              <w:snapToGrid w:val="0"/>
              <w:spacing w:beforeLines="50"/>
              <w:jc w:val="center"/>
              <w:rPr>
                <w:rFonts w:ascii="宋体" w:hAnsi="宋体" w:cs="宋体"/>
                <w:color w:val="auto"/>
                <w:szCs w:val="21"/>
              </w:rPr>
            </w:pPr>
          </w:p>
        </w:tc>
      </w:tr>
      <w:tr w14:paraId="18E65C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655" w:type="dxa"/>
            <w:tcBorders>
              <w:top w:val="single" w:color="auto" w:sz="4" w:space="0"/>
              <w:left w:val="single" w:color="auto" w:sz="4" w:space="0"/>
              <w:bottom w:val="single" w:color="auto" w:sz="4" w:space="0"/>
              <w:right w:val="single" w:color="auto" w:sz="4" w:space="0"/>
            </w:tcBorders>
            <w:noWrap/>
            <w:vAlign w:val="center"/>
          </w:tcPr>
          <w:p w14:paraId="5BC8AE01">
            <w:pPr>
              <w:snapToGrid w:val="0"/>
              <w:spacing w:beforeLines="50"/>
              <w:jc w:val="center"/>
              <w:rPr>
                <w:rFonts w:ascii="宋体" w:hAnsi="宋体" w:cs="宋体"/>
                <w:color w:val="auto"/>
                <w:szCs w:val="21"/>
              </w:rPr>
            </w:pPr>
            <w:r>
              <w:rPr>
                <w:rFonts w:hint="eastAsia" w:ascii="宋体" w:hAnsi="宋体" w:cs="宋体"/>
                <w:color w:val="auto"/>
                <w:szCs w:val="21"/>
              </w:rPr>
              <w:t>5</w:t>
            </w:r>
          </w:p>
        </w:tc>
        <w:tc>
          <w:tcPr>
            <w:tcW w:w="1708" w:type="dxa"/>
            <w:tcBorders>
              <w:top w:val="single" w:color="auto" w:sz="4" w:space="0"/>
              <w:left w:val="single" w:color="auto" w:sz="4" w:space="0"/>
              <w:bottom w:val="single" w:color="auto" w:sz="4" w:space="0"/>
              <w:right w:val="single" w:color="auto" w:sz="4" w:space="0"/>
            </w:tcBorders>
            <w:noWrap/>
            <w:vAlign w:val="center"/>
          </w:tcPr>
          <w:p w14:paraId="2F42AFAD">
            <w:pPr>
              <w:widowControl/>
              <w:spacing w:line="360" w:lineRule="exact"/>
              <w:jc w:val="left"/>
              <w:rPr>
                <w:rFonts w:ascii="宋体" w:hAnsi="宋体" w:cs="新宋体"/>
                <w:bCs/>
                <w:color w:val="auto"/>
                <w:kern w:val="0"/>
                <w:szCs w:val="21"/>
              </w:rPr>
            </w:pPr>
            <w:r>
              <w:rPr>
                <w:rFonts w:hint="eastAsia" w:ascii="宋体" w:hAnsi="宋体" w:cs="新宋体"/>
                <w:bCs/>
                <w:color w:val="auto"/>
                <w:kern w:val="0"/>
                <w:szCs w:val="21"/>
              </w:rPr>
              <w:t>（五）</w:t>
            </w:r>
          </w:p>
        </w:tc>
        <w:tc>
          <w:tcPr>
            <w:tcW w:w="2173" w:type="dxa"/>
            <w:tcBorders>
              <w:top w:val="single" w:color="auto" w:sz="4" w:space="0"/>
              <w:left w:val="single" w:color="auto" w:sz="4" w:space="0"/>
              <w:bottom w:val="single" w:color="auto" w:sz="4" w:space="0"/>
              <w:right w:val="single" w:color="auto" w:sz="4" w:space="0"/>
            </w:tcBorders>
            <w:noWrap/>
            <w:vAlign w:val="center"/>
          </w:tcPr>
          <w:p w14:paraId="5E39AFC2">
            <w:pPr>
              <w:snapToGrid w:val="0"/>
              <w:spacing w:beforeLines="50"/>
              <w:jc w:val="center"/>
              <w:rPr>
                <w:rFonts w:ascii="宋体" w:hAnsi="宋体" w:cs="宋体"/>
                <w:color w:val="auto"/>
                <w:szCs w:val="21"/>
              </w:rPr>
            </w:pPr>
          </w:p>
        </w:tc>
        <w:tc>
          <w:tcPr>
            <w:tcW w:w="2835" w:type="dxa"/>
            <w:tcBorders>
              <w:top w:val="single" w:color="auto" w:sz="4" w:space="0"/>
              <w:left w:val="single" w:color="auto" w:sz="4" w:space="0"/>
              <w:bottom w:val="single" w:color="auto" w:sz="4" w:space="0"/>
              <w:right w:val="single" w:color="auto" w:sz="4" w:space="0"/>
            </w:tcBorders>
            <w:noWrap/>
            <w:vAlign w:val="center"/>
          </w:tcPr>
          <w:p w14:paraId="30ED8EC6">
            <w:pPr>
              <w:snapToGrid w:val="0"/>
              <w:spacing w:beforeLines="50"/>
              <w:jc w:val="center"/>
              <w:rPr>
                <w:rFonts w:ascii="宋体" w:hAnsi="宋体" w:cs="宋体"/>
                <w:color w:val="auto"/>
                <w:szCs w:val="21"/>
              </w:rPr>
            </w:pPr>
          </w:p>
        </w:tc>
        <w:tc>
          <w:tcPr>
            <w:tcW w:w="2410" w:type="dxa"/>
            <w:tcBorders>
              <w:top w:val="single" w:color="auto" w:sz="4" w:space="0"/>
              <w:left w:val="single" w:color="auto" w:sz="4" w:space="0"/>
              <w:bottom w:val="single" w:color="auto" w:sz="4" w:space="0"/>
              <w:right w:val="single" w:color="auto" w:sz="4" w:space="0"/>
            </w:tcBorders>
            <w:noWrap/>
            <w:vAlign w:val="center"/>
          </w:tcPr>
          <w:p w14:paraId="7329AA57">
            <w:pPr>
              <w:snapToGrid w:val="0"/>
              <w:spacing w:beforeLines="50"/>
              <w:jc w:val="center"/>
              <w:rPr>
                <w:rFonts w:ascii="宋体" w:hAnsi="宋体" w:cs="宋体"/>
                <w:color w:val="auto"/>
                <w:szCs w:val="21"/>
              </w:rPr>
            </w:pPr>
          </w:p>
        </w:tc>
      </w:tr>
    </w:tbl>
    <w:p w14:paraId="511340C0">
      <w:pPr>
        <w:pStyle w:val="13"/>
        <w:rPr>
          <w:rFonts w:ascii="宋体" w:hAnsi="宋体" w:cs="宋体"/>
          <w:color w:val="auto"/>
        </w:rPr>
      </w:pPr>
    </w:p>
    <w:p w14:paraId="22FC819D">
      <w:pPr>
        <w:pStyle w:val="13"/>
        <w:rPr>
          <w:rFonts w:ascii="宋体" w:hAnsi="宋体" w:cs="宋体"/>
          <w:color w:val="auto"/>
        </w:rPr>
      </w:pPr>
    </w:p>
    <w:p w14:paraId="3F23497C">
      <w:pPr>
        <w:pStyle w:val="13"/>
        <w:rPr>
          <w:rFonts w:ascii="宋体" w:hAnsi="宋体" w:cs="宋体"/>
          <w:color w:val="auto"/>
        </w:rPr>
      </w:pPr>
    </w:p>
    <w:p w14:paraId="308BAD54">
      <w:pPr>
        <w:spacing w:line="360" w:lineRule="auto"/>
        <w:ind w:right="-817" w:rightChars="-389"/>
        <w:contextualSpacing/>
        <w:rPr>
          <w:rFonts w:ascii="宋体" w:hAnsi="宋体" w:cs="仿宋_GB2312"/>
          <w:color w:val="auto"/>
          <w:sz w:val="24"/>
        </w:rPr>
      </w:pPr>
    </w:p>
    <w:p w14:paraId="5A88FCF1">
      <w:pPr>
        <w:spacing w:line="360" w:lineRule="auto"/>
        <w:ind w:right="-817" w:rightChars="-389"/>
        <w:contextualSpacing/>
        <w:rPr>
          <w:rFonts w:ascii="宋体" w:hAnsi="宋体" w:cs="仿宋_GB2312"/>
          <w:color w:val="auto"/>
          <w:sz w:val="24"/>
        </w:rPr>
      </w:pPr>
    </w:p>
    <w:p w14:paraId="734E117B">
      <w:pPr>
        <w:spacing w:line="360" w:lineRule="auto"/>
        <w:ind w:right="-817" w:rightChars="-389"/>
        <w:contextualSpacing/>
        <w:rPr>
          <w:rFonts w:ascii="宋体" w:hAnsi="宋体" w:cs="仿宋_GB2312"/>
          <w:color w:val="auto"/>
          <w:sz w:val="24"/>
        </w:rPr>
      </w:pPr>
    </w:p>
    <w:p w14:paraId="528DCFBD">
      <w:pPr>
        <w:spacing w:line="360" w:lineRule="auto"/>
        <w:ind w:right="-817" w:rightChars="-389"/>
        <w:contextualSpacing/>
        <w:jc w:val="center"/>
        <w:rPr>
          <w:rFonts w:ascii="宋体" w:hAnsi="宋体" w:cs="仿宋_GB2312"/>
          <w:color w:val="auto"/>
          <w:sz w:val="24"/>
        </w:rPr>
      </w:pPr>
      <w:r>
        <w:rPr>
          <w:rFonts w:hint="eastAsia" w:ascii="宋体" w:hAnsi="宋体" w:cs="仿宋_GB2312"/>
          <w:color w:val="auto"/>
          <w:sz w:val="24"/>
        </w:rPr>
        <w:t>法定代表人或者委托代理人（签字或者盖章或者电子签名）：</w:t>
      </w:r>
    </w:p>
    <w:p w14:paraId="7CB7462D">
      <w:pPr>
        <w:spacing w:line="360" w:lineRule="auto"/>
        <w:ind w:right="-817" w:rightChars="-389" w:firstLine="2640" w:firstLineChars="1100"/>
        <w:contextualSpacing/>
        <w:rPr>
          <w:rFonts w:ascii="宋体" w:hAnsi="宋体" w:cs="仿宋_GB2312"/>
          <w:color w:val="auto"/>
          <w:sz w:val="24"/>
        </w:rPr>
      </w:pPr>
      <w:r>
        <w:rPr>
          <w:rFonts w:hint="eastAsia" w:ascii="宋体" w:hAnsi="宋体" w:cs="仿宋_GB2312"/>
          <w:color w:val="auto"/>
          <w:sz w:val="24"/>
        </w:rPr>
        <w:t xml:space="preserve">供应商（电子签章）：      </w:t>
      </w:r>
    </w:p>
    <w:p w14:paraId="5AAE2A73">
      <w:pPr>
        <w:spacing w:line="360" w:lineRule="auto"/>
        <w:ind w:right="-817" w:rightChars="-389" w:firstLine="4080" w:firstLineChars="1700"/>
        <w:contextualSpacing/>
        <w:rPr>
          <w:rFonts w:ascii="宋体" w:hAnsi="宋体" w:cs="仿宋_GB2312"/>
          <w:color w:val="auto"/>
          <w:sz w:val="24"/>
        </w:rPr>
      </w:pPr>
      <w:r>
        <w:rPr>
          <w:rFonts w:hint="eastAsia" w:ascii="宋体" w:hAnsi="宋体" w:cs="仿宋_GB2312"/>
          <w:color w:val="auto"/>
          <w:sz w:val="24"/>
        </w:rPr>
        <w:t>日期：   年   月   日</w:t>
      </w:r>
    </w:p>
    <w:p w14:paraId="0183B7E0">
      <w:pPr>
        <w:spacing w:line="360" w:lineRule="auto"/>
        <w:ind w:right="-817" w:rightChars="-389" w:firstLine="4080" w:firstLineChars="1700"/>
        <w:contextualSpacing/>
        <w:rPr>
          <w:rFonts w:ascii="宋体" w:hAnsi="宋体" w:cs="仿宋_GB2312"/>
          <w:color w:val="auto"/>
          <w:sz w:val="24"/>
        </w:rPr>
      </w:pPr>
    </w:p>
    <w:p w14:paraId="68126C38">
      <w:pPr>
        <w:spacing w:line="360" w:lineRule="auto"/>
        <w:ind w:right="-817" w:rightChars="-389" w:firstLine="4080" w:firstLineChars="1700"/>
        <w:contextualSpacing/>
        <w:rPr>
          <w:rFonts w:ascii="宋体" w:hAnsi="宋体" w:cs="仿宋_GB2312"/>
          <w:color w:val="auto"/>
          <w:sz w:val="24"/>
        </w:rPr>
      </w:pPr>
    </w:p>
    <w:p w14:paraId="66F42F52">
      <w:pPr>
        <w:pStyle w:val="17"/>
        <w:spacing w:line="340" w:lineRule="exact"/>
        <w:rPr>
          <w:rFonts w:hAnsi="宋体" w:cs="宋体"/>
          <w:b/>
          <w:bCs/>
          <w:color w:val="auto"/>
          <w:sz w:val="32"/>
          <w:szCs w:val="32"/>
        </w:rPr>
      </w:pPr>
      <w:r>
        <w:rPr>
          <w:rFonts w:hint="eastAsia" w:hAnsi="宋体" w:cs="宋体"/>
          <w:b/>
          <w:bCs/>
          <w:color w:val="auto"/>
          <w:sz w:val="32"/>
          <w:szCs w:val="32"/>
        </w:rPr>
        <w:t>5.项目实施方案（包括但不限于项目实施方案、管理规章制度及员工培训计划方案、作业质量及安全保障措施方案等）（必须提供）</w:t>
      </w:r>
    </w:p>
    <w:p w14:paraId="22BD41C3">
      <w:pPr>
        <w:spacing w:line="360" w:lineRule="auto"/>
        <w:ind w:right="-817" w:rightChars="-389"/>
        <w:contextualSpacing/>
        <w:rPr>
          <w:rFonts w:ascii="宋体" w:hAnsi="宋体" w:cs="仿宋_GB2312"/>
          <w:color w:val="auto"/>
          <w:sz w:val="24"/>
        </w:rPr>
      </w:pPr>
    </w:p>
    <w:p w14:paraId="36091EFA">
      <w:pPr>
        <w:pStyle w:val="46"/>
        <w:rPr>
          <w:rFonts w:ascii="宋体" w:hAnsi="宋体" w:cs="宋体"/>
          <w:color w:val="auto"/>
        </w:rPr>
      </w:pPr>
    </w:p>
    <w:p w14:paraId="3784FB09">
      <w:pPr>
        <w:spacing w:line="340" w:lineRule="exact"/>
        <w:ind w:left="420"/>
        <w:rPr>
          <w:rFonts w:ascii="宋体" w:hAnsi="宋体" w:cs="宋体"/>
          <w:b/>
          <w:bCs/>
          <w:color w:val="auto"/>
          <w:sz w:val="32"/>
          <w:szCs w:val="32"/>
        </w:rPr>
      </w:pPr>
      <w:bookmarkStart w:id="176" w:name="_Toc497927084"/>
      <w:bookmarkStart w:id="177" w:name="_Toc9339"/>
      <w:bookmarkStart w:id="178" w:name="_Toc28672"/>
      <w:r>
        <w:rPr>
          <w:rFonts w:hint="eastAsia" w:ascii="宋体" w:hAnsi="宋体" w:cs="宋体"/>
          <w:b/>
          <w:bCs/>
          <w:color w:val="auto"/>
          <w:sz w:val="32"/>
          <w:szCs w:val="32"/>
        </w:rPr>
        <w:t>（三）其他有效证明材料目录</w:t>
      </w:r>
      <w:bookmarkEnd w:id="176"/>
      <w:bookmarkEnd w:id="177"/>
      <w:bookmarkEnd w:id="178"/>
    </w:p>
    <w:p w14:paraId="0B494F40">
      <w:pPr>
        <w:spacing w:line="340" w:lineRule="exact"/>
        <w:ind w:left="420"/>
        <w:jc w:val="center"/>
        <w:rPr>
          <w:rFonts w:ascii="宋体" w:hAnsi="宋体" w:cs="宋体"/>
          <w:b/>
          <w:bCs/>
          <w:color w:val="auto"/>
          <w:sz w:val="32"/>
          <w:szCs w:val="32"/>
        </w:rPr>
      </w:pPr>
    </w:p>
    <w:p w14:paraId="53949514">
      <w:pPr>
        <w:spacing w:line="360" w:lineRule="auto"/>
        <w:ind w:firstLine="480" w:firstLineChars="200"/>
        <w:rPr>
          <w:rFonts w:ascii="宋体" w:hAnsi="宋体" w:cs="宋体"/>
          <w:b/>
          <w:bCs/>
          <w:color w:val="auto"/>
        </w:rPr>
      </w:pPr>
      <w:r>
        <w:rPr>
          <w:rFonts w:hint="eastAsia" w:ascii="宋体" w:hAnsi="宋体" w:cs="宋体"/>
          <w:color w:val="auto"/>
          <w:sz w:val="24"/>
        </w:rPr>
        <w:t>1.项目实施人员一览表（格式见附件）</w:t>
      </w:r>
      <w:r>
        <w:rPr>
          <w:rFonts w:hint="eastAsia" w:ascii="宋体" w:hAnsi="宋体" w:cs="宋体"/>
          <w:b/>
          <w:bCs/>
          <w:color w:val="auto"/>
          <w:sz w:val="24"/>
        </w:rPr>
        <w:t>（如有，请提供）</w:t>
      </w:r>
    </w:p>
    <w:p w14:paraId="48B10F29">
      <w:pPr>
        <w:spacing w:line="360" w:lineRule="auto"/>
        <w:ind w:firstLine="480" w:firstLineChars="200"/>
        <w:jc w:val="left"/>
        <w:rPr>
          <w:rFonts w:ascii="宋体" w:hAnsi="宋体" w:cs="宋体"/>
          <w:b/>
          <w:bCs/>
          <w:color w:val="auto"/>
          <w:sz w:val="24"/>
        </w:rPr>
      </w:pPr>
      <w:r>
        <w:rPr>
          <w:rFonts w:hint="eastAsia" w:ascii="宋体" w:hAnsi="宋体" w:cs="宋体"/>
          <w:color w:val="auto"/>
          <w:sz w:val="24"/>
        </w:rPr>
        <w:t>2.供应商可以在商务技术文件中提供服务方案【包括但不限于项目实施方案、人员配置方案、售后服务方案等】以及对应采购需求的技术要求、商务要求提供的其他文件资料（格式自拟）</w:t>
      </w:r>
      <w:r>
        <w:rPr>
          <w:rFonts w:hint="eastAsia" w:ascii="宋体" w:hAnsi="宋体" w:cs="宋体"/>
          <w:b/>
          <w:bCs/>
          <w:color w:val="auto"/>
          <w:sz w:val="24"/>
        </w:rPr>
        <w:t>（如有，请提供）</w:t>
      </w:r>
    </w:p>
    <w:p w14:paraId="747AAF91">
      <w:pPr>
        <w:spacing w:line="360" w:lineRule="auto"/>
        <w:ind w:firstLine="480" w:firstLineChars="200"/>
        <w:jc w:val="left"/>
        <w:rPr>
          <w:rFonts w:ascii="宋体" w:hAnsi="宋体" w:cs="宋体"/>
          <w:b/>
          <w:bCs/>
          <w:color w:val="auto"/>
        </w:rPr>
      </w:pPr>
      <w:r>
        <w:rPr>
          <w:rFonts w:hint="eastAsia" w:ascii="宋体" w:hAnsi="宋体" w:cs="宋体"/>
          <w:color w:val="auto"/>
          <w:sz w:val="24"/>
        </w:rPr>
        <w:t>3.“采购需求”需提供的有效证明文件</w:t>
      </w:r>
      <w:r>
        <w:rPr>
          <w:rFonts w:hint="eastAsia" w:ascii="宋体" w:hAnsi="宋体" w:cs="宋体"/>
          <w:b/>
          <w:bCs/>
          <w:color w:val="auto"/>
          <w:sz w:val="24"/>
        </w:rPr>
        <w:t>（如有，请提供）</w:t>
      </w:r>
    </w:p>
    <w:p w14:paraId="2C14EDC6">
      <w:pPr>
        <w:spacing w:line="420" w:lineRule="exact"/>
        <w:ind w:firstLine="480" w:firstLineChars="200"/>
        <w:rPr>
          <w:rFonts w:ascii="宋体" w:hAnsi="宋体" w:cs="宋体"/>
          <w:b/>
          <w:bCs/>
          <w:color w:val="auto"/>
          <w:sz w:val="24"/>
        </w:rPr>
      </w:pPr>
      <w:r>
        <w:rPr>
          <w:rFonts w:hint="eastAsia" w:ascii="宋体" w:hAnsi="宋体" w:cs="宋体"/>
          <w:color w:val="auto"/>
          <w:sz w:val="24"/>
        </w:rPr>
        <w:t>4.供应商2020年1月1日以来具有同类项目业绩相关证明材料（无不良记录，以中标、成交通知书或签订的合同为准，并能清晰反映项目的名称、采购内容、采购金额、采购时间）</w:t>
      </w:r>
      <w:r>
        <w:rPr>
          <w:rFonts w:hint="eastAsia" w:ascii="宋体" w:hAnsi="宋体" w:cs="宋体"/>
          <w:b/>
          <w:bCs/>
          <w:color w:val="auto"/>
          <w:sz w:val="24"/>
        </w:rPr>
        <w:t>（如有，请提供）</w:t>
      </w:r>
    </w:p>
    <w:p w14:paraId="69C085AA">
      <w:pPr>
        <w:spacing w:line="360" w:lineRule="auto"/>
        <w:ind w:firstLine="480" w:firstLineChars="200"/>
        <w:rPr>
          <w:rFonts w:ascii="宋体" w:hAnsi="宋体" w:cs="宋体"/>
          <w:color w:val="auto"/>
          <w:sz w:val="24"/>
        </w:rPr>
      </w:pPr>
      <w:r>
        <w:rPr>
          <w:rFonts w:hint="eastAsia" w:ascii="宋体" w:hAnsi="宋体" w:cs="宋体"/>
          <w:color w:val="auto"/>
          <w:sz w:val="24"/>
        </w:rPr>
        <w:t>5.供应商为中小企业的证明材料（如有，请提供）【属于中小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w:t>
      </w:r>
      <w:r>
        <w:rPr>
          <w:rFonts w:hint="eastAsia" w:ascii="宋体" w:hAnsi="宋体" w:cs="宋体"/>
          <w:b/>
          <w:bCs/>
          <w:color w:val="auto"/>
          <w:sz w:val="24"/>
        </w:rPr>
        <w:t>（如有，请提供）</w:t>
      </w:r>
    </w:p>
    <w:p w14:paraId="77485575">
      <w:pPr>
        <w:spacing w:line="360" w:lineRule="auto"/>
        <w:ind w:firstLine="480" w:firstLineChars="200"/>
        <w:rPr>
          <w:rFonts w:ascii="宋体" w:hAnsi="宋体" w:cs="宋体"/>
          <w:color w:val="auto"/>
          <w:sz w:val="24"/>
        </w:rPr>
      </w:pPr>
      <w:r>
        <w:rPr>
          <w:rFonts w:hint="eastAsia" w:ascii="宋体" w:hAnsi="宋体" w:cs="宋体"/>
          <w:color w:val="auto"/>
          <w:sz w:val="24"/>
        </w:rPr>
        <w:t>6.供应商可结合本项目的评审办法视自身情况自行提交其它相关证明材料。</w:t>
      </w:r>
    </w:p>
    <w:p w14:paraId="34F8B06C">
      <w:pPr>
        <w:spacing w:line="360" w:lineRule="auto"/>
        <w:ind w:firstLine="480" w:firstLineChars="200"/>
        <w:rPr>
          <w:rFonts w:ascii="宋体" w:hAnsi="宋体" w:cs="宋体"/>
          <w:color w:val="auto"/>
          <w:sz w:val="24"/>
        </w:rPr>
      </w:pPr>
    </w:p>
    <w:p w14:paraId="7502E233">
      <w:pPr>
        <w:pStyle w:val="46"/>
        <w:rPr>
          <w:rFonts w:ascii="宋体" w:hAnsi="宋体" w:cs="宋体"/>
          <w:color w:val="auto"/>
        </w:rPr>
      </w:pPr>
    </w:p>
    <w:p w14:paraId="6F2D4D70">
      <w:pPr>
        <w:pStyle w:val="46"/>
        <w:rPr>
          <w:rFonts w:ascii="宋体" w:hAnsi="宋体" w:cs="宋体"/>
          <w:color w:val="auto"/>
        </w:rPr>
      </w:pPr>
    </w:p>
    <w:p w14:paraId="4F84B1A8">
      <w:pPr>
        <w:pStyle w:val="46"/>
        <w:rPr>
          <w:rFonts w:ascii="宋体" w:hAnsi="宋体" w:cs="宋体"/>
          <w:color w:val="auto"/>
        </w:rPr>
      </w:pPr>
    </w:p>
    <w:p w14:paraId="30B6AED1">
      <w:pPr>
        <w:pStyle w:val="46"/>
        <w:rPr>
          <w:rFonts w:ascii="宋体" w:hAnsi="宋体" w:cs="宋体"/>
          <w:color w:val="auto"/>
        </w:rPr>
      </w:pPr>
    </w:p>
    <w:p w14:paraId="59F143C7">
      <w:pPr>
        <w:pStyle w:val="46"/>
        <w:rPr>
          <w:rFonts w:ascii="宋体" w:hAnsi="宋体" w:cs="宋体"/>
          <w:color w:val="auto"/>
        </w:rPr>
      </w:pPr>
    </w:p>
    <w:p w14:paraId="08D71F35">
      <w:pPr>
        <w:pStyle w:val="46"/>
        <w:rPr>
          <w:rFonts w:ascii="宋体" w:hAnsi="宋体" w:cs="宋体"/>
          <w:color w:val="auto"/>
        </w:rPr>
      </w:pPr>
    </w:p>
    <w:p w14:paraId="055083C3">
      <w:pPr>
        <w:pStyle w:val="46"/>
        <w:rPr>
          <w:rFonts w:ascii="宋体" w:hAnsi="宋体" w:cs="宋体"/>
          <w:color w:val="auto"/>
        </w:rPr>
      </w:pPr>
    </w:p>
    <w:p w14:paraId="1894C596">
      <w:pPr>
        <w:pStyle w:val="46"/>
        <w:rPr>
          <w:rFonts w:ascii="宋体" w:hAnsi="宋体" w:cs="宋体"/>
          <w:color w:val="auto"/>
        </w:rPr>
      </w:pPr>
    </w:p>
    <w:p w14:paraId="2C70720D">
      <w:pPr>
        <w:pStyle w:val="45"/>
        <w:ind w:firstLine="0" w:firstLineChars="0"/>
        <w:rPr>
          <w:rFonts w:cs="宋体"/>
          <w:b/>
          <w:color w:val="auto"/>
          <w:kern w:val="2"/>
          <w:sz w:val="28"/>
          <w:szCs w:val="28"/>
        </w:rPr>
      </w:pPr>
    </w:p>
    <w:p w14:paraId="231CA273">
      <w:pPr>
        <w:pStyle w:val="45"/>
        <w:ind w:firstLine="0" w:firstLineChars="0"/>
        <w:rPr>
          <w:rFonts w:cs="宋体"/>
          <w:b/>
          <w:color w:val="auto"/>
          <w:kern w:val="2"/>
          <w:sz w:val="28"/>
          <w:szCs w:val="28"/>
        </w:rPr>
      </w:pPr>
    </w:p>
    <w:p w14:paraId="2C49E257">
      <w:pPr>
        <w:pStyle w:val="45"/>
        <w:ind w:firstLine="0" w:firstLineChars="0"/>
        <w:rPr>
          <w:rFonts w:cs="宋体"/>
          <w:b/>
          <w:color w:val="auto"/>
          <w:kern w:val="2"/>
          <w:sz w:val="28"/>
          <w:szCs w:val="28"/>
        </w:rPr>
      </w:pPr>
    </w:p>
    <w:p w14:paraId="013DD5AF">
      <w:pPr>
        <w:pStyle w:val="45"/>
        <w:ind w:firstLine="0" w:firstLineChars="0"/>
        <w:rPr>
          <w:rFonts w:cs="宋体"/>
          <w:b/>
          <w:color w:val="auto"/>
          <w:kern w:val="2"/>
          <w:sz w:val="28"/>
          <w:szCs w:val="28"/>
        </w:rPr>
      </w:pPr>
    </w:p>
    <w:p w14:paraId="136B6FBB">
      <w:pPr>
        <w:pStyle w:val="17"/>
        <w:spacing w:line="340" w:lineRule="exact"/>
        <w:rPr>
          <w:rFonts w:hAnsi="宋体" w:cs="宋体"/>
          <w:b/>
          <w:color w:val="auto"/>
          <w:sz w:val="28"/>
          <w:szCs w:val="28"/>
        </w:rPr>
      </w:pPr>
    </w:p>
    <w:p w14:paraId="3A747864">
      <w:pPr>
        <w:pStyle w:val="17"/>
        <w:spacing w:line="340" w:lineRule="exact"/>
        <w:rPr>
          <w:rFonts w:hAnsi="宋体" w:cs="宋体"/>
          <w:b/>
          <w:color w:val="auto"/>
          <w:sz w:val="28"/>
          <w:szCs w:val="28"/>
        </w:rPr>
      </w:pPr>
      <w:r>
        <w:rPr>
          <w:rFonts w:hint="eastAsia" w:hAnsi="宋体" w:cs="宋体"/>
          <w:b/>
          <w:color w:val="auto"/>
          <w:sz w:val="28"/>
          <w:szCs w:val="28"/>
        </w:rPr>
        <w:t>1.项目实施人员一览表 （如有，请提供）</w:t>
      </w:r>
    </w:p>
    <w:p w14:paraId="433AB3EB">
      <w:pPr>
        <w:rPr>
          <w:rFonts w:ascii="宋体" w:hAnsi="宋体" w:cs="宋体"/>
          <w:color w:val="auto"/>
        </w:rPr>
      </w:pPr>
    </w:p>
    <w:p w14:paraId="554A0285">
      <w:pPr>
        <w:pStyle w:val="17"/>
        <w:rPr>
          <w:rFonts w:hAnsi="宋体" w:cs="宋体"/>
          <w:b/>
          <w:bCs/>
          <w:color w:val="auto"/>
          <w:sz w:val="32"/>
          <w:szCs w:val="32"/>
        </w:rPr>
      </w:pPr>
      <w:r>
        <w:rPr>
          <w:rFonts w:hint="eastAsia" w:hAnsi="宋体" w:cs="宋体"/>
          <w:b/>
          <w:bCs/>
          <w:color w:val="auto"/>
          <w:sz w:val="32"/>
          <w:szCs w:val="32"/>
        </w:rPr>
        <w:t>附件：</w:t>
      </w:r>
    </w:p>
    <w:p w14:paraId="471424AC">
      <w:pPr>
        <w:pStyle w:val="17"/>
        <w:ind w:firstLine="472" w:firstLineChars="147"/>
        <w:jc w:val="center"/>
        <w:rPr>
          <w:rFonts w:hAnsi="宋体" w:cs="宋体"/>
          <w:b/>
          <w:bCs/>
          <w:color w:val="auto"/>
          <w:sz w:val="32"/>
          <w:szCs w:val="32"/>
        </w:rPr>
      </w:pPr>
      <w:r>
        <w:rPr>
          <w:rFonts w:hint="eastAsia" w:hAnsi="宋体" w:cs="宋体"/>
          <w:b/>
          <w:bCs/>
          <w:color w:val="auto"/>
          <w:sz w:val="32"/>
          <w:szCs w:val="32"/>
        </w:rPr>
        <w:t>项目实施人员一览表（格式）</w:t>
      </w:r>
    </w:p>
    <w:tbl>
      <w:tblPr>
        <w:tblStyle w:val="29"/>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050"/>
        <w:gridCol w:w="1665"/>
        <w:gridCol w:w="1200"/>
        <w:gridCol w:w="2550"/>
        <w:gridCol w:w="2610"/>
      </w:tblGrid>
      <w:tr w14:paraId="627F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vAlign w:val="center"/>
          </w:tcPr>
          <w:p w14:paraId="48400E31">
            <w:pPr>
              <w:spacing w:line="400" w:lineRule="exact"/>
              <w:jc w:val="center"/>
              <w:rPr>
                <w:rFonts w:ascii="宋体" w:hAnsi="宋体" w:cs="宋体"/>
                <w:color w:val="auto"/>
                <w:szCs w:val="21"/>
              </w:rPr>
            </w:pPr>
            <w:r>
              <w:rPr>
                <w:rFonts w:hint="eastAsia" w:ascii="宋体" w:hAnsi="宋体" w:cs="宋体"/>
                <w:color w:val="auto"/>
                <w:szCs w:val="21"/>
              </w:rPr>
              <w:t>姓 名</w:t>
            </w:r>
          </w:p>
        </w:tc>
        <w:tc>
          <w:tcPr>
            <w:tcW w:w="1050" w:type="dxa"/>
            <w:vAlign w:val="center"/>
          </w:tcPr>
          <w:p w14:paraId="2A0A8C54">
            <w:pPr>
              <w:spacing w:line="400" w:lineRule="exact"/>
              <w:jc w:val="center"/>
              <w:rPr>
                <w:rFonts w:ascii="宋体" w:hAnsi="宋体" w:cs="宋体"/>
                <w:color w:val="auto"/>
                <w:szCs w:val="21"/>
              </w:rPr>
            </w:pPr>
            <w:r>
              <w:rPr>
                <w:rFonts w:hint="eastAsia" w:ascii="宋体" w:hAnsi="宋体" w:cs="宋体"/>
                <w:color w:val="auto"/>
                <w:szCs w:val="21"/>
              </w:rPr>
              <w:t>职务</w:t>
            </w:r>
          </w:p>
        </w:tc>
        <w:tc>
          <w:tcPr>
            <w:tcW w:w="1665" w:type="dxa"/>
            <w:vAlign w:val="center"/>
          </w:tcPr>
          <w:p w14:paraId="6EABE978">
            <w:pPr>
              <w:spacing w:line="400" w:lineRule="exact"/>
              <w:jc w:val="center"/>
              <w:rPr>
                <w:rFonts w:ascii="宋体" w:hAnsi="宋体" w:cs="宋体"/>
                <w:color w:val="auto"/>
                <w:szCs w:val="21"/>
              </w:rPr>
            </w:pPr>
            <w:r>
              <w:rPr>
                <w:rFonts w:hint="eastAsia" w:ascii="宋体" w:hAnsi="宋体" w:cs="宋体"/>
                <w:color w:val="auto"/>
                <w:szCs w:val="21"/>
              </w:rPr>
              <w:t>专业技术资格</w:t>
            </w:r>
          </w:p>
        </w:tc>
        <w:tc>
          <w:tcPr>
            <w:tcW w:w="1200" w:type="dxa"/>
            <w:vAlign w:val="center"/>
          </w:tcPr>
          <w:p w14:paraId="5EF5DBA8">
            <w:pPr>
              <w:spacing w:line="400" w:lineRule="exact"/>
              <w:jc w:val="center"/>
              <w:rPr>
                <w:rFonts w:ascii="宋体" w:hAnsi="宋体" w:cs="宋体"/>
                <w:color w:val="auto"/>
                <w:szCs w:val="21"/>
              </w:rPr>
            </w:pPr>
            <w:r>
              <w:rPr>
                <w:rFonts w:hint="eastAsia" w:ascii="宋体" w:hAnsi="宋体" w:cs="宋体"/>
                <w:color w:val="auto"/>
                <w:szCs w:val="21"/>
              </w:rPr>
              <w:t>证书编号</w:t>
            </w:r>
          </w:p>
        </w:tc>
        <w:tc>
          <w:tcPr>
            <w:tcW w:w="2550" w:type="dxa"/>
            <w:vAlign w:val="center"/>
          </w:tcPr>
          <w:p w14:paraId="2AF975E9">
            <w:pPr>
              <w:spacing w:line="400" w:lineRule="exact"/>
              <w:rPr>
                <w:rFonts w:ascii="宋体" w:hAnsi="宋体" w:cs="宋体"/>
                <w:color w:val="auto"/>
                <w:szCs w:val="21"/>
              </w:rPr>
            </w:pPr>
            <w:r>
              <w:rPr>
                <w:rFonts w:hint="eastAsia" w:ascii="宋体" w:hAnsi="宋体" w:cs="宋体"/>
                <w:color w:val="auto"/>
                <w:szCs w:val="21"/>
              </w:rPr>
              <w:t>参加本单位工作时间</w:t>
            </w:r>
          </w:p>
        </w:tc>
        <w:tc>
          <w:tcPr>
            <w:tcW w:w="2610" w:type="dxa"/>
            <w:vAlign w:val="center"/>
          </w:tcPr>
          <w:p w14:paraId="7931AC97">
            <w:pPr>
              <w:spacing w:line="400" w:lineRule="exact"/>
              <w:jc w:val="center"/>
              <w:rPr>
                <w:rFonts w:ascii="宋体" w:hAnsi="宋体" w:cs="宋体"/>
                <w:color w:val="auto"/>
                <w:szCs w:val="21"/>
              </w:rPr>
            </w:pPr>
            <w:r>
              <w:rPr>
                <w:rFonts w:hint="eastAsia" w:ascii="宋体" w:hAnsi="宋体" w:cs="宋体"/>
                <w:color w:val="auto"/>
                <w:szCs w:val="21"/>
              </w:rPr>
              <w:t>劳动合同编号</w:t>
            </w:r>
          </w:p>
        </w:tc>
      </w:tr>
      <w:tr w14:paraId="4AF7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1524719E">
            <w:pPr>
              <w:spacing w:line="400" w:lineRule="exact"/>
              <w:rPr>
                <w:rFonts w:ascii="宋体" w:hAnsi="宋体" w:cs="宋体"/>
                <w:color w:val="auto"/>
                <w:szCs w:val="21"/>
              </w:rPr>
            </w:pPr>
          </w:p>
        </w:tc>
        <w:tc>
          <w:tcPr>
            <w:tcW w:w="1050" w:type="dxa"/>
          </w:tcPr>
          <w:p w14:paraId="6B65E247">
            <w:pPr>
              <w:spacing w:line="400" w:lineRule="exact"/>
              <w:rPr>
                <w:rFonts w:ascii="宋体" w:hAnsi="宋体" w:cs="宋体"/>
                <w:color w:val="auto"/>
                <w:szCs w:val="21"/>
              </w:rPr>
            </w:pPr>
          </w:p>
        </w:tc>
        <w:tc>
          <w:tcPr>
            <w:tcW w:w="1665" w:type="dxa"/>
          </w:tcPr>
          <w:p w14:paraId="33E380CC">
            <w:pPr>
              <w:spacing w:line="400" w:lineRule="exact"/>
              <w:rPr>
                <w:rFonts w:ascii="宋体" w:hAnsi="宋体" w:cs="宋体"/>
                <w:color w:val="auto"/>
                <w:szCs w:val="21"/>
              </w:rPr>
            </w:pPr>
          </w:p>
        </w:tc>
        <w:tc>
          <w:tcPr>
            <w:tcW w:w="1200" w:type="dxa"/>
          </w:tcPr>
          <w:p w14:paraId="10F04C00">
            <w:pPr>
              <w:spacing w:line="400" w:lineRule="exact"/>
              <w:rPr>
                <w:rFonts w:ascii="宋体" w:hAnsi="宋体" w:cs="宋体"/>
                <w:color w:val="auto"/>
                <w:szCs w:val="21"/>
              </w:rPr>
            </w:pPr>
          </w:p>
        </w:tc>
        <w:tc>
          <w:tcPr>
            <w:tcW w:w="2550" w:type="dxa"/>
          </w:tcPr>
          <w:p w14:paraId="55C46521">
            <w:pPr>
              <w:spacing w:line="400" w:lineRule="exact"/>
              <w:rPr>
                <w:rFonts w:ascii="宋体" w:hAnsi="宋体" w:cs="宋体"/>
                <w:color w:val="auto"/>
                <w:szCs w:val="21"/>
              </w:rPr>
            </w:pPr>
          </w:p>
        </w:tc>
        <w:tc>
          <w:tcPr>
            <w:tcW w:w="2610" w:type="dxa"/>
          </w:tcPr>
          <w:p w14:paraId="1A17FA1F">
            <w:pPr>
              <w:spacing w:line="400" w:lineRule="exact"/>
              <w:rPr>
                <w:rFonts w:ascii="宋体" w:hAnsi="宋体" w:cs="宋体"/>
                <w:color w:val="auto"/>
                <w:szCs w:val="21"/>
              </w:rPr>
            </w:pPr>
          </w:p>
        </w:tc>
      </w:tr>
      <w:tr w14:paraId="22E0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 w:type="dxa"/>
          </w:tcPr>
          <w:p w14:paraId="69D410BF">
            <w:pPr>
              <w:spacing w:line="400" w:lineRule="exact"/>
              <w:rPr>
                <w:rFonts w:ascii="宋体" w:hAnsi="宋体" w:cs="宋体"/>
                <w:color w:val="auto"/>
                <w:szCs w:val="21"/>
              </w:rPr>
            </w:pPr>
          </w:p>
        </w:tc>
        <w:tc>
          <w:tcPr>
            <w:tcW w:w="1050" w:type="dxa"/>
          </w:tcPr>
          <w:p w14:paraId="553EBDDD">
            <w:pPr>
              <w:spacing w:line="400" w:lineRule="exact"/>
              <w:rPr>
                <w:rFonts w:ascii="宋体" w:hAnsi="宋体" w:cs="宋体"/>
                <w:color w:val="auto"/>
                <w:szCs w:val="21"/>
              </w:rPr>
            </w:pPr>
          </w:p>
        </w:tc>
        <w:tc>
          <w:tcPr>
            <w:tcW w:w="1665" w:type="dxa"/>
          </w:tcPr>
          <w:p w14:paraId="1C7D0DCF">
            <w:pPr>
              <w:spacing w:line="400" w:lineRule="exact"/>
              <w:rPr>
                <w:rFonts w:ascii="宋体" w:hAnsi="宋体" w:cs="宋体"/>
                <w:color w:val="auto"/>
                <w:szCs w:val="21"/>
              </w:rPr>
            </w:pPr>
          </w:p>
        </w:tc>
        <w:tc>
          <w:tcPr>
            <w:tcW w:w="1200" w:type="dxa"/>
          </w:tcPr>
          <w:p w14:paraId="50D59776">
            <w:pPr>
              <w:spacing w:line="400" w:lineRule="exact"/>
              <w:rPr>
                <w:rFonts w:ascii="宋体" w:hAnsi="宋体" w:cs="宋体"/>
                <w:color w:val="auto"/>
                <w:szCs w:val="21"/>
              </w:rPr>
            </w:pPr>
          </w:p>
        </w:tc>
        <w:tc>
          <w:tcPr>
            <w:tcW w:w="2550" w:type="dxa"/>
          </w:tcPr>
          <w:p w14:paraId="723D43E8">
            <w:pPr>
              <w:spacing w:line="400" w:lineRule="exact"/>
              <w:rPr>
                <w:rFonts w:ascii="宋体" w:hAnsi="宋体" w:cs="宋体"/>
                <w:color w:val="auto"/>
                <w:szCs w:val="21"/>
              </w:rPr>
            </w:pPr>
          </w:p>
        </w:tc>
        <w:tc>
          <w:tcPr>
            <w:tcW w:w="2610" w:type="dxa"/>
          </w:tcPr>
          <w:p w14:paraId="4C9ECFFA">
            <w:pPr>
              <w:spacing w:line="400" w:lineRule="exact"/>
              <w:rPr>
                <w:rFonts w:ascii="宋体" w:hAnsi="宋体" w:cs="宋体"/>
                <w:color w:val="auto"/>
                <w:szCs w:val="21"/>
              </w:rPr>
            </w:pPr>
          </w:p>
        </w:tc>
      </w:tr>
    </w:tbl>
    <w:p w14:paraId="1B5E5067">
      <w:pPr>
        <w:spacing w:line="400" w:lineRule="exact"/>
        <w:rPr>
          <w:rFonts w:ascii="宋体" w:hAnsi="宋体" w:cs="宋体"/>
          <w:color w:val="auto"/>
          <w:szCs w:val="21"/>
        </w:rPr>
      </w:pPr>
    </w:p>
    <w:p w14:paraId="79FCEAA1">
      <w:pPr>
        <w:snapToGrid w:val="0"/>
        <w:spacing w:line="400" w:lineRule="exact"/>
        <w:ind w:firstLine="1890" w:firstLineChars="900"/>
        <w:rPr>
          <w:rFonts w:ascii="宋体" w:hAnsi="宋体" w:cs="宋体"/>
          <w:color w:val="auto"/>
          <w:szCs w:val="21"/>
          <w:u w:val="single"/>
        </w:rPr>
      </w:pPr>
      <w:r>
        <w:rPr>
          <w:rFonts w:hint="eastAsia" w:ascii="宋体" w:hAnsi="宋体" w:cs="宋体"/>
          <w:color w:val="auto"/>
          <w:szCs w:val="21"/>
        </w:rPr>
        <w:t>磋商供应商[(CA证书签章)，自然人签字或个人CA证书签章]：</w:t>
      </w:r>
    </w:p>
    <w:p w14:paraId="108F66BA">
      <w:pPr>
        <w:rPr>
          <w:color w:val="auto"/>
        </w:rPr>
      </w:pPr>
    </w:p>
    <w:p w14:paraId="568DD548">
      <w:pPr>
        <w:snapToGrid w:val="0"/>
        <w:spacing w:line="400" w:lineRule="exact"/>
        <w:ind w:firstLine="1680" w:firstLineChars="800"/>
        <w:rPr>
          <w:rFonts w:ascii="宋体" w:hAnsi="宋体" w:cs="宋体"/>
          <w:color w:val="auto"/>
        </w:rPr>
      </w:pPr>
      <w:r>
        <w:rPr>
          <w:rFonts w:hint="eastAsia" w:ascii="宋体" w:hAnsi="宋体" w:cs="宋体"/>
          <w:color w:val="auto"/>
        </w:rPr>
        <w:t xml:space="preserve"> 日          期：</w:t>
      </w:r>
    </w:p>
    <w:p w14:paraId="755973E3">
      <w:pPr>
        <w:pStyle w:val="12"/>
        <w:rPr>
          <w:rFonts w:ascii="宋体" w:hAnsi="宋体" w:cs="宋体"/>
          <w:color w:val="auto"/>
        </w:rPr>
      </w:pPr>
    </w:p>
    <w:p w14:paraId="31ACA8E1">
      <w:pPr>
        <w:spacing w:line="360" w:lineRule="auto"/>
        <w:rPr>
          <w:rFonts w:ascii="宋体" w:hAnsi="宋体" w:cs="宋体"/>
          <w:b/>
          <w:bCs/>
          <w:color w:val="auto"/>
          <w:sz w:val="24"/>
        </w:rPr>
      </w:pPr>
      <w:r>
        <w:rPr>
          <w:rFonts w:hint="eastAsia" w:ascii="宋体" w:hAnsi="宋体" w:cs="宋体"/>
          <w:b/>
          <w:bCs/>
          <w:color w:val="auto"/>
          <w:sz w:val="24"/>
        </w:rPr>
        <w:t>注：供应商根据自身情况结合本项目自行制定</w:t>
      </w:r>
    </w:p>
    <w:p w14:paraId="244EF04B">
      <w:pPr>
        <w:spacing w:line="360" w:lineRule="auto"/>
        <w:rPr>
          <w:rFonts w:ascii="宋体" w:hAnsi="宋体" w:cs="宋体"/>
          <w:b/>
          <w:bCs/>
          <w:color w:val="auto"/>
          <w:sz w:val="24"/>
        </w:rPr>
      </w:pPr>
    </w:p>
    <w:p w14:paraId="4BC650BE">
      <w:pPr>
        <w:pStyle w:val="17"/>
        <w:spacing w:line="340" w:lineRule="exact"/>
        <w:rPr>
          <w:rFonts w:hAnsi="宋体" w:cs="宋体"/>
          <w:b/>
          <w:color w:val="auto"/>
          <w:sz w:val="28"/>
          <w:szCs w:val="28"/>
        </w:rPr>
      </w:pPr>
    </w:p>
    <w:p w14:paraId="6731EB18">
      <w:pPr>
        <w:pStyle w:val="17"/>
        <w:spacing w:line="340" w:lineRule="exact"/>
        <w:rPr>
          <w:rFonts w:hAnsi="宋体" w:cs="宋体"/>
          <w:b/>
          <w:color w:val="auto"/>
          <w:sz w:val="28"/>
          <w:szCs w:val="28"/>
        </w:rPr>
      </w:pPr>
    </w:p>
    <w:p w14:paraId="24B4BD88">
      <w:pPr>
        <w:pStyle w:val="17"/>
        <w:spacing w:line="340" w:lineRule="exact"/>
        <w:rPr>
          <w:rFonts w:hAnsi="宋体" w:cs="宋体"/>
          <w:b/>
          <w:color w:val="auto"/>
          <w:sz w:val="28"/>
          <w:szCs w:val="28"/>
        </w:rPr>
      </w:pPr>
    </w:p>
    <w:p w14:paraId="1F47E8C6">
      <w:pPr>
        <w:pStyle w:val="17"/>
        <w:spacing w:line="340" w:lineRule="exact"/>
        <w:rPr>
          <w:rFonts w:hAnsi="宋体" w:cs="宋体"/>
          <w:b/>
          <w:color w:val="auto"/>
          <w:sz w:val="28"/>
          <w:szCs w:val="28"/>
        </w:rPr>
      </w:pPr>
      <w:r>
        <w:rPr>
          <w:rFonts w:hint="eastAsia" w:hAnsi="宋体" w:cs="宋体"/>
          <w:b/>
          <w:color w:val="auto"/>
          <w:sz w:val="28"/>
          <w:szCs w:val="28"/>
        </w:rPr>
        <w:t>2.供应商可以在商务技术文件中提供服务方案【包括但不限于项目实施方案、人员配置方案、售后服务方案等】以及对应采购需求的技术要求、商务要求提供的其他文件资料（格式自拟）（如有，请提供）；</w:t>
      </w:r>
    </w:p>
    <w:p w14:paraId="566706AC">
      <w:pPr>
        <w:pStyle w:val="17"/>
        <w:spacing w:line="340" w:lineRule="exact"/>
        <w:rPr>
          <w:rFonts w:hAnsi="宋体" w:cs="宋体"/>
          <w:b/>
          <w:color w:val="auto"/>
          <w:sz w:val="28"/>
          <w:szCs w:val="28"/>
        </w:rPr>
      </w:pPr>
      <w:r>
        <w:rPr>
          <w:rFonts w:hint="eastAsia" w:hAnsi="宋体" w:cs="宋体"/>
          <w:b/>
          <w:color w:val="auto"/>
          <w:sz w:val="28"/>
          <w:szCs w:val="28"/>
        </w:rPr>
        <w:t>3.“采购需求”需提供的有效证明文件（如有，请提供）；</w:t>
      </w:r>
    </w:p>
    <w:p w14:paraId="56FF2839">
      <w:pPr>
        <w:pStyle w:val="12"/>
        <w:rPr>
          <w:rFonts w:ascii="宋体" w:hAnsi="宋体" w:cs="宋体"/>
          <w:b/>
          <w:color w:val="auto"/>
        </w:rPr>
      </w:pPr>
    </w:p>
    <w:p w14:paraId="34D11084">
      <w:pPr>
        <w:pStyle w:val="13"/>
        <w:ind w:firstLine="422"/>
        <w:rPr>
          <w:rFonts w:ascii="宋体" w:hAnsi="宋体" w:cs="宋体"/>
          <w:b/>
          <w:color w:val="auto"/>
        </w:rPr>
      </w:pPr>
    </w:p>
    <w:p w14:paraId="3C61D3AA">
      <w:pPr>
        <w:pStyle w:val="13"/>
        <w:ind w:firstLine="422"/>
        <w:rPr>
          <w:rFonts w:ascii="宋体" w:hAnsi="宋体" w:cs="宋体"/>
          <w:b/>
          <w:color w:val="auto"/>
        </w:rPr>
      </w:pPr>
    </w:p>
    <w:p w14:paraId="11CE4901">
      <w:pPr>
        <w:pStyle w:val="13"/>
        <w:ind w:firstLine="422"/>
        <w:rPr>
          <w:rFonts w:ascii="宋体" w:hAnsi="宋体" w:cs="宋体"/>
          <w:b/>
          <w:color w:val="auto"/>
        </w:rPr>
      </w:pPr>
    </w:p>
    <w:p w14:paraId="482F8DB3">
      <w:pPr>
        <w:pStyle w:val="17"/>
        <w:spacing w:line="340" w:lineRule="exact"/>
        <w:rPr>
          <w:rFonts w:hAnsi="宋体" w:cs="宋体"/>
          <w:b/>
          <w:color w:val="auto"/>
          <w:sz w:val="28"/>
          <w:szCs w:val="28"/>
        </w:rPr>
      </w:pPr>
      <w:bookmarkStart w:id="179" w:name="_Toc497927090"/>
      <w:bookmarkStart w:id="180" w:name="_Toc3052"/>
      <w:bookmarkStart w:id="181" w:name="_Toc10161"/>
    </w:p>
    <w:p w14:paraId="59332F23">
      <w:pPr>
        <w:pStyle w:val="17"/>
        <w:spacing w:line="340" w:lineRule="exact"/>
        <w:rPr>
          <w:rFonts w:hAnsi="宋体" w:cs="宋体"/>
          <w:b/>
          <w:color w:val="auto"/>
          <w:sz w:val="28"/>
          <w:szCs w:val="28"/>
        </w:rPr>
      </w:pPr>
      <w:r>
        <w:rPr>
          <w:rFonts w:hint="eastAsia" w:hAnsi="宋体" w:cs="宋体"/>
          <w:b/>
          <w:color w:val="auto"/>
          <w:sz w:val="28"/>
          <w:szCs w:val="28"/>
        </w:rPr>
        <w:t>4.供应商2021年以来具有同类项目业绩相关证明材料（无不良记录，以中标、成交通知书或签订的合同为准，并能清晰反映项目的名称、采购内容、采购金额、采购时间）（如有，请提供）；</w:t>
      </w:r>
      <w:bookmarkEnd w:id="179"/>
      <w:bookmarkEnd w:id="180"/>
      <w:bookmarkEnd w:id="181"/>
    </w:p>
    <w:p w14:paraId="2F698C43">
      <w:pPr>
        <w:pStyle w:val="17"/>
        <w:spacing w:line="340" w:lineRule="exact"/>
        <w:rPr>
          <w:rFonts w:hAnsi="宋体" w:cs="宋体"/>
          <w:b/>
          <w:color w:val="auto"/>
          <w:sz w:val="28"/>
          <w:szCs w:val="28"/>
        </w:rPr>
      </w:pPr>
    </w:p>
    <w:p w14:paraId="39118EE6">
      <w:pPr>
        <w:pStyle w:val="17"/>
        <w:spacing w:line="340" w:lineRule="exact"/>
        <w:rPr>
          <w:rFonts w:hAnsi="宋体" w:cs="宋体"/>
          <w:b/>
          <w:color w:val="auto"/>
          <w:sz w:val="28"/>
          <w:szCs w:val="28"/>
        </w:rPr>
      </w:pPr>
    </w:p>
    <w:p w14:paraId="40F2C457">
      <w:pPr>
        <w:pStyle w:val="9"/>
        <w:rPr>
          <w:rFonts w:ascii="宋体" w:hAnsi="宋体" w:cs="宋体"/>
          <w:b/>
          <w:color w:val="auto"/>
          <w:sz w:val="28"/>
          <w:szCs w:val="28"/>
        </w:rPr>
      </w:pPr>
    </w:p>
    <w:p w14:paraId="7E7A5A6B">
      <w:pPr>
        <w:pStyle w:val="17"/>
        <w:spacing w:line="340" w:lineRule="exact"/>
        <w:rPr>
          <w:rFonts w:hAnsi="宋体" w:cs="宋体"/>
          <w:b/>
          <w:color w:val="auto"/>
          <w:sz w:val="28"/>
          <w:szCs w:val="28"/>
        </w:rPr>
      </w:pPr>
    </w:p>
    <w:p w14:paraId="63D6CDD8">
      <w:pPr>
        <w:pStyle w:val="9"/>
        <w:ind w:left="0"/>
        <w:rPr>
          <w:color w:val="auto"/>
        </w:rPr>
      </w:pPr>
    </w:p>
    <w:p w14:paraId="4EB922E9">
      <w:pPr>
        <w:rPr>
          <w:color w:val="auto"/>
        </w:rPr>
      </w:pPr>
    </w:p>
    <w:p w14:paraId="144CB8DE">
      <w:pPr>
        <w:rPr>
          <w:rFonts w:ascii="宋体" w:hAnsi="宋体" w:cs="宋体"/>
          <w:b/>
          <w:color w:val="auto"/>
          <w:sz w:val="28"/>
          <w:szCs w:val="28"/>
        </w:rPr>
      </w:pPr>
      <w:r>
        <w:rPr>
          <w:rFonts w:hint="eastAsia" w:ascii="宋体" w:hAnsi="宋体" w:cs="宋体"/>
          <w:b/>
          <w:color w:val="auto"/>
          <w:sz w:val="28"/>
          <w:szCs w:val="28"/>
        </w:rPr>
        <w:t>5.供应商为中小企业的证明材料（如有，请提供）【属于中小企业在参加政府采购活动时，应当出具《中小企业声明函》（格式见附件），以提供的《中小企业声明函》为准，并对声明的真实性负责（中小微型企业划分标准按照《国家统计局关于印发《统计上大中小微型企业划分办法（2017）》的通知》（国统字[2017]213号）执行）】</w:t>
      </w:r>
    </w:p>
    <w:p w14:paraId="761CCB9E">
      <w:pPr>
        <w:pStyle w:val="54"/>
        <w:spacing w:line="360" w:lineRule="auto"/>
        <w:rPr>
          <w:rFonts w:ascii="宋体" w:hAnsi="宋体" w:cs="宋体"/>
          <w:b/>
          <w:color w:val="auto"/>
          <w:kern w:val="0"/>
          <w:sz w:val="28"/>
          <w:szCs w:val="28"/>
        </w:rPr>
      </w:pPr>
    </w:p>
    <w:p w14:paraId="616C597C">
      <w:pPr>
        <w:tabs>
          <w:tab w:val="left" w:pos="1305"/>
        </w:tabs>
        <w:spacing w:line="380" w:lineRule="exact"/>
        <w:rPr>
          <w:rFonts w:ascii="宋体" w:hAnsi="宋体" w:cs="宋体"/>
          <w:b/>
          <w:bCs/>
          <w:color w:val="auto"/>
          <w:sz w:val="32"/>
          <w:szCs w:val="32"/>
        </w:rPr>
      </w:pPr>
    </w:p>
    <w:p w14:paraId="72108FA0">
      <w:pPr>
        <w:tabs>
          <w:tab w:val="left" w:pos="1305"/>
        </w:tabs>
        <w:spacing w:line="380" w:lineRule="exact"/>
        <w:ind w:firstLine="2891" w:firstLineChars="900"/>
        <w:rPr>
          <w:rFonts w:ascii="宋体" w:hAnsi="宋体" w:cs="宋体"/>
          <w:b/>
          <w:bCs/>
          <w:color w:val="auto"/>
          <w:sz w:val="32"/>
          <w:szCs w:val="32"/>
        </w:rPr>
      </w:pPr>
      <w:r>
        <w:rPr>
          <w:rFonts w:hint="eastAsia" w:ascii="宋体" w:hAnsi="宋体" w:cs="宋体"/>
          <w:b/>
          <w:bCs/>
          <w:color w:val="auto"/>
          <w:sz w:val="32"/>
          <w:szCs w:val="32"/>
        </w:rPr>
        <w:t>中小企业声明函（格式）</w:t>
      </w:r>
    </w:p>
    <w:p w14:paraId="775012A3">
      <w:pPr>
        <w:tabs>
          <w:tab w:val="left" w:pos="1305"/>
        </w:tabs>
        <w:spacing w:line="380" w:lineRule="exact"/>
        <w:ind w:firstLine="422" w:firstLineChars="200"/>
        <w:rPr>
          <w:rFonts w:ascii="宋体" w:hAnsi="宋体" w:cs="宋体"/>
          <w:b/>
          <w:bCs/>
          <w:color w:val="auto"/>
          <w:szCs w:val="20"/>
        </w:rPr>
      </w:pPr>
    </w:p>
    <w:p w14:paraId="32F4FEFC">
      <w:pPr>
        <w:pStyle w:val="8"/>
        <w:spacing w:line="500" w:lineRule="exact"/>
        <w:ind w:left="-199" w:leftChars="-95" w:firstLine="480" w:firstLineChars="200"/>
        <w:rPr>
          <w:rFonts w:ascii="宋体" w:hAnsi="宋体" w:cs="宋体"/>
          <w:color w:val="auto"/>
          <w:kern w:val="0"/>
          <w:sz w:val="24"/>
        </w:rPr>
      </w:pPr>
      <w:r>
        <w:rPr>
          <w:rFonts w:hint="eastAsia" w:ascii="宋体" w:hAnsi="宋体" w:cs="宋体"/>
          <w:color w:val="auto"/>
          <w:kern w:val="0"/>
          <w:sz w:val="24"/>
        </w:rPr>
        <w:t>本公司郑重声明，根据《政府采购促进中小企业发展管理办法》（财库﹝2020﹞46号）的规定，本公司参加</w:t>
      </w:r>
      <w:r>
        <w:rPr>
          <w:rFonts w:hint="eastAsia" w:ascii="宋体" w:hAnsi="宋体" w:cs="宋体"/>
          <w:color w:val="auto"/>
          <w:kern w:val="0"/>
          <w:sz w:val="24"/>
          <w:u w:val="single"/>
        </w:rPr>
        <w:t xml:space="preserve"> （单位名称） </w:t>
      </w:r>
      <w:r>
        <w:rPr>
          <w:rFonts w:hint="eastAsia" w:ascii="宋体" w:hAnsi="宋体" w:cs="宋体"/>
          <w:color w:val="auto"/>
          <w:kern w:val="0"/>
          <w:sz w:val="24"/>
        </w:rPr>
        <w:t>的</w:t>
      </w:r>
      <w:r>
        <w:rPr>
          <w:rFonts w:hint="eastAsia" w:ascii="宋体" w:hAnsi="宋体" w:cs="宋体"/>
          <w:color w:val="auto"/>
          <w:kern w:val="0"/>
          <w:sz w:val="24"/>
          <w:u w:val="single"/>
        </w:rPr>
        <w:t xml:space="preserve"> （项目名称） </w:t>
      </w:r>
      <w:r>
        <w:rPr>
          <w:rFonts w:hint="eastAsia" w:ascii="宋体" w:hAnsi="宋体" w:cs="宋体"/>
          <w:color w:val="auto"/>
          <w:kern w:val="0"/>
          <w:sz w:val="24"/>
        </w:rPr>
        <w:t>采购活动，服务全部由符合政策要求的中小企业承接。相关企业（含联合体中的中小企业（如有）、签订分包意向协议的中小企业（如有））的具体情况如下：</w:t>
      </w:r>
    </w:p>
    <w:p w14:paraId="30812CBC">
      <w:pPr>
        <w:pStyle w:val="8"/>
        <w:spacing w:line="500" w:lineRule="exact"/>
        <w:ind w:left="-139" w:leftChars="-66" w:firstLine="480" w:firstLineChars="200"/>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u w:val="single"/>
        </w:rPr>
        <w:t xml:space="preserve"> （标的名称） </w:t>
      </w:r>
      <w:r>
        <w:rPr>
          <w:rFonts w:hint="eastAsia" w:ascii="宋体" w:hAnsi="宋体" w:cs="宋体"/>
          <w:color w:val="auto"/>
          <w:kern w:val="0"/>
          <w:sz w:val="24"/>
        </w:rPr>
        <w:t>，属于 ；承接企业为</w:t>
      </w:r>
      <w:r>
        <w:rPr>
          <w:rFonts w:hint="eastAsia" w:ascii="宋体" w:hAnsi="宋体" w:cs="宋体"/>
          <w:color w:val="auto"/>
          <w:kern w:val="0"/>
          <w:sz w:val="24"/>
          <w:u w:val="single"/>
        </w:rPr>
        <w:t xml:space="preserve"> （企业名称） </w:t>
      </w:r>
      <w:r>
        <w:rPr>
          <w:rFonts w:hint="eastAsia" w:ascii="宋体" w:hAnsi="宋体" w:cs="宋体"/>
          <w:color w:val="auto"/>
          <w:kern w:val="0"/>
          <w:sz w:val="24"/>
        </w:rPr>
        <w:t>，从业人员人，营业收入为万元，资产总额为万元，属于</w:t>
      </w:r>
      <w:r>
        <w:rPr>
          <w:rFonts w:hint="eastAsia" w:ascii="宋体" w:hAnsi="宋体" w:cs="宋体"/>
          <w:color w:val="auto"/>
          <w:kern w:val="0"/>
          <w:sz w:val="24"/>
          <w:u w:val="single"/>
        </w:rPr>
        <w:t xml:space="preserve"> （中型企业、小型企业、微型企业） </w:t>
      </w:r>
      <w:r>
        <w:rPr>
          <w:rFonts w:hint="eastAsia" w:ascii="宋体" w:hAnsi="宋体" w:cs="宋体"/>
          <w:color w:val="auto"/>
          <w:kern w:val="0"/>
          <w:sz w:val="24"/>
        </w:rPr>
        <w:t>；</w:t>
      </w:r>
    </w:p>
    <w:p w14:paraId="6A4790A2">
      <w:pPr>
        <w:pStyle w:val="8"/>
        <w:spacing w:line="500" w:lineRule="exact"/>
        <w:ind w:left="-199" w:leftChars="-95" w:firstLine="530" w:firstLineChars="221"/>
        <w:rPr>
          <w:rFonts w:ascii="宋体" w:hAnsi="宋体" w:cs="宋体"/>
          <w:color w:val="auto"/>
          <w:kern w:val="0"/>
          <w:sz w:val="24"/>
        </w:rPr>
      </w:pPr>
      <w:r>
        <w:rPr>
          <w:rFonts w:hint="eastAsia" w:ascii="宋体" w:hAnsi="宋体" w:cs="宋体"/>
          <w:color w:val="auto"/>
          <w:kern w:val="0"/>
          <w:sz w:val="24"/>
        </w:rPr>
        <w:t>以上企业，不属于大企业的分支机构，不存在控股股东为大企业的情形，也不存在与大企业的负责人为同一人的情形。</w:t>
      </w:r>
    </w:p>
    <w:p w14:paraId="67A74ABA">
      <w:pPr>
        <w:pStyle w:val="8"/>
        <w:spacing w:line="500" w:lineRule="exact"/>
        <w:rPr>
          <w:rFonts w:ascii="宋体" w:hAnsi="宋体" w:cs="宋体"/>
          <w:color w:val="auto"/>
          <w:kern w:val="0"/>
          <w:sz w:val="24"/>
        </w:rPr>
      </w:pPr>
      <w:r>
        <w:rPr>
          <w:rFonts w:hint="eastAsia" w:ascii="宋体" w:hAnsi="宋体" w:cs="宋体"/>
          <w:color w:val="auto"/>
          <w:kern w:val="0"/>
          <w:sz w:val="24"/>
        </w:rPr>
        <w:t>本企业对上述声明内容的真实性负责。如有虚假，将依法承担相应责任。</w:t>
      </w:r>
    </w:p>
    <w:p w14:paraId="240948EF">
      <w:pPr>
        <w:pStyle w:val="8"/>
        <w:ind w:firstLine="3132" w:firstLineChars="1300"/>
        <w:rPr>
          <w:rFonts w:ascii="宋体" w:hAnsi="宋体" w:cs="宋体"/>
          <w:b/>
          <w:bCs/>
          <w:color w:val="auto"/>
          <w:kern w:val="0"/>
          <w:sz w:val="24"/>
        </w:rPr>
      </w:pPr>
    </w:p>
    <w:p w14:paraId="1322A915">
      <w:pPr>
        <w:pStyle w:val="8"/>
        <w:ind w:firstLine="3132" w:firstLineChars="1300"/>
        <w:rPr>
          <w:rFonts w:ascii="宋体" w:hAnsi="宋体" w:cs="宋体"/>
          <w:b/>
          <w:bCs/>
          <w:color w:val="auto"/>
          <w:kern w:val="0"/>
          <w:sz w:val="24"/>
          <w:u w:val="single"/>
        </w:rPr>
      </w:pPr>
      <w:r>
        <w:rPr>
          <w:rFonts w:hint="eastAsia" w:ascii="宋体" w:hAnsi="宋体" w:cs="宋体"/>
          <w:b/>
          <w:bCs/>
          <w:color w:val="auto"/>
          <w:kern w:val="0"/>
          <w:sz w:val="24"/>
        </w:rPr>
        <w:t>企业名称（盖章）：</w:t>
      </w:r>
    </w:p>
    <w:p w14:paraId="1FAA2CAC">
      <w:pPr>
        <w:pStyle w:val="8"/>
        <w:ind w:firstLine="3132" w:firstLineChars="1300"/>
        <w:rPr>
          <w:rFonts w:ascii="宋体" w:hAnsi="宋体" w:cs="宋体"/>
          <w:b/>
          <w:bCs/>
          <w:color w:val="auto"/>
          <w:kern w:val="0"/>
          <w:sz w:val="24"/>
        </w:rPr>
      </w:pPr>
      <w:r>
        <w:rPr>
          <w:rFonts w:hint="eastAsia" w:ascii="宋体" w:hAnsi="宋体" w:cs="宋体"/>
          <w:b/>
          <w:bCs/>
          <w:color w:val="auto"/>
          <w:kern w:val="0"/>
          <w:sz w:val="24"/>
        </w:rPr>
        <w:t>日 期：   年   月   日</w:t>
      </w:r>
    </w:p>
    <w:p w14:paraId="7AD3964D">
      <w:pPr>
        <w:rPr>
          <w:rFonts w:ascii="宋体" w:hAnsi="宋体" w:cs="宋体"/>
          <w:color w:val="auto"/>
          <w:sz w:val="24"/>
        </w:rPr>
      </w:pPr>
    </w:p>
    <w:p w14:paraId="01D1BB52">
      <w:pPr>
        <w:pStyle w:val="8"/>
        <w:rPr>
          <w:rFonts w:ascii="宋体" w:hAnsi="宋体" w:cs="宋体"/>
          <w:color w:val="auto"/>
          <w:kern w:val="0"/>
          <w:sz w:val="24"/>
        </w:rPr>
      </w:pPr>
      <w:r>
        <w:rPr>
          <w:rFonts w:hint="eastAsia" w:ascii="宋体" w:hAnsi="宋体" w:cs="宋体"/>
          <w:color w:val="auto"/>
          <w:kern w:val="0"/>
          <w:sz w:val="24"/>
        </w:rPr>
        <w:t>注：</w:t>
      </w:r>
      <w:r>
        <w:rPr>
          <w:rFonts w:hint="eastAsia" w:ascii="宋体" w:hAnsi="宋体" w:cs="宋体"/>
          <w:color w:val="auto"/>
          <w:kern w:val="0"/>
          <w:sz w:val="24"/>
          <w:vertAlign w:val="superscript"/>
        </w:rPr>
        <w:t xml:space="preserve">1  </w:t>
      </w:r>
      <w:r>
        <w:rPr>
          <w:rFonts w:hint="eastAsia" w:ascii="宋体" w:hAnsi="宋体" w:cs="宋体"/>
          <w:color w:val="auto"/>
          <w:kern w:val="0"/>
          <w:sz w:val="24"/>
        </w:rPr>
        <w:t>从业人员、营业收入、资产总额填报上一年度数据，无上一年度数据的新成立企业可不填报。</w:t>
      </w:r>
    </w:p>
    <w:p w14:paraId="7F6EF5D1">
      <w:pPr>
        <w:rPr>
          <w:color w:val="auto"/>
        </w:rPr>
      </w:pPr>
    </w:p>
    <w:p w14:paraId="65D71011">
      <w:pPr>
        <w:rPr>
          <w:color w:val="auto"/>
        </w:rPr>
      </w:pPr>
    </w:p>
    <w:p w14:paraId="54F31DD0">
      <w:pPr>
        <w:rPr>
          <w:color w:val="auto"/>
        </w:rPr>
      </w:pPr>
    </w:p>
    <w:p w14:paraId="2CF4E4C0">
      <w:pPr>
        <w:pStyle w:val="17"/>
        <w:spacing w:line="340" w:lineRule="exact"/>
        <w:rPr>
          <w:rFonts w:hAnsi="宋体" w:cs="宋体"/>
          <w:b/>
          <w:color w:val="auto"/>
          <w:sz w:val="28"/>
          <w:szCs w:val="28"/>
        </w:rPr>
      </w:pPr>
    </w:p>
    <w:p w14:paraId="276F63AE">
      <w:pPr>
        <w:pStyle w:val="17"/>
        <w:spacing w:line="340" w:lineRule="exact"/>
        <w:rPr>
          <w:rFonts w:hAnsi="宋体" w:cs="宋体"/>
          <w:color w:val="auto"/>
        </w:rPr>
      </w:pPr>
      <w:r>
        <w:rPr>
          <w:rFonts w:hint="eastAsia" w:hAnsi="宋体" w:cs="宋体"/>
          <w:b/>
          <w:color w:val="auto"/>
          <w:sz w:val="28"/>
          <w:szCs w:val="28"/>
        </w:rPr>
        <w:t>6.供应商可结合本项目的评审办法视自身情况自行提交其它相关证明材料。</w:t>
      </w:r>
    </w:p>
    <w:p w14:paraId="7DE92109">
      <w:pPr>
        <w:rPr>
          <w:rFonts w:ascii="宋体" w:hAnsi="宋体" w:cs="宋体"/>
          <w:color w:val="auto"/>
        </w:rPr>
      </w:pPr>
    </w:p>
    <w:sectPr>
      <w:pgSz w:w="11906" w:h="16838"/>
      <w:pgMar w:top="1440" w:right="935" w:bottom="1440" w:left="7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93733">
    <w:pPr>
      <w:pStyle w:val="19"/>
      <w:pBdr>
        <w:bottom w:val="single" w:color="auto" w:sz="4"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4A5E5">
    <w:pPr>
      <w:pStyle w:val="19"/>
      <w:pBdr>
        <w:bottom w:val="single" w:color="auto" w:sz="4" w:space="0"/>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FD9EB">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7E211A5">
                          <w:pPr>
                            <w:pStyle w:val="19"/>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">
              <v:fill on="f" focussize="0,0"/>
              <v:stroke on="f" weight="0.5pt"/>
              <v:imagedata o:title=""/>
              <o:lock v:ext="edit" aspectratio="f"/>
              <v:textbox inset="0mm,0mm,0mm,0mm" style="mso-fit-shape-to-text:t;">
                <w:txbxContent>
                  <w:p w14:paraId="07E211A5">
                    <w:pPr>
                      <w:pStyle w:val="19"/>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A0EB1">
    <w:pPr>
      <w:pStyle w:val="19"/>
      <w:pBdr>
        <w:bottom w:val="single" w:color="auto" w:sz="4" w:space="0"/>
      </w:pBd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E184E8C">
                          <w:pPr>
                            <w:pStyle w:val="19"/>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">
              <v:fill on="f" focussize="0,0"/>
              <v:stroke on="f" weight="0.5pt"/>
              <v:imagedata o:title=""/>
              <o:lock v:ext="edit" aspectratio="f"/>
              <v:textbox inset="0mm,0mm,0mm,0mm" style="mso-fit-shape-to-text:t;">
                <w:txbxContent>
                  <w:p w14:paraId="3E184E8C">
                    <w:pPr>
                      <w:pStyle w:val="1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658B5">
    <w:pPr>
      <w:pStyle w:val="19"/>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DD5CFA3">
                          <w:pPr>
                            <w:pStyle w:val="19"/>
                          </w:pPr>
                          <w:r>
                            <w:fldChar w:fldCharType="begin"/>
                          </w:r>
                          <w:r>
                            <w:instrText xml:space="preserve"> PAGE  \* MERGEFORMAT </w:instrText>
                          </w:r>
                          <w:r>
                            <w:fldChar w:fldCharType="separate"/>
                          </w:r>
                          <w:r>
                            <w:t>38</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">
              <v:fill on="f" focussize="0,0"/>
              <v:stroke on="f" weight="0.5pt"/>
              <v:imagedata o:title=""/>
              <o:lock v:ext="edit" aspectratio="f"/>
              <v:textbox inset="0mm,0mm,0mm,0mm" style="mso-fit-shape-to-text:t;">
                <w:txbxContent>
                  <w:p w14:paraId="0DD5CFA3">
                    <w:pPr>
                      <w:pStyle w:val="1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CF58C"/>
    <w:multiLevelType w:val="singleLevel"/>
    <w:tmpl w:val="BB4CF58C"/>
    <w:lvl w:ilvl="0" w:tentative="0">
      <w:start w:val="2"/>
      <w:numFmt w:val="decimal"/>
      <w:suff w:val="nothing"/>
      <w:lvlText w:val="（%1）"/>
      <w:lvlJc w:val="left"/>
    </w:lvl>
  </w:abstractNum>
  <w:abstractNum w:abstractNumId="1">
    <w:nsid w:val="D71F9E04"/>
    <w:multiLevelType w:val="singleLevel"/>
    <w:tmpl w:val="D71F9E04"/>
    <w:lvl w:ilvl="0" w:tentative="0">
      <w:start w:val="1"/>
      <w:numFmt w:val="decimal"/>
      <w:suff w:val="nothing"/>
      <w:lvlText w:val="（%1）"/>
      <w:lvlJc w:val="left"/>
    </w:lvl>
  </w:abstractNum>
  <w:abstractNum w:abstractNumId="2">
    <w:nsid w:val="023DC6C4"/>
    <w:multiLevelType w:val="singleLevel"/>
    <w:tmpl w:val="023DC6C4"/>
    <w:lvl w:ilvl="0" w:tentative="0">
      <w:start w:val="4"/>
      <w:numFmt w:val="decimal"/>
      <w:suff w:val="nothing"/>
      <w:lvlText w:val="（%1）"/>
      <w:lvlJc w:val="left"/>
    </w:lvl>
  </w:abstractNum>
  <w:abstractNum w:abstractNumId="3">
    <w:nsid w:val="1A793D42"/>
    <w:multiLevelType w:val="multilevel"/>
    <w:tmpl w:val="1A793D42"/>
    <w:lvl w:ilvl="0" w:tentative="0">
      <w:start w:val="1"/>
      <w:numFmt w:val="japaneseCounting"/>
      <w:lvlText w:val="第%1条"/>
      <w:lvlJc w:val="left"/>
      <w:pPr>
        <w:tabs>
          <w:tab w:val="left" w:pos="1253"/>
        </w:tabs>
        <w:ind w:left="1253" w:hanging="84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4">
    <w:nsid w:val="1FC16C3F"/>
    <w:multiLevelType w:val="multilevel"/>
    <w:tmpl w:val="1FC16C3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1FD97BE0"/>
    <w:multiLevelType w:val="singleLevel"/>
    <w:tmpl w:val="1FD97BE0"/>
    <w:lvl w:ilvl="0" w:tentative="0">
      <w:start w:val="1"/>
      <w:numFmt w:val="chineseCounting"/>
      <w:suff w:val="nothing"/>
      <w:lvlText w:val="（%1）"/>
      <w:lvlJc w:val="left"/>
      <w:rPr>
        <w:rFonts w:hint="eastAsia"/>
      </w:rPr>
    </w:lvl>
  </w:abstractNum>
  <w:abstractNum w:abstractNumId="6">
    <w:nsid w:val="2EBEB4BA"/>
    <w:multiLevelType w:val="singleLevel"/>
    <w:tmpl w:val="2EBEB4BA"/>
    <w:lvl w:ilvl="0" w:tentative="0">
      <w:start w:val="26"/>
      <w:numFmt w:val="decimal"/>
      <w:suff w:val="space"/>
      <w:lvlText w:val="%1."/>
      <w:lvlJc w:val="left"/>
    </w:lvl>
  </w:abstractNum>
  <w:abstractNum w:abstractNumId="7">
    <w:nsid w:val="393ADA10"/>
    <w:multiLevelType w:val="singleLevel"/>
    <w:tmpl w:val="393ADA10"/>
    <w:lvl w:ilvl="0" w:tentative="0">
      <w:start w:val="31"/>
      <w:numFmt w:val="decimal"/>
      <w:suff w:val="space"/>
      <w:lvlText w:val="%1."/>
      <w:lvlJc w:val="left"/>
    </w:lvl>
  </w:abstractNum>
  <w:abstractNum w:abstractNumId="8">
    <w:nsid w:val="504E1568"/>
    <w:multiLevelType w:val="singleLevel"/>
    <w:tmpl w:val="504E1568"/>
    <w:lvl w:ilvl="0" w:tentative="0">
      <w:start w:val="6"/>
      <w:numFmt w:val="chineseCounting"/>
      <w:suff w:val="space"/>
      <w:lvlText w:val="第%1章"/>
      <w:lvlJc w:val="left"/>
      <w:rPr>
        <w:rFonts w:hint="eastAsia"/>
      </w:rPr>
    </w:lvl>
  </w:abstractNum>
  <w:abstractNum w:abstractNumId="9">
    <w:nsid w:val="620B07F5"/>
    <w:multiLevelType w:val="singleLevel"/>
    <w:tmpl w:val="620B07F5"/>
    <w:lvl w:ilvl="0" w:tentative="0">
      <w:start w:val="3"/>
      <w:numFmt w:val="decimal"/>
      <w:suff w:val="nothing"/>
      <w:lvlText w:val="%1."/>
      <w:lvlJc w:val="left"/>
      <w:pPr>
        <w:ind w:left="-60"/>
      </w:pPr>
    </w:lvl>
  </w:abstractNum>
  <w:abstractNum w:abstractNumId="10">
    <w:nsid w:val="64AF5AA1"/>
    <w:multiLevelType w:val="singleLevel"/>
    <w:tmpl w:val="64AF5AA1"/>
    <w:lvl w:ilvl="0" w:tentative="0">
      <w:start w:val="33"/>
      <w:numFmt w:val="decimal"/>
      <w:suff w:val="nothing"/>
      <w:lvlText w:val="%1."/>
      <w:lvlJc w:val="left"/>
    </w:lvl>
  </w:abstractNum>
  <w:abstractNum w:abstractNumId="11">
    <w:nsid w:val="6AD43707"/>
    <w:multiLevelType w:val="singleLevel"/>
    <w:tmpl w:val="6AD43707"/>
    <w:lvl w:ilvl="0" w:tentative="0">
      <w:start w:val="5"/>
      <w:numFmt w:val="decimal"/>
      <w:suff w:val="space"/>
      <w:lvlText w:val="%1."/>
      <w:lvlJc w:val="left"/>
    </w:lvl>
  </w:abstractNum>
  <w:abstractNum w:abstractNumId="12">
    <w:nsid w:val="7073E404"/>
    <w:multiLevelType w:val="singleLevel"/>
    <w:tmpl w:val="7073E404"/>
    <w:lvl w:ilvl="0" w:tentative="0">
      <w:start w:val="8"/>
      <w:numFmt w:val="decimal"/>
      <w:lvlText w:val="%1."/>
      <w:lvlJc w:val="left"/>
      <w:pPr>
        <w:tabs>
          <w:tab w:val="left" w:pos="312"/>
        </w:tabs>
      </w:pPr>
    </w:lvl>
  </w:abstractNum>
  <w:num w:numId="1">
    <w:abstractNumId w:val="4"/>
  </w:num>
  <w:num w:numId="2">
    <w:abstractNumId w:val="9"/>
  </w:num>
  <w:num w:numId="3">
    <w:abstractNumId w:val="11"/>
  </w:num>
  <w:num w:numId="4">
    <w:abstractNumId w:val="2"/>
  </w:num>
  <w:num w:numId="5">
    <w:abstractNumId w:val="1"/>
  </w:num>
  <w:num w:numId="6">
    <w:abstractNumId w:val="0"/>
  </w:num>
  <w:num w:numId="7">
    <w:abstractNumId w:val="6"/>
  </w:num>
  <w:num w:numId="8">
    <w:abstractNumId w:val="7"/>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NTQ5Y2UwYWE4NGIxNGIxOTc1YjMwNDI1YWE2YjgifQ=="/>
    <w:docVar w:name="KSO_WPS_MARK_KEY" w:val="bb415de3-7c1b-47b4-a301-aec0ca8f8f24"/>
  </w:docVars>
  <w:rsids>
    <w:rsidRoot w:val="003E43FC"/>
    <w:rsid w:val="000E072C"/>
    <w:rsid w:val="001A5A71"/>
    <w:rsid w:val="002238BC"/>
    <w:rsid w:val="002B6A7C"/>
    <w:rsid w:val="002C4C3C"/>
    <w:rsid w:val="00361260"/>
    <w:rsid w:val="003A7297"/>
    <w:rsid w:val="003E43FC"/>
    <w:rsid w:val="004962E7"/>
    <w:rsid w:val="0059276D"/>
    <w:rsid w:val="0074224A"/>
    <w:rsid w:val="00800D9E"/>
    <w:rsid w:val="00873755"/>
    <w:rsid w:val="00B31043"/>
    <w:rsid w:val="00B6168D"/>
    <w:rsid w:val="00B65E05"/>
    <w:rsid w:val="00B94059"/>
    <w:rsid w:val="00BC6D00"/>
    <w:rsid w:val="00C74C98"/>
    <w:rsid w:val="00C917DA"/>
    <w:rsid w:val="00E323CC"/>
    <w:rsid w:val="00E941DE"/>
    <w:rsid w:val="00F475E0"/>
    <w:rsid w:val="0100033D"/>
    <w:rsid w:val="013C3125"/>
    <w:rsid w:val="016D0D30"/>
    <w:rsid w:val="017135F1"/>
    <w:rsid w:val="01B62CA7"/>
    <w:rsid w:val="01D84888"/>
    <w:rsid w:val="020405D6"/>
    <w:rsid w:val="021E1981"/>
    <w:rsid w:val="027469F5"/>
    <w:rsid w:val="02B95509"/>
    <w:rsid w:val="030932D4"/>
    <w:rsid w:val="03246CD1"/>
    <w:rsid w:val="036C7E00"/>
    <w:rsid w:val="0377595E"/>
    <w:rsid w:val="03C12FE4"/>
    <w:rsid w:val="03F02E9E"/>
    <w:rsid w:val="040E5E88"/>
    <w:rsid w:val="04602F95"/>
    <w:rsid w:val="047A66B3"/>
    <w:rsid w:val="04A27D7C"/>
    <w:rsid w:val="05075F25"/>
    <w:rsid w:val="051031AE"/>
    <w:rsid w:val="052633D9"/>
    <w:rsid w:val="056469EE"/>
    <w:rsid w:val="059742FC"/>
    <w:rsid w:val="05A0109D"/>
    <w:rsid w:val="05CA7217"/>
    <w:rsid w:val="05E82D27"/>
    <w:rsid w:val="060C5A1F"/>
    <w:rsid w:val="0633580E"/>
    <w:rsid w:val="06486645"/>
    <w:rsid w:val="065000D1"/>
    <w:rsid w:val="065B15E4"/>
    <w:rsid w:val="06987A70"/>
    <w:rsid w:val="06996022"/>
    <w:rsid w:val="06E71E07"/>
    <w:rsid w:val="070723E2"/>
    <w:rsid w:val="070C1155"/>
    <w:rsid w:val="07251FB9"/>
    <w:rsid w:val="07513EF5"/>
    <w:rsid w:val="076C2901"/>
    <w:rsid w:val="0780268E"/>
    <w:rsid w:val="078646DF"/>
    <w:rsid w:val="07A12978"/>
    <w:rsid w:val="07D63618"/>
    <w:rsid w:val="07E3000E"/>
    <w:rsid w:val="07FC7407"/>
    <w:rsid w:val="08027E93"/>
    <w:rsid w:val="081712C5"/>
    <w:rsid w:val="083F7130"/>
    <w:rsid w:val="08697D35"/>
    <w:rsid w:val="086C7886"/>
    <w:rsid w:val="08812F2B"/>
    <w:rsid w:val="08AD1DE2"/>
    <w:rsid w:val="08CE08D5"/>
    <w:rsid w:val="08CF462B"/>
    <w:rsid w:val="098106A1"/>
    <w:rsid w:val="09BA72C3"/>
    <w:rsid w:val="0A0A6A80"/>
    <w:rsid w:val="0A101F26"/>
    <w:rsid w:val="0A114758"/>
    <w:rsid w:val="0AA70314"/>
    <w:rsid w:val="0AE07DB7"/>
    <w:rsid w:val="0B4C21A6"/>
    <w:rsid w:val="0B523F25"/>
    <w:rsid w:val="0B536FB3"/>
    <w:rsid w:val="0B6E26C2"/>
    <w:rsid w:val="0B77423C"/>
    <w:rsid w:val="0BC03CFE"/>
    <w:rsid w:val="0C0C54AC"/>
    <w:rsid w:val="0C221581"/>
    <w:rsid w:val="0C2A21CD"/>
    <w:rsid w:val="0C790059"/>
    <w:rsid w:val="0C9C22B2"/>
    <w:rsid w:val="0CB44CF3"/>
    <w:rsid w:val="0DD67C92"/>
    <w:rsid w:val="0DE93DD0"/>
    <w:rsid w:val="0DF62709"/>
    <w:rsid w:val="0E023E01"/>
    <w:rsid w:val="0E3331BF"/>
    <w:rsid w:val="0E667A8A"/>
    <w:rsid w:val="0E68189B"/>
    <w:rsid w:val="0E69033F"/>
    <w:rsid w:val="0EA12625"/>
    <w:rsid w:val="0EBA28D2"/>
    <w:rsid w:val="0EC87A33"/>
    <w:rsid w:val="0EEE4008"/>
    <w:rsid w:val="0F152394"/>
    <w:rsid w:val="0F2738C4"/>
    <w:rsid w:val="0F6B6C1D"/>
    <w:rsid w:val="0F9633C9"/>
    <w:rsid w:val="0FEF20FC"/>
    <w:rsid w:val="0FF85BE5"/>
    <w:rsid w:val="103656CA"/>
    <w:rsid w:val="10471B26"/>
    <w:rsid w:val="10934E21"/>
    <w:rsid w:val="109F5366"/>
    <w:rsid w:val="11037A5C"/>
    <w:rsid w:val="110660A6"/>
    <w:rsid w:val="113D7A32"/>
    <w:rsid w:val="11CA3C1A"/>
    <w:rsid w:val="11FB02FE"/>
    <w:rsid w:val="1260763B"/>
    <w:rsid w:val="12A64995"/>
    <w:rsid w:val="12BA1B28"/>
    <w:rsid w:val="12BF4B9D"/>
    <w:rsid w:val="13C94A07"/>
    <w:rsid w:val="13D36C5E"/>
    <w:rsid w:val="14771A6A"/>
    <w:rsid w:val="14817FDA"/>
    <w:rsid w:val="149124B2"/>
    <w:rsid w:val="14B0225D"/>
    <w:rsid w:val="1506135C"/>
    <w:rsid w:val="1519733C"/>
    <w:rsid w:val="154B61B2"/>
    <w:rsid w:val="156B61A7"/>
    <w:rsid w:val="16D32DD4"/>
    <w:rsid w:val="16D87D6E"/>
    <w:rsid w:val="16FA6C98"/>
    <w:rsid w:val="170B353F"/>
    <w:rsid w:val="1725189E"/>
    <w:rsid w:val="173C6FEB"/>
    <w:rsid w:val="176F0A16"/>
    <w:rsid w:val="17733A06"/>
    <w:rsid w:val="177523D1"/>
    <w:rsid w:val="1784346D"/>
    <w:rsid w:val="17DA4C80"/>
    <w:rsid w:val="1828208C"/>
    <w:rsid w:val="182A4348"/>
    <w:rsid w:val="184F13F4"/>
    <w:rsid w:val="18926767"/>
    <w:rsid w:val="18EB151D"/>
    <w:rsid w:val="191106C7"/>
    <w:rsid w:val="192C63DD"/>
    <w:rsid w:val="194E3524"/>
    <w:rsid w:val="195D26D4"/>
    <w:rsid w:val="199063F6"/>
    <w:rsid w:val="19B65BE7"/>
    <w:rsid w:val="19DB72CC"/>
    <w:rsid w:val="1A3F668B"/>
    <w:rsid w:val="1A41745E"/>
    <w:rsid w:val="1A976FFA"/>
    <w:rsid w:val="1AC0097B"/>
    <w:rsid w:val="1AC60298"/>
    <w:rsid w:val="1ACF7806"/>
    <w:rsid w:val="1ADF7C99"/>
    <w:rsid w:val="1B3E54F1"/>
    <w:rsid w:val="1B5606C4"/>
    <w:rsid w:val="1B7758FD"/>
    <w:rsid w:val="1B992F08"/>
    <w:rsid w:val="1BB45520"/>
    <w:rsid w:val="1C80075D"/>
    <w:rsid w:val="1CA0458E"/>
    <w:rsid w:val="1CCC06F6"/>
    <w:rsid w:val="1CEA0CE2"/>
    <w:rsid w:val="1D1207F7"/>
    <w:rsid w:val="1D4674DC"/>
    <w:rsid w:val="1D6F3520"/>
    <w:rsid w:val="1DE34B94"/>
    <w:rsid w:val="1E002D45"/>
    <w:rsid w:val="1E1B70BC"/>
    <w:rsid w:val="1E3F5366"/>
    <w:rsid w:val="1E5F4B89"/>
    <w:rsid w:val="1E7526A1"/>
    <w:rsid w:val="1E7B4119"/>
    <w:rsid w:val="1EB6799F"/>
    <w:rsid w:val="1ED91680"/>
    <w:rsid w:val="1EF3295A"/>
    <w:rsid w:val="1EFC46D7"/>
    <w:rsid w:val="1F0A153D"/>
    <w:rsid w:val="1F1403CE"/>
    <w:rsid w:val="1F1C25A1"/>
    <w:rsid w:val="1F2533FE"/>
    <w:rsid w:val="1F2F6111"/>
    <w:rsid w:val="1F81104A"/>
    <w:rsid w:val="1FB97650"/>
    <w:rsid w:val="1FE74446"/>
    <w:rsid w:val="20075BE8"/>
    <w:rsid w:val="20081198"/>
    <w:rsid w:val="200D1786"/>
    <w:rsid w:val="201044E2"/>
    <w:rsid w:val="203F3F27"/>
    <w:rsid w:val="20841A36"/>
    <w:rsid w:val="20E41252"/>
    <w:rsid w:val="210545EA"/>
    <w:rsid w:val="211F672C"/>
    <w:rsid w:val="213B25BD"/>
    <w:rsid w:val="214D2418"/>
    <w:rsid w:val="219A423A"/>
    <w:rsid w:val="21FD749A"/>
    <w:rsid w:val="2228666C"/>
    <w:rsid w:val="225455FE"/>
    <w:rsid w:val="226076E5"/>
    <w:rsid w:val="228A64F0"/>
    <w:rsid w:val="22966C59"/>
    <w:rsid w:val="22AD2360"/>
    <w:rsid w:val="22C6291C"/>
    <w:rsid w:val="22DB26BB"/>
    <w:rsid w:val="23736488"/>
    <w:rsid w:val="23847F75"/>
    <w:rsid w:val="238F5D2E"/>
    <w:rsid w:val="23E3790D"/>
    <w:rsid w:val="2498006D"/>
    <w:rsid w:val="25212425"/>
    <w:rsid w:val="25573C2A"/>
    <w:rsid w:val="2579524A"/>
    <w:rsid w:val="261A7F80"/>
    <w:rsid w:val="261D76C7"/>
    <w:rsid w:val="262B6BA5"/>
    <w:rsid w:val="26380D40"/>
    <w:rsid w:val="26462E7B"/>
    <w:rsid w:val="26942FFE"/>
    <w:rsid w:val="26C01949"/>
    <w:rsid w:val="26C43618"/>
    <w:rsid w:val="26D125D4"/>
    <w:rsid w:val="26D315AB"/>
    <w:rsid w:val="26EE7D79"/>
    <w:rsid w:val="27656EBD"/>
    <w:rsid w:val="27C47BCD"/>
    <w:rsid w:val="28534CC7"/>
    <w:rsid w:val="285C68C6"/>
    <w:rsid w:val="2862619B"/>
    <w:rsid w:val="287F16DC"/>
    <w:rsid w:val="295139F9"/>
    <w:rsid w:val="295C7D1E"/>
    <w:rsid w:val="29D317AE"/>
    <w:rsid w:val="2A1C4B42"/>
    <w:rsid w:val="2AE013C4"/>
    <w:rsid w:val="2AF240E7"/>
    <w:rsid w:val="2B1E540E"/>
    <w:rsid w:val="2B336409"/>
    <w:rsid w:val="2B5D374A"/>
    <w:rsid w:val="2BD769AA"/>
    <w:rsid w:val="2C126F23"/>
    <w:rsid w:val="2C1D66F3"/>
    <w:rsid w:val="2D7366E1"/>
    <w:rsid w:val="2EE366B5"/>
    <w:rsid w:val="2F2D13BF"/>
    <w:rsid w:val="2F6E1B09"/>
    <w:rsid w:val="2FB344DB"/>
    <w:rsid w:val="304406B6"/>
    <w:rsid w:val="30493046"/>
    <w:rsid w:val="305557A2"/>
    <w:rsid w:val="30E37FF0"/>
    <w:rsid w:val="30F26942"/>
    <w:rsid w:val="31143E67"/>
    <w:rsid w:val="311A0404"/>
    <w:rsid w:val="318A035C"/>
    <w:rsid w:val="31BD6652"/>
    <w:rsid w:val="31BF7BF7"/>
    <w:rsid w:val="31C15F39"/>
    <w:rsid w:val="32563766"/>
    <w:rsid w:val="325B2B9E"/>
    <w:rsid w:val="326A2B93"/>
    <w:rsid w:val="326C208D"/>
    <w:rsid w:val="32B057EA"/>
    <w:rsid w:val="32BC60A7"/>
    <w:rsid w:val="32C84B2E"/>
    <w:rsid w:val="33073FC8"/>
    <w:rsid w:val="33196C24"/>
    <w:rsid w:val="337A3E72"/>
    <w:rsid w:val="33B2209F"/>
    <w:rsid w:val="33ED7B1F"/>
    <w:rsid w:val="34145B06"/>
    <w:rsid w:val="3457424D"/>
    <w:rsid w:val="34600E6E"/>
    <w:rsid w:val="348852A1"/>
    <w:rsid w:val="34A22009"/>
    <w:rsid w:val="35033E7C"/>
    <w:rsid w:val="35156CE3"/>
    <w:rsid w:val="3518676F"/>
    <w:rsid w:val="35253297"/>
    <w:rsid w:val="35445BF0"/>
    <w:rsid w:val="35810C58"/>
    <w:rsid w:val="361D365C"/>
    <w:rsid w:val="36206B3D"/>
    <w:rsid w:val="36531214"/>
    <w:rsid w:val="369E0EF6"/>
    <w:rsid w:val="36EB5B5C"/>
    <w:rsid w:val="37085392"/>
    <w:rsid w:val="375E31F0"/>
    <w:rsid w:val="375E791B"/>
    <w:rsid w:val="378873BF"/>
    <w:rsid w:val="37BD7DDF"/>
    <w:rsid w:val="37C061AF"/>
    <w:rsid w:val="37DD26B8"/>
    <w:rsid w:val="37E640D7"/>
    <w:rsid w:val="37F13AF8"/>
    <w:rsid w:val="37FE1C4C"/>
    <w:rsid w:val="386A0F99"/>
    <w:rsid w:val="386E7642"/>
    <w:rsid w:val="389153B5"/>
    <w:rsid w:val="38CF0CDC"/>
    <w:rsid w:val="39175C11"/>
    <w:rsid w:val="39224F11"/>
    <w:rsid w:val="3955343C"/>
    <w:rsid w:val="398E625D"/>
    <w:rsid w:val="39957F50"/>
    <w:rsid w:val="39AA42C1"/>
    <w:rsid w:val="39D45F08"/>
    <w:rsid w:val="39F3485B"/>
    <w:rsid w:val="3A1A4E71"/>
    <w:rsid w:val="3A305F5F"/>
    <w:rsid w:val="3A61177C"/>
    <w:rsid w:val="3AA22453"/>
    <w:rsid w:val="3ABF7840"/>
    <w:rsid w:val="3ACF550A"/>
    <w:rsid w:val="3B37322C"/>
    <w:rsid w:val="3B641BF0"/>
    <w:rsid w:val="3B721655"/>
    <w:rsid w:val="3B947B1C"/>
    <w:rsid w:val="3C282E96"/>
    <w:rsid w:val="3CBD7C21"/>
    <w:rsid w:val="3D046180"/>
    <w:rsid w:val="3D297F36"/>
    <w:rsid w:val="3D4D7208"/>
    <w:rsid w:val="3DA86969"/>
    <w:rsid w:val="3DDA73FC"/>
    <w:rsid w:val="3DEA0E8F"/>
    <w:rsid w:val="3E05017A"/>
    <w:rsid w:val="3E6E4482"/>
    <w:rsid w:val="3E7B2030"/>
    <w:rsid w:val="3F49162A"/>
    <w:rsid w:val="3F63314B"/>
    <w:rsid w:val="3F972CBA"/>
    <w:rsid w:val="40313B62"/>
    <w:rsid w:val="40A502F3"/>
    <w:rsid w:val="40CC37C8"/>
    <w:rsid w:val="40E06BFA"/>
    <w:rsid w:val="40ED0BB1"/>
    <w:rsid w:val="41017AF4"/>
    <w:rsid w:val="41166258"/>
    <w:rsid w:val="41E33EDC"/>
    <w:rsid w:val="41E922D5"/>
    <w:rsid w:val="41FF7786"/>
    <w:rsid w:val="427A0DB5"/>
    <w:rsid w:val="42983C5A"/>
    <w:rsid w:val="429F0D52"/>
    <w:rsid w:val="42B94202"/>
    <w:rsid w:val="42C61DC7"/>
    <w:rsid w:val="42C942ED"/>
    <w:rsid w:val="42DF397A"/>
    <w:rsid w:val="43482915"/>
    <w:rsid w:val="43750A80"/>
    <w:rsid w:val="437F3405"/>
    <w:rsid w:val="43BE409B"/>
    <w:rsid w:val="43D97B7C"/>
    <w:rsid w:val="43F9794F"/>
    <w:rsid w:val="43FC1434"/>
    <w:rsid w:val="444D4548"/>
    <w:rsid w:val="44531B89"/>
    <w:rsid w:val="44E4748A"/>
    <w:rsid w:val="4537152D"/>
    <w:rsid w:val="45482A0E"/>
    <w:rsid w:val="4548351D"/>
    <w:rsid w:val="454A4A52"/>
    <w:rsid w:val="455B58B5"/>
    <w:rsid w:val="456D1381"/>
    <w:rsid w:val="45853583"/>
    <w:rsid w:val="45AD7AAF"/>
    <w:rsid w:val="460162E2"/>
    <w:rsid w:val="462C5B9A"/>
    <w:rsid w:val="46B02CAC"/>
    <w:rsid w:val="46B27839"/>
    <w:rsid w:val="46D9282A"/>
    <w:rsid w:val="4722660E"/>
    <w:rsid w:val="47534CC2"/>
    <w:rsid w:val="4822043E"/>
    <w:rsid w:val="483076CD"/>
    <w:rsid w:val="483F0499"/>
    <w:rsid w:val="48557468"/>
    <w:rsid w:val="48E70A52"/>
    <w:rsid w:val="48EC54D9"/>
    <w:rsid w:val="48FA1296"/>
    <w:rsid w:val="49443D47"/>
    <w:rsid w:val="498B70B7"/>
    <w:rsid w:val="49D00811"/>
    <w:rsid w:val="49D41AA0"/>
    <w:rsid w:val="4AC9458D"/>
    <w:rsid w:val="4B0E0E93"/>
    <w:rsid w:val="4B1A0415"/>
    <w:rsid w:val="4B6052BB"/>
    <w:rsid w:val="4B8D047F"/>
    <w:rsid w:val="4BD021A8"/>
    <w:rsid w:val="4BE3441A"/>
    <w:rsid w:val="4C0D4CE7"/>
    <w:rsid w:val="4C2674A9"/>
    <w:rsid w:val="4C490911"/>
    <w:rsid w:val="4C9065A1"/>
    <w:rsid w:val="4D032D39"/>
    <w:rsid w:val="4D085C18"/>
    <w:rsid w:val="4D147255"/>
    <w:rsid w:val="4D2301D4"/>
    <w:rsid w:val="4D337A52"/>
    <w:rsid w:val="4D7808E2"/>
    <w:rsid w:val="4DBD0245"/>
    <w:rsid w:val="4DD74C2E"/>
    <w:rsid w:val="4DF07841"/>
    <w:rsid w:val="4E314CF4"/>
    <w:rsid w:val="4E3F5A59"/>
    <w:rsid w:val="4E417E90"/>
    <w:rsid w:val="4E5C54C6"/>
    <w:rsid w:val="4E8F7CF4"/>
    <w:rsid w:val="4EE10922"/>
    <w:rsid w:val="4F3B47E8"/>
    <w:rsid w:val="4F3E5B72"/>
    <w:rsid w:val="4F882F35"/>
    <w:rsid w:val="4F9C74D5"/>
    <w:rsid w:val="50010753"/>
    <w:rsid w:val="50090D09"/>
    <w:rsid w:val="500B71A4"/>
    <w:rsid w:val="50475BE2"/>
    <w:rsid w:val="50755E6C"/>
    <w:rsid w:val="50795EBC"/>
    <w:rsid w:val="50AB1A62"/>
    <w:rsid w:val="51183C80"/>
    <w:rsid w:val="511C22AE"/>
    <w:rsid w:val="51456CD1"/>
    <w:rsid w:val="522A7FC1"/>
    <w:rsid w:val="52C46D79"/>
    <w:rsid w:val="52DD37A9"/>
    <w:rsid w:val="53372935"/>
    <w:rsid w:val="539A2957"/>
    <w:rsid w:val="53A5652C"/>
    <w:rsid w:val="53C646E4"/>
    <w:rsid w:val="53C876EF"/>
    <w:rsid w:val="53DE45D6"/>
    <w:rsid w:val="549C3D50"/>
    <w:rsid w:val="54A07F9F"/>
    <w:rsid w:val="54A85C20"/>
    <w:rsid w:val="55054AAE"/>
    <w:rsid w:val="551C7020"/>
    <w:rsid w:val="552A1E7A"/>
    <w:rsid w:val="55362244"/>
    <w:rsid w:val="554E1AE0"/>
    <w:rsid w:val="558A20A7"/>
    <w:rsid w:val="562422F7"/>
    <w:rsid w:val="564E4C07"/>
    <w:rsid w:val="5657153E"/>
    <w:rsid w:val="5695591B"/>
    <w:rsid w:val="56A428CB"/>
    <w:rsid w:val="56CC0D48"/>
    <w:rsid w:val="56D90887"/>
    <w:rsid w:val="56F541D8"/>
    <w:rsid w:val="56F90C53"/>
    <w:rsid w:val="56FB459C"/>
    <w:rsid w:val="56FC38DD"/>
    <w:rsid w:val="57104C56"/>
    <w:rsid w:val="575E5568"/>
    <w:rsid w:val="577F1FDA"/>
    <w:rsid w:val="579C1EFF"/>
    <w:rsid w:val="57A94647"/>
    <w:rsid w:val="57F50615"/>
    <w:rsid w:val="58033C1C"/>
    <w:rsid w:val="582676AE"/>
    <w:rsid w:val="587670CA"/>
    <w:rsid w:val="58B95791"/>
    <w:rsid w:val="58DB5A41"/>
    <w:rsid w:val="591C178D"/>
    <w:rsid w:val="59323D77"/>
    <w:rsid w:val="59BA1FB8"/>
    <w:rsid w:val="59E858C9"/>
    <w:rsid w:val="59F536D8"/>
    <w:rsid w:val="59FA4F0F"/>
    <w:rsid w:val="5A7D67B6"/>
    <w:rsid w:val="5B9242D5"/>
    <w:rsid w:val="5BA37FCD"/>
    <w:rsid w:val="5BAD5E9A"/>
    <w:rsid w:val="5BF37E30"/>
    <w:rsid w:val="5C002948"/>
    <w:rsid w:val="5C3D0E1E"/>
    <w:rsid w:val="5D056076"/>
    <w:rsid w:val="5D1A0A26"/>
    <w:rsid w:val="5D25114A"/>
    <w:rsid w:val="5D31207E"/>
    <w:rsid w:val="5D5749EC"/>
    <w:rsid w:val="5D7E0FB5"/>
    <w:rsid w:val="5D9D5E1D"/>
    <w:rsid w:val="5DA56B37"/>
    <w:rsid w:val="5DAA2507"/>
    <w:rsid w:val="5E1F5AE8"/>
    <w:rsid w:val="5E822A4A"/>
    <w:rsid w:val="5E847F27"/>
    <w:rsid w:val="5E985640"/>
    <w:rsid w:val="5EB23D46"/>
    <w:rsid w:val="5EC956D2"/>
    <w:rsid w:val="5ECE3E1C"/>
    <w:rsid w:val="5ED722CD"/>
    <w:rsid w:val="5F206A76"/>
    <w:rsid w:val="5F243F29"/>
    <w:rsid w:val="5F757C38"/>
    <w:rsid w:val="5F7808AE"/>
    <w:rsid w:val="5FFB42B6"/>
    <w:rsid w:val="6035290D"/>
    <w:rsid w:val="60371E35"/>
    <w:rsid w:val="60514499"/>
    <w:rsid w:val="60A223A0"/>
    <w:rsid w:val="60A87B16"/>
    <w:rsid w:val="60AC2370"/>
    <w:rsid w:val="60B345D4"/>
    <w:rsid w:val="612D212E"/>
    <w:rsid w:val="614C4F26"/>
    <w:rsid w:val="61685397"/>
    <w:rsid w:val="617B0AAB"/>
    <w:rsid w:val="61B32C73"/>
    <w:rsid w:val="61C138E8"/>
    <w:rsid w:val="61E569E0"/>
    <w:rsid w:val="61FD78BE"/>
    <w:rsid w:val="62297241"/>
    <w:rsid w:val="625A0317"/>
    <w:rsid w:val="625B7B17"/>
    <w:rsid w:val="62651044"/>
    <w:rsid w:val="629E6C38"/>
    <w:rsid w:val="62F86379"/>
    <w:rsid w:val="63045A1F"/>
    <w:rsid w:val="63053D62"/>
    <w:rsid w:val="634B4E22"/>
    <w:rsid w:val="634E7139"/>
    <w:rsid w:val="636B5EBC"/>
    <w:rsid w:val="63CA40E4"/>
    <w:rsid w:val="64264F51"/>
    <w:rsid w:val="645B3B68"/>
    <w:rsid w:val="64606C85"/>
    <w:rsid w:val="64DF2B43"/>
    <w:rsid w:val="652248D5"/>
    <w:rsid w:val="655F37A1"/>
    <w:rsid w:val="657123B4"/>
    <w:rsid w:val="65AE1BAE"/>
    <w:rsid w:val="664A2E5F"/>
    <w:rsid w:val="664D5EC2"/>
    <w:rsid w:val="66BF4765"/>
    <w:rsid w:val="67003A73"/>
    <w:rsid w:val="67386876"/>
    <w:rsid w:val="67506908"/>
    <w:rsid w:val="67531E2F"/>
    <w:rsid w:val="675B4115"/>
    <w:rsid w:val="67763D4A"/>
    <w:rsid w:val="67A01F82"/>
    <w:rsid w:val="67EB1AD0"/>
    <w:rsid w:val="67FC48E2"/>
    <w:rsid w:val="683A528F"/>
    <w:rsid w:val="688732C9"/>
    <w:rsid w:val="68AC2CF6"/>
    <w:rsid w:val="68CA415C"/>
    <w:rsid w:val="68D54792"/>
    <w:rsid w:val="68D82D9A"/>
    <w:rsid w:val="690A0C77"/>
    <w:rsid w:val="690D6D80"/>
    <w:rsid w:val="69400D4D"/>
    <w:rsid w:val="69625C3B"/>
    <w:rsid w:val="6991631B"/>
    <w:rsid w:val="69960D5D"/>
    <w:rsid w:val="699E685E"/>
    <w:rsid w:val="6A000436"/>
    <w:rsid w:val="6A1663A2"/>
    <w:rsid w:val="6A212E7F"/>
    <w:rsid w:val="6A376637"/>
    <w:rsid w:val="6A8D7902"/>
    <w:rsid w:val="6B225DD0"/>
    <w:rsid w:val="6B3029F3"/>
    <w:rsid w:val="6B6A0368"/>
    <w:rsid w:val="6B8E2363"/>
    <w:rsid w:val="6B9246C9"/>
    <w:rsid w:val="6BB3513A"/>
    <w:rsid w:val="6BD66A37"/>
    <w:rsid w:val="6C182B83"/>
    <w:rsid w:val="6C1C48C2"/>
    <w:rsid w:val="6C7960AB"/>
    <w:rsid w:val="6C8113CB"/>
    <w:rsid w:val="6C884F7A"/>
    <w:rsid w:val="6C973CB0"/>
    <w:rsid w:val="6C9C7F3A"/>
    <w:rsid w:val="6CE35466"/>
    <w:rsid w:val="6D1B431A"/>
    <w:rsid w:val="6D204ADF"/>
    <w:rsid w:val="6D3A00F9"/>
    <w:rsid w:val="6D6D2C0B"/>
    <w:rsid w:val="6D802707"/>
    <w:rsid w:val="6DBA4C92"/>
    <w:rsid w:val="6E1D034A"/>
    <w:rsid w:val="6E203522"/>
    <w:rsid w:val="6E4A1E62"/>
    <w:rsid w:val="6E516D5B"/>
    <w:rsid w:val="6EF14839"/>
    <w:rsid w:val="6F26561E"/>
    <w:rsid w:val="6F462634"/>
    <w:rsid w:val="6F684E41"/>
    <w:rsid w:val="6F6C36F5"/>
    <w:rsid w:val="6F8B4730"/>
    <w:rsid w:val="6F9F0634"/>
    <w:rsid w:val="6FC92EBD"/>
    <w:rsid w:val="7026759E"/>
    <w:rsid w:val="70B86D64"/>
    <w:rsid w:val="70D56AB2"/>
    <w:rsid w:val="70F52DB1"/>
    <w:rsid w:val="71474634"/>
    <w:rsid w:val="714A1482"/>
    <w:rsid w:val="715C1A0D"/>
    <w:rsid w:val="71670655"/>
    <w:rsid w:val="718E1589"/>
    <w:rsid w:val="71966EF5"/>
    <w:rsid w:val="71AE3EAF"/>
    <w:rsid w:val="71D3089A"/>
    <w:rsid w:val="72477CBE"/>
    <w:rsid w:val="72684D25"/>
    <w:rsid w:val="732A0A91"/>
    <w:rsid w:val="73376B76"/>
    <w:rsid w:val="733D5E71"/>
    <w:rsid w:val="7361609C"/>
    <w:rsid w:val="7363305A"/>
    <w:rsid w:val="73823E65"/>
    <w:rsid w:val="738F426C"/>
    <w:rsid w:val="73994D87"/>
    <w:rsid w:val="74341EB6"/>
    <w:rsid w:val="744B61C8"/>
    <w:rsid w:val="74781549"/>
    <w:rsid w:val="7484505F"/>
    <w:rsid w:val="74B6604D"/>
    <w:rsid w:val="74E527D3"/>
    <w:rsid w:val="74EE250C"/>
    <w:rsid w:val="75682F59"/>
    <w:rsid w:val="757645E6"/>
    <w:rsid w:val="75CE7E20"/>
    <w:rsid w:val="766005C6"/>
    <w:rsid w:val="76C318DA"/>
    <w:rsid w:val="77493659"/>
    <w:rsid w:val="77AE3DED"/>
    <w:rsid w:val="77DD0911"/>
    <w:rsid w:val="77F02C20"/>
    <w:rsid w:val="78010DC2"/>
    <w:rsid w:val="78060618"/>
    <w:rsid w:val="78372EEC"/>
    <w:rsid w:val="78846CF5"/>
    <w:rsid w:val="78A52E33"/>
    <w:rsid w:val="78C41E6C"/>
    <w:rsid w:val="793821A5"/>
    <w:rsid w:val="79B75EA3"/>
    <w:rsid w:val="79D7223F"/>
    <w:rsid w:val="79F67086"/>
    <w:rsid w:val="7A2B119E"/>
    <w:rsid w:val="7A4F7F19"/>
    <w:rsid w:val="7A7E4CD5"/>
    <w:rsid w:val="7AA2418C"/>
    <w:rsid w:val="7AA31C11"/>
    <w:rsid w:val="7AB928EB"/>
    <w:rsid w:val="7ADA5FD2"/>
    <w:rsid w:val="7AED7EAE"/>
    <w:rsid w:val="7B2C57EF"/>
    <w:rsid w:val="7B384B5D"/>
    <w:rsid w:val="7B5B4C8B"/>
    <w:rsid w:val="7B910D5D"/>
    <w:rsid w:val="7BA5334A"/>
    <w:rsid w:val="7C0E48E3"/>
    <w:rsid w:val="7C3E7E36"/>
    <w:rsid w:val="7C417FE9"/>
    <w:rsid w:val="7C533FE0"/>
    <w:rsid w:val="7D3F2FEA"/>
    <w:rsid w:val="7D751253"/>
    <w:rsid w:val="7D983576"/>
    <w:rsid w:val="7DA34B71"/>
    <w:rsid w:val="7DA908E3"/>
    <w:rsid w:val="7E5B6295"/>
    <w:rsid w:val="7E657767"/>
    <w:rsid w:val="7E6E0110"/>
    <w:rsid w:val="7E7146EC"/>
    <w:rsid w:val="7E8A54C7"/>
    <w:rsid w:val="7EF62354"/>
    <w:rsid w:val="7F132354"/>
    <w:rsid w:val="7F1C2150"/>
    <w:rsid w:val="7F3E6D8A"/>
    <w:rsid w:val="7F911CC9"/>
    <w:rsid w:val="7FE16D34"/>
    <w:rsid w:val="7FE35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keepNext/>
      <w:keepLines/>
      <w:spacing w:before="340" w:after="330" w:line="480" w:lineRule="auto"/>
      <w:jc w:val="center"/>
      <w:outlineLvl w:val="0"/>
    </w:pPr>
    <w:rPr>
      <w:b/>
      <w:bCs/>
      <w:kern w:val="44"/>
      <w:sz w:val="36"/>
      <w:szCs w:val="44"/>
    </w:rPr>
  </w:style>
  <w:style w:type="paragraph" w:styleId="4">
    <w:name w:val="heading 2"/>
    <w:basedOn w:val="1"/>
    <w:next w:val="1"/>
    <w:autoRedefine/>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5">
    <w:name w:val="heading 3"/>
    <w:basedOn w:val="1"/>
    <w:next w:val="1"/>
    <w:link w:val="49"/>
    <w:autoRedefine/>
    <w:qFormat/>
    <w:uiPriority w:val="0"/>
    <w:pPr>
      <w:keepNext/>
      <w:keepLines/>
      <w:outlineLvl w:val="2"/>
    </w:pPr>
    <w:rPr>
      <w:rFonts w:ascii="Calibri" w:hAnsi="Calibri"/>
      <w:b/>
      <w:sz w:val="32"/>
    </w:rPr>
  </w:style>
  <w:style w:type="paragraph" w:styleId="6">
    <w:name w:val="heading 4"/>
    <w:basedOn w:val="1"/>
    <w:next w:val="1"/>
    <w:autoRedefine/>
    <w:qFormat/>
    <w:uiPriority w:val="0"/>
    <w:pPr>
      <w:keepNext/>
      <w:spacing w:before="240" w:after="60"/>
      <w:outlineLvl w:val="3"/>
    </w:pPr>
    <w:rPr>
      <w:b/>
      <w:bCs/>
      <w:sz w:val="28"/>
      <w:szCs w:val="28"/>
    </w:rPr>
  </w:style>
  <w:style w:type="paragraph" w:styleId="7">
    <w:name w:val="heading 9"/>
    <w:basedOn w:val="1"/>
    <w:next w:val="1"/>
    <w:autoRedefine/>
    <w:qFormat/>
    <w:uiPriority w:val="0"/>
    <w:pPr>
      <w:keepNext/>
      <w:keepLines/>
      <w:spacing w:before="240" w:after="64" w:line="320" w:lineRule="auto"/>
      <w:outlineLvl w:val="8"/>
    </w:pPr>
    <w:rPr>
      <w:rFonts w:ascii="等线 Light" w:hAnsi="等线 Light" w:eastAsia="等线 Light"/>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autoSpaceDE/>
      <w:autoSpaceDN/>
      <w:adjustRightInd/>
      <w:spacing w:before="25" w:after="25"/>
      <w:jc w:val="both"/>
    </w:pPr>
    <w:rPr>
      <w:rFonts w:ascii="Times New Roman"/>
      <w:bCs/>
      <w:spacing w:val="10"/>
      <w:kern w:val="2"/>
      <w:sz w:val="21"/>
      <w:szCs w:val="20"/>
    </w:rPr>
  </w:style>
  <w:style w:type="paragraph" w:styleId="8">
    <w:name w:val="table of authorities"/>
    <w:basedOn w:val="1"/>
    <w:next w:val="1"/>
    <w:autoRedefine/>
    <w:qFormat/>
    <w:uiPriority w:val="0"/>
    <w:pPr>
      <w:ind w:left="420" w:leftChars="200"/>
    </w:pPr>
  </w:style>
  <w:style w:type="paragraph" w:styleId="9">
    <w:name w:val="index 8"/>
    <w:basedOn w:val="1"/>
    <w:next w:val="1"/>
    <w:autoRedefine/>
    <w:qFormat/>
    <w:uiPriority w:val="0"/>
    <w:pPr>
      <w:ind w:left="2940"/>
    </w:pPr>
  </w:style>
  <w:style w:type="paragraph" w:styleId="10">
    <w:name w:val="Normal Indent"/>
    <w:basedOn w:val="1"/>
    <w:next w:val="1"/>
    <w:qFormat/>
    <w:uiPriority w:val="0"/>
    <w:pPr>
      <w:ind w:firstLine="420"/>
    </w:pPr>
    <w:rPr>
      <w:szCs w:val="20"/>
    </w:rPr>
  </w:style>
  <w:style w:type="paragraph" w:styleId="11">
    <w:name w:val="annotation text"/>
    <w:basedOn w:val="1"/>
    <w:link w:val="64"/>
    <w:autoRedefine/>
    <w:qFormat/>
    <w:uiPriority w:val="0"/>
    <w:pPr>
      <w:jc w:val="left"/>
    </w:pPr>
  </w:style>
  <w:style w:type="paragraph" w:styleId="12">
    <w:name w:val="Body Text"/>
    <w:basedOn w:val="1"/>
    <w:next w:val="13"/>
    <w:autoRedefine/>
    <w:qFormat/>
    <w:uiPriority w:val="0"/>
  </w:style>
  <w:style w:type="paragraph" w:styleId="13">
    <w:name w:val="Body Text First Indent 2"/>
    <w:basedOn w:val="14"/>
    <w:next w:val="10"/>
    <w:autoRedefine/>
    <w:unhideWhenUsed/>
    <w:qFormat/>
    <w:uiPriority w:val="99"/>
    <w:pPr>
      <w:ind w:firstLine="420" w:firstLineChars="200"/>
    </w:pPr>
  </w:style>
  <w:style w:type="paragraph" w:styleId="14">
    <w:name w:val="Body Text Indent"/>
    <w:basedOn w:val="1"/>
    <w:next w:val="13"/>
    <w:autoRedefine/>
    <w:qFormat/>
    <w:uiPriority w:val="0"/>
    <w:pPr>
      <w:spacing w:after="120"/>
      <w:ind w:left="420" w:leftChars="200"/>
    </w:pPr>
  </w:style>
  <w:style w:type="paragraph" w:styleId="15">
    <w:name w:val="Block Text"/>
    <w:basedOn w:val="1"/>
    <w:autoRedefine/>
    <w:qFormat/>
    <w:uiPriority w:val="0"/>
    <w:pPr>
      <w:adjustRightInd w:val="0"/>
      <w:ind w:left="420" w:right="33"/>
      <w:jc w:val="left"/>
      <w:textAlignment w:val="baseline"/>
    </w:pPr>
    <w:rPr>
      <w:kern w:val="0"/>
      <w:szCs w:val="20"/>
    </w:rPr>
  </w:style>
  <w:style w:type="paragraph" w:styleId="16">
    <w:name w:val="toc 3"/>
    <w:basedOn w:val="1"/>
    <w:next w:val="1"/>
    <w:autoRedefine/>
    <w:unhideWhenUsed/>
    <w:qFormat/>
    <w:uiPriority w:val="39"/>
    <w:pPr>
      <w:ind w:left="840" w:leftChars="400"/>
    </w:pPr>
  </w:style>
  <w:style w:type="paragraph" w:styleId="17">
    <w:name w:val="Plain Text"/>
    <w:basedOn w:val="1"/>
    <w:next w:val="9"/>
    <w:autoRedefine/>
    <w:qFormat/>
    <w:uiPriority w:val="99"/>
    <w:rPr>
      <w:rFonts w:ascii="宋体" w:hAnsi="Courier New"/>
      <w:szCs w:val="20"/>
    </w:rPr>
  </w:style>
  <w:style w:type="paragraph" w:styleId="18">
    <w:name w:val="Balloon Text"/>
    <w:basedOn w:val="1"/>
    <w:link w:val="66"/>
    <w:qFormat/>
    <w:uiPriority w:val="0"/>
    <w:rPr>
      <w:sz w:val="18"/>
      <w:szCs w:val="18"/>
    </w:rPr>
  </w:style>
  <w:style w:type="paragraph" w:styleId="19">
    <w:name w:val="footer"/>
    <w:basedOn w:val="1"/>
    <w:autoRedefine/>
    <w:qFormat/>
    <w:uiPriority w:val="99"/>
    <w:pPr>
      <w:tabs>
        <w:tab w:val="center" w:pos="4153"/>
        <w:tab w:val="right" w:pos="8306"/>
      </w:tabs>
      <w:snapToGrid w:val="0"/>
      <w:jc w:val="left"/>
    </w:pPr>
    <w:rPr>
      <w:sz w:val="18"/>
      <w:szCs w:val="18"/>
    </w:rPr>
  </w:style>
  <w:style w:type="paragraph" w:styleId="20">
    <w:name w:val="envelope return"/>
    <w:basedOn w:val="1"/>
    <w:autoRedefine/>
    <w:qFormat/>
    <w:uiPriority w:val="0"/>
    <w:pPr>
      <w:snapToGrid w:val="0"/>
    </w:pPr>
    <w:rPr>
      <w:rFonts w:ascii="Arial" w:hAnsi="Arial"/>
    </w:rPr>
  </w:style>
  <w:style w:type="paragraph" w:styleId="21">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style>
  <w:style w:type="paragraph" w:styleId="23">
    <w:name w:val="toc 2"/>
    <w:basedOn w:val="1"/>
    <w:next w:val="1"/>
    <w:autoRedefine/>
    <w:unhideWhenUsed/>
    <w:qFormat/>
    <w:uiPriority w:val="39"/>
    <w:pPr>
      <w:ind w:left="420" w:leftChars="200"/>
    </w:pPr>
  </w:style>
  <w:style w:type="paragraph" w:styleId="24">
    <w:name w:val="List 4"/>
    <w:basedOn w:val="1"/>
    <w:autoRedefine/>
    <w:qFormat/>
    <w:uiPriority w:val="0"/>
    <w:pPr>
      <w:ind w:left="100" w:leftChars="600" w:hanging="200" w:hangingChars="200"/>
      <w:contextualSpacing/>
    </w:pPr>
  </w:style>
  <w:style w:type="paragraph" w:styleId="2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6">
    <w:name w:val="Title"/>
    <w:basedOn w:val="1"/>
    <w:next w:val="1"/>
    <w:qFormat/>
    <w:uiPriority w:val="0"/>
    <w:pPr>
      <w:spacing w:before="240" w:after="60"/>
      <w:jc w:val="center"/>
      <w:outlineLvl w:val="0"/>
    </w:pPr>
    <w:rPr>
      <w:rFonts w:ascii="等线 Light" w:hAnsi="等线 Light"/>
      <w:b/>
      <w:bCs/>
      <w:sz w:val="32"/>
      <w:szCs w:val="32"/>
    </w:rPr>
  </w:style>
  <w:style w:type="paragraph" w:styleId="27">
    <w:name w:val="annotation subject"/>
    <w:basedOn w:val="11"/>
    <w:next w:val="11"/>
    <w:link w:val="65"/>
    <w:qFormat/>
    <w:uiPriority w:val="0"/>
    <w:rPr>
      <w:b/>
      <w:bCs/>
    </w:rPr>
  </w:style>
  <w:style w:type="paragraph" w:styleId="28">
    <w:name w:val="Body Text First Indent"/>
    <w:basedOn w:val="12"/>
    <w:autoRedefine/>
    <w:qFormat/>
    <w:uiPriority w:val="0"/>
    <w:pPr>
      <w:ind w:firstLine="420" w:firstLineChars="100"/>
    </w:pPr>
  </w:style>
  <w:style w:type="table" w:styleId="30">
    <w:name w:val="Table Grid"/>
    <w:basedOn w:val="2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0"/>
  </w:style>
  <w:style w:type="character" w:styleId="33">
    <w:name w:val="FollowedHyperlink"/>
    <w:basedOn w:val="31"/>
    <w:autoRedefine/>
    <w:qFormat/>
    <w:uiPriority w:val="0"/>
    <w:rPr>
      <w:color w:val="800080"/>
      <w:u w:val="none"/>
    </w:rPr>
  </w:style>
  <w:style w:type="character" w:styleId="34">
    <w:name w:val="Emphasis"/>
    <w:basedOn w:val="31"/>
    <w:autoRedefine/>
    <w:qFormat/>
    <w:uiPriority w:val="0"/>
  </w:style>
  <w:style w:type="character" w:styleId="35">
    <w:name w:val="HTML Definition"/>
    <w:basedOn w:val="31"/>
    <w:autoRedefine/>
    <w:qFormat/>
    <w:uiPriority w:val="0"/>
  </w:style>
  <w:style w:type="character" w:styleId="36">
    <w:name w:val="HTML Typewriter"/>
    <w:basedOn w:val="31"/>
    <w:autoRedefine/>
    <w:qFormat/>
    <w:uiPriority w:val="0"/>
    <w:rPr>
      <w:rFonts w:ascii="monospace" w:hAnsi="monospace" w:eastAsia="monospace" w:cs="monospace"/>
      <w:sz w:val="20"/>
    </w:rPr>
  </w:style>
  <w:style w:type="character" w:styleId="37">
    <w:name w:val="HTML Acronym"/>
    <w:basedOn w:val="31"/>
    <w:autoRedefine/>
    <w:qFormat/>
    <w:uiPriority w:val="0"/>
  </w:style>
  <w:style w:type="character" w:styleId="38">
    <w:name w:val="HTML Variable"/>
    <w:basedOn w:val="31"/>
    <w:autoRedefine/>
    <w:qFormat/>
    <w:uiPriority w:val="0"/>
  </w:style>
  <w:style w:type="character" w:styleId="39">
    <w:name w:val="Hyperlink"/>
    <w:basedOn w:val="31"/>
    <w:autoRedefine/>
    <w:qFormat/>
    <w:uiPriority w:val="0"/>
    <w:rPr>
      <w:color w:val="0000FF"/>
      <w:u w:val="none"/>
    </w:rPr>
  </w:style>
  <w:style w:type="character" w:styleId="40">
    <w:name w:val="HTML Code"/>
    <w:basedOn w:val="31"/>
    <w:autoRedefine/>
    <w:qFormat/>
    <w:uiPriority w:val="0"/>
    <w:rPr>
      <w:rFonts w:hint="default" w:ascii="monospace" w:hAnsi="monospace" w:eastAsia="monospace" w:cs="monospace"/>
      <w:sz w:val="20"/>
    </w:rPr>
  </w:style>
  <w:style w:type="character" w:styleId="41">
    <w:name w:val="annotation reference"/>
    <w:basedOn w:val="31"/>
    <w:qFormat/>
    <w:uiPriority w:val="0"/>
    <w:rPr>
      <w:sz w:val="21"/>
      <w:szCs w:val="21"/>
    </w:rPr>
  </w:style>
  <w:style w:type="character" w:styleId="42">
    <w:name w:val="HTML Cite"/>
    <w:basedOn w:val="31"/>
    <w:autoRedefine/>
    <w:qFormat/>
    <w:uiPriority w:val="0"/>
  </w:style>
  <w:style w:type="character" w:styleId="43">
    <w:name w:val="HTML Keyboard"/>
    <w:basedOn w:val="31"/>
    <w:autoRedefine/>
    <w:qFormat/>
    <w:uiPriority w:val="0"/>
    <w:rPr>
      <w:rFonts w:hint="default" w:ascii="monospace" w:hAnsi="monospace" w:eastAsia="monospace" w:cs="monospace"/>
      <w:sz w:val="20"/>
    </w:rPr>
  </w:style>
  <w:style w:type="character" w:styleId="44">
    <w:name w:val="HTML Sample"/>
    <w:basedOn w:val="31"/>
    <w:autoRedefine/>
    <w:qFormat/>
    <w:uiPriority w:val="0"/>
    <w:rPr>
      <w:rFonts w:hint="default" w:ascii="monospace" w:hAnsi="monospace" w:eastAsia="monospace" w:cs="monospace"/>
    </w:rPr>
  </w:style>
  <w:style w:type="paragraph" w:customStyle="1" w:styleId="45">
    <w:name w:val="首行缩进"/>
    <w:basedOn w:val="1"/>
    <w:autoRedefine/>
    <w:qFormat/>
    <w:uiPriority w:val="0"/>
    <w:pPr>
      <w:spacing w:line="360" w:lineRule="auto"/>
      <w:ind w:firstLine="480" w:firstLineChars="200"/>
    </w:pPr>
    <w:rPr>
      <w:rFonts w:ascii="宋体" w:hAnsi="宋体"/>
      <w:kern w:val="0"/>
      <w:sz w:val="24"/>
    </w:rPr>
  </w:style>
  <w:style w:type="paragraph" w:customStyle="1" w:styleId="46">
    <w:name w:val="Default"/>
    <w:basedOn w:val="26"/>
    <w:next w:val="47"/>
    <w:autoRedefine/>
    <w:qFormat/>
    <w:uiPriority w:val="99"/>
    <w:pPr>
      <w:autoSpaceDE w:val="0"/>
      <w:autoSpaceDN w:val="0"/>
      <w:adjustRightInd w:val="0"/>
    </w:pPr>
    <w:rPr>
      <w:rFonts w:ascii="Times New Roman" w:hAnsi="Times New Roman"/>
      <w:color w:val="000000"/>
      <w:sz w:val="24"/>
      <w:szCs w:val="24"/>
    </w:rPr>
  </w:style>
  <w:style w:type="paragraph" w:customStyle="1" w:styleId="47">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48">
    <w:name w:val="列出段落1"/>
    <w:basedOn w:val="1"/>
    <w:autoRedefine/>
    <w:qFormat/>
    <w:uiPriority w:val="99"/>
    <w:pPr>
      <w:ind w:firstLine="420" w:firstLineChars="200"/>
    </w:pPr>
  </w:style>
  <w:style w:type="character" w:customStyle="1" w:styleId="49">
    <w:name w:val="标题 3 Char"/>
    <w:link w:val="5"/>
    <w:autoRedefine/>
    <w:qFormat/>
    <w:uiPriority w:val="0"/>
    <w:rPr>
      <w:rFonts w:ascii="Calibri" w:hAnsi="Calibri" w:eastAsia="宋体"/>
      <w:b/>
      <w:sz w:val="32"/>
    </w:rPr>
  </w:style>
  <w:style w:type="paragraph" w:customStyle="1" w:styleId="50">
    <w:name w:val="Char1 Char Char Char Char Char Char"/>
    <w:basedOn w:val="1"/>
    <w:autoRedefine/>
    <w:qFormat/>
    <w:uiPriority w:val="0"/>
    <w:rPr>
      <w:rFonts w:ascii="Tahoma" w:hAnsi="Tahoma"/>
      <w:sz w:val="24"/>
      <w:szCs w:val="20"/>
    </w:rPr>
  </w:style>
  <w:style w:type="paragraph" w:customStyle="1" w:styleId="51">
    <w:name w:val="Char"/>
    <w:basedOn w:val="1"/>
    <w:autoRedefine/>
    <w:qFormat/>
    <w:uiPriority w:val="0"/>
  </w:style>
  <w:style w:type="character" w:customStyle="1" w:styleId="52">
    <w:name w:val="font21"/>
    <w:basedOn w:val="31"/>
    <w:autoRedefine/>
    <w:qFormat/>
    <w:uiPriority w:val="0"/>
    <w:rPr>
      <w:rFonts w:hint="eastAsia" w:ascii="宋体" w:hAnsi="宋体" w:eastAsia="宋体" w:cs="宋体"/>
      <w:color w:val="000000"/>
      <w:sz w:val="21"/>
      <w:szCs w:val="21"/>
      <w:u w:val="none"/>
    </w:rPr>
  </w:style>
  <w:style w:type="character" w:customStyle="1" w:styleId="53">
    <w:name w:val="font01"/>
    <w:basedOn w:val="31"/>
    <w:autoRedefine/>
    <w:qFormat/>
    <w:uiPriority w:val="0"/>
    <w:rPr>
      <w:rFonts w:hint="default" w:ascii="Calibri" w:hAnsi="Calibri" w:cs="Calibri"/>
      <w:color w:val="000000"/>
      <w:sz w:val="21"/>
      <w:szCs w:val="21"/>
      <w:u w:val="none"/>
    </w:rPr>
  </w:style>
  <w:style w:type="paragraph" w:customStyle="1" w:styleId="54">
    <w:name w:val="_Style 1"/>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55">
    <w:name w:val="NormalCharacter"/>
    <w:autoRedefine/>
    <w:semiHidden/>
    <w:qFormat/>
    <w:uiPriority w:val="0"/>
  </w:style>
  <w:style w:type="paragraph" w:customStyle="1" w:styleId="56">
    <w:name w:val="Table Paragraph"/>
    <w:basedOn w:val="1"/>
    <w:autoRedefine/>
    <w:qFormat/>
    <w:uiPriority w:val="1"/>
    <w:pPr>
      <w:autoSpaceDE w:val="0"/>
      <w:autoSpaceDN w:val="0"/>
      <w:jc w:val="left"/>
    </w:pPr>
    <w:rPr>
      <w:rFonts w:ascii="宋体" w:hAnsi="宋体" w:cs="宋体"/>
      <w:kern w:val="0"/>
      <w:sz w:val="22"/>
      <w:szCs w:val="22"/>
      <w:lang w:eastAsia="en-US"/>
    </w:rPr>
  </w:style>
  <w:style w:type="paragraph" w:customStyle="1" w:styleId="57">
    <w:name w:val="null3"/>
    <w:autoRedefine/>
    <w:qFormat/>
    <w:uiPriority w:val="0"/>
    <w:rPr>
      <w:rFonts w:hint="eastAsia" w:ascii="Calibri" w:hAnsi="Calibri" w:eastAsia="宋体" w:cs="Times New Roman"/>
      <w:sz w:val="21"/>
      <w:szCs w:val="22"/>
      <w:lang w:val="en-US" w:eastAsia="zh-CN" w:bidi="ar-SA"/>
    </w:rPr>
  </w:style>
  <w:style w:type="paragraph" w:customStyle="1" w:styleId="58">
    <w:name w:val="正文（绿盟科技）"/>
    <w:autoRedefine/>
    <w:qFormat/>
    <w:uiPriority w:val="0"/>
    <w:pPr>
      <w:spacing w:line="300" w:lineRule="auto"/>
    </w:pPr>
    <w:rPr>
      <w:rFonts w:ascii="Arial" w:hAnsi="Arial" w:eastAsia="宋体" w:cs="黑体"/>
      <w:sz w:val="21"/>
      <w:szCs w:val="21"/>
      <w:lang w:val="en-US" w:eastAsia="zh-CN" w:bidi="ar-SA"/>
    </w:r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1"/>
    <w:basedOn w:val="1"/>
    <w:next w:val="17"/>
    <w:autoRedefine/>
    <w:qFormat/>
    <w:uiPriority w:val="0"/>
    <w:rPr>
      <w:rFonts w:ascii="宋体" w:hAnsi="Courier New"/>
      <w:szCs w:val="20"/>
    </w:rPr>
  </w:style>
  <w:style w:type="paragraph" w:customStyle="1" w:styleId="61">
    <w:name w:val="列表段落1"/>
    <w:basedOn w:val="1"/>
    <w:qFormat/>
    <w:uiPriority w:val="0"/>
    <w:pPr>
      <w:widowControl/>
      <w:ind w:left="720" w:firstLine="360"/>
      <w:jc w:val="left"/>
    </w:pPr>
    <w:rPr>
      <w:rFonts w:ascii="Calibri" w:hAnsi="Calibri"/>
      <w:kern w:val="0"/>
      <w:sz w:val="22"/>
      <w:szCs w:val="20"/>
      <w:lang w:eastAsia="en-US"/>
    </w:rPr>
  </w:style>
  <w:style w:type="paragraph" w:customStyle="1" w:styleId="62">
    <w:name w:val="列出段落11"/>
    <w:basedOn w:val="1"/>
    <w:qFormat/>
    <w:uiPriority w:val="34"/>
    <w:pPr>
      <w:ind w:firstLine="420" w:firstLineChars="200"/>
    </w:pPr>
    <w:rPr>
      <w:rFonts w:ascii="Calibri" w:hAnsi="Calibri"/>
      <w:szCs w:val="22"/>
    </w:rPr>
  </w:style>
  <w:style w:type="paragraph" w:customStyle="1" w:styleId="6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64">
    <w:name w:val="批注文字 Char"/>
    <w:basedOn w:val="31"/>
    <w:link w:val="11"/>
    <w:qFormat/>
    <w:uiPriority w:val="0"/>
    <w:rPr>
      <w:kern w:val="2"/>
      <w:sz w:val="21"/>
      <w:szCs w:val="24"/>
    </w:rPr>
  </w:style>
  <w:style w:type="character" w:customStyle="1" w:styleId="65">
    <w:name w:val="批注主题 Char"/>
    <w:basedOn w:val="64"/>
    <w:link w:val="27"/>
    <w:qFormat/>
    <w:uiPriority w:val="0"/>
    <w:rPr>
      <w:b/>
      <w:bCs/>
      <w:kern w:val="2"/>
      <w:sz w:val="21"/>
      <w:szCs w:val="24"/>
    </w:rPr>
  </w:style>
  <w:style w:type="character" w:customStyle="1" w:styleId="66">
    <w:name w:val="批注框文本 Char"/>
    <w:basedOn w:val="31"/>
    <w:link w:val="1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53</Pages>
  <Words>21443</Words>
  <Characters>23299</Characters>
  <Lines>264</Lines>
  <Paragraphs>74</Paragraphs>
  <TotalTime>3</TotalTime>
  <ScaleCrop>false</ScaleCrop>
  <LinksUpToDate>false</LinksUpToDate>
  <CharactersWithSpaces>23664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2025-02-21T09:52:00Z</dcterms:created>
  <dc:creator>Administrator</dc:creator>
  <cp:lastModifiedBy>欧邦-刘芳芳</cp:lastModifiedBy>
  <dcterms:modified xsi:type="dcterms:W3CDTF">2025-04-10T08:16:52Z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B60A73C9C5D9468C809EF90C40A809BE_13</vt:lpwstr>
  </property>
  <property fmtid="{D5CDD505-2E9C-101B-9397-08002B2CF9AE}" pid="4" name="KSOTemplateDocerSaveRecord">
    <vt:lpwstr>eyJoZGlkIjoiMzI1NTI3MjI3NzAyNTEyM2YwYTQ2YTkxODgyY2JiOTUiLCJ1c2VySWQiOiI5NzI4NTYzMDAifQ==</vt:lpwstr>
  </property>
</Properties>
</file>