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EF7F61">
      <w:pPr>
        <w:pStyle w:val="15"/>
        <w:spacing w:line="360" w:lineRule="auto"/>
        <w:rPr>
          <w:rFonts w:hint="eastAsia" w:ascii="宋体" w:hAnsi="宋体" w:cs="宋体"/>
          <w:color w:val="auto"/>
          <w:sz w:val="66"/>
          <w:szCs w:val="66"/>
          <w:u w:val="double"/>
        </w:rPr>
      </w:pPr>
      <w:bookmarkStart w:id="178" w:name="_GoBack"/>
      <w:bookmarkEnd w:id="178"/>
      <w:r>
        <w:rPr>
          <w:rFonts w:hint="eastAsia" w:ascii="宋体" w:hAnsi="宋体" w:cs="宋体"/>
          <w:color w:val="auto"/>
          <w:highlight w:val="none"/>
        </w:rPr>
        <w:drawing>
          <wp:inline distT="0" distB="0" distL="114300" distR="114300">
            <wp:extent cx="6244590" cy="1142365"/>
            <wp:effectExtent l="0" t="0" r="0" b="0"/>
            <wp:docPr id="4" name="图片 1" descr="03f08d9a1379cb2e5a2b7f37cf9052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03f08d9a1379cb2e5a2b7f37cf9052ce"/>
                    <pic:cNvPicPr>
                      <a:picLocks noChangeAspect="1"/>
                    </pic:cNvPicPr>
                  </pic:nvPicPr>
                  <pic:blipFill>
                    <a:blip r:embed="rId8"/>
                    <a:stretch>
                      <a:fillRect/>
                    </a:stretch>
                  </pic:blipFill>
                  <pic:spPr>
                    <a:xfrm>
                      <a:off x="0" y="0"/>
                      <a:ext cx="6244590" cy="1142365"/>
                    </a:xfrm>
                    <a:prstGeom prst="rect">
                      <a:avLst/>
                    </a:prstGeom>
                    <a:noFill/>
                    <a:ln>
                      <a:noFill/>
                    </a:ln>
                  </pic:spPr>
                </pic:pic>
              </a:graphicData>
            </a:graphic>
          </wp:inline>
        </w:drawing>
      </w:r>
    </w:p>
    <w:p w14:paraId="6B4D8C8A">
      <w:pPr>
        <w:spacing w:line="360" w:lineRule="auto"/>
        <w:rPr>
          <w:rFonts w:hint="eastAsia" w:ascii="宋体" w:hAnsi="宋体" w:cs="宋体"/>
          <w:color w:val="auto"/>
          <w:sz w:val="66"/>
          <w:szCs w:val="66"/>
          <w:u w:val="double"/>
        </w:rPr>
      </w:pPr>
    </w:p>
    <w:p w14:paraId="621685D6">
      <w:pPr>
        <w:spacing w:line="360" w:lineRule="auto"/>
        <w:rPr>
          <w:rFonts w:hint="eastAsia" w:ascii="宋体" w:hAnsi="宋体" w:cs="宋体"/>
          <w:color w:val="auto"/>
          <w:sz w:val="66"/>
          <w:szCs w:val="66"/>
          <w:u w:val="double"/>
        </w:rPr>
      </w:pPr>
    </w:p>
    <w:p w14:paraId="186238B7">
      <w:pPr>
        <w:spacing w:line="360" w:lineRule="auto"/>
        <w:rPr>
          <w:rFonts w:hint="eastAsia" w:ascii="宋体" w:hAnsi="宋体" w:cs="宋体"/>
          <w:color w:val="auto"/>
          <w:sz w:val="66"/>
          <w:szCs w:val="66"/>
          <w:u w:val="double"/>
        </w:rPr>
      </w:pPr>
    </w:p>
    <w:p w14:paraId="7B4CBC7E">
      <w:pPr>
        <w:spacing w:line="360" w:lineRule="auto"/>
        <w:jc w:val="center"/>
        <w:rPr>
          <w:rFonts w:hint="eastAsia" w:ascii="宋体" w:hAnsi="宋体" w:cs="宋体"/>
          <w:b/>
          <w:bCs/>
          <w:color w:val="auto"/>
          <w:sz w:val="76"/>
          <w:szCs w:val="76"/>
        </w:rPr>
      </w:pPr>
      <w:r>
        <w:rPr>
          <w:rFonts w:hint="eastAsia" w:ascii="宋体" w:hAnsi="宋体" w:cs="宋体"/>
          <w:b/>
          <w:bCs/>
          <w:color w:val="auto"/>
          <w:sz w:val="76"/>
          <w:szCs w:val="76"/>
        </w:rPr>
        <w:t>竞争性磋商采购文件</w:t>
      </w:r>
    </w:p>
    <w:p w14:paraId="749BB744">
      <w:pPr>
        <w:spacing w:line="360" w:lineRule="auto"/>
        <w:rPr>
          <w:rFonts w:hint="eastAsia" w:ascii="宋体" w:hAnsi="宋体" w:cs="宋体"/>
          <w:b/>
          <w:bCs/>
          <w:color w:val="auto"/>
          <w:sz w:val="32"/>
          <w:szCs w:val="32"/>
        </w:rPr>
      </w:pPr>
    </w:p>
    <w:p w14:paraId="7C034147">
      <w:pPr>
        <w:pStyle w:val="15"/>
        <w:spacing w:line="360" w:lineRule="auto"/>
        <w:ind w:firstLine="1687" w:firstLineChars="600"/>
        <w:rPr>
          <w:rFonts w:hint="eastAsia" w:hAnsi="宋体" w:cs="宋体"/>
          <w:b/>
          <w:bCs/>
          <w:color w:val="auto"/>
          <w:sz w:val="28"/>
          <w:szCs w:val="28"/>
          <w:lang w:eastAsia="zh-CN"/>
        </w:rPr>
      </w:pPr>
      <w:r>
        <w:rPr>
          <w:rFonts w:hint="eastAsia" w:hAnsi="宋体" w:cs="宋体"/>
          <w:b/>
          <w:bCs/>
          <w:color w:val="auto"/>
          <w:sz w:val="28"/>
          <w:szCs w:val="28"/>
        </w:rPr>
        <w:t>项目名称：</w:t>
      </w:r>
      <w:r>
        <w:rPr>
          <w:rFonts w:hint="eastAsia" w:hAnsi="宋体" w:cs="宋体"/>
          <w:b/>
          <w:bCs/>
          <w:color w:val="auto"/>
          <w:sz w:val="28"/>
          <w:szCs w:val="28"/>
          <w:lang w:eastAsia="zh-CN"/>
        </w:rPr>
        <w:t>崇左市中级人民法院物业服务采购</w:t>
      </w:r>
    </w:p>
    <w:p w14:paraId="7C052333">
      <w:pPr>
        <w:pStyle w:val="15"/>
        <w:spacing w:line="360" w:lineRule="auto"/>
        <w:ind w:firstLine="1687" w:firstLineChars="600"/>
        <w:rPr>
          <w:rFonts w:hint="eastAsia" w:hAnsi="宋体" w:eastAsia="宋体" w:cs="宋体"/>
          <w:b/>
          <w:bCs/>
          <w:color w:val="auto"/>
          <w:sz w:val="28"/>
          <w:szCs w:val="28"/>
          <w:lang w:eastAsia="zh-CN"/>
        </w:rPr>
      </w:pPr>
      <w:r>
        <w:rPr>
          <w:rFonts w:hint="eastAsia" w:hAnsi="宋体" w:cs="宋体"/>
          <w:b/>
          <w:bCs/>
          <w:color w:val="auto"/>
          <w:sz w:val="28"/>
          <w:szCs w:val="28"/>
          <w:lang w:eastAsia="zh-CN"/>
        </w:rPr>
        <w:t>项目编号：CZZC2025-C3-990072-JWJS</w:t>
      </w:r>
    </w:p>
    <w:p w14:paraId="2CBD9082">
      <w:pPr>
        <w:spacing w:line="360" w:lineRule="auto"/>
        <w:rPr>
          <w:rFonts w:hint="eastAsia" w:ascii="宋体" w:hAnsi="宋体" w:cs="宋体"/>
          <w:b/>
          <w:bCs/>
          <w:color w:val="auto"/>
          <w:sz w:val="36"/>
          <w:szCs w:val="36"/>
        </w:rPr>
      </w:pPr>
    </w:p>
    <w:p w14:paraId="6C258C76">
      <w:pPr>
        <w:spacing w:line="360" w:lineRule="auto"/>
        <w:rPr>
          <w:rFonts w:hint="eastAsia" w:ascii="宋体" w:hAnsi="宋体" w:cs="宋体"/>
          <w:b/>
          <w:bCs/>
          <w:color w:val="auto"/>
          <w:sz w:val="36"/>
          <w:szCs w:val="36"/>
        </w:rPr>
      </w:pPr>
    </w:p>
    <w:p w14:paraId="3272A123">
      <w:pPr>
        <w:pStyle w:val="4"/>
        <w:rPr>
          <w:rFonts w:hint="eastAsia"/>
          <w:color w:val="auto"/>
        </w:rPr>
      </w:pPr>
    </w:p>
    <w:p w14:paraId="7B266F90">
      <w:pPr>
        <w:spacing w:line="360" w:lineRule="auto"/>
        <w:rPr>
          <w:rFonts w:hint="eastAsia" w:ascii="宋体" w:hAnsi="宋体" w:cs="宋体"/>
          <w:b/>
          <w:bCs/>
          <w:color w:val="auto"/>
          <w:sz w:val="36"/>
          <w:szCs w:val="36"/>
        </w:rPr>
      </w:pPr>
    </w:p>
    <w:p w14:paraId="1B6D8F5D">
      <w:pPr>
        <w:spacing w:line="360" w:lineRule="auto"/>
        <w:jc w:val="center"/>
        <w:rPr>
          <w:rFonts w:hint="eastAsia" w:ascii="宋体" w:hAnsi="宋体" w:cs="宋体"/>
          <w:b/>
          <w:bCs/>
          <w:color w:val="auto"/>
          <w:sz w:val="32"/>
          <w:szCs w:val="32"/>
        </w:rPr>
      </w:pPr>
    </w:p>
    <w:p w14:paraId="62168812">
      <w:pPr>
        <w:spacing w:line="360" w:lineRule="auto"/>
        <w:jc w:val="center"/>
        <w:rPr>
          <w:rFonts w:hint="eastAsia" w:ascii="宋体" w:hAnsi="宋体" w:cs="宋体"/>
          <w:b/>
          <w:bCs/>
          <w:color w:val="auto"/>
          <w:sz w:val="32"/>
          <w:szCs w:val="32"/>
        </w:rPr>
      </w:pPr>
      <w:r>
        <w:rPr>
          <w:rFonts w:hint="eastAsia" w:ascii="宋体" w:hAnsi="宋体" w:cs="宋体"/>
          <w:b/>
          <w:bCs/>
          <w:color w:val="auto"/>
          <w:sz w:val="32"/>
          <w:szCs w:val="32"/>
        </w:rPr>
        <w:t xml:space="preserve">  </w:t>
      </w:r>
    </w:p>
    <w:p w14:paraId="6C00159B">
      <w:pPr>
        <w:spacing w:line="360" w:lineRule="auto"/>
        <w:rPr>
          <w:rFonts w:hint="eastAsia" w:ascii="宋体" w:hAnsi="宋体" w:eastAsia="宋体" w:cs="宋体"/>
          <w:b/>
          <w:bCs/>
          <w:color w:val="auto"/>
          <w:sz w:val="32"/>
          <w:szCs w:val="32"/>
          <w:lang w:eastAsia="zh-CN"/>
        </w:rPr>
      </w:pPr>
      <w:r>
        <w:rPr>
          <w:rFonts w:hint="eastAsia" w:ascii="宋体" w:hAnsi="宋体" w:cs="宋体"/>
          <w:b/>
          <w:bCs/>
          <w:color w:val="auto"/>
          <w:sz w:val="36"/>
          <w:szCs w:val="36"/>
        </w:rPr>
        <w:t xml:space="preserve">     </w:t>
      </w:r>
      <w:r>
        <w:rPr>
          <w:rFonts w:hint="eastAsia" w:ascii="宋体" w:hAnsi="宋体" w:cs="宋体"/>
          <w:b/>
          <w:bCs/>
          <w:color w:val="auto"/>
          <w:sz w:val="32"/>
          <w:szCs w:val="32"/>
        </w:rPr>
        <w:t>采购单位：</w:t>
      </w:r>
      <w:r>
        <w:rPr>
          <w:rFonts w:hint="eastAsia" w:ascii="宋体" w:hAnsi="宋体" w:cs="宋体"/>
          <w:b/>
          <w:bCs/>
          <w:color w:val="auto"/>
          <w:sz w:val="32"/>
          <w:szCs w:val="32"/>
          <w:lang w:eastAsia="zh-CN"/>
        </w:rPr>
        <w:t>广西壮族自治区崇左市中级人民法院</w:t>
      </w:r>
    </w:p>
    <w:p w14:paraId="2710634F">
      <w:pPr>
        <w:spacing w:line="360" w:lineRule="auto"/>
        <w:ind w:firstLine="964" w:firstLineChars="300"/>
        <w:rPr>
          <w:rFonts w:hint="eastAsia" w:ascii="宋体" w:hAnsi="宋体" w:eastAsia="宋体" w:cs="宋体"/>
          <w:b/>
          <w:bCs/>
          <w:color w:val="auto"/>
          <w:sz w:val="32"/>
          <w:szCs w:val="32"/>
          <w:lang w:eastAsia="zh-CN"/>
        </w:rPr>
      </w:pPr>
      <w:r>
        <w:rPr>
          <w:rFonts w:hint="eastAsia" w:ascii="宋体" w:hAnsi="宋体" w:cs="宋体"/>
          <w:b/>
          <w:bCs/>
          <w:color w:val="auto"/>
          <w:sz w:val="32"/>
          <w:szCs w:val="32"/>
        </w:rPr>
        <w:t>采购代理机构：</w:t>
      </w:r>
      <w:r>
        <w:rPr>
          <w:rFonts w:hint="eastAsia" w:ascii="宋体" w:hAnsi="宋体" w:cs="宋体"/>
          <w:b/>
          <w:bCs/>
          <w:color w:val="auto"/>
          <w:sz w:val="32"/>
          <w:szCs w:val="32"/>
          <w:lang w:eastAsia="zh-CN"/>
        </w:rPr>
        <w:t>广西金旺技术管理有限公司</w:t>
      </w:r>
    </w:p>
    <w:p w14:paraId="39FA6712">
      <w:pPr>
        <w:spacing w:line="360" w:lineRule="auto"/>
        <w:jc w:val="center"/>
        <w:rPr>
          <w:rFonts w:hint="eastAsia" w:ascii="宋体" w:hAnsi="宋体" w:cs="宋体"/>
          <w:b/>
          <w:bCs/>
          <w:color w:val="auto"/>
          <w:sz w:val="32"/>
          <w:szCs w:val="32"/>
        </w:rPr>
      </w:pPr>
      <w:r>
        <w:rPr>
          <w:rFonts w:hint="eastAsia" w:ascii="宋体" w:hAnsi="宋体" w:cs="宋体"/>
          <w:b/>
          <w:bCs/>
          <w:color w:val="auto"/>
          <w:sz w:val="32"/>
          <w:szCs w:val="32"/>
          <w:lang w:eastAsia="zh-CN"/>
        </w:rPr>
        <w:t>202</w:t>
      </w:r>
      <w:r>
        <w:rPr>
          <w:rFonts w:hint="eastAsia" w:ascii="宋体" w:hAnsi="宋体" w:cs="宋体"/>
          <w:b/>
          <w:bCs/>
          <w:color w:val="auto"/>
          <w:sz w:val="32"/>
          <w:szCs w:val="32"/>
          <w:lang w:val="en-US" w:eastAsia="zh-CN"/>
        </w:rPr>
        <w:t>5</w:t>
      </w:r>
      <w:r>
        <w:rPr>
          <w:rFonts w:hint="eastAsia" w:ascii="宋体" w:hAnsi="宋体" w:cs="宋体"/>
          <w:b/>
          <w:bCs/>
          <w:color w:val="auto"/>
          <w:sz w:val="32"/>
          <w:szCs w:val="32"/>
          <w:lang w:eastAsia="zh-CN"/>
        </w:rPr>
        <w:t>年</w:t>
      </w:r>
      <w:r>
        <w:rPr>
          <w:rFonts w:hint="eastAsia" w:ascii="宋体" w:hAnsi="宋体" w:cs="宋体"/>
          <w:b/>
          <w:bCs/>
          <w:color w:val="auto"/>
          <w:sz w:val="32"/>
          <w:szCs w:val="32"/>
          <w:lang w:val="en-US" w:eastAsia="zh-CN"/>
        </w:rPr>
        <w:t>4</w:t>
      </w:r>
      <w:r>
        <w:rPr>
          <w:rFonts w:hint="eastAsia" w:ascii="宋体" w:hAnsi="宋体" w:cs="宋体"/>
          <w:b/>
          <w:bCs/>
          <w:color w:val="auto"/>
          <w:sz w:val="32"/>
          <w:szCs w:val="32"/>
        </w:rPr>
        <w:t>月</w:t>
      </w:r>
    </w:p>
    <w:p w14:paraId="6C6812B1">
      <w:pPr>
        <w:pStyle w:val="4"/>
        <w:rPr>
          <w:rFonts w:hint="eastAsia" w:ascii="宋体" w:hAnsi="宋体" w:cs="宋体"/>
          <w:b/>
          <w:bCs/>
          <w:color w:val="auto"/>
          <w:sz w:val="32"/>
          <w:szCs w:val="32"/>
        </w:rPr>
      </w:pPr>
    </w:p>
    <w:p w14:paraId="0E65DB26">
      <w:pPr>
        <w:rPr>
          <w:rFonts w:hint="eastAsia"/>
          <w:color w:val="auto"/>
        </w:rPr>
      </w:pPr>
    </w:p>
    <w:p w14:paraId="1C69C783">
      <w:pPr>
        <w:spacing w:line="360" w:lineRule="auto"/>
        <w:ind w:firstLine="643" w:firstLineChars="20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目   录</w:t>
      </w:r>
    </w:p>
    <w:p w14:paraId="69251A4F">
      <w:pPr>
        <w:spacing w:line="360" w:lineRule="auto"/>
        <w:jc w:val="center"/>
        <w:rPr>
          <w:rFonts w:hint="eastAsia" w:ascii="宋体" w:hAnsi="宋体" w:eastAsia="宋体" w:cs="宋体"/>
          <w:b/>
          <w:color w:val="auto"/>
          <w:sz w:val="44"/>
          <w:szCs w:val="44"/>
          <w:highlight w:val="none"/>
        </w:rPr>
      </w:pPr>
    </w:p>
    <w:p w14:paraId="720CA24C">
      <w:pPr>
        <w:pStyle w:val="19"/>
        <w:spacing w:line="600" w:lineRule="auto"/>
        <w:rPr>
          <w:rFonts w:hint="eastAsia" w:ascii="宋体" w:hAnsi="宋体" w:eastAsia="宋体" w:cs="宋体"/>
          <w:color w:val="auto"/>
          <w:sz w:val="28"/>
          <w:szCs w:val="28"/>
          <w:highlight w:val="none"/>
        </w:rPr>
      </w:pPr>
      <w:r>
        <w:rPr>
          <w:rFonts w:hint="eastAsia" w:ascii="宋体" w:hAnsi="宋体" w:eastAsia="宋体" w:cs="宋体"/>
          <w:b/>
          <w:color w:val="auto"/>
          <w:sz w:val="28"/>
          <w:szCs w:val="28"/>
          <w:highlight w:val="none"/>
        </w:rPr>
        <w:fldChar w:fldCharType="begin"/>
      </w:r>
      <w:r>
        <w:rPr>
          <w:rFonts w:hint="eastAsia" w:ascii="宋体" w:hAnsi="宋体" w:eastAsia="宋体" w:cs="宋体"/>
          <w:b/>
          <w:color w:val="auto"/>
          <w:sz w:val="28"/>
          <w:szCs w:val="28"/>
          <w:highlight w:val="none"/>
        </w:rPr>
        <w:instrText xml:space="preserve"> TOC \o "1-3" \h \z \u </w:instrText>
      </w:r>
      <w:r>
        <w:rPr>
          <w:rFonts w:hint="eastAsia" w:ascii="宋体" w:hAnsi="宋体" w:eastAsia="宋体" w:cs="宋体"/>
          <w:b/>
          <w:color w:val="auto"/>
          <w:sz w:val="28"/>
          <w:szCs w:val="28"/>
          <w:highlight w:val="none"/>
        </w:rPr>
        <w:fldChar w:fldCharType="separate"/>
      </w:r>
      <w:r>
        <w:rPr>
          <w:rFonts w:hint="eastAsia" w:ascii="宋体" w:hAnsi="宋体" w:eastAsia="宋体" w:cs="宋体"/>
          <w:color w:val="auto"/>
          <w:sz w:val="28"/>
          <w:szCs w:val="28"/>
          <w:highlight w:val="none"/>
        </w:rPr>
        <w:fldChar w:fldCharType="begin"/>
      </w:r>
      <w:r>
        <w:rPr>
          <w:rStyle w:val="25"/>
          <w:rFonts w:hint="eastAsia" w:ascii="宋体" w:hAnsi="宋体" w:eastAsia="宋体" w:cs="宋体"/>
          <w:color w:val="auto"/>
          <w:sz w:val="28"/>
          <w:szCs w:val="28"/>
          <w:highlight w:val="none"/>
        </w:rPr>
        <w:instrText xml:space="preserve"> </w:instrText>
      </w:r>
      <w:r>
        <w:rPr>
          <w:rFonts w:hint="eastAsia" w:ascii="宋体" w:hAnsi="宋体" w:eastAsia="宋体" w:cs="宋体"/>
          <w:color w:val="auto"/>
          <w:sz w:val="28"/>
          <w:szCs w:val="28"/>
          <w:highlight w:val="none"/>
        </w:rPr>
        <w:instrText xml:space="preserve">HYPERLINK \l "_Toc44229877"</w:instrText>
      </w:r>
      <w:r>
        <w:rPr>
          <w:rStyle w:val="25"/>
          <w:rFonts w:hint="eastAsia" w:ascii="宋体" w:hAnsi="宋体" w:eastAsia="宋体" w:cs="宋体"/>
          <w:color w:val="auto"/>
          <w:sz w:val="28"/>
          <w:szCs w:val="28"/>
          <w:highlight w:val="none"/>
        </w:rPr>
        <w:instrText xml:space="preserve"> </w:instrText>
      </w:r>
      <w:r>
        <w:rPr>
          <w:rFonts w:hint="eastAsia" w:ascii="宋体" w:hAnsi="宋体" w:eastAsia="宋体" w:cs="宋体"/>
          <w:color w:val="auto"/>
          <w:sz w:val="28"/>
          <w:szCs w:val="28"/>
          <w:highlight w:val="none"/>
        </w:rPr>
        <w:fldChar w:fldCharType="separate"/>
      </w:r>
      <w:r>
        <w:rPr>
          <w:rStyle w:val="25"/>
          <w:rFonts w:hint="eastAsia" w:ascii="宋体" w:hAnsi="宋体" w:eastAsia="宋体" w:cs="宋体"/>
          <w:color w:val="auto"/>
          <w:sz w:val="28"/>
          <w:szCs w:val="28"/>
          <w:highlight w:val="none"/>
        </w:rPr>
        <w:t>第一章 竞争性磋商公告</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_Toc44229877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3D8C7972">
      <w:pPr>
        <w:pStyle w:val="19"/>
        <w:spacing w:line="60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Style w:val="25"/>
          <w:rFonts w:hint="eastAsia" w:ascii="宋体" w:hAnsi="宋体" w:eastAsia="宋体" w:cs="宋体"/>
          <w:color w:val="auto"/>
          <w:sz w:val="28"/>
          <w:szCs w:val="28"/>
          <w:highlight w:val="none"/>
        </w:rPr>
        <w:instrText xml:space="preserve"> </w:instrText>
      </w:r>
      <w:r>
        <w:rPr>
          <w:rFonts w:hint="eastAsia" w:ascii="宋体" w:hAnsi="宋体" w:eastAsia="宋体" w:cs="宋体"/>
          <w:color w:val="auto"/>
          <w:sz w:val="28"/>
          <w:szCs w:val="28"/>
          <w:highlight w:val="none"/>
        </w:rPr>
        <w:instrText xml:space="preserve">HYPERLINK \l "_Toc44229894"</w:instrText>
      </w:r>
      <w:r>
        <w:rPr>
          <w:rStyle w:val="25"/>
          <w:rFonts w:hint="eastAsia" w:ascii="宋体" w:hAnsi="宋体" w:eastAsia="宋体" w:cs="宋体"/>
          <w:color w:val="auto"/>
          <w:sz w:val="28"/>
          <w:szCs w:val="28"/>
          <w:highlight w:val="none"/>
        </w:rPr>
        <w:instrText xml:space="preserve"> </w:instrText>
      </w:r>
      <w:r>
        <w:rPr>
          <w:rFonts w:hint="eastAsia" w:ascii="宋体" w:hAnsi="宋体" w:eastAsia="宋体" w:cs="宋体"/>
          <w:color w:val="auto"/>
          <w:sz w:val="28"/>
          <w:szCs w:val="28"/>
          <w:highlight w:val="none"/>
        </w:rPr>
        <w:fldChar w:fldCharType="separate"/>
      </w:r>
      <w:r>
        <w:rPr>
          <w:rStyle w:val="25"/>
          <w:rFonts w:hint="eastAsia" w:ascii="宋体" w:hAnsi="宋体" w:eastAsia="宋体" w:cs="宋体"/>
          <w:color w:val="auto"/>
          <w:sz w:val="28"/>
          <w:szCs w:val="28"/>
          <w:highlight w:val="none"/>
        </w:rPr>
        <w:t>第二章 供应商须</w:t>
      </w:r>
      <w:bookmarkStart w:id="0" w:name="_Hlt45187173"/>
      <w:bookmarkStart w:id="1" w:name="_Hlt45187174"/>
      <w:r>
        <w:rPr>
          <w:rStyle w:val="25"/>
          <w:rFonts w:hint="eastAsia" w:ascii="宋体" w:hAnsi="宋体" w:eastAsia="宋体" w:cs="宋体"/>
          <w:color w:val="auto"/>
          <w:sz w:val="28"/>
          <w:szCs w:val="28"/>
          <w:highlight w:val="none"/>
        </w:rPr>
        <w:t>知</w:t>
      </w:r>
      <w:bookmarkEnd w:id="0"/>
      <w:bookmarkEnd w:id="1"/>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_Toc44229894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3</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3C0E6426">
      <w:pPr>
        <w:pStyle w:val="19"/>
        <w:spacing w:line="60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Style w:val="25"/>
          <w:rFonts w:hint="eastAsia" w:ascii="宋体" w:hAnsi="宋体" w:eastAsia="宋体" w:cs="宋体"/>
          <w:color w:val="auto"/>
          <w:sz w:val="28"/>
          <w:szCs w:val="28"/>
          <w:highlight w:val="none"/>
        </w:rPr>
        <w:instrText xml:space="preserve"> </w:instrText>
      </w:r>
      <w:r>
        <w:rPr>
          <w:rFonts w:hint="eastAsia" w:ascii="宋体" w:hAnsi="宋体" w:eastAsia="宋体" w:cs="宋体"/>
          <w:color w:val="auto"/>
          <w:sz w:val="28"/>
          <w:szCs w:val="28"/>
          <w:highlight w:val="none"/>
        </w:rPr>
        <w:instrText xml:space="preserve">HYPERLINK \l "_Toc44229895"</w:instrText>
      </w:r>
      <w:r>
        <w:rPr>
          <w:rStyle w:val="25"/>
          <w:rFonts w:hint="eastAsia" w:ascii="宋体" w:hAnsi="宋体" w:eastAsia="宋体" w:cs="宋体"/>
          <w:color w:val="auto"/>
          <w:sz w:val="28"/>
          <w:szCs w:val="28"/>
          <w:highlight w:val="none"/>
        </w:rPr>
        <w:instrText xml:space="preserve"> </w:instrText>
      </w:r>
      <w:r>
        <w:rPr>
          <w:rFonts w:hint="eastAsia" w:ascii="宋体" w:hAnsi="宋体" w:eastAsia="宋体" w:cs="宋体"/>
          <w:color w:val="auto"/>
          <w:sz w:val="28"/>
          <w:szCs w:val="28"/>
          <w:highlight w:val="none"/>
        </w:rPr>
        <w:fldChar w:fldCharType="separate"/>
      </w:r>
      <w:r>
        <w:rPr>
          <w:rStyle w:val="25"/>
          <w:rFonts w:hint="eastAsia" w:ascii="宋体" w:hAnsi="宋体" w:eastAsia="宋体" w:cs="宋体"/>
          <w:color w:val="auto"/>
          <w:sz w:val="28"/>
          <w:szCs w:val="28"/>
          <w:highlight w:val="none"/>
        </w:rPr>
        <w:t>第三章 采购需求</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_Toc44229895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22</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10CAD99E">
      <w:pPr>
        <w:pStyle w:val="19"/>
        <w:spacing w:line="60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Style w:val="25"/>
          <w:rFonts w:hint="eastAsia" w:ascii="宋体" w:hAnsi="宋体" w:eastAsia="宋体" w:cs="宋体"/>
          <w:color w:val="auto"/>
          <w:sz w:val="28"/>
          <w:szCs w:val="28"/>
          <w:highlight w:val="none"/>
        </w:rPr>
        <w:instrText xml:space="preserve"> </w:instrText>
      </w:r>
      <w:r>
        <w:rPr>
          <w:rFonts w:hint="eastAsia" w:ascii="宋体" w:hAnsi="宋体" w:eastAsia="宋体" w:cs="宋体"/>
          <w:color w:val="auto"/>
          <w:sz w:val="28"/>
          <w:szCs w:val="28"/>
          <w:highlight w:val="none"/>
        </w:rPr>
        <w:instrText xml:space="preserve">HYPERLINK \l "_Toc44229896"</w:instrText>
      </w:r>
      <w:r>
        <w:rPr>
          <w:rStyle w:val="25"/>
          <w:rFonts w:hint="eastAsia" w:ascii="宋体" w:hAnsi="宋体" w:eastAsia="宋体" w:cs="宋体"/>
          <w:color w:val="auto"/>
          <w:sz w:val="28"/>
          <w:szCs w:val="28"/>
          <w:highlight w:val="none"/>
        </w:rPr>
        <w:instrText xml:space="preserve"> </w:instrText>
      </w:r>
      <w:r>
        <w:rPr>
          <w:rFonts w:hint="eastAsia" w:ascii="宋体" w:hAnsi="宋体" w:eastAsia="宋体" w:cs="宋体"/>
          <w:color w:val="auto"/>
          <w:sz w:val="28"/>
          <w:szCs w:val="28"/>
          <w:highlight w:val="none"/>
        </w:rPr>
        <w:fldChar w:fldCharType="separate"/>
      </w:r>
      <w:r>
        <w:rPr>
          <w:rStyle w:val="25"/>
          <w:rFonts w:hint="eastAsia" w:ascii="宋体" w:hAnsi="宋体" w:eastAsia="宋体" w:cs="宋体"/>
          <w:color w:val="auto"/>
          <w:sz w:val="28"/>
          <w:szCs w:val="28"/>
          <w:highlight w:val="none"/>
        </w:rPr>
        <w:t>第四章 评审程序、评审方法和</w:t>
      </w:r>
      <w:bookmarkStart w:id="2" w:name="_Hlt44924516"/>
      <w:bookmarkStart w:id="3" w:name="_Hlt44924517"/>
      <w:r>
        <w:rPr>
          <w:rStyle w:val="25"/>
          <w:rFonts w:hint="eastAsia" w:ascii="宋体" w:hAnsi="宋体" w:eastAsia="宋体" w:cs="宋体"/>
          <w:color w:val="auto"/>
          <w:sz w:val="28"/>
          <w:szCs w:val="28"/>
          <w:highlight w:val="none"/>
        </w:rPr>
        <w:t>评</w:t>
      </w:r>
      <w:bookmarkEnd w:id="2"/>
      <w:bookmarkEnd w:id="3"/>
      <w:r>
        <w:rPr>
          <w:rStyle w:val="25"/>
          <w:rFonts w:hint="eastAsia" w:ascii="宋体" w:hAnsi="宋体" w:eastAsia="宋体" w:cs="宋体"/>
          <w:color w:val="auto"/>
          <w:sz w:val="28"/>
          <w:szCs w:val="28"/>
          <w:highlight w:val="none"/>
        </w:rPr>
        <w:t>审标准</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_Toc44229896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27</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5004D20C">
      <w:pPr>
        <w:pStyle w:val="19"/>
        <w:spacing w:line="60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Style w:val="25"/>
          <w:rFonts w:hint="eastAsia" w:ascii="宋体" w:hAnsi="宋体" w:eastAsia="宋体" w:cs="宋体"/>
          <w:color w:val="auto"/>
          <w:sz w:val="28"/>
          <w:szCs w:val="28"/>
          <w:highlight w:val="none"/>
        </w:rPr>
        <w:instrText xml:space="preserve"> </w:instrText>
      </w:r>
      <w:r>
        <w:rPr>
          <w:rFonts w:hint="eastAsia" w:ascii="宋体" w:hAnsi="宋体" w:eastAsia="宋体" w:cs="宋体"/>
          <w:color w:val="auto"/>
          <w:sz w:val="28"/>
          <w:szCs w:val="28"/>
          <w:highlight w:val="none"/>
        </w:rPr>
        <w:instrText xml:space="preserve">HYPERLINK \l "_Toc44229897"</w:instrText>
      </w:r>
      <w:r>
        <w:rPr>
          <w:rStyle w:val="25"/>
          <w:rFonts w:hint="eastAsia" w:ascii="宋体" w:hAnsi="宋体" w:eastAsia="宋体" w:cs="宋体"/>
          <w:color w:val="auto"/>
          <w:sz w:val="28"/>
          <w:szCs w:val="28"/>
          <w:highlight w:val="none"/>
        </w:rPr>
        <w:instrText xml:space="preserve"> </w:instrText>
      </w:r>
      <w:r>
        <w:rPr>
          <w:rFonts w:hint="eastAsia" w:ascii="宋体" w:hAnsi="宋体" w:eastAsia="宋体" w:cs="宋体"/>
          <w:color w:val="auto"/>
          <w:sz w:val="28"/>
          <w:szCs w:val="28"/>
          <w:highlight w:val="none"/>
        </w:rPr>
        <w:fldChar w:fldCharType="separate"/>
      </w:r>
      <w:r>
        <w:rPr>
          <w:rStyle w:val="25"/>
          <w:rFonts w:hint="eastAsia" w:ascii="宋体" w:hAnsi="宋体" w:eastAsia="宋体" w:cs="宋体"/>
          <w:color w:val="auto"/>
          <w:sz w:val="28"/>
          <w:szCs w:val="28"/>
          <w:highlight w:val="none"/>
        </w:rPr>
        <w:t>第五章 响应文件格式</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_Toc44229897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36</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655B0097">
      <w:pPr>
        <w:pStyle w:val="19"/>
        <w:spacing w:line="60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Style w:val="25"/>
          <w:rFonts w:hint="eastAsia" w:ascii="宋体" w:hAnsi="宋体" w:eastAsia="宋体" w:cs="宋体"/>
          <w:color w:val="auto"/>
          <w:sz w:val="28"/>
          <w:szCs w:val="28"/>
          <w:highlight w:val="none"/>
        </w:rPr>
        <w:instrText xml:space="preserve"> </w:instrText>
      </w:r>
      <w:r>
        <w:rPr>
          <w:rFonts w:hint="eastAsia" w:ascii="宋体" w:hAnsi="宋体" w:eastAsia="宋体" w:cs="宋体"/>
          <w:color w:val="auto"/>
          <w:sz w:val="28"/>
          <w:szCs w:val="28"/>
          <w:highlight w:val="none"/>
        </w:rPr>
        <w:instrText xml:space="preserve">HYPERLINK \l "_Toc44229900"</w:instrText>
      </w:r>
      <w:r>
        <w:rPr>
          <w:rStyle w:val="25"/>
          <w:rFonts w:hint="eastAsia" w:ascii="宋体" w:hAnsi="宋体" w:eastAsia="宋体" w:cs="宋体"/>
          <w:color w:val="auto"/>
          <w:sz w:val="28"/>
          <w:szCs w:val="28"/>
          <w:highlight w:val="none"/>
        </w:rPr>
        <w:instrText xml:space="preserve"> </w:instrText>
      </w:r>
      <w:r>
        <w:rPr>
          <w:rFonts w:hint="eastAsia" w:ascii="宋体" w:hAnsi="宋体" w:eastAsia="宋体" w:cs="宋体"/>
          <w:color w:val="auto"/>
          <w:sz w:val="28"/>
          <w:szCs w:val="28"/>
          <w:highlight w:val="none"/>
        </w:rPr>
        <w:fldChar w:fldCharType="separate"/>
      </w:r>
      <w:r>
        <w:rPr>
          <w:rStyle w:val="25"/>
          <w:rFonts w:hint="eastAsia" w:ascii="宋体" w:hAnsi="宋体" w:eastAsia="宋体" w:cs="宋体"/>
          <w:color w:val="auto"/>
          <w:sz w:val="28"/>
          <w:szCs w:val="28"/>
          <w:highlight w:val="none"/>
        </w:rPr>
        <w:t>第六章 合同文本</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t>5</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t>9</w:t>
      </w:r>
    </w:p>
    <w:p w14:paraId="4FD9EC99">
      <w:pPr>
        <w:pStyle w:val="19"/>
        <w:spacing w:line="600" w:lineRule="auto"/>
        <w:rPr>
          <w:rFonts w:hint="eastAsia" w:ascii="宋体" w:hAnsi="宋体" w:eastAsia="宋体" w:cs="宋体"/>
          <w:color w:val="auto"/>
          <w:sz w:val="28"/>
          <w:szCs w:val="28"/>
          <w:highlight w:val="none"/>
        </w:rPr>
      </w:pPr>
      <w:r>
        <w:rPr>
          <w:rFonts w:hint="eastAsia" w:ascii="宋体" w:hAnsi="宋体" w:eastAsia="宋体" w:cs="宋体"/>
          <w:b/>
          <w:color w:val="auto"/>
          <w:sz w:val="28"/>
          <w:szCs w:val="28"/>
          <w:highlight w:val="none"/>
        </w:rPr>
        <w:fldChar w:fldCharType="end"/>
      </w:r>
    </w:p>
    <w:p w14:paraId="682E2F0F">
      <w:pPr>
        <w:spacing w:line="360" w:lineRule="auto"/>
        <w:jc w:val="left"/>
        <w:rPr>
          <w:rFonts w:hint="eastAsia" w:ascii="宋体" w:hAnsi="宋体" w:eastAsia="宋体" w:cs="宋体"/>
          <w:b/>
          <w:color w:val="auto"/>
          <w:sz w:val="32"/>
          <w:szCs w:val="32"/>
          <w:highlight w:val="none"/>
        </w:rPr>
      </w:pPr>
    </w:p>
    <w:p w14:paraId="3084BFC0">
      <w:pPr>
        <w:spacing w:line="360" w:lineRule="auto"/>
        <w:jc w:val="center"/>
        <w:rPr>
          <w:rFonts w:hint="eastAsia" w:ascii="宋体" w:hAnsi="宋体" w:eastAsia="宋体" w:cs="宋体"/>
          <w:b/>
          <w:color w:val="auto"/>
          <w:sz w:val="32"/>
          <w:szCs w:val="32"/>
          <w:highlight w:val="none"/>
        </w:rPr>
      </w:pPr>
    </w:p>
    <w:p w14:paraId="29E3D41D">
      <w:pPr>
        <w:spacing w:line="360" w:lineRule="auto"/>
        <w:jc w:val="center"/>
        <w:rPr>
          <w:rFonts w:hint="eastAsia" w:ascii="宋体" w:hAnsi="宋体" w:eastAsia="宋体" w:cs="宋体"/>
          <w:b/>
          <w:color w:val="auto"/>
          <w:sz w:val="32"/>
          <w:szCs w:val="32"/>
          <w:highlight w:val="none"/>
        </w:rPr>
      </w:pPr>
    </w:p>
    <w:p w14:paraId="3D9AB755">
      <w:pPr>
        <w:spacing w:line="360" w:lineRule="auto"/>
        <w:jc w:val="center"/>
        <w:rPr>
          <w:rFonts w:hint="eastAsia" w:ascii="宋体" w:hAnsi="宋体" w:eastAsia="宋体" w:cs="宋体"/>
          <w:b/>
          <w:color w:val="auto"/>
          <w:sz w:val="32"/>
          <w:szCs w:val="32"/>
          <w:highlight w:val="none"/>
        </w:rPr>
      </w:pPr>
    </w:p>
    <w:p w14:paraId="0D415CCB">
      <w:pPr>
        <w:spacing w:line="360" w:lineRule="auto"/>
        <w:jc w:val="center"/>
        <w:rPr>
          <w:rFonts w:hint="eastAsia" w:ascii="宋体" w:hAnsi="宋体" w:eastAsia="宋体" w:cs="宋体"/>
          <w:b/>
          <w:color w:val="auto"/>
          <w:sz w:val="32"/>
          <w:szCs w:val="32"/>
          <w:highlight w:val="none"/>
        </w:rPr>
      </w:pPr>
    </w:p>
    <w:p w14:paraId="0B76CE9C">
      <w:pPr>
        <w:spacing w:line="360" w:lineRule="auto"/>
        <w:rPr>
          <w:rFonts w:hint="eastAsia" w:ascii="宋体" w:hAnsi="宋体" w:eastAsia="宋体" w:cs="宋体"/>
          <w:b/>
          <w:color w:val="auto"/>
          <w:sz w:val="32"/>
          <w:szCs w:val="32"/>
          <w:highlight w:val="none"/>
        </w:rPr>
        <w:sectPr>
          <w:headerReference r:id="rId3" w:type="default"/>
          <w:pgSz w:w="11906" w:h="16838"/>
          <w:pgMar w:top="1440" w:right="1079" w:bottom="1440" w:left="1167" w:header="851" w:footer="992" w:gutter="0"/>
          <w:cols w:space="720" w:num="1"/>
          <w:formProt w:val="1"/>
          <w:titlePg/>
          <w:docGrid w:type="lines" w:linePitch="312" w:charSpace="0"/>
        </w:sectPr>
      </w:pPr>
    </w:p>
    <w:p w14:paraId="12728F45">
      <w:pPr>
        <w:pStyle w:val="3"/>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highlight w:val="none"/>
        </w:rPr>
      </w:pPr>
      <w:bookmarkStart w:id="4" w:name="_Toc44229877"/>
      <w:r>
        <w:rPr>
          <w:rFonts w:hint="eastAsia" w:ascii="宋体" w:hAnsi="宋体" w:eastAsia="宋体" w:cs="宋体"/>
          <w:color w:val="auto"/>
          <w:highlight w:val="none"/>
        </w:rPr>
        <w:t>第一章 竞争性磋商公告</w:t>
      </w:r>
      <w:bookmarkEnd w:id="4"/>
    </w:p>
    <w:p w14:paraId="4E0A57D9">
      <w:pPr>
        <w:pStyle w:val="2"/>
        <w:keepNext w:val="0"/>
        <w:spacing w:line="360" w:lineRule="auto"/>
        <w:jc w:val="center"/>
        <w:rPr>
          <w:rFonts w:hint="eastAsia" w:ascii="宋体" w:hAnsi="宋体" w:eastAsia="宋体" w:cs="宋体"/>
          <w:color w:val="auto"/>
          <w:sz w:val="28"/>
          <w:szCs w:val="28"/>
          <w:highlight w:val="none"/>
          <w:lang w:eastAsia="zh-CN"/>
        </w:rPr>
      </w:pPr>
      <w:bookmarkStart w:id="5" w:name="_Toc44229894"/>
      <w:r>
        <w:rPr>
          <w:rFonts w:hint="eastAsia" w:ascii="宋体" w:hAnsi="宋体" w:cs="宋体"/>
          <w:color w:val="auto"/>
          <w:sz w:val="28"/>
          <w:szCs w:val="28"/>
          <w:highlight w:val="none"/>
          <w:lang w:eastAsia="zh-CN"/>
        </w:rPr>
        <w:t>广西金旺技术管理有限公司</w:t>
      </w:r>
    </w:p>
    <w:p w14:paraId="1264DF03">
      <w:pPr>
        <w:pStyle w:val="2"/>
        <w:keepNext w:val="0"/>
        <w:spacing w:line="360" w:lineRule="auto"/>
        <w:jc w:val="center"/>
        <w:rPr>
          <w:rFonts w:hint="eastAsia" w:ascii="宋体" w:hAnsi="宋体" w:eastAsia="宋体" w:cs="宋体"/>
          <w:color w:val="auto"/>
          <w:szCs w:val="21"/>
          <w:highlight w:val="none"/>
        </w:rPr>
      </w:pPr>
      <w:bookmarkStart w:id="6" w:name="_Toc15854"/>
      <w:bookmarkStart w:id="7" w:name="_Toc32735"/>
      <w:r>
        <w:rPr>
          <w:rFonts w:hint="eastAsia" w:ascii="宋体" w:hAnsi="宋体" w:eastAsia="宋体" w:cs="宋体"/>
          <w:color w:val="auto"/>
          <w:sz w:val="28"/>
          <w:szCs w:val="28"/>
          <w:highlight w:val="none"/>
          <w:lang w:eastAsia="zh-CN"/>
        </w:rPr>
        <w:t>关于</w:t>
      </w:r>
      <w:r>
        <w:rPr>
          <w:rFonts w:hint="eastAsia" w:ascii="宋体" w:hAnsi="宋体" w:cs="宋体"/>
          <w:color w:val="auto"/>
          <w:sz w:val="28"/>
          <w:szCs w:val="28"/>
          <w:highlight w:val="none"/>
          <w:lang w:eastAsia="zh-CN"/>
        </w:rPr>
        <w:t>崇左市中级人民法院物业服务采购</w:t>
      </w:r>
      <w:r>
        <w:rPr>
          <w:rFonts w:hint="eastAsia" w:ascii="宋体" w:hAnsi="宋体" w:eastAsia="宋体" w:cs="宋体"/>
          <w:color w:val="auto"/>
          <w:sz w:val="28"/>
          <w:szCs w:val="28"/>
          <w:highlight w:val="none"/>
        </w:rPr>
        <w:t>（项目编号：</w:t>
      </w:r>
      <w:r>
        <w:rPr>
          <w:rFonts w:hint="eastAsia" w:ascii="宋体" w:hAnsi="宋体" w:cs="宋体"/>
          <w:color w:val="auto"/>
          <w:sz w:val="28"/>
          <w:szCs w:val="28"/>
          <w:highlight w:val="none"/>
          <w:lang w:eastAsia="zh-CN"/>
        </w:rPr>
        <w:t>CZZC2025-C3-990072-JWJS</w:t>
      </w:r>
      <w:r>
        <w:rPr>
          <w:rFonts w:hint="eastAsia" w:ascii="宋体" w:hAnsi="宋体" w:eastAsia="宋体" w:cs="宋体"/>
          <w:color w:val="auto"/>
          <w:sz w:val="28"/>
          <w:szCs w:val="28"/>
          <w:highlight w:val="none"/>
        </w:rPr>
        <w:t>）竞争性磋商公告</w:t>
      </w:r>
      <w:bookmarkEnd w:id="6"/>
      <w:bookmarkEnd w:id="7"/>
    </w:p>
    <w:p w14:paraId="7877B12F">
      <w:pPr>
        <w:pBdr>
          <w:top w:val="single" w:color="auto" w:sz="4" w:space="1"/>
          <w:left w:val="single" w:color="auto" w:sz="4" w:space="4"/>
          <w:bottom w:val="single" w:color="auto" w:sz="4" w:space="1"/>
          <w:right w:val="single" w:color="auto" w:sz="4" w:space="4"/>
        </w:pBdr>
        <w:spacing w:line="360" w:lineRule="auto"/>
        <w:rPr>
          <w:rFonts w:ascii="宋体" w:hAnsi="宋体" w:cs="宋体"/>
          <w:color w:val="auto"/>
          <w:sz w:val="21"/>
          <w:szCs w:val="21"/>
          <w:highlight w:val="none"/>
        </w:rPr>
      </w:pPr>
      <w:bookmarkStart w:id="8" w:name="_Toc28359079"/>
      <w:bookmarkStart w:id="9" w:name="_Toc35393621"/>
      <w:bookmarkStart w:id="10" w:name="_Toc28359002"/>
      <w:bookmarkStart w:id="11" w:name="_Toc35393790"/>
      <w:bookmarkStart w:id="12" w:name="_Hlk24379207"/>
      <w:r>
        <w:rPr>
          <w:rFonts w:hint="eastAsia" w:ascii="宋体" w:hAnsi="宋体" w:cs="宋体"/>
          <w:color w:val="auto"/>
          <w:sz w:val="21"/>
          <w:szCs w:val="21"/>
          <w:highlight w:val="none"/>
        </w:rPr>
        <w:t>项目概况：</w:t>
      </w:r>
    </w:p>
    <w:p w14:paraId="00EA1013">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s="宋体"/>
          <w:color w:val="auto"/>
          <w:sz w:val="21"/>
          <w:szCs w:val="21"/>
          <w:highlight w:val="none"/>
        </w:rPr>
      </w:pPr>
      <w:r>
        <w:rPr>
          <w:rFonts w:hint="eastAsia" w:ascii="Times New Roman" w:hAnsi="Times New Roman" w:eastAsia="宋体" w:cs="Times New Roman"/>
          <w:color w:val="auto"/>
          <w:sz w:val="21"/>
          <w:szCs w:val="21"/>
          <w:highlight w:val="none"/>
          <w:u w:val="single"/>
          <w:lang w:val="en-US" w:eastAsia="zh-CN"/>
        </w:rPr>
        <w:t>崇左市中级人民法院物业服务采购</w:t>
      </w:r>
      <w:r>
        <w:rPr>
          <w:rFonts w:hint="eastAsia" w:ascii="宋体" w:hAnsi="宋体" w:cs="宋体"/>
          <w:color w:val="auto"/>
          <w:sz w:val="21"/>
          <w:szCs w:val="21"/>
          <w:highlight w:val="none"/>
        </w:rPr>
        <w:t>的潜在供应商应</w:t>
      </w:r>
      <w:r>
        <w:rPr>
          <w:rFonts w:hint="eastAsia" w:eastAsia="宋体"/>
          <w:color w:val="auto"/>
          <w:sz w:val="21"/>
          <w:szCs w:val="21"/>
          <w:highlight w:val="none"/>
          <w:lang w:val="en-US" w:eastAsia="zh-CN"/>
        </w:rPr>
        <w:t>登录</w:t>
      </w:r>
      <w:r>
        <w:rPr>
          <w:rFonts w:hint="eastAsia"/>
          <w:color w:val="auto"/>
          <w:sz w:val="21"/>
          <w:szCs w:val="21"/>
          <w:highlight w:val="none"/>
          <w:u w:val="single"/>
          <w:lang w:val="en-US" w:eastAsia="zh-CN"/>
        </w:rPr>
        <w:t>广西政府采购云平台</w:t>
      </w:r>
      <w:r>
        <w:rPr>
          <w:rFonts w:hint="eastAsia" w:ascii="宋体" w:hAnsi="宋体" w:cs="宋体"/>
          <w:color w:val="auto"/>
          <w:sz w:val="21"/>
          <w:szCs w:val="21"/>
          <w:highlight w:val="none"/>
        </w:rPr>
        <w:t>获取采购文件，并于</w:t>
      </w:r>
      <w:r>
        <w:rPr>
          <w:rFonts w:hint="eastAsia" w:ascii="宋体" w:hAnsi="宋体" w:cs="宋体"/>
          <w:color w:val="auto"/>
          <w:sz w:val="21"/>
          <w:szCs w:val="21"/>
          <w:highlight w:val="none"/>
          <w:lang w:val="en-US" w:eastAsia="zh-CN"/>
        </w:rPr>
        <w:t>2025年5月7日9时00分</w:t>
      </w:r>
      <w:r>
        <w:rPr>
          <w:rFonts w:hint="eastAsia" w:ascii="宋体" w:hAnsi="宋体" w:cs="宋体"/>
          <w:bCs/>
          <w:color w:val="auto"/>
          <w:sz w:val="21"/>
          <w:szCs w:val="21"/>
          <w:highlight w:val="none"/>
        </w:rPr>
        <w:t>（北京时间）前</w:t>
      </w:r>
      <w:r>
        <w:rPr>
          <w:rFonts w:hint="eastAsia" w:ascii="宋体" w:hAnsi="宋体" w:cs="宋体"/>
          <w:bCs/>
          <w:color w:val="auto"/>
          <w:sz w:val="21"/>
          <w:szCs w:val="21"/>
          <w:highlight w:val="none"/>
          <w:lang w:eastAsia="zh-CN"/>
        </w:rPr>
        <w:t>上传（提交）</w:t>
      </w:r>
      <w:r>
        <w:rPr>
          <w:rFonts w:hint="eastAsia" w:ascii="宋体" w:hAnsi="宋体" w:cs="宋体"/>
          <w:bCs/>
          <w:color w:val="auto"/>
          <w:sz w:val="21"/>
          <w:szCs w:val="21"/>
          <w:highlight w:val="none"/>
        </w:rPr>
        <w:t>响应文件</w:t>
      </w:r>
      <w:r>
        <w:rPr>
          <w:rFonts w:hint="eastAsia" w:ascii="宋体" w:hAnsi="宋体" w:cs="宋体"/>
          <w:color w:val="auto"/>
          <w:sz w:val="21"/>
          <w:szCs w:val="21"/>
          <w:highlight w:val="none"/>
        </w:rPr>
        <w:t>。</w:t>
      </w:r>
    </w:p>
    <w:p w14:paraId="3D3F98B7">
      <w:pPr>
        <w:spacing w:line="360"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一、项目基本情况</w:t>
      </w:r>
      <w:bookmarkEnd w:id="8"/>
      <w:bookmarkEnd w:id="9"/>
      <w:bookmarkEnd w:id="10"/>
      <w:bookmarkEnd w:id="11"/>
      <w:r>
        <w:rPr>
          <w:rFonts w:hint="eastAsia" w:ascii="宋体" w:hAnsi="宋体" w:eastAsia="宋体" w:cs="宋体"/>
          <w:b/>
          <w:bCs/>
          <w:color w:val="auto"/>
          <w:szCs w:val="21"/>
          <w:highlight w:val="none"/>
        </w:rPr>
        <w:t>：</w:t>
      </w:r>
    </w:p>
    <w:p w14:paraId="01FA2A8E">
      <w:pPr>
        <w:spacing w:line="360" w:lineRule="auto"/>
        <w:ind w:firstLine="420" w:firstLineChars="200"/>
        <w:rPr>
          <w:rFonts w:hint="eastAsia" w:ascii="宋体" w:hAnsi="宋体" w:cs="宋体"/>
          <w:color w:val="auto"/>
          <w:szCs w:val="21"/>
          <w:highlight w:val="none"/>
          <w:lang w:eastAsia="zh-CN"/>
        </w:rPr>
      </w:pPr>
      <w:r>
        <w:rPr>
          <w:rFonts w:hint="eastAsia" w:ascii="宋体" w:hAnsi="宋体" w:eastAsia="宋体" w:cs="宋体"/>
          <w:color w:val="auto"/>
          <w:szCs w:val="21"/>
          <w:highlight w:val="none"/>
        </w:rPr>
        <w:t>1.项目编号：</w:t>
      </w:r>
      <w:r>
        <w:rPr>
          <w:rFonts w:hint="eastAsia" w:ascii="宋体" w:hAnsi="宋体" w:cs="宋体"/>
          <w:color w:val="auto"/>
          <w:szCs w:val="21"/>
          <w:highlight w:val="none"/>
          <w:lang w:eastAsia="zh-CN"/>
        </w:rPr>
        <w:t>CZZC2025-C3-990072-JWJS。</w:t>
      </w:r>
    </w:p>
    <w:p w14:paraId="15F8926F">
      <w:pPr>
        <w:spacing w:line="360" w:lineRule="auto"/>
        <w:ind w:firstLine="420" w:firstLineChars="200"/>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2.项目名称：崇左市中级人民法院物业服务采购。</w:t>
      </w:r>
    </w:p>
    <w:bookmarkEnd w:id="12"/>
    <w:p w14:paraId="7DF0990F">
      <w:pPr>
        <w:spacing w:line="360" w:lineRule="auto"/>
        <w:ind w:firstLine="420" w:firstLineChars="200"/>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3.预算金额：人民币</w:t>
      </w:r>
      <w:r>
        <w:rPr>
          <w:rFonts w:hint="eastAsia" w:ascii="宋体" w:hAnsi="宋体" w:cs="宋体"/>
          <w:color w:val="auto"/>
          <w:szCs w:val="21"/>
          <w:highlight w:val="none"/>
          <w:lang w:val="en-US" w:eastAsia="zh-CN"/>
        </w:rPr>
        <w:t>捌拾伍万元整（¥850000.00）</w:t>
      </w:r>
      <w:r>
        <w:rPr>
          <w:rFonts w:hint="eastAsia" w:ascii="宋体" w:hAnsi="宋体" w:cs="宋体"/>
          <w:color w:val="auto"/>
          <w:szCs w:val="21"/>
          <w:highlight w:val="none"/>
          <w:lang w:eastAsia="zh-CN"/>
        </w:rPr>
        <w:t>。</w:t>
      </w:r>
    </w:p>
    <w:p w14:paraId="7EF1177A">
      <w:pPr>
        <w:spacing w:line="360" w:lineRule="auto"/>
        <w:ind w:firstLine="420" w:firstLineChars="200"/>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4.最高限价：人民币</w:t>
      </w:r>
      <w:r>
        <w:rPr>
          <w:rFonts w:hint="eastAsia" w:ascii="宋体" w:hAnsi="宋体" w:cs="宋体"/>
          <w:color w:val="auto"/>
          <w:szCs w:val="21"/>
          <w:highlight w:val="none"/>
          <w:lang w:val="en-US" w:eastAsia="zh-CN"/>
        </w:rPr>
        <w:t>捌拾伍万元整（¥850000.00）</w:t>
      </w:r>
      <w:r>
        <w:rPr>
          <w:rFonts w:hint="eastAsia" w:ascii="宋体" w:hAnsi="宋体" w:cs="宋体"/>
          <w:color w:val="auto"/>
          <w:szCs w:val="21"/>
          <w:highlight w:val="none"/>
          <w:lang w:eastAsia="zh-CN"/>
        </w:rPr>
        <w:t>。</w:t>
      </w:r>
    </w:p>
    <w:p w14:paraId="3BC8BE5A">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5.采购</w:t>
      </w:r>
      <w:r>
        <w:rPr>
          <w:rFonts w:hint="eastAsia" w:ascii="宋体" w:hAnsi="宋体" w:eastAsia="宋体" w:cs="宋体"/>
          <w:color w:val="auto"/>
          <w:szCs w:val="21"/>
          <w:highlight w:val="none"/>
          <w:lang w:val="zh-CN"/>
        </w:rPr>
        <w:t>需求：</w:t>
      </w:r>
      <w:r>
        <w:rPr>
          <w:rFonts w:hint="eastAsia" w:ascii="宋体" w:hAnsi="Courier New"/>
          <w:bCs/>
          <w:color w:val="000000"/>
          <w:szCs w:val="20"/>
          <w:lang w:eastAsia="zh-CN"/>
        </w:rPr>
        <w:t>广西壮族自治区崇左市中级人民法院审判综合楼位于崇左市石景林东路4号，占地面积约12018平方米，总建筑面积19876平方米，审判综合大楼共7层（包含两座电梯）、诉讼服务中心大楼3层</w:t>
      </w:r>
      <w:r>
        <w:rPr>
          <w:rFonts w:hint="eastAsia" w:ascii="宋体" w:hAnsi="Courier New"/>
          <w:bCs/>
          <w:color w:val="000000"/>
          <w:szCs w:val="20"/>
          <w:lang w:val="en-US" w:eastAsia="zh-CN"/>
        </w:rPr>
        <w:t>和</w:t>
      </w:r>
      <w:r>
        <w:rPr>
          <w:rFonts w:hint="eastAsia" w:ascii="宋体" w:hAnsi="Courier New"/>
          <w:bCs/>
          <w:color w:val="000000"/>
          <w:szCs w:val="20"/>
          <w:lang w:eastAsia="zh-CN"/>
        </w:rPr>
        <w:t>一座电梯、诉讼与非诉讼联动中心大楼3层</w:t>
      </w:r>
      <w:r>
        <w:rPr>
          <w:rFonts w:hint="eastAsia" w:ascii="宋体" w:hAnsi="Courier New"/>
          <w:bCs/>
          <w:color w:val="000000"/>
          <w:szCs w:val="20"/>
          <w:lang w:val="en-US" w:eastAsia="zh-CN"/>
        </w:rPr>
        <w:t>和</w:t>
      </w:r>
      <w:r>
        <w:rPr>
          <w:rFonts w:hint="eastAsia" w:ascii="宋体" w:hAnsi="Courier New"/>
          <w:bCs/>
          <w:color w:val="000000"/>
          <w:szCs w:val="20"/>
          <w:lang w:eastAsia="zh-CN"/>
        </w:rPr>
        <w:t>一座电梯，拟选定一家物业公司进行秩序维护、保洁服务、职工食堂服务、绿化工作等服务工作</w:t>
      </w:r>
      <w:r>
        <w:rPr>
          <w:rFonts w:hint="eastAsia" w:ascii="宋体" w:hAnsi="宋体" w:cs="宋体"/>
          <w:color w:val="auto"/>
          <w:highlight w:val="none"/>
          <w:lang w:eastAsia="zh-CN"/>
        </w:rPr>
        <w:t>，如需进一步了解详细内容，详见采购</w:t>
      </w:r>
      <w:r>
        <w:rPr>
          <w:rFonts w:hint="eastAsia" w:ascii="宋体" w:hAnsi="宋体" w:eastAsia="宋体" w:cs="宋体"/>
          <w:color w:val="auto"/>
          <w:szCs w:val="24"/>
          <w:highlight w:val="none"/>
        </w:rPr>
        <w:t>文件。</w:t>
      </w:r>
    </w:p>
    <w:p w14:paraId="0E7E44AF">
      <w:pPr>
        <w:spacing w:line="360" w:lineRule="auto"/>
        <w:ind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6.合同履行期限：</w:t>
      </w:r>
      <w:r>
        <w:rPr>
          <w:rFonts w:hint="eastAsia" w:ascii="宋体" w:hAnsi="宋体" w:cs="宋体"/>
          <w:color w:val="auto"/>
          <w:szCs w:val="21"/>
          <w:highlight w:val="none"/>
          <w:lang w:val="en-US" w:eastAsia="zh-CN"/>
        </w:rPr>
        <w:t>1年</w:t>
      </w:r>
      <w:r>
        <w:rPr>
          <w:rFonts w:hint="eastAsia" w:ascii="宋体" w:hAnsi="宋体" w:eastAsia="宋体" w:cs="宋体"/>
          <w:color w:val="auto"/>
          <w:szCs w:val="21"/>
          <w:highlight w:val="none"/>
          <w:lang w:val="zh-CN"/>
        </w:rPr>
        <w:t>。</w:t>
      </w:r>
    </w:p>
    <w:p w14:paraId="4AFA90D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7.本项目不接受联合体</w:t>
      </w:r>
      <w:r>
        <w:rPr>
          <w:rFonts w:hint="eastAsia" w:ascii="宋体" w:hAnsi="宋体" w:cs="宋体"/>
          <w:color w:val="auto"/>
          <w:szCs w:val="21"/>
          <w:highlight w:val="none"/>
          <w:lang w:eastAsia="zh-CN"/>
        </w:rPr>
        <w:t>响应</w:t>
      </w:r>
      <w:r>
        <w:rPr>
          <w:rFonts w:hint="eastAsia" w:ascii="宋体" w:hAnsi="宋体" w:eastAsia="宋体" w:cs="宋体"/>
          <w:color w:val="auto"/>
          <w:szCs w:val="21"/>
          <w:highlight w:val="none"/>
        </w:rPr>
        <w:t>。</w:t>
      </w:r>
    </w:p>
    <w:p w14:paraId="64E245F7">
      <w:pPr>
        <w:spacing w:line="360" w:lineRule="auto"/>
        <w:rPr>
          <w:rFonts w:hint="eastAsia" w:ascii="宋体" w:hAnsi="宋体" w:eastAsia="宋体" w:cs="宋体"/>
          <w:b/>
          <w:bCs/>
          <w:color w:val="auto"/>
          <w:szCs w:val="21"/>
          <w:highlight w:val="none"/>
        </w:rPr>
      </w:pPr>
      <w:bookmarkStart w:id="13" w:name="_Toc35393622"/>
      <w:bookmarkStart w:id="14" w:name="_Toc28359003"/>
      <w:bookmarkStart w:id="15" w:name="_Toc28359080"/>
      <w:bookmarkStart w:id="16" w:name="_Toc35393791"/>
      <w:r>
        <w:rPr>
          <w:rFonts w:hint="eastAsia" w:ascii="宋体" w:hAnsi="宋体" w:eastAsia="宋体" w:cs="宋体"/>
          <w:b/>
          <w:bCs/>
          <w:color w:val="auto"/>
          <w:szCs w:val="21"/>
          <w:highlight w:val="none"/>
        </w:rPr>
        <w:t>二、申请人的资格要求：</w:t>
      </w:r>
      <w:bookmarkEnd w:id="13"/>
      <w:bookmarkEnd w:id="14"/>
      <w:bookmarkEnd w:id="15"/>
      <w:bookmarkEnd w:id="16"/>
    </w:p>
    <w:p w14:paraId="58C5512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1.满足《中华人民共和国政府采购法》第二十二条规定；</w:t>
      </w:r>
    </w:p>
    <w:p w14:paraId="3B64A03C">
      <w:pPr>
        <w:spacing w:line="360" w:lineRule="auto"/>
        <w:ind w:firstLine="420" w:firstLineChars="200"/>
        <w:rPr>
          <w:rFonts w:hint="eastAsia" w:ascii="宋体" w:hAnsi="宋体" w:eastAsia="宋体" w:cs="宋体"/>
          <w:color w:val="auto"/>
          <w:szCs w:val="21"/>
          <w:highlight w:val="none"/>
        </w:rPr>
      </w:pPr>
      <w:bookmarkStart w:id="17" w:name="_Toc28359004"/>
      <w:bookmarkStart w:id="18" w:name="_Toc28359081"/>
      <w:r>
        <w:rPr>
          <w:rFonts w:hint="eastAsia" w:ascii="宋体" w:hAnsi="宋体" w:eastAsia="宋体" w:cs="宋体"/>
          <w:color w:val="auto"/>
          <w:szCs w:val="21"/>
          <w:highlight w:val="none"/>
        </w:rPr>
        <w:t>2.落实政府采购政策需满足的资格要求：</w:t>
      </w:r>
      <w:r>
        <w:rPr>
          <w:rFonts w:hint="eastAsia"/>
          <w:color w:val="auto"/>
          <w:sz w:val="21"/>
          <w:szCs w:val="21"/>
          <w:highlight w:val="none"/>
          <w:lang w:eastAsia="zh-CN"/>
        </w:rPr>
        <w:t>供应商为中小企业</w:t>
      </w:r>
      <w:r>
        <w:rPr>
          <w:rFonts w:hint="eastAsia" w:ascii="宋体" w:hAnsi="宋体" w:eastAsia="宋体" w:cs="宋体"/>
          <w:color w:val="auto"/>
          <w:szCs w:val="21"/>
          <w:highlight w:val="none"/>
        </w:rPr>
        <w:t>。</w:t>
      </w:r>
    </w:p>
    <w:p w14:paraId="78B04EC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3.本项目的特定资格要求：</w:t>
      </w:r>
      <w:bookmarkStart w:id="19" w:name="_Toc35393792"/>
      <w:bookmarkStart w:id="20" w:name="_Toc35393623"/>
      <w:r>
        <w:rPr>
          <w:rFonts w:hint="eastAsia" w:ascii="宋体" w:hAnsi="宋体" w:cs="宋体"/>
          <w:i w:val="0"/>
          <w:caps w:val="0"/>
          <w:color w:val="auto"/>
          <w:spacing w:val="0"/>
          <w:sz w:val="21"/>
          <w:szCs w:val="21"/>
          <w:highlight w:val="none"/>
          <w:lang w:eastAsia="zh-CN"/>
        </w:rPr>
        <w:t>无</w:t>
      </w:r>
      <w:r>
        <w:rPr>
          <w:rFonts w:hint="eastAsia" w:ascii="宋体" w:hAnsi="宋体" w:eastAsia="宋体" w:cs="宋体"/>
          <w:color w:val="auto"/>
          <w:szCs w:val="21"/>
          <w:highlight w:val="none"/>
        </w:rPr>
        <w:t>。</w:t>
      </w:r>
    </w:p>
    <w:p w14:paraId="67721687">
      <w:pPr>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三、</w:t>
      </w:r>
      <w:bookmarkEnd w:id="17"/>
      <w:bookmarkEnd w:id="18"/>
      <w:bookmarkEnd w:id="19"/>
      <w:bookmarkEnd w:id="20"/>
      <w:r>
        <w:rPr>
          <w:rFonts w:hint="eastAsia" w:ascii="宋体" w:hAnsi="宋体" w:eastAsia="宋体" w:cs="宋体"/>
          <w:b/>
          <w:bCs/>
          <w:color w:val="auto"/>
          <w:highlight w:val="none"/>
        </w:rPr>
        <w:t>获取竞争性磋商文件：</w:t>
      </w:r>
    </w:p>
    <w:p w14:paraId="5BA09442">
      <w:pPr>
        <w:pageBreakBefore w:val="0"/>
        <w:kinsoku/>
        <w:wordWrap/>
        <w:overflowPunct/>
        <w:topLinePunct w:val="0"/>
        <w:autoSpaceDE/>
        <w:autoSpaceDN/>
        <w:bidi w:val="0"/>
        <w:adjustRightInd/>
        <w:snapToGrid/>
        <w:spacing w:line="336" w:lineRule="auto"/>
        <w:ind w:firstLine="420" w:firstLineChars="200"/>
        <w:textAlignment w:val="auto"/>
        <w:rPr>
          <w:rFonts w:hint="eastAsia" w:ascii="宋体" w:hAnsi="宋体" w:cs="宋体"/>
          <w:color w:val="auto"/>
          <w:szCs w:val="21"/>
          <w:highlight w:val="none"/>
        </w:rPr>
      </w:pPr>
      <w:bookmarkStart w:id="21" w:name="_Toc28359092"/>
      <w:bookmarkStart w:id="22" w:name="_Toc28359015"/>
      <w:bookmarkStart w:id="23" w:name="_Toc35393801"/>
      <w:bookmarkStart w:id="24" w:name="_Toc35393632"/>
      <w:bookmarkStart w:id="25" w:name="_Toc28359005"/>
      <w:bookmarkStart w:id="26" w:name="_Toc35393793"/>
      <w:bookmarkStart w:id="27" w:name="_Toc28359082"/>
      <w:bookmarkStart w:id="28" w:name="_Toc35393624"/>
      <w:r>
        <w:rPr>
          <w:rFonts w:hint="eastAsia" w:ascii="宋体" w:hAnsi="宋体" w:cs="宋体"/>
          <w:color w:val="auto"/>
          <w:szCs w:val="21"/>
          <w:highlight w:val="none"/>
        </w:rPr>
        <w:t>1.时间：</w:t>
      </w:r>
      <w:r>
        <w:rPr>
          <w:rFonts w:hint="eastAsia" w:ascii="宋体" w:hAnsi="宋体" w:cs="宋体"/>
          <w:color w:val="auto"/>
          <w:szCs w:val="21"/>
          <w:highlight w:val="none"/>
          <w:lang w:eastAsia="zh-CN"/>
        </w:rPr>
        <w:t>202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lang w:eastAsia="zh-CN"/>
        </w:rPr>
        <w:t>年</w:t>
      </w:r>
      <w:r>
        <w:rPr>
          <w:rFonts w:hint="eastAsia" w:ascii="宋体" w:hAnsi="宋体" w:cs="宋体"/>
          <w:color w:val="auto"/>
          <w:szCs w:val="21"/>
          <w:highlight w:val="none"/>
          <w:lang w:val="en-US" w:eastAsia="zh-CN"/>
        </w:rPr>
        <w:t>4月24</w:t>
      </w:r>
      <w:r>
        <w:rPr>
          <w:rFonts w:hint="eastAsia" w:ascii="宋体" w:hAnsi="宋体" w:cs="宋体"/>
          <w:color w:val="auto"/>
          <w:szCs w:val="21"/>
          <w:highlight w:val="none"/>
        </w:rPr>
        <w:t>日至</w:t>
      </w:r>
      <w:r>
        <w:rPr>
          <w:rFonts w:hint="eastAsia" w:ascii="宋体" w:hAnsi="宋体" w:cs="宋体"/>
          <w:color w:val="auto"/>
          <w:szCs w:val="21"/>
          <w:highlight w:val="none"/>
          <w:lang w:eastAsia="zh-CN"/>
        </w:rPr>
        <w:t>202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lang w:eastAsia="zh-CN"/>
        </w:rPr>
        <w:t>年</w:t>
      </w:r>
      <w:r>
        <w:rPr>
          <w:rFonts w:hint="eastAsia" w:ascii="宋体" w:hAnsi="宋体" w:cs="宋体"/>
          <w:color w:val="auto"/>
          <w:szCs w:val="21"/>
          <w:highlight w:val="none"/>
          <w:lang w:val="en-US" w:eastAsia="zh-CN"/>
        </w:rPr>
        <w:t>4月30</w:t>
      </w:r>
      <w:r>
        <w:rPr>
          <w:rFonts w:hint="eastAsia" w:ascii="宋体" w:hAnsi="宋体" w:cs="宋体"/>
          <w:color w:val="auto"/>
          <w:szCs w:val="21"/>
          <w:highlight w:val="none"/>
        </w:rPr>
        <w:t>日。</w:t>
      </w:r>
    </w:p>
    <w:p w14:paraId="26F25D13">
      <w:pPr>
        <w:pageBreakBefore w:val="0"/>
        <w:widowControl w:val="0"/>
        <w:kinsoku/>
        <w:wordWrap/>
        <w:overflowPunct/>
        <w:topLinePunct w:val="0"/>
        <w:autoSpaceDE/>
        <w:autoSpaceDN/>
        <w:bidi w:val="0"/>
        <w:snapToGrid/>
        <w:spacing w:line="327" w:lineRule="auto"/>
        <w:ind w:firstLine="420" w:firstLineChars="200"/>
        <w:rPr>
          <w:rFonts w:hint="default" w:eastAsia="宋体"/>
          <w:color w:val="auto"/>
          <w:highlight w:val="none"/>
          <w:lang w:val="en-US" w:eastAsia="zh-CN"/>
        </w:rPr>
      </w:pPr>
      <w:r>
        <w:rPr>
          <w:rFonts w:hint="eastAsia"/>
          <w:color w:val="auto"/>
          <w:highlight w:val="none"/>
          <w:lang w:val="en-US" w:eastAsia="zh-CN"/>
        </w:rPr>
        <w:t>2.</w:t>
      </w:r>
      <w:r>
        <w:rPr>
          <w:rFonts w:hint="default" w:eastAsia="宋体"/>
          <w:color w:val="auto"/>
          <w:highlight w:val="none"/>
          <w:lang w:val="en-US" w:eastAsia="zh-CN"/>
        </w:rPr>
        <w:t>地点：</w:t>
      </w:r>
      <w:r>
        <w:rPr>
          <w:rFonts w:hint="eastAsia"/>
          <w:color w:val="auto"/>
          <w:sz w:val="21"/>
          <w:szCs w:val="21"/>
          <w:highlight w:val="none"/>
          <w:lang w:val="en-US" w:eastAsia="zh-CN"/>
        </w:rPr>
        <w:t>广西政府采购云平台线上</w:t>
      </w:r>
      <w:r>
        <w:rPr>
          <w:rFonts w:hint="default" w:eastAsia="宋体"/>
          <w:color w:val="auto"/>
          <w:highlight w:val="none"/>
          <w:lang w:val="en-US" w:eastAsia="zh-CN"/>
        </w:rPr>
        <w:t>。</w:t>
      </w:r>
    </w:p>
    <w:p w14:paraId="65E7756C">
      <w:pPr>
        <w:pageBreakBefore w:val="0"/>
        <w:widowControl w:val="0"/>
        <w:kinsoku/>
        <w:wordWrap/>
        <w:overflowPunct/>
        <w:topLinePunct w:val="0"/>
        <w:autoSpaceDE/>
        <w:autoSpaceDN/>
        <w:bidi w:val="0"/>
        <w:snapToGrid/>
        <w:spacing w:line="360" w:lineRule="auto"/>
        <w:ind w:firstLine="420" w:firstLineChars="200"/>
        <w:rPr>
          <w:rFonts w:hint="eastAsia"/>
          <w:color w:val="auto"/>
          <w:szCs w:val="21"/>
          <w:highlight w:val="none"/>
        </w:rPr>
      </w:pPr>
      <w:r>
        <w:rPr>
          <w:rFonts w:hint="eastAsia"/>
          <w:color w:val="auto"/>
          <w:highlight w:val="none"/>
          <w:lang w:val="en-US" w:eastAsia="zh-CN"/>
        </w:rPr>
        <w:t>3.</w:t>
      </w:r>
      <w:r>
        <w:rPr>
          <w:rFonts w:hint="default" w:eastAsia="宋体"/>
          <w:color w:val="auto"/>
          <w:highlight w:val="none"/>
          <w:lang w:val="en-US" w:eastAsia="zh-CN"/>
        </w:rPr>
        <w:t>方式：</w:t>
      </w:r>
      <w:r>
        <w:rPr>
          <w:rFonts w:hint="eastAsia" w:ascii="宋体" w:hAnsi="宋体" w:eastAsia="宋体" w:cs="宋体"/>
          <w:color w:val="auto"/>
          <w:sz w:val="21"/>
          <w:szCs w:val="21"/>
          <w:highlight w:val="none"/>
        </w:rPr>
        <w:t>供应商登录</w:t>
      </w:r>
      <w:r>
        <w:rPr>
          <w:rFonts w:hint="eastAsia" w:ascii="宋体" w:hAnsi="宋体" w:cs="宋体"/>
          <w:color w:val="auto"/>
          <w:sz w:val="21"/>
          <w:szCs w:val="21"/>
          <w:highlight w:val="none"/>
          <w:lang w:eastAsia="zh-CN"/>
        </w:rPr>
        <w:t>广西政府采购云平台https://www.gcy.zfcg.gxzf.gov.cn/</w:t>
      </w:r>
      <w:r>
        <w:rPr>
          <w:rFonts w:hint="eastAsia" w:ascii="宋体" w:hAnsi="宋体" w:eastAsia="宋体" w:cs="宋体"/>
          <w:color w:val="auto"/>
          <w:sz w:val="21"/>
          <w:szCs w:val="21"/>
          <w:highlight w:val="none"/>
        </w:rPr>
        <w:t>在线申请获取采购文件（进入“项目采购”应用，在获取采购文件菜单中选择项目，申请获取采购文件）</w:t>
      </w:r>
      <w:r>
        <w:rPr>
          <w:rFonts w:hint="eastAsia"/>
          <w:color w:val="auto"/>
          <w:szCs w:val="21"/>
          <w:highlight w:val="none"/>
        </w:rPr>
        <w:t>。</w:t>
      </w:r>
    </w:p>
    <w:p w14:paraId="6A5D3108">
      <w:pPr>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四、响应文件提交</w:t>
      </w:r>
      <w:bookmarkEnd w:id="21"/>
      <w:bookmarkEnd w:id="22"/>
      <w:bookmarkEnd w:id="23"/>
      <w:bookmarkEnd w:id="24"/>
    </w:p>
    <w:p w14:paraId="42CA2AD9">
      <w:pPr>
        <w:pageBreakBefore w:val="0"/>
        <w:kinsoku/>
        <w:wordWrap/>
        <w:overflowPunct/>
        <w:topLinePunct w:val="0"/>
        <w:autoSpaceDE/>
        <w:autoSpaceDN/>
        <w:bidi w:val="0"/>
        <w:adjustRightInd/>
        <w:snapToGrid/>
        <w:spacing w:line="336" w:lineRule="auto"/>
        <w:ind w:firstLine="420" w:firstLineChars="200"/>
        <w:textAlignment w:val="auto"/>
        <w:rPr>
          <w:rFonts w:hint="eastAsia" w:ascii="宋体" w:hAnsi="宋体" w:cs="宋体"/>
          <w:color w:val="auto"/>
          <w:highlight w:val="none"/>
        </w:rPr>
      </w:pPr>
      <w:r>
        <w:rPr>
          <w:rFonts w:hint="eastAsia" w:ascii="宋体" w:hAnsi="宋体" w:cs="宋体"/>
          <w:color w:val="auto"/>
          <w:highlight w:val="none"/>
        </w:rPr>
        <w:t>截止时间：</w:t>
      </w:r>
      <w:r>
        <w:rPr>
          <w:rFonts w:hint="eastAsia" w:ascii="宋体" w:hAnsi="宋体" w:cs="宋体"/>
          <w:color w:val="auto"/>
          <w:szCs w:val="21"/>
          <w:highlight w:val="none"/>
          <w:lang w:eastAsia="zh-CN"/>
        </w:rPr>
        <w:t>202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lang w:eastAsia="zh-CN"/>
        </w:rPr>
        <w:t>年</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lang w:eastAsia="zh-CN"/>
        </w:rPr>
        <w:t>月</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lang w:eastAsia="zh-CN"/>
        </w:rPr>
        <w:t>日</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lang w:eastAsia="zh-CN"/>
        </w:rPr>
        <w:t>时</w:t>
      </w:r>
      <w:r>
        <w:rPr>
          <w:rFonts w:hint="eastAsia" w:ascii="宋体" w:hAnsi="宋体" w:cs="宋体"/>
          <w:color w:val="auto"/>
          <w:szCs w:val="21"/>
          <w:highlight w:val="none"/>
          <w:lang w:val="en-US" w:eastAsia="zh-CN"/>
        </w:rPr>
        <w:t>00</w:t>
      </w:r>
      <w:r>
        <w:rPr>
          <w:rFonts w:hint="eastAsia" w:ascii="宋体" w:hAnsi="宋体" w:cs="宋体"/>
          <w:color w:val="auto"/>
          <w:szCs w:val="21"/>
          <w:highlight w:val="none"/>
          <w:lang w:eastAsia="zh-CN"/>
        </w:rPr>
        <w:t>分</w:t>
      </w:r>
      <w:r>
        <w:rPr>
          <w:rFonts w:hint="eastAsia" w:ascii="宋体" w:hAnsi="宋体" w:cs="宋体"/>
          <w:color w:val="auto"/>
          <w:highlight w:val="none"/>
        </w:rPr>
        <w:t>（北京时间）前</w:t>
      </w:r>
    </w:p>
    <w:p w14:paraId="06E7A3B6">
      <w:pPr>
        <w:spacing w:line="360" w:lineRule="auto"/>
        <w:ind w:firstLine="420" w:firstLineChars="200"/>
        <w:rPr>
          <w:rFonts w:hint="eastAsia" w:ascii="宋体" w:hAnsi="宋体" w:eastAsia="宋体" w:cs="宋体"/>
          <w:color w:val="auto"/>
          <w:highlight w:val="none"/>
          <w:lang w:eastAsia="zh-CN"/>
        </w:rPr>
      </w:pPr>
      <w:r>
        <w:rPr>
          <w:rFonts w:hint="eastAsia" w:ascii="宋体" w:hAnsi="宋体" w:cs="宋体"/>
          <w:color w:val="auto"/>
          <w:highlight w:val="none"/>
          <w:lang w:eastAsia="zh-CN"/>
        </w:rPr>
        <w:t>地址（网址）：</w:t>
      </w:r>
      <w:r>
        <w:rPr>
          <w:rFonts w:hint="eastAsia"/>
          <w:color w:val="auto"/>
          <w:sz w:val="21"/>
          <w:szCs w:val="21"/>
          <w:highlight w:val="none"/>
          <w:lang w:eastAsia="zh-CN"/>
        </w:rPr>
        <w:t>通过广西政府采购云平台实行在线响应</w:t>
      </w:r>
      <w:r>
        <w:rPr>
          <w:rFonts w:hint="eastAsia" w:ascii="宋体" w:hAnsi="宋体" w:cs="宋体"/>
          <w:color w:val="auto"/>
          <w:szCs w:val="21"/>
          <w:highlight w:val="none"/>
        </w:rPr>
        <w:t>。</w:t>
      </w:r>
      <w:r>
        <w:rPr>
          <w:rFonts w:hint="eastAsia" w:ascii="宋体" w:hAnsi="宋体" w:eastAsia="宋体" w:cs="宋体"/>
          <w:color w:val="auto"/>
          <w:highlight w:val="none"/>
          <w:lang w:val="en-US" w:eastAsia="zh-CN"/>
        </w:rPr>
        <w:t xml:space="preserve"> </w:t>
      </w:r>
    </w:p>
    <w:p w14:paraId="7D181353">
      <w:pPr>
        <w:spacing w:line="360" w:lineRule="auto"/>
        <w:rPr>
          <w:rFonts w:hint="eastAsia" w:ascii="宋体" w:hAnsi="宋体" w:eastAsia="宋体" w:cs="宋体"/>
          <w:b/>
          <w:bCs/>
          <w:color w:val="auto"/>
          <w:highlight w:val="none"/>
        </w:rPr>
      </w:pPr>
      <w:bookmarkStart w:id="29" w:name="_Toc35393802"/>
      <w:bookmarkStart w:id="30" w:name="_Toc35393633"/>
      <w:bookmarkStart w:id="31" w:name="_Toc28359093"/>
      <w:bookmarkStart w:id="32" w:name="_Toc28359016"/>
      <w:r>
        <w:rPr>
          <w:rFonts w:hint="eastAsia" w:ascii="宋体" w:hAnsi="宋体" w:eastAsia="宋体" w:cs="宋体"/>
          <w:b/>
          <w:bCs/>
          <w:color w:val="auto"/>
          <w:highlight w:val="none"/>
        </w:rPr>
        <w:t>五、开启</w:t>
      </w:r>
      <w:bookmarkEnd w:id="29"/>
      <w:bookmarkEnd w:id="30"/>
      <w:bookmarkEnd w:id="31"/>
      <w:bookmarkEnd w:id="32"/>
    </w:p>
    <w:p w14:paraId="1BFE791B">
      <w:pPr>
        <w:pStyle w:val="3"/>
        <w:pageBreakBefore w:val="0"/>
        <w:kinsoku/>
        <w:wordWrap/>
        <w:overflowPunct/>
        <w:topLinePunct w:val="0"/>
        <w:autoSpaceDE/>
        <w:autoSpaceDN/>
        <w:bidi w:val="0"/>
        <w:adjustRightInd/>
        <w:snapToGrid/>
        <w:spacing w:before="0" w:after="0" w:line="336" w:lineRule="auto"/>
        <w:ind w:firstLine="420" w:firstLineChars="200"/>
        <w:textAlignment w:val="auto"/>
        <w:rPr>
          <w:rFonts w:hint="eastAsia" w:ascii="宋体" w:hAnsi="宋体" w:cs="宋体"/>
          <w:b w:val="0"/>
          <w:bCs w:val="0"/>
          <w:color w:val="auto"/>
          <w:sz w:val="21"/>
          <w:szCs w:val="21"/>
          <w:highlight w:val="none"/>
        </w:rPr>
      </w:pPr>
      <w:bookmarkStart w:id="33" w:name="_Toc8424"/>
      <w:bookmarkStart w:id="34" w:name="_Toc8644"/>
      <w:r>
        <w:rPr>
          <w:rFonts w:hint="eastAsia" w:ascii="宋体" w:hAnsi="宋体" w:cs="宋体"/>
          <w:b w:val="0"/>
          <w:bCs w:val="0"/>
          <w:color w:val="auto"/>
          <w:sz w:val="21"/>
          <w:szCs w:val="21"/>
          <w:highlight w:val="none"/>
        </w:rPr>
        <w:t>时间</w:t>
      </w:r>
      <w:r>
        <w:rPr>
          <w:rFonts w:hint="eastAsia" w:ascii="宋体" w:hAnsi="宋体" w:eastAsia="宋体" w:cs="宋体"/>
          <w:b w:val="0"/>
          <w:bCs w:val="0"/>
          <w:color w:val="auto"/>
          <w:kern w:val="2"/>
          <w:sz w:val="21"/>
          <w:szCs w:val="24"/>
          <w:highlight w:val="none"/>
          <w:lang w:val="en-US" w:eastAsia="zh-CN" w:bidi="ar-SA"/>
        </w:rPr>
        <w:t>：</w:t>
      </w:r>
      <w:r>
        <w:rPr>
          <w:rFonts w:hint="eastAsia" w:ascii="宋体" w:hAnsi="宋体" w:cs="宋体"/>
          <w:b w:val="0"/>
          <w:bCs w:val="0"/>
          <w:color w:val="auto"/>
          <w:kern w:val="2"/>
          <w:sz w:val="21"/>
          <w:szCs w:val="24"/>
          <w:highlight w:val="none"/>
          <w:lang w:val="en-US" w:eastAsia="zh-CN" w:bidi="ar-SA"/>
        </w:rPr>
        <w:t>2025年5月7日9时00分</w:t>
      </w:r>
      <w:r>
        <w:rPr>
          <w:rFonts w:hint="eastAsia" w:ascii="宋体" w:hAnsi="宋体" w:eastAsia="宋体" w:cs="宋体"/>
          <w:b w:val="0"/>
          <w:bCs w:val="0"/>
          <w:color w:val="auto"/>
          <w:kern w:val="2"/>
          <w:sz w:val="21"/>
          <w:szCs w:val="24"/>
          <w:highlight w:val="none"/>
          <w:lang w:val="en-US" w:eastAsia="zh-CN" w:bidi="ar-SA"/>
        </w:rPr>
        <w:t>（北京</w:t>
      </w:r>
      <w:r>
        <w:rPr>
          <w:rFonts w:hint="eastAsia" w:ascii="宋体" w:hAnsi="宋体" w:cs="宋体"/>
          <w:b w:val="0"/>
          <w:bCs w:val="0"/>
          <w:color w:val="auto"/>
          <w:sz w:val="21"/>
          <w:szCs w:val="21"/>
          <w:highlight w:val="none"/>
        </w:rPr>
        <w:t>时间）后</w:t>
      </w:r>
    </w:p>
    <w:p w14:paraId="789C90A7">
      <w:pPr>
        <w:pStyle w:val="3"/>
        <w:pageBreakBefore w:val="0"/>
        <w:kinsoku/>
        <w:wordWrap/>
        <w:overflowPunct/>
        <w:topLinePunct w:val="0"/>
        <w:autoSpaceDE/>
        <w:autoSpaceDN/>
        <w:bidi w:val="0"/>
        <w:adjustRightInd/>
        <w:snapToGrid/>
        <w:spacing w:before="0" w:after="0" w:line="336" w:lineRule="auto"/>
        <w:ind w:firstLine="420" w:firstLineChars="200"/>
        <w:textAlignment w:val="auto"/>
        <w:rPr>
          <w:rFonts w:hint="eastAsia" w:ascii="宋体" w:hAnsi="宋体" w:eastAsia="宋体" w:cs="宋体"/>
          <w:color w:val="auto"/>
          <w:highlight w:val="none"/>
        </w:rPr>
      </w:pPr>
      <w:r>
        <w:rPr>
          <w:rFonts w:hint="eastAsia" w:ascii="宋体" w:hAnsi="宋体" w:cs="宋体"/>
          <w:b w:val="0"/>
          <w:bCs w:val="0"/>
          <w:color w:val="auto"/>
          <w:sz w:val="21"/>
          <w:szCs w:val="21"/>
          <w:highlight w:val="none"/>
          <w:lang w:eastAsia="zh-CN"/>
        </w:rPr>
        <w:t>地址：</w:t>
      </w:r>
      <w:bookmarkEnd w:id="33"/>
      <w:bookmarkEnd w:id="34"/>
      <w:r>
        <w:rPr>
          <w:rFonts w:hint="eastAsia" w:ascii="宋体" w:hAnsi="宋体" w:eastAsia="宋体" w:cs="宋体"/>
          <w:b w:val="0"/>
          <w:bCs w:val="0"/>
          <w:color w:val="auto"/>
          <w:kern w:val="2"/>
          <w:sz w:val="21"/>
          <w:szCs w:val="24"/>
          <w:highlight w:val="none"/>
          <w:lang w:val="en-US" w:eastAsia="zh-CN" w:bidi="ar-SA"/>
        </w:rPr>
        <w:t>本项目采用远程异地评审，主会场在广西金旺技术管理有限公司【崇左市江州区友谊大道中段西侧（东源名城）第D9栋3-201号房】通过广西政府采购云平台在线解密开启，副会场在南宁市西乡塘区科园大道27号湖南大厦615号。</w:t>
      </w:r>
    </w:p>
    <w:bookmarkEnd w:id="25"/>
    <w:bookmarkEnd w:id="26"/>
    <w:bookmarkEnd w:id="27"/>
    <w:bookmarkEnd w:id="28"/>
    <w:p w14:paraId="45B11235">
      <w:pPr>
        <w:spacing w:line="360" w:lineRule="auto"/>
        <w:rPr>
          <w:rFonts w:hint="eastAsia" w:ascii="宋体" w:hAnsi="宋体" w:eastAsia="宋体" w:cs="宋体"/>
          <w:color w:val="auto"/>
          <w:szCs w:val="21"/>
          <w:highlight w:val="none"/>
        </w:rPr>
      </w:pPr>
      <w:bookmarkStart w:id="35" w:name="_Toc28359084"/>
      <w:bookmarkStart w:id="36" w:name="_Toc35393794"/>
      <w:bookmarkStart w:id="37" w:name="_Toc28359007"/>
      <w:bookmarkStart w:id="38" w:name="_Toc35393625"/>
      <w:r>
        <w:rPr>
          <w:rFonts w:hint="eastAsia" w:ascii="宋体" w:hAnsi="宋体" w:eastAsia="宋体" w:cs="宋体"/>
          <w:b/>
          <w:bCs/>
          <w:color w:val="auto"/>
          <w:szCs w:val="21"/>
          <w:highlight w:val="none"/>
          <w:lang w:eastAsia="zh-CN"/>
        </w:rPr>
        <w:t>六</w:t>
      </w:r>
      <w:r>
        <w:rPr>
          <w:rFonts w:hint="eastAsia" w:ascii="宋体" w:hAnsi="宋体" w:eastAsia="宋体" w:cs="宋体"/>
          <w:b/>
          <w:bCs/>
          <w:color w:val="auto"/>
          <w:szCs w:val="21"/>
          <w:highlight w:val="none"/>
        </w:rPr>
        <w:t>、公告期限</w:t>
      </w:r>
      <w:bookmarkEnd w:id="35"/>
      <w:bookmarkEnd w:id="36"/>
      <w:bookmarkEnd w:id="37"/>
      <w:bookmarkEnd w:id="38"/>
      <w:r>
        <w:rPr>
          <w:rFonts w:hint="eastAsia" w:ascii="宋体" w:hAnsi="宋体" w:eastAsia="宋体" w:cs="宋体"/>
          <w:b/>
          <w:bCs/>
          <w:color w:val="auto"/>
          <w:szCs w:val="21"/>
          <w:highlight w:val="none"/>
        </w:rPr>
        <w:t>：</w:t>
      </w:r>
      <w:r>
        <w:rPr>
          <w:rFonts w:hint="eastAsia" w:ascii="宋体" w:hAnsi="宋体" w:eastAsia="宋体" w:cs="宋体"/>
          <w:color w:val="auto"/>
          <w:szCs w:val="21"/>
          <w:highlight w:val="none"/>
        </w:rPr>
        <w:t>自本公告发布之日起</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个工作日。</w:t>
      </w:r>
    </w:p>
    <w:p w14:paraId="50A1A003">
      <w:pPr>
        <w:spacing w:line="360" w:lineRule="auto"/>
        <w:rPr>
          <w:rFonts w:hint="eastAsia" w:ascii="宋体" w:hAnsi="宋体" w:eastAsia="宋体" w:cs="宋体"/>
          <w:b/>
          <w:bCs/>
          <w:color w:val="auto"/>
          <w:szCs w:val="21"/>
          <w:highlight w:val="none"/>
        </w:rPr>
      </w:pPr>
      <w:bookmarkStart w:id="39" w:name="_Toc35393626"/>
      <w:bookmarkStart w:id="40" w:name="_Toc35393795"/>
      <w:r>
        <w:rPr>
          <w:rFonts w:hint="eastAsia" w:ascii="宋体" w:hAnsi="宋体" w:eastAsia="宋体" w:cs="宋体"/>
          <w:b/>
          <w:bCs/>
          <w:color w:val="auto"/>
          <w:szCs w:val="21"/>
          <w:highlight w:val="none"/>
          <w:lang w:eastAsia="zh-CN"/>
        </w:rPr>
        <w:t>七</w:t>
      </w:r>
      <w:r>
        <w:rPr>
          <w:rFonts w:hint="eastAsia" w:ascii="宋体" w:hAnsi="宋体" w:eastAsia="宋体" w:cs="宋体"/>
          <w:b/>
          <w:bCs/>
          <w:color w:val="auto"/>
          <w:szCs w:val="21"/>
          <w:highlight w:val="none"/>
        </w:rPr>
        <w:t>、其他补充事宜</w:t>
      </w:r>
      <w:bookmarkEnd w:id="39"/>
      <w:bookmarkEnd w:id="40"/>
      <w:r>
        <w:rPr>
          <w:rFonts w:hint="eastAsia" w:ascii="宋体" w:hAnsi="宋体" w:eastAsia="宋体" w:cs="宋体"/>
          <w:b/>
          <w:bCs/>
          <w:color w:val="auto"/>
          <w:szCs w:val="21"/>
          <w:highlight w:val="none"/>
        </w:rPr>
        <w:t>：</w:t>
      </w:r>
    </w:p>
    <w:p w14:paraId="768DA996">
      <w:pPr>
        <w:keepNext w:val="0"/>
        <w:keepLines w:val="0"/>
        <w:pageBreakBefore w:val="0"/>
        <w:kinsoku/>
        <w:overflowPunct/>
        <w:topLinePunct w:val="0"/>
        <w:autoSpaceDE/>
        <w:autoSpaceDN/>
        <w:bidi w:val="0"/>
        <w:adjustRightInd/>
        <w:spacing w:line="360" w:lineRule="auto"/>
        <w:ind w:firstLine="420" w:firstLineChars="200"/>
        <w:textAlignment w:val="auto"/>
        <w:rPr>
          <w:color w:val="auto"/>
          <w:sz w:val="21"/>
          <w:szCs w:val="21"/>
          <w:highlight w:val="none"/>
        </w:rPr>
      </w:pPr>
      <w:bookmarkStart w:id="41" w:name="_Toc28359008"/>
      <w:bookmarkStart w:id="42" w:name="_Toc28359085"/>
      <w:bookmarkStart w:id="43" w:name="_Toc35393796"/>
      <w:bookmarkStart w:id="44" w:name="_Toc35393627"/>
      <w:r>
        <w:rPr>
          <w:rFonts w:hint="eastAsia"/>
          <w:color w:val="auto"/>
          <w:sz w:val="21"/>
          <w:szCs w:val="21"/>
          <w:highlight w:val="none"/>
          <w:lang w:val="en-US" w:eastAsia="zh-CN"/>
        </w:rPr>
        <w:t>1.</w:t>
      </w:r>
      <w:r>
        <w:rPr>
          <w:rFonts w:hint="eastAsia"/>
          <w:color w:val="auto"/>
          <w:sz w:val="21"/>
          <w:szCs w:val="21"/>
          <w:highlight w:val="none"/>
        </w:rPr>
        <w:t>单位负责人为同一人或者存在直接控股、管理关系的不同供应商，不得参加同一合同项下的采购活动。除单一来源采购项目外，为采购项目提供整体设计、规范编制或者项目管理、监理、检测等服务的供应商，不得再参加该采购项目的其他采购活动。</w:t>
      </w:r>
    </w:p>
    <w:p w14:paraId="2352E4A5">
      <w:pPr>
        <w:keepNext w:val="0"/>
        <w:keepLines w:val="0"/>
        <w:pageBreakBefore w:val="0"/>
        <w:kinsoku/>
        <w:overflowPunct/>
        <w:topLinePunct w:val="0"/>
        <w:autoSpaceDE/>
        <w:autoSpaceDN/>
        <w:bidi w:val="0"/>
        <w:adjustRightInd/>
        <w:spacing w:line="360" w:lineRule="auto"/>
        <w:ind w:firstLine="420" w:firstLineChars="200"/>
        <w:textAlignment w:val="auto"/>
        <w:rPr>
          <w:color w:val="auto"/>
          <w:sz w:val="21"/>
          <w:szCs w:val="21"/>
          <w:highlight w:val="none"/>
        </w:rPr>
      </w:pPr>
      <w:r>
        <w:rPr>
          <w:rFonts w:hint="eastAsia"/>
          <w:color w:val="auto"/>
          <w:sz w:val="21"/>
          <w:szCs w:val="21"/>
          <w:highlight w:val="none"/>
          <w:lang w:val="en-US" w:eastAsia="zh-CN"/>
        </w:rPr>
        <w:t>2.</w:t>
      </w:r>
      <w:r>
        <w:rPr>
          <w:rFonts w:hint="eastAsia" w:ascii="宋体" w:hAnsi="宋体" w:cs="宋体"/>
          <w:color w:val="auto"/>
          <w:sz w:val="21"/>
          <w:szCs w:val="21"/>
          <w:highlight w:val="none"/>
        </w:rPr>
        <w:t>对在“信用中国”网站</w:t>
      </w:r>
      <w:r>
        <w:rPr>
          <w:rFonts w:ascii="宋体" w:hAnsi="宋体" w:cs="宋体"/>
          <w:color w:val="auto"/>
          <w:sz w:val="21"/>
          <w:szCs w:val="21"/>
          <w:highlight w:val="none"/>
        </w:rPr>
        <w:t>(www.creditchina.gov.cn)</w:t>
      </w:r>
      <w:r>
        <w:rPr>
          <w:rFonts w:hint="eastAsia" w:ascii="宋体" w:hAnsi="宋体" w:cs="宋体"/>
          <w:color w:val="auto"/>
          <w:sz w:val="21"/>
          <w:szCs w:val="21"/>
          <w:highlight w:val="none"/>
        </w:rPr>
        <w:t>、中国政府采购网</w:t>
      </w:r>
      <w:r>
        <w:rPr>
          <w:rFonts w:ascii="宋体" w:hAnsi="宋体" w:cs="宋体"/>
          <w:color w:val="auto"/>
          <w:sz w:val="21"/>
          <w:szCs w:val="21"/>
          <w:highlight w:val="none"/>
        </w:rPr>
        <w:t>(www.ccgp.gov.cn)</w:t>
      </w:r>
      <w:r>
        <w:rPr>
          <w:rFonts w:hint="eastAsia" w:ascii="宋体" w:hAnsi="宋体" w:cs="宋体"/>
          <w:color w:val="auto"/>
          <w:sz w:val="21"/>
          <w:szCs w:val="21"/>
          <w:highlight w:val="none"/>
        </w:rPr>
        <w:t>等渠道列入失信被执行人、重大税收违法案件当事人名单、政府采购严重违法失信行为记录名单及其他不符合《中华人民共和国政府采购法》第二十二条规定条件的供应商，不得参与</w:t>
      </w:r>
      <w:r>
        <w:rPr>
          <w:rFonts w:hint="eastAsia" w:ascii="宋体" w:hAnsi="宋体" w:cs="宋体"/>
          <w:color w:val="auto"/>
          <w:sz w:val="21"/>
          <w:szCs w:val="21"/>
          <w:highlight w:val="none"/>
          <w:lang w:eastAsia="zh-CN"/>
        </w:rPr>
        <w:t>采购活动</w:t>
      </w:r>
      <w:r>
        <w:rPr>
          <w:rFonts w:hint="eastAsia"/>
          <w:color w:val="auto"/>
          <w:sz w:val="21"/>
          <w:szCs w:val="21"/>
          <w:highlight w:val="none"/>
        </w:rPr>
        <w:t>。</w:t>
      </w:r>
    </w:p>
    <w:p w14:paraId="67F0986A">
      <w:pPr>
        <w:keepNext w:val="0"/>
        <w:keepLines w:val="0"/>
        <w:pageBreakBefore w:val="0"/>
        <w:kinsoku/>
        <w:overflowPunct/>
        <w:topLinePunct w:val="0"/>
        <w:autoSpaceDE/>
        <w:autoSpaceDN/>
        <w:bidi w:val="0"/>
        <w:adjustRightInd/>
        <w:snapToGrid w:val="0"/>
        <w:spacing w:line="360"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r>
        <w:rPr>
          <w:rFonts w:hint="eastAsia" w:ascii="Times New Roman" w:hAnsi="Times New Roman" w:eastAsia="宋体" w:cs="Times New Roman"/>
          <w:color w:val="auto"/>
          <w:sz w:val="21"/>
          <w:szCs w:val="21"/>
          <w:highlight w:val="none"/>
        </w:rPr>
        <w:t>落实政</w:t>
      </w:r>
      <w:r>
        <w:rPr>
          <w:rFonts w:hint="eastAsia"/>
          <w:color w:val="auto"/>
          <w:sz w:val="21"/>
          <w:szCs w:val="21"/>
          <w:highlight w:val="none"/>
        </w:rPr>
        <w:t>府采购政策：</w:t>
      </w:r>
      <w:r>
        <w:rPr>
          <w:rFonts w:hint="eastAsia" w:ascii="宋体" w:hAnsi="宋体" w:cs="宋体"/>
          <w:color w:val="auto"/>
          <w:sz w:val="21"/>
          <w:szCs w:val="21"/>
          <w:highlight w:val="none"/>
        </w:rPr>
        <w:t>政府采购促进中小企业发展；政府采购支持采用本国产品的政策；强制采购、优先采购环境标志产品、节能产品；政府采购促进残疾人就业政策；政府采购支持监狱企业发展；扶持不发达地区和少数民族地区政策</w:t>
      </w:r>
      <w:r>
        <w:rPr>
          <w:rFonts w:hint="eastAsia" w:ascii="宋体" w:hAnsi="宋体" w:cs="宋体"/>
          <w:color w:val="auto"/>
          <w:sz w:val="21"/>
          <w:szCs w:val="21"/>
          <w:highlight w:val="none"/>
          <w:lang w:eastAsia="zh-CN"/>
        </w:rPr>
        <w:t>。</w:t>
      </w:r>
    </w:p>
    <w:p w14:paraId="55C640CA">
      <w:pPr>
        <w:keepNext w:val="0"/>
        <w:keepLines w:val="0"/>
        <w:pageBreakBefore w:val="0"/>
        <w:kinsoku/>
        <w:overflowPunct/>
        <w:topLinePunct w:val="0"/>
        <w:autoSpaceDE/>
        <w:autoSpaceDN/>
        <w:bidi w:val="0"/>
        <w:adjustRightInd/>
        <w:snapToGrid w:val="0"/>
        <w:spacing w:line="360" w:lineRule="auto"/>
        <w:ind w:firstLine="420" w:firstLineChars="200"/>
        <w:textAlignment w:val="auto"/>
        <w:rPr>
          <w:rFonts w:hint="eastAsia" w:ascii="宋体" w:hAnsi="宋体"/>
          <w:color w:val="auto"/>
          <w:sz w:val="21"/>
          <w:szCs w:val="21"/>
          <w:highlight w:val="none"/>
        </w:rPr>
      </w:pP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lang w:eastAsia="zh-CN"/>
        </w:rPr>
        <w:t>本次招标公告同时在中国政府采购网（http://pub.ccgp.gov.cn/）、广西壮族自治区政府采购网（http://www.ccgp-guangxi.gov.cn/）上发布</w:t>
      </w:r>
      <w:r>
        <w:rPr>
          <w:rFonts w:hint="eastAsia" w:ascii="宋体" w:hAnsi="宋体" w:cs="宋体"/>
          <w:color w:val="auto"/>
          <w:sz w:val="21"/>
          <w:szCs w:val="21"/>
          <w:highlight w:val="none"/>
        </w:rPr>
        <w:t>。</w:t>
      </w:r>
      <w:r>
        <w:rPr>
          <w:rFonts w:hint="eastAsia" w:ascii="宋体" w:hAnsi="宋体"/>
          <w:color w:val="auto"/>
          <w:sz w:val="21"/>
          <w:szCs w:val="21"/>
          <w:highlight w:val="none"/>
        </w:rPr>
        <w:t xml:space="preserve">  </w:t>
      </w:r>
    </w:p>
    <w:p w14:paraId="6F5AA6F0">
      <w:pPr>
        <w:keepNext w:val="0"/>
        <w:keepLines w:val="0"/>
        <w:pageBreakBefore w:val="0"/>
        <w:kinsoku/>
        <w:wordWrap w:val="0"/>
        <w:overflowPunct/>
        <w:topLinePunct w:val="0"/>
        <w:autoSpaceDE/>
        <w:autoSpaceDN/>
        <w:bidi w:val="0"/>
        <w:adjustRightInd/>
        <w:spacing w:line="360" w:lineRule="auto"/>
        <w:ind w:firstLine="420" w:firstLineChars="200"/>
        <w:textAlignment w:val="auto"/>
        <w:rPr>
          <w:rFonts w:hint="eastAsia" w:ascii="宋体" w:hAnsi="宋体" w:cs="宋体"/>
          <w:color w:val="auto"/>
          <w:kern w:val="0"/>
          <w:sz w:val="21"/>
          <w:szCs w:val="21"/>
          <w:highlight w:val="none"/>
        </w:rPr>
      </w:pPr>
      <w:r>
        <w:rPr>
          <w:rFonts w:hint="eastAsia" w:ascii="宋体" w:hAnsi="宋体"/>
          <w:color w:val="auto"/>
          <w:sz w:val="21"/>
          <w:szCs w:val="21"/>
          <w:highlight w:val="none"/>
          <w:lang w:val="en-US" w:eastAsia="zh-CN"/>
        </w:rPr>
        <w:t>5.</w:t>
      </w:r>
      <w:r>
        <w:rPr>
          <w:rFonts w:hint="eastAsia" w:ascii="宋体" w:hAnsi="宋体" w:cs="宋体"/>
          <w:color w:val="auto"/>
          <w:kern w:val="0"/>
          <w:sz w:val="21"/>
          <w:szCs w:val="21"/>
          <w:highlight w:val="none"/>
        </w:rPr>
        <w:t>在线</w:t>
      </w:r>
      <w:r>
        <w:rPr>
          <w:rFonts w:hint="eastAsia" w:ascii="宋体" w:hAnsi="宋体" w:cs="宋体"/>
          <w:color w:val="auto"/>
          <w:kern w:val="0"/>
          <w:sz w:val="21"/>
          <w:szCs w:val="21"/>
          <w:highlight w:val="none"/>
          <w:lang w:eastAsia="zh-CN"/>
        </w:rPr>
        <w:t>响应</w:t>
      </w:r>
      <w:r>
        <w:rPr>
          <w:rFonts w:hint="eastAsia" w:ascii="宋体" w:hAnsi="宋体" w:cs="宋体"/>
          <w:color w:val="auto"/>
          <w:kern w:val="0"/>
          <w:sz w:val="21"/>
          <w:szCs w:val="21"/>
          <w:highlight w:val="none"/>
        </w:rPr>
        <w:t>响应（电子</w:t>
      </w:r>
      <w:r>
        <w:rPr>
          <w:rFonts w:hint="eastAsia" w:ascii="宋体" w:hAnsi="宋体" w:cs="宋体"/>
          <w:color w:val="auto"/>
          <w:kern w:val="0"/>
          <w:sz w:val="21"/>
          <w:szCs w:val="21"/>
          <w:highlight w:val="none"/>
          <w:lang w:eastAsia="zh-CN"/>
        </w:rPr>
        <w:t>响应</w:t>
      </w:r>
      <w:r>
        <w:rPr>
          <w:rFonts w:hint="eastAsia" w:ascii="宋体" w:hAnsi="宋体" w:cs="宋体"/>
          <w:color w:val="auto"/>
          <w:kern w:val="0"/>
          <w:sz w:val="21"/>
          <w:szCs w:val="21"/>
          <w:highlight w:val="none"/>
        </w:rPr>
        <w:t>）说明</w:t>
      </w:r>
      <w:r>
        <w:rPr>
          <w:rFonts w:hint="eastAsia" w:ascii="宋体" w:hAnsi="宋体" w:cs="宋体"/>
          <w:color w:val="auto"/>
          <w:kern w:val="0"/>
          <w:sz w:val="21"/>
          <w:szCs w:val="21"/>
          <w:highlight w:val="none"/>
          <w:lang w:eastAsia="zh-CN"/>
        </w:rPr>
        <w:t>：本项目为全流程电子化采购项目，通过广西政府采购云平台（https://www.gcy.zfcg.gxzf.gov.cn/）实行在线电子竞标，供应商应按照本项目竞争性磋商文件和广西政府采购云平台的要求编制、加密后在提交响应文件截止时间前通过网络上传至广西政府采购云平台（加密的电子响应文件是指后缀名为“jmbs”的文件）</w:t>
      </w:r>
      <w:r>
        <w:rPr>
          <w:rFonts w:hint="eastAsia" w:ascii="宋体" w:hAnsi="宋体" w:cs="宋体"/>
          <w:color w:val="auto"/>
          <w:kern w:val="0"/>
          <w:sz w:val="21"/>
          <w:szCs w:val="21"/>
          <w:highlight w:val="none"/>
        </w:rPr>
        <w:t>。供应商未按规定编制并加密的</w:t>
      </w:r>
      <w:r>
        <w:rPr>
          <w:rFonts w:hint="eastAsia" w:ascii="宋体" w:hAnsi="宋体" w:cs="宋体"/>
          <w:color w:val="auto"/>
          <w:kern w:val="0"/>
          <w:sz w:val="21"/>
          <w:szCs w:val="21"/>
          <w:highlight w:val="none"/>
          <w:lang w:eastAsia="zh-CN"/>
        </w:rPr>
        <w:t>响应</w:t>
      </w:r>
      <w:r>
        <w:rPr>
          <w:rFonts w:hint="eastAsia" w:ascii="宋体" w:hAnsi="宋体" w:cs="宋体"/>
          <w:color w:val="auto"/>
          <w:kern w:val="0"/>
          <w:sz w:val="21"/>
          <w:szCs w:val="21"/>
          <w:highlight w:val="none"/>
        </w:rPr>
        <w:t>文件，</w:t>
      </w:r>
      <w:r>
        <w:rPr>
          <w:rFonts w:hint="eastAsia" w:ascii="宋体" w:hAnsi="宋体" w:cs="宋体"/>
          <w:color w:val="auto"/>
          <w:kern w:val="0"/>
          <w:sz w:val="21"/>
          <w:szCs w:val="21"/>
          <w:highlight w:val="none"/>
          <w:lang w:eastAsia="zh-CN"/>
        </w:rPr>
        <w:t>广西政府采购云平台</w:t>
      </w:r>
      <w:r>
        <w:rPr>
          <w:rFonts w:hint="eastAsia" w:ascii="宋体" w:hAnsi="宋体" w:cs="宋体"/>
          <w:color w:val="auto"/>
          <w:kern w:val="0"/>
          <w:sz w:val="21"/>
          <w:szCs w:val="21"/>
          <w:highlight w:val="none"/>
        </w:rPr>
        <w:t>将予以拒收。</w:t>
      </w:r>
    </w:p>
    <w:p w14:paraId="3895D8A2">
      <w:pPr>
        <w:keepNext w:val="0"/>
        <w:keepLines w:val="0"/>
        <w:pageBreakBefore w:val="0"/>
        <w:kinsoku/>
        <w:wordWrap w:val="0"/>
        <w:overflowPunct/>
        <w:topLinePunct w:val="0"/>
        <w:bidi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rPr>
        <w:t>.为加大政府采购支持中小企业力度，帮助政府采购成交供应商解决融资难、融资贵的问题，进一步做好线上“政采贷”融资业务工作，如供应商有需要的，详见</w:t>
      </w:r>
      <w:r>
        <w:rPr>
          <w:rFonts w:hint="eastAsia" w:ascii="宋体" w:hAnsi="宋体" w:eastAsia="宋体" w:cs="宋体"/>
          <w:color w:val="auto"/>
          <w:kern w:val="0"/>
          <w:sz w:val="21"/>
          <w:szCs w:val="21"/>
          <w:highlight w:val="none"/>
          <w:lang w:eastAsia="zh-CN"/>
        </w:rPr>
        <w:t>磋商须知正文后</w:t>
      </w:r>
      <w:r>
        <w:rPr>
          <w:rFonts w:hint="eastAsia" w:ascii="宋体" w:hAnsi="宋体" w:eastAsia="宋体" w:cs="宋体"/>
          <w:color w:val="auto"/>
          <w:kern w:val="0"/>
          <w:sz w:val="21"/>
          <w:szCs w:val="21"/>
          <w:highlight w:val="none"/>
        </w:rPr>
        <w:t>附件</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：《崇左市线上“政采贷”政策告知函》、附件</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《崇左市线上“政采贷”业务流程图》、附件</w:t>
      </w: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《崇左市金融机构线上“政采贷”业务办理联络表》。</w:t>
      </w:r>
    </w:p>
    <w:p w14:paraId="5B65E09B">
      <w:pPr>
        <w:keepNext w:val="0"/>
        <w:keepLines w:val="0"/>
        <w:pageBreakBefore w:val="0"/>
        <w:kinsoku/>
        <w:wordWrap w:val="0"/>
        <w:overflowPunct/>
        <w:topLinePunct w:val="0"/>
        <w:bidi w:val="0"/>
        <w:spacing w:line="360" w:lineRule="auto"/>
        <w:ind w:firstLine="420" w:firstLineChars="20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7.</w:t>
      </w:r>
      <w:r>
        <w:rPr>
          <w:rFonts w:hint="eastAsia" w:hAnsi="宋体" w:cs="宋体"/>
          <w:color w:val="auto"/>
          <w:kern w:val="0"/>
          <w:sz w:val="21"/>
          <w:szCs w:val="21"/>
          <w:highlight w:val="none"/>
          <w:lang w:val="en-US" w:eastAsia="zh-CN"/>
        </w:rPr>
        <w:t>本项目不需要缴纳磋商保证金</w:t>
      </w:r>
      <w:r>
        <w:rPr>
          <w:rFonts w:hint="eastAsia" w:ascii="宋体" w:hAnsi="宋体" w:eastAsia="宋体" w:cs="宋体"/>
          <w:color w:val="auto"/>
          <w:sz w:val="21"/>
          <w:szCs w:val="21"/>
          <w:highlight w:val="none"/>
          <w:lang w:eastAsia="zh-CN"/>
        </w:rPr>
        <w:t>。</w:t>
      </w:r>
    </w:p>
    <w:p w14:paraId="60E5CCCA">
      <w:pPr>
        <w:keepNext w:val="0"/>
        <w:keepLines w:val="0"/>
        <w:pageBreakBefore w:val="0"/>
        <w:kinsoku/>
        <w:wordWrap w:val="0"/>
        <w:overflowPunct/>
        <w:topLinePunct w:val="0"/>
        <w:bidi w:val="0"/>
        <w:spacing w:line="360" w:lineRule="auto"/>
        <w:ind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8.</w:t>
      </w:r>
      <w:r>
        <w:rPr>
          <w:rFonts w:hint="eastAsia" w:ascii="宋体" w:hAnsi="宋体" w:cs="宋体"/>
          <w:color w:val="auto"/>
          <w:kern w:val="0"/>
          <w:sz w:val="21"/>
          <w:szCs w:val="21"/>
          <w:highlight w:val="none"/>
          <w:lang w:val="en-US" w:eastAsia="zh-CN"/>
        </w:rPr>
        <w:t>本项目</w:t>
      </w:r>
      <w:r>
        <w:rPr>
          <w:rFonts w:hint="eastAsia" w:ascii="宋体" w:hAnsi="宋体" w:eastAsia="宋体" w:cs="宋体"/>
          <w:color w:val="auto"/>
          <w:kern w:val="0"/>
          <w:sz w:val="21"/>
          <w:szCs w:val="21"/>
          <w:highlight w:val="none"/>
          <w:lang w:eastAsia="zh-CN"/>
        </w:rPr>
        <w:t>按照</w:t>
      </w:r>
      <w:r>
        <w:rPr>
          <w:rFonts w:hint="eastAsia" w:ascii="宋体" w:hAnsi="宋体" w:eastAsia="宋体" w:cs="宋体"/>
          <w:color w:val="auto"/>
          <w:kern w:val="0"/>
          <w:sz w:val="21"/>
          <w:szCs w:val="21"/>
          <w:highlight w:val="none"/>
          <w:lang w:val="en-US" w:eastAsia="zh-CN"/>
        </w:rPr>
        <w:t>崇左市财政局关于推行政府采购领域信用承诺制度的通知的要求，供应商在参与崇左市政府采购活动时，供应商只需以书面形式提供《崇左市政府采购供应商信用承诺函》，即可替代《中华人民共和国政府采购法实施条例》第十七条第一款第（一）项至第（四）项所规定的基本资格条件相关材料，具体不再提供的资质材料有：法人或者他组织的营业执照等证明文件，自然人的身份证明、财务状况报告、依法缴纳税收和社会保障资金相关证明材料、有履行合同所必需的设备和专业技术能力相关证明材料、参加政府采购活动前3年内在经营活动中没有重大违法记录相关证明材料。</w:t>
      </w:r>
    </w:p>
    <w:p w14:paraId="0E048847">
      <w:pPr>
        <w:pStyle w:val="26"/>
        <w:spacing w:line="360" w:lineRule="auto"/>
        <w:ind w:left="0" w:leftChars="0" w:firstLine="210" w:firstLineChars="100"/>
        <w:rPr>
          <w:rFonts w:hint="eastAsia" w:ascii="宋体" w:hAnsi="宋体" w:eastAsia="宋体" w:cs="宋体"/>
          <w:bCs w:val="0"/>
          <w:color w:val="auto"/>
          <w:spacing w:val="0"/>
          <w:kern w:val="0"/>
          <w:sz w:val="21"/>
          <w:szCs w:val="21"/>
          <w:highlight w:val="none"/>
          <w:lang w:val="en-US" w:eastAsia="zh-CN" w:bidi="ar-SA"/>
        </w:rPr>
      </w:pPr>
      <w:r>
        <w:rPr>
          <w:rFonts w:hint="eastAsia" w:ascii="宋体" w:hAnsi="宋体" w:eastAsia="宋体" w:cs="宋体"/>
          <w:bCs w:val="0"/>
          <w:color w:val="auto"/>
          <w:spacing w:val="0"/>
          <w:kern w:val="0"/>
          <w:sz w:val="21"/>
          <w:szCs w:val="21"/>
          <w:highlight w:val="none"/>
          <w:lang w:val="en-US" w:eastAsia="zh-CN" w:bidi="hi-IN"/>
        </w:rPr>
        <w:t>9.</w:t>
      </w:r>
      <w:r>
        <w:rPr>
          <w:rFonts w:hint="eastAsia" w:ascii="宋体" w:hAnsi="宋体" w:eastAsia="宋体" w:cs="宋体"/>
          <w:bCs w:val="0"/>
          <w:color w:val="auto"/>
          <w:spacing w:val="0"/>
          <w:kern w:val="0"/>
          <w:sz w:val="21"/>
          <w:szCs w:val="21"/>
          <w:highlight w:val="none"/>
          <w:lang w:val="en-US" w:eastAsia="zh-CN" w:bidi="ar-SA"/>
        </w:rPr>
        <w:t>本项目采用远程异地评审，主会场在广西金旺技术管理有限公司【崇左市江州区友谊大道中段西侧（东源名城）第D9栋3-201号房】通过广西政府采购云平台在线解密开启，副会场在南宁市西乡塘区科园大道27号湖南大厦615号。</w:t>
      </w:r>
    </w:p>
    <w:p w14:paraId="41A48596">
      <w:pPr>
        <w:spacing w:line="360"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eastAsia="zh-CN"/>
        </w:rPr>
        <w:t>八</w:t>
      </w:r>
      <w:r>
        <w:rPr>
          <w:rFonts w:hint="eastAsia" w:ascii="宋体" w:hAnsi="宋体" w:eastAsia="宋体" w:cs="宋体"/>
          <w:b/>
          <w:bCs/>
          <w:color w:val="auto"/>
          <w:szCs w:val="21"/>
          <w:highlight w:val="none"/>
        </w:rPr>
        <w:t>、对本次招标提出询问，请按以下方式联系</w:t>
      </w:r>
      <w:bookmarkEnd w:id="41"/>
      <w:bookmarkEnd w:id="42"/>
      <w:bookmarkEnd w:id="43"/>
      <w:bookmarkEnd w:id="44"/>
      <w:r>
        <w:rPr>
          <w:rFonts w:hint="eastAsia" w:ascii="宋体" w:hAnsi="宋体" w:eastAsia="宋体" w:cs="宋体"/>
          <w:b/>
          <w:bCs/>
          <w:color w:val="auto"/>
          <w:szCs w:val="21"/>
          <w:highlight w:val="none"/>
        </w:rPr>
        <w:t>：</w:t>
      </w:r>
    </w:p>
    <w:p w14:paraId="042A252B">
      <w:pPr>
        <w:spacing w:line="360" w:lineRule="auto"/>
        <w:rPr>
          <w:rFonts w:hint="eastAsia"/>
          <w:color w:val="auto"/>
        </w:rPr>
      </w:pPr>
      <w:r>
        <w:rPr>
          <w:bCs/>
          <w:color w:val="auto"/>
          <w:sz w:val="21"/>
          <w:szCs w:val="21"/>
        </w:rPr>
        <w:t xml:space="preserve"> </w:t>
      </w:r>
      <w:bookmarkStart w:id="45" w:name="_Toc28359096"/>
      <w:bookmarkStart w:id="46" w:name="_Toc35393637"/>
      <w:bookmarkStart w:id="47" w:name="_Toc28359019"/>
      <w:bookmarkStart w:id="48" w:name="_Toc35393806"/>
      <w:r>
        <w:rPr>
          <w:rFonts w:hint="eastAsia"/>
          <w:color w:val="auto"/>
        </w:rPr>
        <w:t>1.采购人信息</w:t>
      </w:r>
      <w:bookmarkEnd w:id="45"/>
      <w:bookmarkEnd w:id="46"/>
      <w:bookmarkEnd w:id="47"/>
      <w:bookmarkEnd w:id="48"/>
    </w:p>
    <w:p w14:paraId="6F7FBC82">
      <w:pPr>
        <w:spacing w:line="360" w:lineRule="auto"/>
        <w:rPr>
          <w:rFonts w:hint="eastAsia"/>
          <w:color w:val="auto"/>
        </w:rPr>
      </w:pPr>
      <w:r>
        <w:rPr>
          <w:rFonts w:hint="eastAsia"/>
          <w:color w:val="auto"/>
        </w:rPr>
        <w:t>名称：</w:t>
      </w:r>
      <w:r>
        <w:rPr>
          <w:rFonts w:hint="eastAsia" w:ascii="宋体" w:hAnsi="宋体" w:cs="宋体"/>
          <w:color w:val="auto"/>
          <w:sz w:val="21"/>
          <w:szCs w:val="21"/>
          <w:highlight w:val="none"/>
          <w:lang w:eastAsia="zh-CN"/>
        </w:rPr>
        <w:t>广西壮族自治区崇左市中级人民法院</w:t>
      </w:r>
      <w:r>
        <w:rPr>
          <w:rFonts w:hint="eastAsia"/>
          <w:color w:val="auto"/>
        </w:rPr>
        <w:t>　　　　　　　　　　　　</w:t>
      </w:r>
    </w:p>
    <w:p w14:paraId="3FAB1185">
      <w:pPr>
        <w:spacing w:line="360" w:lineRule="auto"/>
        <w:rPr>
          <w:rFonts w:hint="eastAsia" w:ascii="宋体" w:hAnsi="Courier New" w:eastAsia="宋体" w:cs="Times New Roman"/>
          <w:bCs/>
          <w:color w:val="000000"/>
          <w:szCs w:val="20"/>
        </w:rPr>
      </w:pPr>
      <w:r>
        <w:rPr>
          <w:rFonts w:hint="eastAsia"/>
          <w:color w:val="auto"/>
        </w:rPr>
        <w:t>地址：</w:t>
      </w:r>
      <w:r>
        <w:rPr>
          <w:rFonts w:hint="eastAsia" w:ascii="宋体" w:hAnsi="Courier New"/>
          <w:bCs/>
          <w:color w:val="000000"/>
          <w:szCs w:val="20"/>
        </w:rPr>
        <w:t>崇左市</w:t>
      </w:r>
      <w:r>
        <w:rPr>
          <w:rFonts w:hint="eastAsia" w:ascii="宋体" w:hAnsi="Courier New" w:eastAsia="宋体" w:cs="Times New Roman"/>
          <w:bCs/>
          <w:color w:val="000000"/>
          <w:szCs w:val="20"/>
        </w:rPr>
        <w:t>石景林东路4号</w:t>
      </w:r>
      <w:r>
        <w:rPr>
          <w:rFonts w:hint="eastAsia" w:ascii="宋体" w:hAnsi="Courier New" w:eastAsia="宋体" w:cs="Times New Roman"/>
          <w:bCs/>
          <w:color w:val="000000"/>
          <w:szCs w:val="20"/>
          <w:lang w:val="en-US" w:eastAsia="zh-CN"/>
        </w:rPr>
        <w:t xml:space="preserve"> </w:t>
      </w:r>
      <w:r>
        <w:rPr>
          <w:rFonts w:hint="eastAsia" w:ascii="宋体" w:hAnsi="Courier New" w:eastAsia="宋体" w:cs="Times New Roman"/>
          <w:bCs/>
          <w:color w:val="000000"/>
          <w:szCs w:val="20"/>
        </w:rPr>
        <w:t>　　　　　　　　　　　　</w:t>
      </w:r>
    </w:p>
    <w:p w14:paraId="08308063">
      <w:pPr>
        <w:spacing w:line="360" w:lineRule="auto"/>
        <w:rPr>
          <w:rFonts w:hint="eastAsia" w:ascii="宋体" w:hAnsi="Courier New" w:eastAsia="宋体" w:cs="Times New Roman"/>
          <w:bCs/>
          <w:color w:val="000000"/>
          <w:szCs w:val="20"/>
          <w:lang w:eastAsia="zh-CN"/>
        </w:rPr>
      </w:pPr>
      <w:r>
        <w:rPr>
          <w:rFonts w:hint="eastAsia" w:ascii="宋体" w:hAnsi="Courier New" w:eastAsia="宋体" w:cs="Times New Roman"/>
          <w:bCs/>
          <w:color w:val="000000"/>
          <w:szCs w:val="20"/>
          <w:lang w:eastAsia="zh-CN"/>
        </w:rPr>
        <w:t>项目联系人：</w:t>
      </w:r>
      <w:r>
        <w:rPr>
          <w:rFonts w:hint="eastAsia" w:ascii="宋体" w:hAnsi="Courier New" w:cs="Times New Roman"/>
          <w:bCs/>
          <w:color w:val="000000"/>
          <w:szCs w:val="20"/>
          <w:lang w:eastAsia="zh-CN"/>
        </w:rPr>
        <w:t>黄湖</w:t>
      </w:r>
      <w:r>
        <w:rPr>
          <w:rFonts w:hint="eastAsia" w:ascii="宋体" w:hAnsi="Courier New" w:eastAsia="宋体" w:cs="Times New Roman"/>
          <w:bCs/>
          <w:color w:val="000000"/>
          <w:szCs w:val="20"/>
          <w:lang w:val="en-US" w:eastAsia="zh-CN"/>
        </w:rPr>
        <w:t xml:space="preserve">  </w:t>
      </w:r>
    </w:p>
    <w:p w14:paraId="146EDFDE">
      <w:pPr>
        <w:spacing w:line="360" w:lineRule="auto"/>
        <w:rPr>
          <w:rFonts w:hint="eastAsia"/>
          <w:color w:val="auto"/>
        </w:rPr>
      </w:pPr>
      <w:r>
        <w:rPr>
          <w:rFonts w:hint="eastAsia" w:ascii="宋体" w:hAnsi="Courier New" w:eastAsia="宋体" w:cs="Times New Roman"/>
          <w:bCs/>
          <w:color w:val="000000"/>
          <w:szCs w:val="20"/>
          <w:lang w:eastAsia="zh-CN"/>
        </w:rPr>
        <w:t>项目</w:t>
      </w:r>
      <w:r>
        <w:rPr>
          <w:rFonts w:hint="eastAsia" w:ascii="宋体" w:hAnsi="Courier New" w:eastAsia="宋体" w:cs="Times New Roman"/>
          <w:bCs/>
          <w:color w:val="000000"/>
          <w:szCs w:val="20"/>
        </w:rPr>
        <w:t>联系方式：0771-7841300</w:t>
      </w:r>
      <w:r>
        <w:rPr>
          <w:rFonts w:hint="eastAsia" w:ascii="宋体" w:hAnsi="Courier New" w:eastAsia="宋体" w:cs="Times New Roman"/>
          <w:bCs/>
          <w:color w:val="000000"/>
          <w:szCs w:val="20"/>
          <w:lang w:val="en-US" w:eastAsia="zh-CN"/>
        </w:rPr>
        <w:t xml:space="preserve"> </w:t>
      </w:r>
      <w:r>
        <w:rPr>
          <w:rFonts w:hint="eastAsia" w:ascii="宋体" w:hAnsi="Courier New" w:eastAsia="宋体" w:cs="Times New Roman"/>
          <w:bCs/>
          <w:color w:val="000000"/>
          <w:szCs w:val="20"/>
        </w:rPr>
        <w:t>　　</w:t>
      </w:r>
      <w:r>
        <w:rPr>
          <w:rFonts w:hint="eastAsia"/>
          <w:color w:val="auto"/>
        </w:rPr>
        <w:t xml:space="preserve">　　　　　 　　　 </w:t>
      </w:r>
    </w:p>
    <w:p w14:paraId="0F2DE75D">
      <w:pPr>
        <w:spacing w:line="360" w:lineRule="auto"/>
        <w:rPr>
          <w:rFonts w:hint="eastAsia"/>
          <w:color w:val="auto"/>
        </w:rPr>
      </w:pPr>
      <w:bookmarkStart w:id="49" w:name="_Toc35393638"/>
      <w:bookmarkStart w:id="50" w:name="_Toc28359097"/>
      <w:bookmarkStart w:id="51" w:name="_Toc28359020"/>
      <w:bookmarkStart w:id="52" w:name="_Toc35393807"/>
      <w:r>
        <w:rPr>
          <w:rFonts w:hint="eastAsia"/>
          <w:color w:val="auto"/>
        </w:rPr>
        <w:t>2.采购代理机构信息</w:t>
      </w:r>
      <w:bookmarkEnd w:id="49"/>
      <w:bookmarkEnd w:id="50"/>
      <w:bookmarkEnd w:id="51"/>
      <w:bookmarkEnd w:id="52"/>
    </w:p>
    <w:p w14:paraId="5B824E4B">
      <w:pPr>
        <w:spacing w:line="324" w:lineRule="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名 称：</w:t>
      </w:r>
      <w:bookmarkStart w:id="53" w:name="_Toc28359010"/>
      <w:bookmarkStart w:id="54" w:name="_Toc28359087"/>
      <w:r>
        <w:rPr>
          <w:rFonts w:hint="eastAsia" w:ascii="宋体" w:hAnsi="宋体" w:cs="宋体"/>
          <w:color w:val="auto"/>
          <w:sz w:val="21"/>
          <w:szCs w:val="21"/>
          <w:highlight w:val="none"/>
          <w:lang w:eastAsia="zh-CN"/>
        </w:rPr>
        <w:t>广西金旺技术管理有限公司</w:t>
      </w:r>
    </w:p>
    <w:p w14:paraId="3AEF958C">
      <w:pPr>
        <w:spacing w:line="324"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地址：</w:t>
      </w:r>
      <w:r>
        <w:rPr>
          <w:rFonts w:hint="eastAsia" w:ascii="宋体" w:hAnsi="宋体" w:eastAsia="宋体" w:cs="宋体"/>
          <w:b w:val="0"/>
          <w:bCs w:val="0"/>
          <w:color w:val="auto"/>
          <w:kern w:val="2"/>
          <w:sz w:val="21"/>
          <w:szCs w:val="24"/>
          <w:highlight w:val="none"/>
          <w:lang w:val="en-US" w:eastAsia="zh-CN" w:bidi="ar-SA"/>
        </w:rPr>
        <w:t>崇左市江州区友谊大道中段西侧（东源名城）第D9栋3-201号房</w:t>
      </w:r>
    </w:p>
    <w:p w14:paraId="168B9D61">
      <w:pPr>
        <w:spacing w:line="324" w:lineRule="auto"/>
        <w:rPr>
          <w:rFonts w:hint="eastAsia"/>
          <w:color w:val="auto"/>
          <w:lang w:eastAsia="zh-CN"/>
        </w:rPr>
      </w:pPr>
      <w:r>
        <w:rPr>
          <w:rFonts w:hint="eastAsia"/>
          <w:color w:val="auto"/>
          <w:lang w:eastAsia="zh-CN"/>
        </w:rPr>
        <w:t>项目联系人：何艳</w:t>
      </w:r>
    </w:p>
    <w:p w14:paraId="2F11414C">
      <w:pPr>
        <w:spacing w:line="324" w:lineRule="auto"/>
        <w:rPr>
          <w:rFonts w:hint="eastAsia" w:ascii="宋体" w:hAnsi="宋体" w:cs="宋体"/>
          <w:color w:val="auto"/>
          <w:sz w:val="21"/>
          <w:szCs w:val="21"/>
          <w:highlight w:val="none"/>
        </w:rPr>
      </w:pPr>
      <w:r>
        <w:rPr>
          <w:rFonts w:hint="eastAsia"/>
          <w:color w:val="auto"/>
          <w:lang w:eastAsia="zh-CN"/>
        </w:rPr>
        <w:t>项目</w:t>
      </w:r>
      <w:r>
        <w:rPr>
          <w:rFonts w:hint="eastAsia"/>
          <w:color w:val="auto"/>
        </w:rPr>
        <w:t>联系方式</w:t>
      </w:r>
      <w:r>
        <w:rPr>
          <w:rFonts w:hint="eastAsia" w:ascii="宋体" w:hAnsi="宋体" w:cs="宋体"/>
          <w:color w:val="auto"/>
          <w:sz w:val="21"/>
          <w:szCs w:val="21"/>
          <w:highlight w:val="none"/>
        </w:rPr>
        <w:t>：0771-79</w:t>
      </w:r>
      <w:r>
        <w:rPr>
          <w:rFonts w:hint="eastAsia" w:ascii="宋体" w:hAnsi="宋体" w:cs="宋体"/>
          <w:color w:val="auto"/>
          <w:sz w:val="21"/>
          <w:szCs w:val="21"/>
          <w:highlight w:val="none"/>
          <w:lang w:val="en-US" w:eastAsia="zh-CN"/>
        </w:rPr>
        <w:t>24808</w:t>
      </w:r>
      <w:r>
        <w:rPr>
          <w:rFonts w:hint="eastAsia" w:ascii="宋体" w:hAnsi="宋体" w:cs="宋体"/>
          <w:color w:val="auto"/>
          <w:sz w:val="21"/>
          <w:szCs w:val="21"/>
          <w:highlight w:val="none"/>
        </w:rPr>
        <w:t>　　　　　　　　　　　</w:t>
      </w:r>
      <w:bookmarkStart w:id="55" w:name="_Toc17394"/>
    </w:p>
    <w:p w14:paraId="5E501716">
      <w:pPr>
        <w:numPr>
          <w:ilvl w:val="0"/>
          <w:numId w:val="2"/>
        </w:numPr>
        <w:spacing w:line="324"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项目联系方式</w:t>
      </w:r>
      <w:bookmarkEnd w:id="53"/>
      <w:bookmarkEnd w:id="54"/>
      <w:r>
        <w:rPr>
          <w:rFonts w:hint="eastAsia" w:ascii="宋体" w:hAnsi="宋体" w:cs="宋体"/>
          <w:color w:val="auto"/>
          <w:sz w:val="21"/>
          <w:szCs w:val="21"/>
          <w:highlight w:val="none"/>
        </w:rPr>
        <w:t>：</w:t>
      </w:r>
      <w:bookmarkEnd w:id="55"/>
    </w:p>
    <w:p w14:paraId="4334C080">
      <w:pPr>
        <w:spacing w:line="324" w:lineRule="auto"/>
        <w:rPr>
          <w:rFonts w:hint="eastAsia"/>
          <w:color w:val="auto"/>
          <w:lang w:eastAsia="zh-CN"/>
        </w:rPr>
      </w:pPr>
      <w:r>
        <w:rPr>
          <w:rFonts w:hint="eastAsia"/>
          <w:color w:val="auto"/>
          <w:lang w:eastAsia="zh-CN"/>
        </w:rPr>
        <w:t>项目联系人：何艳</w:t>
      </w:r>
    </w:p>
    <w:p w14:paraId="197281B2">
      <w:pPr>
        <w:spacing w:line="324" w:lineRule="auto"/>
        <w:rPr>
          <w:rFonts w:hint="eastAsia" w:ascii="宋体" w:hAnsi="宋体" w:cs="宋体"/>
          <w:color w:val="auto"/>
          <w:sz w:val="21"/>
          <w:szCs w:val="21"/>
          <w:highlight w:val="none"/>
        </w:rPr>
      </w:pPr>
      <w:r>
        <w:rPr>
          <w:rFonts w:hint="eastAsia"/>
          <w:color w:val="auto"/>
          <w:lang w:eastAsia="zh-CN"/>
        </w:rPr>
        <w:t>项目</w:t>
      </w:r>
      <w:r>
        <w:rPr>
          <w:rFonts w:hint="eastAsia"/>
          <w:color w:val="auto"/>
        </w:rPr>
        <w:t>联系方式</w:t>
      </w:r>
      <w:r>
        <w:rPr>
          <w:rFonts w:hint="eastAsia" w:ascii="宋体" w:hAnsi="宋体" w:cs="宋体"/>
          <w:color w:val="auto"/>
          <w:sz w:val="21"/>
          <w:szCs w:val="21"/>
          <w:highlight w:val="none"/>
        </w:rPr>
        <w:t>：0771-79</w:t>
      </w:r>
      <w:r>
        <w:rPr>
          <w:rFonts w:hint="eastAsia" w:ascii="宋体" w:hAnsi="宋体" w:cs="宋体"/>
          <w:color w:val="auto"/>
          <w:sz w:val="21"/>
          <w:szCs w:val="21"/>
          <w:highlight w:val="none"/>
          <w:lang w:val="en-US" w:eastAsia="zh-CN"/>
        </w:rPr>
        <w:t>24808</w:t>
      </w:r>
      <w:r>
        <w:rPr>
          <w:rFonts w:hint="eastAsia" w:ascii="宋体" w:hAnsi="宋体" w:cs="宋体"/>
          <w:color w:val="auto"/>
          <w:sz w:val="21"/>
          <w:szCs w:val="21"/>
          <w:highlight w:val="none"/>
        </w:rPr>
        <w:t>　</w:t>
      </w:r>
    </w:p>
    <w:p w14:paraId="14283EB4">
      <w:pPr>
        <w:spacing w:line="324" w:lineRule="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4.监督单位：崇左市财政局采购监督管理科  电话：0771-5962613</w:t>
      </w:r>
    </w:p>
    <w:p w14:paraId="357F8C1F">
      <w:pPr>
        <w:pStyle w:val="26"/>
        <w:rPr>
          <w:rFonts w:hint="eastAsia"/>
          <w:color w:val="auto"/>
          <w:lang w:val="en-US" w:eastAsia="zh-CN"/>
        </w:rPr>
      </w:pPr>
    </w:p>
    <w:p w14:paraId="280CBC02">
      <w:pPr>
        <w:spacing w:line="360" w:lineRule="auto"/>
        <w:ind w:right="480"/>
        <w:jc w:val="center"/>
        <w:outlineLvl w:val="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 xml:space="preserve">　　　　　　         </w:t>
      </w:r>
      <w:bookmarkStart w:id="56" w:name="_Toc5167"/>
      <w:r>
        <w:rPr>
          <w:rFonts w:hint="eastAsia" w:ascii="宋体" w:hAnsi="宋体" w:eastAsia="宋体" w:cs="宋体"/>
          <w:color w:val="auto"/>
          <w:szCs w:val="21"/>
          <w:highlight w:val="none"/>
        </w:rPr>
        <w:t>采购人名称：</w:t>
      </w:r>
      <w:bookmarkEnd w:id="56"/>
      <w:r>
        <w:rPr>
          <w:rFonts w:hint="eastAsia" w:ascii="宋体" w:hAnsi="宋体" w:cs="宋体"/>
          <w:color w:val="auto"/>
          <w:szCs w:val="21"/>
          <w:highlight w:val="none"/>
          <w:lang w:eastAsia="zh-CN"/>
        </w:rPr>
        <w:t>广西壮族自治区崇左市中级人民法院</w:t>
      </w:r>
    </w:p>
    <w:p w14:paraId="54472221">
      <w:pPr>
        <w:spacing w:line="360" w:lineRule="auto"/>
        <w:ind w:right="480"/>
        <w:jc w:val="center"/>
        <w:outlineLvl w:val="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 xml:space="preserve">                     </w:t>
      </w:r>
      <w:bookmarkStart w:id="57" w:name="_Toc8385"/>
      <w:r>
        <w:rPr>
          <w:rFonts w:hint="eastAsia" w:ascii="宋体" w:hAnsi="宋体" w:eastAsia="宋体" w:cs="宋体"/>
          <w:color w:val="auto"/>
          <w:szCs w:val="21"/>
          <w:highlight w:val="none"/>
        </w:rPr>
        <w:t>采购代理机构：</w:t>
      </w:r>
      <w:bookmarkEnd w:id="57"/>
      <w:r>
        <w:rPr>
          <w:rFonts w:hint="eastAsia" w:ascii="宋体" w:hAnsi="宋体" w:cs="宋体"/>
          <w:color w:val="auto"/>
          <w:szCs w:val="21"/>
          <w:highlight w:val="none"/>
          <w:lang w:eastAsia="zh-CN"/>
        </w:rPr>
        <w:t>广西金旺技术管理有限公司</w:t>
      </w:r>
    </w:p>
    <w:p w14:paraId="76E91554">
      <w:pPr>
        <w:spacing w:line="360" w:lineRule="auto"/>
        <w:ind w:right="480"/>
        <w:jc w:val="center"/>
        <w:outlineLvl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bookmarkStart w:id="58" w:name="_Toc31021"/>
      <w:r>
        <w:rPr>
          <w:rFonts w:hint="eastAsia" w:ascii="宋体" w:hAnsi="宋体" w:eastAsia="宋体" w:cs="宋体"/>
          <w:color w:val="auto"/>
          <w:szCs w:val="21"/>
          <w:highlight w:val="none"/>
        </w:rPr>
        <w:t>日 期：</w:t>
      </w:r>
      <w:r>
        <w:rPr>
          <w:rFonts w:hint="eastAsia" w:ascii="宋体" w:hAnsi="宋体" w:cs="宋体"/>
          <w:color w:val="auto"/>
          <w:szCs w:val="21"/>
          <w:highlight w:val="none"/>
          <w:lang w:eastAsia="zh-CN"/>
        </w:rPr>
        <w:t>202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lang w:eastAsia="zh-CN"/>
        </w:rPr>
        <w:t>年</w:t>
      </w:r>
      <w:r>
        <w:rPr>
          <w:rFonts w:hint="eastAsia" w:ascii="宋体" w:hAnsi="宋体" w:cs="宋体"/>
          <w:color w:val="auto"/>
          <w:szCs w:val="21"/>
          <w:highlight w:val="none"/>
          <w:lang w:val="en-US" w:eastAsia="zh-CN"/>
        </w:rPr>
        <w:t>5月24</w:t>
      </w:r>
      <w:r>
        <w:rPr>
          <w:rFonts w:hint="eastAsia" w:ascii="宋体" w:hAnsi="宋体" w:eastAsia="宋体" w:cs="宋体"/>
          <w:color w:val="auto"/>
          <w:szCs w:val="21"/>
          <w:highlight w:val="none"/>
        </w:rPr>
        <w:t>日</w:t>
      </w:r>
      <w:bookmarkEnd w:id="58"/>
    </w:p>
    <w:p w14:paraId="684DD672">
      <w:pPr>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sz w:val="32"/>
          <w:szCs w:val="32"/>
          <w:highlight w:val="none"/>
        </w:rPr>
      </w:pPr>
    </w:p>
    <w:p w14:paraId="3840925E">
      <w:pPr>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b/>
          <w:color w:val="auto"/>
          <w:sz w:val="32"/>
          <w:szCs w:val="32"/>
          <w:highlight w:val="none"/>
        </w:rPr>
      </w:pPr>
    </w:p>
    <w:p w14:paraId="17C185B8">
      <w:pPr>
        <w:rPr>
          <w:rFonts w:hint="eastAsia"/>
        </w:rPr>
      </w:pPr>
    </w:p>
    <w:p w14:paraId="4B507C2E">
      <w:pPr>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第二章 供应商须知</w:t>
      </w:r>
      <w:bookmarkEnd w:id="5"/>
    </w:p>
    <w:p w14:paraId="42A59AE8">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供应商须知前附表</w:t>
      </w:r>
    </w:p>
    <w:tbl>
      <w:tblPr>
        <w:tblStyle w:val="2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2"/>
        <w:gridCol w:w="7912"/>
      </w:tblGrid>
      <w:tr w14:paraId="024FE4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top"/>
          </w:tcPr>
          <w:p w14:paraId="22104D67">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w:t>
            </w:r>
          </w:p>
        </w:tc>
        <w:tc>
          <w:tcPr>
            <w:tcW w:w="7912" w:type="dxa"/>
            <w:noWrap w:val="0"/>
            <w:vAlign w:val="top"/>
          </w:tcPr>
          <w:p w14:paraId="57A803BC">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内    容</w:t>
            </w:r>
          </w:p>
        </w:tc>
      </w:tr>
      <w:tr w14:paraId="642967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1119C4EC">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7912" w:type="dxa"/>
            <w:noWrap w:val="0"/>
            <w:vAlign w:val="center"/>
          </w:tcPr>
          <w:p w14:paraId="5B8D199A">
            <w:pPr>
              <w:spacing w:line="360" w:lineRule="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供应商的资格条件</w:t>
            </w:r>
            <w:r>
              <w:rPr>
                <w:rFonts w:hint="eastAsia" w:ascii="宋体" w:hAnsi="宋体" w:eastAsia="宋体" w:cs="宋体"/>
                <w:color w:val="auto"/>
                <w:sz w:val="21"/>
                <w:szCs w:val="21"/>
                <w:highlight w:val="none"/>
              </w:rPr>
              <w:t>：详见竞争性磋商公告</w:t>
            </w:r>
          </w:p>
        </w:tc>
      </w:tr>
      <w:tr w14:paraId="6094C0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3FC81E3A">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w:t>
            </w:r>
          </w:p>
        </w:tc>
        <w:tc>
          <w:tcPr>
            <w:tcW w:w="7912" w:type="dxa"/>
            <w:noWrap w:val="0"/>
            <w:vAlign w:val="center"/>
          </w:tcPr>
          <w:p w14:paraId="526590C7">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是否接受联合体竞标: 详见竞争性磋商公告</w:t>
            </w:r>
          </w:p>
        </w:tc>
      </w:tr>
      <w:tr w14:paraId="172406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75191261">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6.2</w:t>
            </w:r>
          </w:p>
        </w:tc>
        <w:tc>
          <w:tcPr>
            <w:tcW w:w="7912" w:type="dxa"/>
            <w:noWrap w:val="0"/>
            <w:vAlign w:val="center"/>
          </w:tcPr>
          <w:p w14:paraId="4D4B6526">
            <w:pPr>
              <w:pStyle w:val="8"/>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不</w:t>
            </w:r>
            <w:r>
              <w:rPr>
                <w:rFonts w:hint="eastAsia" w:ascii="宋体" w:hAnsi="宋体" w:eastAsia="宋体" w:cs="宋体"/>
                <w:color w:val="auto"/>
                <w:sz w:val="21"/>
                <w:szCs w:val="21"/>
                <w:highlight w:val="none"/>
                <w:lang w:val="en-US" w:eastAsia="zh-CN"/>
              </w:rPr>
              <w:t>允许分包</w:t>
            </w:r>
            <w:r>
              <w:rPr>
                <w:rFonts w:hint="eastAsia" w:ascii="宋体" w:hAnsi="宋体" w:cs="宋体"/>
                <w:color w:val="auto"/>
                <w:sz w:val="21"/>
                <w:szCs w:val="21"/>
                <w:highlight w:val="none"/>
                <w:lang w:val="en-US" w:eastAsia="zh-CN"/>
              </w:rPr>
              <w:t>。</w:t>
            </w:r>
          </w:p>
        </w:tc>
      </w:tr>
      <w:tr w14:paraId="1C91D7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118E8E2F">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12.1.1</w:t>
            </w:r>
          </w:p>
        </w:tc>
        <w:tc>
          <w:tcPr>
            <w:tcW w:w="7912" w:type="dxa"/>
            <w:noWrap w:val="0"/>
            <w:vAlign w:val="center"/>
          </w:tcPr>
          <w:p w14:paraId="34E1A280">
            <w:pPr>
              <w:snapToGrid w:val="0"/>
              <w:spacing w:line="360" w:lineRule="auto"/>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资格证明文件</w:t>
            </w:r>
          </w:p>
          <w:p w14:paraId="4E62FF6A">
            <w:pPr>
              <w:pStyle w:val="31"/>
              <w:keepNext w:val="0"/>
              <w:keepLines w:val="0"/>
              <w:pageBreakBefore w:val="0"/>
              <w:widowControl w:val="0"/>
              <w:kinsoku/>
              <w:wordWrap/>
              <w:overflowPunct/>
              <w:topLinePunct w:val="0"/>
              <w:autoSpaceDE/>
              <w:autoSpaceDN/>
              <w:bidi w:val="0"/>
              <w:adjustRightInd/>
              <w:spacing w:line="360" w:lineRule="auto"/>
              <w:textAlignment w:val="auto"/>
              <w:rPr>
                <w:rFonts w:ascii="宋体" w:hAnsi="宋体"/>
                <w:color w:val="000000" w:themeColor="text1"/>
                <w:szCs w:val="21"/>
                <w:highlight w:val="none"/>
                <w14:textFill>
                  <w14:solidFill>
                    <w14:schemeClr w14:val="tx1"/>
                  </w14:solidFill>
                </w14:textFill>
              </w:rPr>
            </w:pPr>
            <w:r>
              <w:rPr>
                <w:rFonts w:hint="eastAsia" w:ascii="宋体" w:hAnsi="宋体" w:eastAsia="宋体" w:cs="宋体"/>
                <w:color w:val="auto"/>
                <w:sz w:val="21"/>
                <w:szCs w:val="21"/>
                <w:highlight w:val="none"/>
                <w:lang w:val="en-US" w:eastAsia="zh-CN"/>
              </w:rPr>
              <w:t>1.</w:t>
            </w:r>
            <w:r>
              <w:rPr>
                <w:rFonts w:hint="eastAsia" w:ascii="宋体" w:hAnsi="宋体"/>
                <w:color w:val="000000" w:themeColor="text1"/>
                <w:szCs w:val="21"/>
                <w:highlight w:val="none"/>
                <w:lang w:eastAsia="zh-CN"/>
                <w14:textFill>
                  <w14:solidFill>
                    <w14:schemeClr w14:val="tx1"/>
                  </w14:solidFill>
                </w14:textFill>
              </w:rPr>
              <w:t>崇左市政府采购供应商信用承诺</w:t>
            </w:r>
            <w:r>
              <w:rPr>
                <w:rFonts w:hint="eastAsia" w:ascii="宋体" w:hAnsi="宋体" w:cs="Times New Roman"/>
                <w:color w:val="000000" w:themeColor="text1"/>
                <w:szCs w:val="21"/>
                <w:highlight w:val="none"/>
                <w:lang w:eastAsia="zh-CN"/>
                <w14:textFill>
                  <w14:solidFill>
                    <w14:schemeClr w14:val="tx1"/>
                  </w14:solidFill>
                </w14:textFill>
              </w:rPr>
              <w:t>函</w:t>
            </w:r>
            <w:r>
              <w:rPr>
                <w:rFonts w:ascii="宋体" w:hAnsi="宋体" w:cs="Times New Roman"/>
                <w:color w:val="000000" w:themeColor="text1"/>
                <w:szCs w:val="21"/>
                <w:highlight w:val="none"/>
                <w14:textFill>
                  <w14:solidFill>
                    <w14:schemeClr w14:val="tx1"/>
                  </w14:solidFill>
                </w14:textFill>
              </w:rPr>
              <w:t>；</w:t>
            </w:r>
            <w:r>
              <w:rPr>
                <w:rFonts w:hint="eastAsia" w:ascii="宋体" w:hAnsi="宋体" w:cs="Times New Roman"/>
                <w:b/>
                <w:bCs/>
                <w:color w:val="000000" w:themeColor="text1"/>
                <w:szCs w:val="21"/>
                <w:highlight w:val="none"/>
                <w14:textFill>
                  <w14:solidFill>
                    <w14:schemeClr w14:val="tx1"/>
                  </w14:solidFill>
                </w14:textFill>
              </w:rPr>
              <w:t>（</w:t>
            </w:r>
            <w:r>
              <w:rPr>
                <w:rFonts w:hint="eastAsia" w:ascii="宋体" w:hAnsi="宋体" w:cs="Times New Roman"/>
                <w:b/>
                <w:bCs/>
                <w:color w:val="000000" w:themeColor="text1"/>
                <w:szCs w:val="21"/>
                <w:highlight w:val="none"/>
                <w:lang w:eastAsia="zh-CN"/>
                <w14:textFill>
                  <w14:solidFill>
                    <w14:schemeClr w14:val="tx1"/>
                  </w14:solidFill>
                </w14:textFill>
              </w:rPr>
              <w:t>格式</w:t>
            </w:r>
            <w:r>
              <w:rPr>
                <w:rFonts w:hint="eastAsia" w:asciiTheme="majorEastAsia" w:hAnsiTheme="majorEastAsia" w:eastAsiaTheme="majorEastAsia" w:cstheme="majorEastAsia"/>
                <w:b/>
                <w:bCs/>
                <w:color w:val="000000" w:themeColor="text1"/>
                <w:sz w:val="21"/>
                <w:szCs w:val="21"/>
                <w:highlight w:val="none"/>
                <w:lang w:eastAsia="zh-CN"/>
                <w14:textFill>
                  <w14:solidFill>
                    <w14:schemeClr w14:val="tx1"/>
                  </w14:solidFill>
                </w14:textFill>
              </w:rPr>
              <w:t>后附，</w:t>
            </w:r>
            <w:r>
              <w:rPr>
                <w:rFonts w:hint="eastAsia" w:asciiTheme="majorEastAsia" w:hAnsiTheme="majorEastAsia" w:eastAsiaTheme="majorEastAsia" w:cstheme="majorEastAsia"/>
                <w:b/>
                <w:bCs/>
                <w:color w:val="000000" w:themeColor="text1"/>
                <w:sz w:val="21"/>
                <w:szCs w:val="21"/>
                <w:highlight w:val="none"/>
                <w14:textFill>
                  <w14:solidFill>
                    <w14:schemeClr w14:val="tx1"/>
                  </w14:solidFill>
                </w14:textFill>
              </w:rPr>
              <w:t>必须提供，否则响应文件按无效响应处理）</w:t>
            </w:r>
          </w:p>
          <w:p w14:paraId="6ABE9EB6">
            <w:pPr>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2.供应商直接控股、管理关系信息表（格式后附）；（</w:t>
            </w:r>
            <w:r>
              <w:rPr>
                <w:rFonts w:hint="eastAsia" w:ascii="宋体" w:hAnsi="宋体" w:eastAsia="宋体" w:cs="宋体"/>
                <w:b/>
                <w:color w:val="auto"/>
                <w:sz w:val="21"/>
                <w:szCs w:val="21"/>
                <w:highlight w:val="none"/>
              </w:rPr>
              <w:t>必须提供，否则响应文件按无效响应处理</w:t>
            </w:r>
            <w:r>
              <w:rPr>
                <w:rFonts w:hint="eastAsia" w:ascii="宋体" w:hAnsi="宋体" w:eastAsia="宋体" w:cs="宋体"/>
                <w:color w:val="auto"/>
                <w:sz w:val="21"/>
                <w:szCs w:val="21"/>
                <w:highlight w:val="none"/>
              </w:rPr>
              <w:t>）</w:t>
            </w:r>
          </w:p>
          <w:p w14:paraId="18A1CDBB">
            <w:pPr>
              <w:snapToGrid w:val="0"/>
              <w:spacing w:line="360" w:lineRule="auto"/>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.竞标声明（格式后附）；（</w:t>
            </w:r>
            <w:r>
              <w:rPr>
                <w:rFonts w:hint="eastAsia" w:ascii="宋体" w:hAnsi="宋体" w:eastAsia="宋体" w:cs="宋体"/>
                <w:b/>
                <w:color w:val="auto"/>
                <w:sz w:val="21"/>
                <w:szCs w:val="21"/>
                <w:highlight w:val="none"/>
              </w:rPr>
              <w:t>必须提供，否则响应文件按无效响应处理</w:t>
            </w:r>
            <w:r>
              <w:rPr>
                <w:rFonts w:hint="eastAsia" w:ascii="宋体" w:hAnsi="宋体" w:eastAsia="宋体" w:cs="宋体"/>
                <w:color w:val="auto"/>
                <w:sz w:val="21"/>
                <w:szCs w:val="21"/>
                <w:highlight w:val="none"/>
              </w:rPr>
              <w:t>）</w:t>
            </w:r>
          </w:p>
          <w:p w14:paraId="2D5E91F9">
            <w:pPr>
              <w:pStyle w:val="31"/>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Cs w:val="21"/>
                <w:highlight w:val="none"/>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w:t>
            </w:r>
            <w:r>
              <w:rPr>
                <w:rFonts w:hint="eastAsia" w:ascii="宋体" w:hAnsi="宋体" w:eastAsia="宋体" w:cs="Times New Roman"/>
                <w:color w:val="auto"/>
                <w:szCs w:val="21"/>
                <w:highlight w:val="none"/>
                <w:lang w:eastAsia="zh-CN"/>
              </w:rPr>
              <w:t>中小企业声明函或《政府采购促进中小企业发展管理办法财库〔2020〕46号》要求提供的证明文件</w:t>
            </w:r>
            <w:r>
              <w:rPr>
                <w:rFonts w:ascii="宋体" w:hAnsi="宋体"/>
                <w:b/>
                <w:bCs/>
                <w:color w:val="auto"/>
                <w:szCs w:val="21"/>
                <w:highlight w:val="none"/>
              </w:rPr>
              <w:t>（必须提供</w:t>
            </w:r>
            <w:r>
              <w:rPr>
                <w:rFonts w:hint="eastAsia" w:ascii="宋体" w:hAnsi="宋体"/>
                <w:b/>
                <w:bCs/>
                <w:color w:val="auto"/>
                <w:szCs w:val="21"/>
                <w:highlight w:val="none"/>
                <w:lang w:eastAsia="zh-CN"/>
              </w:rPr>
              <w:t>，否则竞标无效</w:t>
            </w:r>
            <w:r>
              <w:rPr>
                <w:rFonts w:ascii="宋体" w:hAnsi="宋体"/>
                <w:b/>
                <w:bCs/>
                <w:color w:val="auto"/>
                <w:szCs w:val="21"/>
                <w:highlight w:val="none"/>
              </w:rPr>
              <w:t>）</w:t>
            </w:r>
          </w:p>
          <w:p w14:paraId="37EA1863">
            <w:pPr>
              <w:snapToGrid w:val="0"/>
              <w:spacing w:line="360" w:lineRule="auto"/>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除磋商文件规定必须提供以外，供应商认为需要提供的其他证明材料；</w:t>
            </w:r>
          </w:p>
          <w:p w14:paraId="1F2C7431">
            <w:pPr>
              <w:snapToGrid w:val="0"/>
              <w:spacing w:line="360" w:lineRule="auto"/>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注：</w:t>
            </w:r>
          </w:p>
          <w:p w14:paraId="46849B00">
            <w:pPr>
              <w:snapToGrid w:val="0"/>
              <w:spacing w:line="360" w:lineRule="auto"/>
              <w:ind w:firstLine="413" w:firstLineChars="196"/>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1.以上标明“必须提供”的材料属于复印件的，必须加盖供应商公章，否则响应文件按无效响应处理。</w:t>
            </w:r>
          </w:p>
          <w:p w14:paraId="0589D807">
            <w:pPr>
              <w:snapToGrid w:val="0"/>
              <w:spacing w:line="360" w:lineRule="auto"/>
              <w:ind w:firstLine="422" w:firstLineChars="200"/>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2.竞标声明必须由法定代表人在规定签章处签字</w:t>
            </w:r>
            <w:r>
              <w:rPr>
                <w:rFonts w:hint="eastAsia" w:ascii="宋体" w:hAnsi="宋体" w:eastAsia="宋体" w:cs="宋体"/>
                <w:b/>
                <w:color w:val="auto"/>
                <w:sz w:val="21"/>
                <w:szCs w:val="21"/>
                <w:highlight w:val="none"/>
                <w:lang w:eastAsia="zh-CN"/>
              </w:rPr>
              <w:t>或盖章</w:t>
            </w:r>
            <w:r>
              <w:rPr>
                <w:rFonts w:hint="eastAsia" w:ascii="宋体" w:hAnsi="宋体" w:eastAsia="宋体" w:cs="宋体"/>
                <w:b/>
                <w:color w:val="auto"/>
                <w:sz w:val="21"/>
                <w:szCs w:val="21"/>
                <w:highlight w:val="none"/>
              </w:rPr>
              <w:t>并加盖供应商公章，否则响应文件按无效响应处理。</w:t>
            </w:r>
          </w:p>
          <w:p w14:paraId="686C0225">
            <w:pPr>
              <w:snapToGrid w:val="0"/>
              <w:spacing w:line="360" w:lineRule="auto"/>
              <w:ind w:firstLine="422" w:firstLineChars="200"/>
              <w:jc w:val="left"/>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rPr>
              <w:t>3.供应商直接控股、管理关系信息表必须由法定代表人或者委托代理人在规定签章处签字并加盖供应商公章，否则响应文件按无效响应处理。</w:t>
            </w:r>
          </w:p>
        </w:tc>
      </w:tr>
      <w:tr w14:paraId="0B1AD0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0773AFDE">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12.1.2</w:t>
            </w:r>
          </w:p>
        </w:tc>
        <w:tc>
          <w:tcPr>
            <w:tcW w:w="7912" w:type="dxa"/>
            <w:noWrap w:val="0"/>
            <w:vAlign w:val="center"/>
          </w:tcPr>
          <w:p w14:paraId="59142E74">
            <w:pPr>
              <w:spacing w:line="360" w:lineRule="auto"/>
              <w:rPr>
                <w:rFonts w:hint="eastAsia" w:ascii="宋体" w:hAnsi="宋体" w:eastAsia="宋体" w:cs="宋体"/>
                <w:b/>
                <w:bCs/>
                <w:color w:val="auto"/>
                <w:sz w:val="21"/>
                <w:szCs w:val="21"/>
                <w:highlight w:val="none"/>
                <w:lang w:eastAsia="zh-CN"/>
              </w:rPr>
            </w:pPr>
            <w:r>
              <w:rPr>
                <w:rFonts w:hint="eastAsia" w:ascii="宋体" w:hAnsi="宋体" w:cs="宋体"/>
                <w:b/>
                <w:bCs/>
                <w:color w:val="auto"/>
                <w:sz w:val="21"/>
                <w:szCs w:val="21"/>
                <w:highlight w:val="none"/>
                <w:lang w:eastAsia="zh-CN"/>
              </w:rPr>
              <w:t>商务报价文件</w:t>
            </w:r>
          </w:p>
          <w:p w14:paraId="101537B1">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1.无串通竞标行为的承诺函（格式后附）；（</w:t>
            </w:r>
            <w:r>
              <w:rPr>
                <w:rFonts w:hint="eastAsia" w:ascii="宋体" w:hAnsi="宋体" w:eastAsia="宋体" w:cs="宋体"/>
                <w:b/>
                <w:color w:val="auto"/>
                <w:sz w:val="21"/>
                <w:szCs w:val="21"/>
                <w:highlight w:val="none"/>
              </w:rPr>
              <w:t>必须提供，否则响应文件按无效响应处理</w:t>
            </w:r>
            <w:r>
              <w:rPr>
                <w:rFonts w:hint="eastAsia" w:ascii="宋体" w:hAnsi="宋体" w:eastAsia="宋体" w:cs="宋体"/>
                <w:color w:val="auto"/>
                <w:sz w:val="21"/>
                <w:szCs w:val="21"/>
                <w:highlight w:val="none"/>
              </w:rPr>
              <w:t>）</w:t>
            </w:r>
          </w:p>
          <w:p w14:paraId="7F070CAD">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2.竞标报价表（格式后附）；（</w:t>
            </w:r>
            <w:r>
              <w:rPr>
                <w:rFonts w:hint="eastAsia" w:ascii="宋体" w:hAnsi="宋体" w:eastAsia="宋体" w:cs="宋体"/>
                <w:b/>
                <w:color w:val="auto"/>
                <w:sz w:val="21"/>
                <w:szCs w:val="21"/>
                <w:highlight w:val="none"/>
              </w:rPr>
              <w:t>必须提供，否则响应文件按无效响应处理</w:t>
            </w:r>
            <w:r>
              <w:rPr>
                <w:rFonts w:hint="eastAsia" w:ascii="宋体" w:hAnsi="宋体" w:eastAsia="宋体" w:cs="宋体"/>
                <w:color w:val="auto"/>
                <w:sz w:val="21"/>
                <w:szCs w:val="21"/>
                <w:highlight w:val="none"/>
              </w:rPr>
              <w:t>）</w:t>
            </w:r>
          </w:p>
          <w:p w14:paraId="72AA880A">
            <w:pPr>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3.法定代表人身份证明书及法定代表人有效身份证正反面复印件（格式后附）；（</w:t>
            </w:r>
            <w:r>
              <w:rPr>
                <w:rFonts w:hint="eastAsia" w:ascii="宋体" w:hAnsi="宋体" w:eastAsia="宋体" w:cs="宋体"/>
                <w:b/>
                <w:bCs/>
                <w:color w:val="auto"/>
                <w:sz w:val="21"/>
                <w:szCs w:val="21"/>
                <w:highlight w:val="none"/>
              </w:rPr>
              <w:t>除自然人竞标外</w:t>
            </w:r>
            <w:r>
              <w:rPr>
                <w:rFonts w:hint="eastAsia" w:ascii="宋体" w:hAnsi="宋体" w:eastAsia="宋体" w:cs="宋体"/>
                <w:b/>
                <w:color w:val="auto"/>
                <w:sz w:val="21"/>
                <w:szCs w:val="21"/>
                <w:highlight w:val="none"/>
              </w:rPr>
              <w:t>必须提供，否则响应文件按无效响应处理</w:t>
            </w:r>
            <w:r>
              <w:rPr>
                <w:rFonts w:hint="eastAsia" w:ascii="宋体" w:hAnsi="宋体" w:eastAsia="宋体" w:cs="宋体"/>
                <w:color w:val="auto"/>
                <w:sz w:val="21"/>
                <w:szCs w:val="21"/>
                <w:highlight w:val="none"/>
              </w:rPr>
              <w:t>）</w:t>
            </w:r>
          </w:p>
          <w:p w14:paraId="324283EA">
            <w:pPr>
              <w:spacing w:line="360" w:lineRule="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4.法定代表人授权委托书及委托代理人有效身份证正反面复印件（格式后附）；（</w:t>
            </w:r>
            <w:r>
              <w:rPr>
                <w:rFonts w:hint="eastAsia" w:ascii="宋体" w:hAnsi="宋体" w:eastAsia="宋体" w:cs="宋体"/>
                <w:b/>
                <w:color w:val="auto"/>
                <w:sz w:val="21"/>
                <w:szCs w:val="21"/>
                <w:highlight w:val="none"/>
              </w:rPr>
              <w:t>委托时必须提供，否则响应文件按无效响应处理</w:t>
            </w:r>
            <w:r>
              <w:rPr>
                <w:rFonts w:hint="eastAsia" w:ascii="宋体" w:hAnsi="宋体" w:eastAsia="宋体" w:cs="宋体"/>
                <w:color w:val="auto"/>
                <w:sz w:val="21"/>
                <w:szCs w:val="21"/>
                <w:highlight w:val="none"/>
              </w:rPr>
              <w:t>）</w:t>
            </w:r>
          </w:p>
          <w:p w14:paraId="1D4ABF27">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5.商务条款偏离表（格式后附）；（</w:t>
            </w:r>
            <w:r>
              <w:rPr>
                <w:rFonts w:hint="eastAsia" w:ascii="宋体" w:hAnsi="宋体" w:eastAsia="宋体" w:cs="宋体"/>
                <w:b/>
                <w:color w:val="auto"/>
                <w:sz w:val="21"/>
                <w:szCs w:val="21"/>
                <w:highlight w:val="none"/>
              </w:rPr>
              <w:t>必须提供，否则响应文件按无效响应处理</w:t>
            </w:r>
            <w:r>
              <w:rPr>
                <w:rFonts w:hint="eastAsia" w:ascii="宋体" w:hAnsi="宋体" w:eastAsia="宋体" w:cs="宋体"/>
                <w:color w:val="auto"/>
                <w:sz w:val="21"/>
                <w:szCs w:val="21"/>
                <w:highlight w:val="none"/>
              </w:rPr>
              <w:t>）</w:t>
            </w:r>
          </w:p>
          <w:p w14:paraId="0F286A31">
            <w:pPr>
              <w:spacing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.对应采购需求的商务条款提供的其他文件资料；</w:t>
            </w:r>
            <w:r>
              <w:rPr>
                <w:rFonts w:hint="eastAsia" w:ascii="宋体" w:hAnsi="宋体" w:cs="宋体"/>
                <w:color w:val="auto"/>
                <w:sz w:val="21"/>
                <w:szCs w:val="21"/>
                <w:highlight w:val="none"/>
                <w:lang w:eastAsia="zh-CN"/>
              </w:rPr>
              <w:t>（如有，请提供）</w:t>
            </w:r>
          </w:p>
          <w:p w14:paraId="72898560">
            <w:pPr>
              <w:spacing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.供应商认为需要提供的其他有关资料。</w:t>
            </w:r>
            <w:r>
              <w:rPr>
                <w:rFonts w:hint="eastAsia" w:ascii="宋体" w:hAnsi="宋体" w:cs="宋体"/>
                <w:color w:val="auto"/>
                <w:sz w:val="21"/>
                <w:szCs w:val="21"/>
                <w:highlight w:val="none"/>
                <w:lang w:eastAsia="zh-CN"/>
              </w:rPr>
              <w:t>（如有，请提供）</w:t>
            </w:r>
          </w:p>
          <w:p w14:paraId="70261FDC">
            <w:pPr>
              <w:snapToGrid w:val="0"/>
              <w:spacing w:line="360" w:lineRule="auto"/>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注： </w:t>
            </w:r>
          </w:p>
          <w:p w14:paraId="25284294">
            <w:pPr>
              <w:snapToGrid w:val="0"/>
              <w:spacing w:line="360" w:lineRule="auto"/>
              <w:ind w:firstLine="413" w:firstLineChars="196"/>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1.法定代表人授权委托书必须由法定代表人及委托代理人签字，并加盖供应商公章，否则响应文件按无效响应处理。</w:t>
            </w:r>
          </w:p>
          <w:p w14:paraId="5A95EAAF">
            <w:pPr>
              <w:spacing w:line="360" w:lineRule="auto"/>
              <w:ind w:firstLine="413" w:firstLineChars="196"/>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2.以上标明“必须提供”的材料属于复印件的，必须加盖供应商公章，否则响应文件按无效响应处理。</w:t>
            </w:r>
          </w:p>
          <w:p w14:paraId="748FDE3D">
            <w:pPr>
              <w:spacing w:line="360" w:lineRule="auto"/>
              <w:ind w:firstLine="413" w:firstLineChars="196"/>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3.以上材料未附格式的，由供应商自行拟定。</w:t>
            </w:r>
          </w:p>
        </w:tc>
      </w:tr>
      <w:tr w14:paraId="4DC219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5AF0C018">
            <w:pPr>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12.1.3</w:t>
            </w:r>
          </w:p>
        </w:tc>
        <w:tc>
          <w:tcPr>
            <w:tcW w:w="7912" w:type="dxa"/>
            <w:noWrap w:val="0"/>
            <w:vAlign w:val="center"/>
          </w:tcPr>
          <w:p w14:paraId="5261DD5A">
            <w:pPr>
              <w:spacing w:line="360" w:lineRule="auto"/>
              <w:rPr>
                <w:rFonts w:hint="eastAsia" w:ascii="宋体" w:hAnsi="宋体" w:cs="宋体"/>
                <w:b/>
                <w:bCs/>
                <w:color w:val="auto"/>
                <w:sz w:val="21"/>
                <w:szCs w:val="21"/>
                <w:highlight w:val="none"/>
                <w:lang w:eastAsia="zh-CN"/>
              </w:rPr>
            </w:pPr>
            <w:r>
              <w:rPr>
                <w:rFonts w:hint="eastAsia" w:ascii="宋体" w:hAnsi="宋体" w:cs="宋体"/>
                <w:b/>
                <w:bCs/>
                <w:color w:val="auto"/>
                <w:sz w:val="21"/>
                <w:szCs w:val="21"/>
                <w:highlight w:val="none"/>
                <w:lang w:eastAsia="zh-CN"/>
              </w:rPr>
              <w:t>技术文件</w:t>
            </w:r>
          </w:p>
          <w:p w14:paraId="60954D89">
            <w:pPr>
              <w:spacing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.服务方案；（</w:t>
            </w:r>
            <w:r>
              <w:rPr>
                <w:rFonts w:hint="eastAsia" w:ascii="宋体" w:hAnsi="宋体" w:cs="宋体"/>
                <w:b/>
                <w:color w:val="auto"/>
                <w:sz w:val="21"/>
                <w:szCs w:val="21"/>
                <w:highlight w:val="none"/>
                <w:lang w:eastAsia="zh-CN"/>
              </w:rPr>
              <w:t>格式自拟</w:t>
            </w:r>
            <w:r>
              <w:rPr>
                <w:rFonts w:hint="eastAsia" w:ascii="宋体" w:hAnsi="宋体" w:eastAsia="宋体" w:cs="宋体"/>
                <w:color w:val="auto"/>
                <w:sz w:val="21"/>
                <w:szCs w:val="21"/>
                <w:highlight w:val="none"/>
              </w:rPr>
              <w:t>）</w:t>
            </w:r>
          </w:p>
          <w:p w14:paraId="1F5E7E7E">
            <w:pPr>
              <w:spacing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.技术需求偏离表（格式后附）；（</w:t>
            </w:r>
            <w:r>
              <w:rPr>
                <w:rFonts w:hint="eastAsia" w:ascii="宋体" w:hAnsi="宋体" w:eastAsia="宋体" w:cs="宋体"/>
                <w:b/>
                <w:color w:val="auto"/>
                <w:sz w:val="21"/>
                <w:szCs w:val="21"/>
                <w:highlight w:val="none"/>
              </w:rPr>
              <w:t>必须提供，否则响应文件按无效响应处理</w:t>
            </w:r>
            <w:r>
              <w:rPr>
                <w:rFonts w:hint="eastAsia" w:ascii="宋体" w:hAnsi="宋体" w:eastAsia="宋体" w:cs="宋体"/>
                <w:color w:val="auto"/>
                <w:sz w:val="21"/>
                <w:szCs w:val="21"/>
                <w:highlight w:val="none"/>
              </w:rPr>
              <w:t>）</w:t>
            </w:r>
          </w:p>
          <w:p w14:paraId="31E8E56B">
            <w:pPr>
              <w:spacing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 xml:space="preserve">.项目实施人员一览表（格式自拟）； </w:t>
            </w:r>
          </w:p>
          <w:p w14:paraId="77F76574">
            <w:pPr>
              <w:spacing w:line="360" w:lineRule="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.对应采购需求的技术需求提供的其他文件资料；</w:t>
            </w:r>
            <w:r>
              <w:rPr>
                <w:rFonts w:hint="eastAsia" w:ascii="宋体" w:hAnsi="宋体" w:cs="宋体"/>
                <w:color w:val="auto"/>
                <w:sz w:val="21"/>
                <w:szCs w:val="21"/>
                <w:highlight w:val="none"/>
                <w:lang w:eastAsia="zh-CN"/>
              </w:rPr>
              <w:t>（如有，请提供）</w:t>
            </w:r>
          </w:p>
          <w:p w14:paraId="51393235">
            <w:pPr>
              <w:spacing w:line="360" w:lineRule="auto"/>
              <w:rPr>
                <w:rFonts w:hint="eastAsia" w:ascii="宋体" w:hAnsi="宋体" w:eastAsia="宋体" w:cs="宋体"/>
                <w:b/>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.供应商认为需要提供的其他有关资料。</w:t>
            </w:r>
            <w:r>
              <w:rPr>
                <w:rFonts w:hint="eastAsia" w:ascii="宋体" w:hAnsi="宋体" w:cs="宋体"/>
                <w:color w:val="auto"/>
                <w:sz w:val="21"/>
                <w:szCs w:val="21"/>
                <w:highlight w:val="none"/>
                <w:lang w:eastAsia="zh-CN"/>
              </w:rPr>
              <w:t>（如有，请提供）</w:t>
            </w:r>
          </w:p>
        </w:tc>
      </w:tr>
      <w:tr w14:paraId="096BD9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225F9F26">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 xml:space="preserve"> </w:t>
            </w:r>
            <w:r>
              <w:rPr>
                <w:rFonts w:hint="eastAsia" w:ascii="宋体" w:hAnsi="宋体" w:eastAsia="宋体" w:cs="宋体"/>
                <w:color w:val="auto"/>
                <w:sz w:val="21"/>
                <w:szCs w:val="21"/>
                <w:highlight w:val="none"/>
              </w:rPr>
              <w:t>12.2</w:t>
            </w:r>
          </w:p>
        </w:tc>
        <w:tc>
          <w:tcPr>
            <w:tcW w:w="7912" w:type="dxa"/>
            <w:noWrap w:val="0"/>
            <w:vAlign w:val="center"/>
          </w:tcPr>
          <w:p w14:paraId="2BBFE032">
            <w:pPr>
              <w:snapToGrid w:val="0"/>
              <w:spacing w:line="360" w:lineRule="auto"/>
              <w:jc w:val="left"/>
              <w:rPr>
                <w:rFonts w:hint="eastAsia" w:ascii="宋体" w:hAnsi="宋体" w:eastAsia="宋体" w:cs="宋体"/>
                <w:color w:val="auto"/>
                <w:sz w:val="21"/>
                <w:szCs w:val="21"/>
                <w:highlight w:val="none"/>
              </w:rPr>
            </w:pPr>
            <w:r>
              <w:rPr>
                <w:rFonts w:hint="eastAsia" w:ascii="宋体" w:hAnsi="宋体" w:cs="宋体"/>
                <w:color w:val="auto"/>
                <w:szCs w:val="21"/>
                <w:highlight w:val="none"/>
                <w:lang w:eastAsia="zh-CN"/>
              </w:rPr>
              <w:t>由竞标人视自身情况自愿提交电子版备份响应文件。</w:t>
            </w:r>
          </w:p>
        </w:tc>
      </w:tr>
      <w:tr w14:paraId="2A5197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79CD1889">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15.2</w:t>
            </w:r>
          </w:p>
        </w:tc>
        <w:tc>
          <w:tcPr>
            <w:tcW w:w="7912" w:type="dxa"/>
            <w:noWrap w:val="0"/>
            <w:vAlign w:val="center"/>
          </w:tcPr>
          <w:p w14:paraId="1F37BE2D">
            <w:pPr>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竞标报价必须包含满足本次竞标全部采购需求所应提供的服务，以及伴随的货物和工程（如有）的价格；包含竞标</w:t>
            </w:r>
            <w:r>
              <w:rPr>
                <w:rFonts w:hint="eastAsia" w:ascii="宋体" w:hAnsi="宋体" w:cs="宋体"/>
                <w:color w:val="auto"/>
                <w:sz w:val="21"/>
                <w:szCs w:val="21"/>
                <w:highlight w:val="none"/>
                <w:lang w:eastAsia="zh-CN"/>
              </w:rPr>
              <w:t>所有服务工作</w:t>
            </w:r>
            <w:r>
              <w:rPr>
                <w:rFonts w:hint="eastAsia" w:ascii="宋体" w:hAnsi="宋体" w:eastAsia="宋体" w:cs="宋体"/>
                <w:color w:val="auto"/>
                <w:sz w:val="21"/>
                <w:szCs w:val="21"/>
                <w:highlight w:val="none"/>
              </w:rPr>
              <w:t>、税费等所有费用。</w:t>
            </w:r>
          </w:p>
        </w:tc>
      </w:tr>
      <w:tr w14:paraId="3A6439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2F931920">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16.2</w:t>
            </w:r>
          </w:p>
        </w:tc>
        <w:tc>
          <w:tcPr>
            <w:tcW w:w="7912" w:type="dxa"/>
            <w:noWrap w:val="0"/>
            <w:vAlign w:val="center"/>
          </w:tcPr>
          <w:p w14:paraId="2D375EAC">
            <w:pPr>
              <w:pStyle w:val="6"/>
              <w:widowControl w:val="0"/>
              <w:numPr>
                <w:ilvl w:val="0"/>
                <w:numId w:val="0"/>
              </w:numPr>
              <w:tabs>
                <w:tab w:val="left" w:pos="720"/>
                <w:tab w:val="left" w:pos="840"/>
                <w:tab w:val="clear" w:pos="360"/>
              </w:tabs>
              <w:snapToGrid w:val="0"/>
              <w:spacing w:afterLines="0" w:line="360" w:lineRule="auto"/>
              <w:ind w:leftChars="-135" w:firstLine="210" w:firstLineChars="1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竞标有效期：自首次响应文件提交截止之日起</w:t>
            </w:r>
            <w:r>
              <w:rPr>
                <w:rFonts w:hint="eastAsia" w:ascii="宋体" w:hAnsi="宋体" w:eastAsia="宋体" w:cs="宋体"/>
                <w:color w:val="auto"/>
                <w:kern w:val="2"/>
                <w:sz w:val="21"/>
                <w:szCs w:val="21"/>
                <w:highlight w:val="none"/>
                <w:u w:val="single"/>
                <w:lang w:val="en-US" w:eastAsia="zh-CN"/>
              </w:rPr>
              <w:t>45</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日。</w:t>
            </w:r>
          </w:p>
        </w:tc>
      </w:tr>
      <w:tr w14:paraId="5957A4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52FADE55">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17.1</w:t>
            </w:r>
          </w:p>
        </w:tc>
        <w:tc>
          <w:tcPr>
            <w:tcW w:w="7912" w:type="dxa"/>
            <w:noWrap w:val="0"/>
            <w:vAlign w:val="center"/>
          </w:tcPr>
          <w:p w14:paraId="65C1610D">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磋商保证金金额：无。</w:t>
            </w:r>
          </w:p>
        </w:tc>
      </w:tr>
      <w:tr w14:paraId="70C4B6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2A34715C">
            <w:pPr>
              <w:spacing w:line="360" w:lineRule="auto"/>
              <w:jc w:val="center"/>
              <w:rPr>
                <w:rFonts w:hint="eastAsia" w:ascii="宋体" w:hAnsi="宋体" w:eastAsia="宋体" w:cs="宋体"/>
                <w:color w:val="auto"/>
                <w:sz w:val="21"/>
                <w:szCs w:val="21"/>
                <w:highlight w:val="none"/>
              </w:rPr>
            </w:pPr>
            <w:r>
              <w:rPr>
                <w:rFonts w:hint="eastAsia" w:ascii="宋体" w:hAnsi="宋体" w:cs="宋体"/>
                <w:color w:val="auto"/>
                <w:szCs w:val="21"/>
                <w:highlight w:val="none"/>
              </w:rPr>
              <w:t>18.2</w:t>
            </w:r>
          </w:p>
        </w:tc>
        <w:tc>
          <w:tcPr>
            <w:tcW w:w="7912" w:type="dxa"/>
            <w:noWrap w:val="0"/>
            <w:vAlign w:val="center"/>
          </w:tcPr>
          <w:p w14:paraId="159E2703">
            <w:pPr>
              <w:keepNext w:val="0"/>
              <w:keepLines w:val="0"/>
              <w:widowControl/>
              <w:suppressLineNumbers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响应文件份数：</w:t>
            </w:r>
          </w:p>
          <w:p w14:paraId="5104E40F">
            <w:pPr>
              <w:keepNext w:val="0"/>
              <w:keepLines w:val="0"/>
              <w:widowControl/>
              <w:suppressLineNumbers w:val="0"/>
              <w:spacing w:line="360" w:lineRule="auto"/>
              <w:jc w:val="left"/>
              <w:rPr>
                <w:color w:val="auto"/>
                <w:highlight w:val="none"/>
              </w:rPr>
            </w:pPr>
            <w:r>
              <w:rPr>
                <w:rFonts w:hint="eastAsia" w:ascii="宋体" w:hAnsi="宋体" w:eastAsia="宋体" w:cs="宋体"/>
                <w:color w:val="auto"/>
                <w:kern w:val="0"/>
                <w:sz w:val="21"/>
                <w:szCs w:val="21"/>
                <w:highlight w:val="none"/>
                <w:lang w:val="en-US" w:eastAsia="zh-CN" w:bidi="ar"/>
              </w:rPr>
              <w:t>1.电子响应文件，电子响应文件按</w:t>
            </w:r>
            <w:r>
              <w:rPr>
                <w:rFonts w:hint="eastAsia" w:ascii="宋体" w:hAnsi="宋体" w:cs="宋体"/>
                <w:color w:val="auto"/>
                <w:kern w:val="0"/>
                <w:sz w:val="21"/>
                <w:szCs w:val="21"/>
                <w:highlight w:val="none"/>
                <w:lang w:val="en-US" w:eastAsia="zh-CN" w:bidi="ar"/>
              </w:rPr>
              <w:t>广西政府采购云</w:t>
            </w:r>
            <w:r>
              <w:rPr>
                <w:rFonts w:hint="eastAsia" w:ascii="宋体" w:hAnsi="宋体" w:eastAsia="宋体" w:cs="宋体"/>
                <w:color w:val="auto"/>
                <w:kern w:val="0"/>
                <w:sz w:val="21"/>
                <w:szCs w:val="21"/>
                <w:highlight w:val="none"/>
                <w:lang w:val="en-US" w:eastAsia="zh-CN" w:bidi="ar"/>
              </w:rPr>
              <w:t xml:space="preserve">平台要求及本竞争性磋商文件要求制作、加密并递交。 </w:t>
            </w:r>
          </w:p>
          <w:p w14:paraId="1A98C180">
            <w:pPr>
              <w:keepNext w:val="0"/>
              <w:keepLines w:val="0"/>
              <w:widowControl/>
              <w:suppressLineNumbers w:val="0"/>
              <w:spacing w:line="360" w:lineRule="auto"/>
              <w:jc w:val="left"/>
              <w:rPr>
                <w:color w:val="auto"/>
                <w:highlight w:val="none"/>
              </w:rPr>
            </w:pPr>
            <w:r>
              <w:rPr>
                <w:rFonts w:hint="eastAsia" w:ascii="宋体" w:hAnsi="宋体" w:eastAsia="宋体" w:cs="宋体"/>
                <w:color w:val="auto"/>
                <w:kern w:val="0"/>
                <w:sz w:val="21"/>
                <w:szCs w:val="21"/>
                <w:highlight w:val="none"/>
                <w:lang w:val="en-US" w:eastAsia="zh-CN" w:bidi="ar"/>
              </w:rPr>
              <w:t>2.以介质存储的数据电文形式的电子备份响应文件，按</w:t>
            </w:r>
            <w:r>
              <w:rPr>
                <w:rFonts w:hint="eastAsia" w:ascii="宋体" w:hAnsi="宋体" w:cs="宋体"/>
                <w:color w:val="auto"/>
                <w:kern w:val="0"/>
                <w:sz w:val="21"/>
                <w:szCs w:val="21"/>
                <w:highlight w:val="none"/>
                <w:lang w:val="en-US" w:eastAsia="zh-CN" w:bidi="ar"/>
              </w:rPr>
              <w:t>广西政府采购云</w:t>
            </w:r>
            <w:r>
              <w:rPr>
                <w:rFonts w:hint="eastAsia" w:ascii="宋体" w:hAnsi="宋体" w:eastAsia="宋体" w:cs="宋体"/>
                <w:color w:val="auto"/>
                <w:kern w:val="0"/>
                <w:sz w:val="21"/>
                <w:szCs w:val="21"/>
                <w:highlight w:val="none"/>
                <w:lang w:val="en-US" w:eastAsia="zh-CN" w:bidi="ar"/>
              </w:rPr>
              <w:t>平台项目采购-电子招</w:t>
            </w:r>
            <w:r>
              <w:rPr>
                <w:rFonts w:hint="eastAsia" w:ascii="宋体" w:hAnsi="宋体" w:cs="宋体"/>
                <w:color w:val="auto"/>
                <w:kern w:val="0"/>
                <w:sz w:val="21"/>
                <w:szCs w:val="21"/>
                <w:highlight w:val="none"/>
                <w:lang w:val="en-US" w:eastAsia="zh-CN" w:bidi="ar"/>
              </w:rPr>
              <w:t>响应</w:t>
            </w:r>
            <w:r>
              <w:rPr>
                <w:rFonts w:hint="eastAsia" w:ascii="宋体" w:hAnsi="宋体" w:eastAsia="宋体" w:cs="宋体"/>
                <w:color w:val="auto"/>
                <w:kern w:val="0"/>
                <w:sz w:val="21"/>
                <w:szCs w:val="21"/>
                <w:highlight w:val="none"/>
                <w:lang w:val="en-US" w:eastAsia="zh-CN" w:bidi="ar"/>
              </w:rPr>
              <w:t xml:space="preserve">操作指南中上传的电子响应文件格式，以 DVD 光盘或者 U 盘等形式提供。数量为1 份。 </w:t>
            </w:r>
          </w:p>
          <w:p w14:paraId="27666D77">
            <w:pPr>
              <w:keepNext w:val="0"/>
              <w:keepLines w:val="0"/>
              <w:widowControl/>
              <w:suppressLineNumbers w:val="0"/>
              <w:spacing w:line="360" w:lineRule="auto"/>
              <w:jc w:val="left"/>
              <w:rPr>
                <w:color w:val="auto"/>
                <w:highlight w:val="none"/>
              </w:rPr>
            </w:pPr>
            <w:r>
              <w:rPr>
                <w:rFonts w:hint="eastAsia" w:ascii="宋体" w:hAnsi="宋体" w:eastAsia="宋体" w:cs="宋体"/>
                <w:color w:val="auto"/>
                <w:kern w:val="0"/>
                <w:sz w:val="21"/>
                <w:szCs w:val="21"/>
                <w:highlight w:val="none"/>
                <w:lang w:val="en-US" w:eastAsia="zh-CN" w:bidi="ar"/>
              </w:rPr>
              <w:t xml:space="preserve">3.响应文件启用顺序和效力：响应文件的启用，按先后顺位分别为电子响应文件、以介质存储的数据电文形式的电子备份响应文件。顺位在先的响应文件已按时解密的， 下一顺位响应文件自动失效。在下一顺位的响应文件启用时，前一顺位的响应文件自动失效。 </w:t>
            </w:r>
          </w:p>
          <w:p w14:paraId="6701F910">
            <w:pPr>
              <w:keepNext w:val="0"/>
              <w:keepLines w:val="0"/>
              <w:widowControl/>
              <w:suppressLineNumbers w:val="0"/>
              <w:spacing w:line="360" w:lineRule="auto"/>
              <w:jc w:val="left"/>
              <w:rPr>
                <w:color w:val="auto"/>
                <w:highlight w:val="none"/>
              </w:rPr>
            </w:pPr>
            <w:r>
              <w:rPr>
                <w:rFonts w:hint="eastAsia" w:ascii="宋体" w:hAnsi="宋体" w:eastAsia="宋体" w:cs="宋体"/>
                <w:color w:val="auto"/>
                <w:kern w:val="0"/>
                <w:sz w:val="21"/>
                <w:szCs w:val="21"/>
                <w:highlight w:val="none"/>
                <w:lang w:val="en-US" w:eastAsia="zh-CN" w:bidi="ar"/>
              </w:rPr>
              <w:t xml:space="preserve">▲未传输递交电子响应文件的，竞标无效。 </w:t>
            </w:r>
          </w:p>
          <w:p w14:paraId="1E6BF678">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▲未按规定提供相应的备份响应文件，造成项目开评标活动无法进行下去的，竞标无效。 </w:t>
            </w:r>
          </w:p>
        </w:tc>
      </w:tr>
      <w:tr w14:paraId="3F2ECE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27B04CDF">
            <w:pPr>
              <w:spacing w:line="360" w:lineRule="auto"/>
              <w:jc w:val="center"/>
              <w:rPr>
                <w:rFonts w:hint="eastAsia" w:ascii="宋体" w:hAnsi="宋体" w:eastAsia="宋体" w:cs="宋体"/>
                <w:color w:val="auto"/>
                <w:sz w:val="21"/>
                <w:szCs w:val="21"/>
                <w:highlight w:val="none"/>
              </w:rPr>
            </w:pPr>
            <w:r>
              <w:rPr>
                <w:rFonts w:hint="eastAsia" w:ascii="宋体" w:hAnsi="宋体" w:cs="宋体"/>
                <w:color w:val="auto"/>
                <w:szCs w:val="21"/>
                <w:highlight w:val="none"/>
              </w:rPr>
              <w:t>20.1</w:t>
            </w:r>
          </w:p>
        </w:tc>
        <w:tc>
          <w:tcPr>
            <w:tcW w:w="7912" w:type="dxa"/>
            <w:noWrap w:val="0"/>
            <w:vAlign w:val="center"/>
          </w:tcPr>
          <w:p w14:paraId="36561E67">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首次响应文件提交起止时间：详见竞争性磋商公告。</w:t>
            </w:r>
          </w:p>
          <w:p w14:paraId="22FDDA7E">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首次响应文件提交截止时间：详见竞争性磋商公告。</w:t>
            </w:r>
          </w:p>
          <w:p w14:paraId="0795D711">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首次响应文件提交地点：详见竞争性磋商公告。</w:t>
            </w:r>
          </w:p>
          <w:p w14:paraId="677FD013">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响应文件解密时间：截标时间后30分钟内，供应商必须在此时间段内登录</w:t>
            </w:r>
            <w:r>
              <w:rPr>
                <w:rFonts w:hint="eastAsia" w:ascii="宋体" w:hAnsi="宋体" w:cs="宋体"/>
                <w:color w:val="auto"/>
                <w:szCs w:val="21"/>
                <w:highlight w:val="none"/>
                <w:lang w:eastAsia="zh-CN"/>
              </w:rPr>
              <w:t>广西政府采购云</w:t>
            </w:r>
            <w:r>
              <w:rPr>
                <w:rFonts w:hint="eastAsia" w:ascii="宋体" w:hAnsi="宋体" w:cs="宋体"/>
                <w:color w:val="auto"/>
                <w:szCs w:val="21"/>
                <w:highlight w:val="none"/>
              </w:rPr>
              <w:t>平台</w:t>
            </w:r>
            <w:r>
              <w:rPr>
                <w:rFonts w:hint="eastAsia" w:ascii="宋体" w:hAnsi="宋体" w:cs="宋体"/>
                <w:color w:val="auto"/>
                <w:szCs w:val="21"/>
                <w:highlight w:val="none"/>
                <w:lang w:eastAsia="zh-CN"/>
              </w:rPr>
              <w:t>进行</w:t>
            </w:r>
            <w:r>
              <w:rPr>
                <w:rFonts w:hint="eastAsia" w:ascii="宋体" w:hAnsi="宋体" w:cs="宋体"/>
                <w:color w:val="auto"/>
                <w:szCs w:val="21"/>
                <w:highlight w:val="none"/>
              </w:rPr>
              <w:t>解密。若供应商在规定时间内未</w:t>
            </w:r>
            <w:r>
              <w:rPr>
                <w:rFonts w:hint="eastAsia" w:ascii="宋体" w:hAnsi="宋体" w:cs="宋体"/>
                <w:color w:val="auto"/>
                <w:szCs w:val="21"/>
                <w:highlight w:val="none"/>
                <w:lang w:eastAsia="zh-CN"/>
              </w:rPr>
              <w:t>能</w:t>
            </w:r>
            <w:r>
              <w:rPr>
                <w:rFonts w:hint="eastAsia" w:ascii="宋体" w:hAnsi="宋体" w:cs="宋体"/>
                <w:color w:val="auto"/>
                <w:szCs w:val="21"/>
                <w:highlight w:val="none"/>
              </w:rPr>
              <w:t>解密</w:t>
            </w:r>
            <w:r>
              <w:rPr>
                <w:rFonts w:hint="eastAsia" w:ascii="宋体" w:hAnsi="宋体" w:cs="宋体"/>
                <w:color w:val="auto"/>
                <w:szCs w:val="21"/>
                <w:highlight w:val="none"/>
                <w:lang w:eastAsia="zh-CN"/>
              </w:rPr>
              <w:t>成功</w:t>
            </w:r>
            <w:r>
              <w:rPr>
                <w:rFonts w:hint="eastAsia" w:ascii="宋体" w:hAnsi="宋体" w:cs="宋体"/>
                <w:color w:val="auto"/>
                <w:szCs w:val="21"/>
                <w:highlight w:val="none"/>
              </w:rPr>
              <w:t>的，视为</w:t>
            </w:r>
            <w:r>
              <w:rPr>
                <w:rFonts w:hint="eastAsia" w:ascii="宋体" w:hAnsi="宋体" w:cs="宋体"/>
                <w:color w:val="auto"/>
                <w:szCs w:val="21"/>
                <w:highlight w:val="none"/>
                <w:lang w:eastAsia="zh-CN"/>
              </w:rPr>
              <w:t>竞标无效，一切后果由供应商自行负责</w:t>
            </w:r>
            <w:r>
              <w:rPr>
                <w:rFonts w:hint="eastAsia" w:ascii="宋体" w:hAnsi="宋体" w:cs="宋体"/>
                <w:color w:val="auto"/>
                <w:szCs w:val="21"/>
                <w:highlight w:val="none"/>
              </w:rPr>
              <w:t>。</w:t>
            </w:r>
          </w:p>
          <w:p w14:paraId="73694083">
            <w:pPr>
              <w:widowControl/>
              <w:spacing w:line="360" w:lineRule="auto"/>
              <w:jc w:val="left"/>
              <w:rPr>
                <w:rFonts w:hint="eastAsia" w:ascii="宋体" w:hAnsi="宋体" w:cs="宋体"/>
                <w:color w:val="auto"/>
                <w:highlight w:val="none"/>
              </w:rPr>
            </w:pPr>
            <w:r>
              <w:rPr>
                <w:rFonts w:hint="eastAsia" w:ascii="宋体" w:hAnsi="宋体" w:cs="宋体"/>
                <w:color w:val="auto"/>
                <w:highlight w:val="none"/>
              </w:rPr>
              <w:t>备注：</w:t>
            </w:r>
          </w:p>
          <w:p w14:paraId="38A12CA9">
            <w:pPr>
              <w:widowControl/>
              <w:spacing w:line="360" w:lineRule="auto"/>
              <w:ind w:firstLine="630" w:firstLineChars="300"/>
              <w:jc w:val="left"/>
              <w:rPr>
                <w:rFonts w:hint="eastAsia" w:ascii="宋体" w:hAnsi="宋体" w:cs="宋体"/>
                <w:color w:val="auto"/>
                <w:highlight w:val="none"/>
              </w:rPr>
            </w:pPr>
            <w:r>
              <w:rPr>
                <w:rFonts w:hint="eastAsia" w:ascii="宋体" w:hAnsi="宋体" w:cs="宋体"/>
                <w:color w:val="auto"/>
                <w:highlight w:val="none"/>
              </w:rPr>
              <w:t>1、本项目通过</w:t>
            </w:r>
            <w:r>
              <w:rPr>
                <w:rFonts w:hint="eastAsia" w:ascii="宋体" w:hAnsi="宋体" w:cs="宋体"/>
                <w:color w:val="auto"/>
                <w:highlight w:val="none"/>
                <w:lang w:eastAsia="zh-CN"/>
              </w:rPr>
              <w:t>广西政府采购云</w:t>
            </w:r>
            <w:r>
              <w:rPr>
                <w:rFonts w:hint="eastAsia" w:ascii="宋体" w:hAnsi="宋体" w:cs="宋体"/>
                <w:color w:val="auto"/>
                <w:highlight w:val="none"/>
              </w:rPr>
              <w:t>平台实行在线</w:t>
            </w:r>
            <w:r>
              <w:rPr>
                <w:rFonts w:hint="eastAsia" w:ascii="宋体" w:hAnsi="宋体" w:cs="宋体"/>
                <w:color w:val="auto"/>
                <w:highlight w:val="none"/>
                <w:lang w:eastAsia="zh-CN"/>
              </w:rPr>
              <w:t>响应</w:t>
            </w:r>
            <w:r>
              <w:rPr>
                <w:rFonts w:hint="eastAsia" w:ascii="宋体" w:hAnsi="宋体" w:cs="宋体"/>
                <w:color w:val="auto"/>
                <w:highlight w:val="none"/>
              </w:rPr>
              <w:t>响应（电子</w:t>
            </w:r>
            <w:r>
              <w:rPr>
                <w:rFonts w:hint="eastAsia" w:ascii="宋体" w:hAnsi="宋体" w:cs="宋体"/>
                <w:color w:val="auto"/>
                <w:highlight w:val="none"/>
                <w:lang w:eastAsia="zh-CN"/>
              </w:rPr>
              <w:t>响应</w:t>
            </w:r>
            <w:r>
              <w:rPr>
                <w:rFonts w:hint="eastAsia" w:ascii="宋体" w:hAnsi="宋体" w:cs="宋体"/>
                <w:color w:val="auto"/>
                <w:highlight w:val="none"/>
              </w:rPr>
              <w:t>），供应商需要先安装“</w:t>
            </w:r>
            <w:r>
              <w:rPr>
                <w:rFonts w:hint="eastAsia" w:ascii="宋体" w:hAnsi="宋体" w:cs="宋体"/>
                <w:color w:val="auto"/>
                <w:highlight w:val="none"/>
                <w:lang w:eastAsia="zh-CN"/>
              </w:rPr>
              <w:t>广西政府采购云</w:t>
            </w:r>
            <w:r>
              <w:rPr>
                <w:rFonts w:hint="eastAsia" w:ascii="宋体" w:hAnsi="宋体" w:cs="宋体"/>
                <w:color w:val="auto"/>
                <w:highlight w:val="none"/>
              </w:rPr>
              <w:t>电子交易客户端”，并按照本采购文件和</w:t>
            </w:r>
            <w:r>
              <w:rPr>
                <w:rFonts w:hint="eastAsia" w:ascii="宋体" w:hAnsi="宋体" w:cs="宋体"/>
                <w:color w:val="auto"/>
                <w:highlight w:val="none"/>
                <w:lang w:eastAsia="zh-CN"/>
              </w:rPr>
              <w:t>广西政府采购云</w:t>
            </w:r>
            <w:r>
              <w:rPr>
                <w:rFonts w:hint="eastAsia" w:ascii="宋体" w:hAnsi="宋体" w:cs="宋体"/>
                <w:color w:val="auto"/>
                <w:highlight w:val="none"/>
              </w:rPr>
              <w:t>平台的要求，通过“</w:t>
            </w:r>
            <w:r>
              <w:rPr>
                <w:rFonts w:hint="eastAsia" w:ascii="宋体" w:hAnsi="宋体" w:cs="宋体"/>
                <w:color w:val="auto"/>
                <w:highlight w:val="none"/>
                <w:lang w:eastAsia="zh-CN"/>
              </w:rPr>
              <w:t>广西政府采购云</w:t>
            </w:r>
            <w:r>
              <w:rPr>
                <w:rFonts w:hint="eastAsia" w:ascii="宋体" w:hAnsi="宋体" w:cs="宋体"/>
                <w:color w:val="auto"/>
                <w:highlight w:val="none"/>
              </w:rPr>
              <w:t>电子交易客户端”编制并加密响应文件。供应商未按规定编制并加密的响应文件，</w:t>
            </w:r>
            <w:r>
              <w:rPr>
                <w:rFonts w:hint="eastAsia" w:ascii="宋体" w:hAnsi="宋体" w:cs="宋体"/>
                <w:color w:val="auto"/>
                <w:highlight w:val="none"/>
                <w:lang w:eastAsia="zh-CN"/>
              </w:rPr>
              <w:t>广西政府采购云</w:t>
            </w:r>
            <w:r>
              <w:rPr>
                <w:rFonts w:hint="eastAsia" w:ascii="宋体" w:hAnsi="宋体" w:cs="宋体"/>
                <w:color w:val="auto"/>
                <w:highlight w:val="none"/>
              </w:rPr>
              <w:t>平台将予以拒收。</w:t>
            </w:r>
          </w:p>
          <w:p w14:paraId="40B79240">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eastAsia="zh-CN"/>
              </w:rPr>
              <w:t>广西政府采购云</w:t>
            </w:r>
            <w:r>
              <w:rPr>
                <w:rFonts w:hint="eastAsia" w:ascii="宋体" w:hAnsi="宋体" w:cs="宋体"/>
                <w:color w:val="auto"/>
                <w:highlight w:val="none"/>
              </w:rPr>
              <w:t>电子交易客户端”请自行前往广西政府采购网下载并安装；电子</w:t>
            </w:r>
            <w:r>
              <w:rPr>
                <w:rFonts w:hint="eastAsia" w:ascii="宋体" w:hAnsi="宋体" w:cs="宋体"/>
                <w:color w:val="auto"/>
                <w:highlight w:val="none"/>
                <w:lang w:eastAsia="zh-CN"/>
              </w:rPr>
              <w:t>响应</w:t>
            </w:r>
            <w:r>
              <w:rPr>
                <w:rFonts w:hint="eastAsia" w:ascii="宋体" w:hAnsi="宋体" w:cs="宋体"/>
                <w:color w:val="auto"/>
                <w:highlight w:val="none"/>
              </w:rPr>
              <w:t>具体操作流程参考《政府采购项目电子交易管理操作指南-供应商》；通过</w:t>
            </w:r>
            <w:r>
              <w:rPr>
                <w:rFonts w:hint="eastAsia" w:ascii="宋体" w:hAnsi="宋体" w:cs="宋体"/>
                <w:color w:val="auto"/>
                <w:highlight w:val="none"/>
                <w:lang w:eastAsia="zh-CN"/>
              </w:rPr>
              <w:t>广西政府采购云</w:t>
            </w:r>
            <w:r>
              <w:rPr>
                <w:rFonts w:hint="eastAsia" w:ascii="宋体" w:hAnsi="宋体" w:cs="宋体"/>
                <w:color w:val="auto"/>
                <w:highlight w:val="none"/>
              </w:rPr>
              <w:t>平台参与在线</w:t>
            </w:r>
            <w:r>
              <w:rPr>
                <w:rFonts w:hint="eastAsia" w:ascii="宋体" w:hAnsi="宋体" w:cs="宋体"/>
                <w:color w:val="auto"/>
                <w:highlight w:val="none"/>
                <w:lang w:eastAsia="zh-CN"/>
              </w:rPr>
              <w:t>响应</w:t>
            </w:r>
            <w:r>
              <w:rPr>
                <w:rFonts w:hint="eastAsia" w:ascii="宋体" w:hAnsi="宋体" w:cs="宋体"/>
                <w:color w:val="auto"/>
                <w:highlight w:val="none"/>
              </w:rPr>
              <w:t>时如遇平台技术问题详询</w:t>
            </w:r>
            <w:r>
              <w:rPr>
                <w:rFonts w:hint="eastAsia" w:ascii="宋体" w:hAnsi="宋体" w:cs="宋体"/>
                <w:color w:val="auto"/>
                <w:highlight w:val="none"/>
                <w:lang w:val="en-US" w:eastAsia="zh-CN"/>
              </w:rPr>
              <w:t>95763</w:t>
            </w:r>
            <w:r>
              <w:rPr>
                <w:rFonts w:hint="eastAsia" w:ascii="宋体" w:hAnsi="宋体" w:cs="宋体"/>
                <w:color w:val="auto"/>
                <w:highlight w:val="none"/>
              </w:rPr>
              <w:t>。</w:t>
            </w:r>
          </w:p>
          <w:p w14:paraId="54E12D6C">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 xml:space="preserve">    3、为确保网上操作合法、有效和安全，</w:t>
            </w:r>
            <w:r>
              <w:rPr>
                <w:rFonts w:hint="eastAsia" w:ascii="宋体" w:hAnsi="宋体" w:cs="宋体"/>
                <w:color w:val="auto"/>
                <w:highlight w:val="none"/>
                <w:lang w:eastAsia="zh-CN"/>
              </w:rPr>
              <w:t>供应商</w:t>
            </w:r>
            <w:r>
              <w:rPr>
                <w:rFonts w:hint="eastAsia" w:ascii="宋体" w:hAnsi="宋体" w:cs="宋体"/>
                <w:color w:val="auto"/>
                <w:highlight w:val="none"/>
              </w:rPr>
              <w:t>应当在</w:t>
            </w:r>
            <w:r>
              <w:rPr>
                <w:rFonts w:hint="eastAsia" w:ascii="宋体" w:hAnsi="宋体" w:cs="宋体"/>
                <w:color w:val="auto"/>
                <w:highlight w:val="none"/>
                <w:lang w:eastAsia="zh-CN"/>
              </w:rPr>
              <w:t>响应</w:t>
            </w:r>
            <w:r>
              <w:rPr>
                <w:rFonts w:hint="eastAsia" w:ascii="宋体" w:hAnsi="宋体" w:cs="宋体"/>
                <w:color w:val="auto"/>
                <w:highlight w:val="none"/>
              </w:rPr>
              <w:t>截止时间前完成在“政府采购云平台”的身份认证，确保在电子</w:t>
            </w:r>
            <w:r>
              <w:rPr>
                <w:rFonts w:hint="eastAsia" w:ascii="宋体" w:hAnsi="宋体" w:cs="宋体"/>
                <w:color w:val="auto"/>
                <w:highlight w:val="none"/>
                <w:lang w:eastAsia="zh-CN"/>
              </w:rPr>
              <w:t>响应</w:t>
            </w:r>
            <w:r>
              <w:rPr>
                <w:rFonts w:hint="eastAsia" w:ascii="宋体" w:hAnsi="宋体" w:cs="宋体"/>
                <w:color w:val="auto"/>
                <w:highlight w:val="none"/>
              </w:rPr>
              <w:t>过程中能够对相关数据电文进行加密和使用电子签章。使用“</w:t>
            </w:r>
            <w:r>
              <w:rPr>
                <w:rFonts w:hint="eastAsia" w:ascii="宋体" w:hAnsi="宋体" w:cs="宋体"/>
                <w:color w:val="auto"/>
                <w:highlight w:val="none"/>
                <w:lang w:eastAsia="zh-CN"/>
              </w:rPr>
              <w:t>广西政府采购云</w:t>
            </w:r>
            <w:r>
              <w:rPr>
                <w:rFonts w:hint="eastAsia" w:ascii="宋体" w:hAnsi="宋体" w:cs="宋体"/>
                <w:color w:val="auto"/>
                <w:highlight w:val="none"/>
              </w:rPr>
              <w:t>电子交易客户端”需要提前申领CA数字证书，申领流程请自行前往</w:t>
            </w:r>
            <w:r>
              <w:rPr>
                <w:rFonts w:hint="eastAsia" w:ascii="宋体" w:hAnsi="宋体" w:cs="宋体"/>
                <w:color w:val="auto"/>
                <w:highlight w:val="none"/>
                <w:lang w:eastAsia="zh-CN"/>
              </w:rPr>
              <w:t>广西政府采购云平台下载查阅</w:t>
            </w:r>
            <w:r>
              <w:rPr>
                <w:rFonts w:hint="eastAsia" w:ascii="宋体" w:hAnsi="宋体" w:cs="宋体"/>
                <w:color w:val="auto"/>
                <w:highlight w:val="none"/>
              </w:rPr>
              <w:t>；</w:t>
            </w:r>
          </w:p>
          <w:p w14:paraId="3C8DD835">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 xml:space="preserve">  4、</w:t>
            </w:r>
            <w:r>
              <w:rPr>
                <w:rFonts w:hint="eastAsia" w:ascii="宋体" w:hAnsi="宋体" w:cs="宋体"/>
                <w:color w:val="auto"/>
                <w:highlight w:val="none"/>
                <w:lang w:eastAsia="zh-CN"/>
              </w:rPr>
              <w:t>供应商</w:t>
            </w:r>
            <w:r>
              <w:rPr>
                <w:rFonts w:hint="eastAsia" w:ascii="宋体" w:hAnsi="宋体" w:cs="宋体"/>
                <w:color w:val="auto"/>
                <w:highlight w:val="none"/>
              </w:rPr>
              <w:t>应当在</w:t>
            </w:r>
            <w:r>
              <w:rPr>
                <w:rFonts w:hint="eastAsia" w:ascii="宋体" w:hAnsi="宋体" w:cs="宋体"/>
                <w:color w:val="auto"/>
                <w:highlight w:val="none"/>
                <w:lang w:eastAsia="zh-CN"/>
              </w:rPr>
              <w:t>响应</w:t>
            </w:r>
            <w:r>
              <w:rPr>
                <w:rFonts w:hint="eastAsia" w:ascii="宋体" w:hAnsi="宋体" w:cs="宋体"/>
                <w:color w:val="auto"/>
                <w:highlight w:val="none"/>
              </w:rPr>
              <w:t>截止时间前，将生成的“电子加密响应文件”上传递交至</w:t>
            </w:r>
            <w:r>
              <w:rPr>
                <w:rFonts w:hint="eastAsia" w:ascii="宋体" w:hAnsi="宋体" w:cs="宋体"/>
                <w:color w:val="auto"/>
                <w:highlight w:val="none"/>
                <w:lang w:eastAsia="zh-CN"/>
              </w:rPr>
              <w:t>广西政府采购云</w:t>
            </w:r>
            <w:r>
              <w:rPr>
                <w:rFonts w:hint="eastAsia" w:ascii="宋体" w:hAnsi="宋体" w:cs="宋体"/>
                <w:color w:val="auto"/>
                <w:highlight w:val="none"/>
              </w:rPr>
              <w:t>平台。</w:t>
            </w:r>
            <w:r>
              <w:rPr>
                <w:rFonts w:hint="eastAsia" w:ascii="宋体" w:hAnsi="宋体" w:cs="宋体"/>
                <w:color w:val="auto"/>
                <w:highlight w:val="none"/>
                <w:lang w:eastAsia="zh-CN"/>
              </w:rPr>
              <w:t>响应</w:t>
            </w:r>
            <w:r>
              <w:rPr>
                <w:rFonts w:hint="eastAsia" w:ascii="宋体" w:hAnsi="宋体" w:cs="宋体"/>
                <w:color w:val="auto"/>
                <w:highlight w:val="none"/>
              </w:rPr>
              <w:t>截止时间前可以补充、修改或者撤回电子响应文件。补充或者修改电子响应文件的，应当先行撤回原文件，补充、修改后重新传输递交，</w:t>
            </w:r>
            <w:r>
              <w:rPr>
                <w:rFonts w:hint="eastAsia" w:ascii="宋体" w:hAnsi="宋体" w:cs="宋体"/>
                <w:color w:val="auto"/>
                <w:highlight w:val="none"/>
                <w:lang w:eastAsia="zh-CN"/>
              </w:rPr>
              <w:t>响应</w:t>
            </w:r>
            <w:r>
              <w:rPr>
                <w:rFonts w:hint="eastAsia" w:ascii="宋体" w:hAnsi="宋体" w:cs="宋体"/>
                <w:color w:val="auto"/>
                <w:highlight w:val="none"/>
              </w:rPr>
              <w:t>截止时间前未完成传输的，视为撤回响应文件。</w:t>
            </w:r>
          </w:p>
          <w:p w14:paraId="0400B7A7">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5、供应商可以视情况提供以介质（U盘或光盘等）存储的数据电文形成的电子备份响应文件，电子备份响应文件应当在</w:t>
            </w:r>
            <w:r>
              <w:rPr>
                <w:rFonts w:hint="eastAsia" w:ascii="宋体" w:hAnsi="宋体" w:cs="宋体"/>
                <w:color w:val="auto"/>
                <w:highlight w:val="none"/>
                <w:lang w:eastAsia="zh-CN"/>
              </w:rPr>
              <w:t>响应</w:t>
            </w:r>
            <w:r>
              <w:rPr>
                <w:rFonts w:hint="eastAsia" w:ascii="宋体" w:hAnsi="宋体" w:cs="宋体"/>
                <w:color w:val="auto"/>
                <w:highlight w:val="none"/>
              </w:rPr>
              <w:t>截止时间前按要求密封并送达</w:t>
            </w:r>
            <w:r>
              <w:rPr>
                <w:rFonts w:hint="eastAsia" w:ascii="宋体" w:hAnsi="宋体" w:cs="宋体"/>
                <w:color w:val="auto"/>
                <w:highlight w:val="none"/>
                <w:lang w:eastAsia="zh-CN"/>
              </w:rPr>
              <w:t>开标地址</w:t>
            </w:r>
            <w:r>
              <w:rPr>
                <w:rFonts w:hint="eastAsia" w:ascii="宋体" w:hAnsi="宋体" w:cs="宋体"/>
                <w:color w:val="auto"/>
                <w:highlight w:val="none"/>
              </w:rPr>
              <w:t>，逾期送达或未按要求密封将被拒收。电子备份响应文件应当密封包装并在包装上标注</w:t>
            </w:r>
            <w:r>
              <w:rPr>
                <w:rFonts w:hint="eastAsia" w:ascii="宋体" w:hAnsi="宋体" w:cs="宋体"/>
                <w:color w:val="auto"/>
                <w:highlight w:val="none"/>
                <w:lang w:eastAsia="zh-CN"/>
              </w:rPr>
              <w:t>响应</w:t>
            </w:r>
            <w:r>
              <w:rPr>
                <w:rFonts w:hint="eastAsia" w:ascii="宋体" w:hAnsi="宋体" w:cs="宋体"/>
                <w:color w:val="auto"/>
                <w:highlight w:val="none"/>
              </w:rPr>
              <w:t>项目名称、</w:t>
            </w:r>
            <w:r>
              <w:rPr>
                <w:rFonts w:hint="eastAsia" w:ascii="宋体" w:hAnsi="宋体" w:cs="宋体"/>
                <w:color w:val="auto"/>
                <w:highlight w:val="none"/>
                <w:lang w:eastAsia="zh-CN"/>
              </w:rPr>
              <w:t>响应</w:t>
            </w:r>
            <w:r>
              <w:rPr>
                <w:rFonts w:hint="eastAsia" w:ascii="宋体" w:hAnsi="宋体" w:cs="宋体"/>
                <w:color w:val="auto"/>
                <w:highlight w:val="none"/>
              </w:rPr>
              <w:t>单位名称并加盖公章。</w:t>
            </w:r>
          </w:p>
          <w:p w14:paraId="143B41AA">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邮寄地址：（详见公告）。拒收到付邮件，通过邮寄方式送达的，请合理安排邮寄时间，因邮寄原因未能在规定时间内送达的后果由</w:t>
            </w:r>
            <w:r>
              <w:rPr>
                <w:rFonts w:hint="eastAsia" w:ascii="宋体" w:hAnsi="宋体" w:cs="宋体"/>
                <w:color w:val="auto"/>
                <w:highlight w:val="none"/>
                <w:lang w:eastAsia="zh-CN"/>
              </w:rPr>
              <w:t>供应商</w:t>
            </w:r>
            <w:r>
              <w:rPr>
                <w:rFonts w:hint="eastAsia" w:ascii="宋体" w:hAnsi="宋体" w:cs="宋体"/>
                <w:color w:val="auto"/>
                <w:highlight w:val="none"/>
              </w:rPr>
              <w:t>自行承担。</w:t>
            </w:r>
          </w:p>
          <w:p w14:paraId="1A9797F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cs="宋体"/>
                <w:color w:val="auto"/>
                <w:highlight w:val="none"/>
              </w:rPr>
              <w:t>6、通过“</w:t>
            </w:r>
            <w:r>
              <w:rPr>
                <w:rFonts w:hint="eastAsia" w:ascii="宋体" w:hAnsi="宋体" w:cs="宋体"/>
                <w:color w:val="auto"/>
                <w:highlight w:val="none"/>
                <w:lang w:eastAsia="zh-CN"/>
              </w:rPr>
              <w:t>广西</w:t>
            </w:r>
            <w:r>
              <w:rPr>
                <w:rFonts w:hint="eastAsia" w:ascii="宋体" w:hAnsi="宋体" w:cs="宋体"/>
                <w:color w:val="auto"/>
                <w:highlight w:val="none"/>
              </w:rPr>
              <w:t>政府采购云平台”上传递交的“电子加密响应文件”无法按时解密，</w:t>
            </w:r>
            <w:r>
              <w:rPr>
                <w:rFonts w:hint="eastAsia" w:ascii="宋体" w:hAnsi="宋体" w:cs="宋体"/>
                <w:color w:val="auto"/>
                <w:highlight w:val="none"/>
                <w:lang w:eastAsia="zh-CN"/>
              </w:rPr>
              <w:t>供应商</w:t>
            </w:r>
            <w:r>
              <w:rPr>
                <w:rFonts w:hint="eastAsia" w:ascii="宋体" w:hAnsi="宋体" w:cs="宋体"/>
                <w:color w:val="auto"/>
                <w:highlight w:val="none"/>
              </w:rPr>
              <w:t>递交了电子备份响应文件的，以电子备份响应文件为依据，否则视为响应文件撤回。通过</w:t>
            </w:r>
            <w:r>
              <w:rPr>
                <w:rFonts w:hint="eastAsia" w:ascii="宋体" w:hAnsi="宋体" w:cs="宋体"/>
                <w:color w:val="auto"/>
                <w:highlight w:val="none"/>
                <w:lang w:eastAsia="zh-CN"/>
              </w:rPr>
              <w:t>广西政府采购云</w:t>
            </w:r>
            <w:r>
              <w:rPr>
                <w:rFonts w:hint="eastAsia" w:ascii="宋体" w:hAnsi="宋体" w:cs="宋体"/>
                <w:color w:val="auto"/>
                <w:highlight w:val="none"/>
              </w:rPr>
              <w:t>平台上传递交的电子加密响应文件已按时解密的，电子备份响应文件自动失效。</w:t>
            </w:r>
            <w:r>
              <w:rPr>
                <w:rFonts w:hint="eastAsia" w:ascii="宋体" w:hAnsi="宋体" w:cs="宋体"/>
                <w:color w:val="auto"/>
                <w:highlight w:val="none"/>
                <w:lang w:eastAsia="zh-CN"/>
              </w:rPr>
              <w:t>供应商</w:t>
            </w:r>
            <w:r>
              <w:rPr>
                <w:rFonts w:hint="eastAsia" w:ascii="宋体" w:hAnsi="宋体" w:cs="宋体"/>
                <w:color w:val="auto"/>
                <w:highlight w:val="none"/>
              </w:rPr>
              <w:t>仅递交电子备份响应文件的，</w:t>
            </w:r>
            <w:r>
              <w:rPr>
                <w:rFonts w:hint="eastAsia" w:ascii="宋体" w:hAnsi="宋体" w:cs="宋体"/>
                <w:color w:val="auto"/>
                <w:highlight w:val="none"/>
                <w:lang w:eastAsia="zh-CN"/>
              </w:rPr>
              <w:t>响应</w:t>
            </w:r>
            <w:r>
              <w:rPr>
                <w:rFonts w:hint="eastAsia" w:ascii="宋体" w:hAnsi="宋体" w:cs="宋体"/>
                <w:color w:val="auto"/>
                <w:highlight w:val="none"/>
              </w:rPr>
              <w:t>无效。</w:t>
            </w:r>
          </w:p>
        </w:tc>
      </w:tr>
      <w:tr w14:paraId="1236F1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7CB58760">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24.1</w:t>
            </w:r>
          </w:p>
        </w:tc>
        <w:tc>
          <w:tcPr>
            <w:tcW w:w="7912" w:type="dxa"/>
            <w:noWrap w:val="0"/>
            <w:vAlign w:val="center"/>
          </w:tcPr>
          <w:p w14:paraId="138FB909">
            <w:pPr>
              <w:snapToGrid w:val="0"/>
              <w:spacing w:line="360" w:lineRule="auto"/>
              <w:jc w:val="left"/>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rPr>
              <w:t>磋商小组的人数：</w:t>
            </w:r>
            <w:r>
              <w:rPr>
                <w:rFonts w:hint="default" w:ascii="宋体" w:hAnsi="宋体" w:eastAsia="宋体" w:cs="宋体"/>
                <w:color w:val="auto"/>
                <w:sz w:val="21"/>
                <w:szCs w:val="21"/>
                <w:highlight w:val="none"/>
              </w:rPr>
              <w:t>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r>
              <w:rPr>
                <w:rFonts w:hint="eastAsia" w:ascii="宋体" w:hAnsi="宋体" w:eastAsia="宋体" w:cs="宋体"/>
                <w:color w:val="auto"/>
                <w:sz w:val="21"/>
                <w:szCs w:val="21"/>
                <w:highlight w:val="none"/>
                <w:lang w:eastAsia="zh-CN"/>
              </w:rPr>
              <w:t>。</w:t>
            </w:r>
          </w:p>
        </w:tc>
      </w:tr>
      <w:tr w14:paraId="3161DB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992" w:type="dxa"/>
            <w:vMerge w:val="restart"/>
            <w:noWrap w:val="0"/>
            <w:vAlign w:val="center"/>
          </w:tcPr>
          <w:p w14:paraId="63E73F3B">
            <w:pPr>
              <w:spacing w:line="360" w:lineRule="auto"/>
              <w:jc w:val="center"/>
              <w:rPr>
                <w:rFonts w:hint="eastAsia" w:ascii="宋体" w:hAnsi="宋体" w:eastAsia="宋体" w:cs="宋体"/>
                <w:color w:val="auto"/>
                <w:sz w:val="21"/>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6.2</w:t>
            </w:r>
          </w:p>
        </w:tc>
        <w:tc>
          <w:tcPr>
            <w:tcW w:w="7912" w:type="dxa"/>
            <w:noWrap w:val="0"/>
            <w:vAlign w:val="center"/>
          </w:tcPr>
          <w:p w14:paraId="6E819AC1">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商务条款评审中允许负偏离的条款数为</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项。</w:t>
            </w:r>
          </w:p>
          <w:p w14:paraId="5DBD0878">
            <w:pPr>
              <w:snapToGrid w:val="0"/>
              <w:spacing w:line="360" w:lineRule="auto"/>
              <w:rPr>
                <w:rFonts w:hint="eastAsia" w:ascii="宋体" w:hAnsi="宋体" w:eastAsia="宋体" w:cs="宋体"/>
                <w:color w:val="auto"/>
                <w:sz w:val="21"/>
                <w:szCs w:val="21"/>
                <w:highlight w:val="none"/>
              </w:rPr>
            </w:pPr>
            <w:r>
              <w:rPr>
                <w:rFonts w:hint="eastAsia" w:ascii="宋体" w:hAnsi="宋体" w:cs="宋体"/>
                <w:color w:val="auto"/>
                <w:szCs w:val="21"/>
                <w:highlight w:val="none"/>
              </w:rPr>
              <w:t>服务需求评审中允许负偏离的条款数为</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项。</w:t>
            </w:r>
          </w:p>
        </w:tc>
      </w:tr>
      <w:tr w14:paraId="6CC7CB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Merge w:val="continue"/>
            <w:noWrap w:val="0"/>
            <w:vAlign w:val="center"/>
          </w:tcPr>
          <w:p w14:paraId="328EC216">
            <w:pPr>
              <w:spacing w:line="360" w:lineRule="auto"/>
              <w:jc w:val="center"/>
              <w:rPr>
                <w:rFonts w:hint="eastAsia" w:ascii="宋体" w:hAnsi="宋体" w:eastAsia="宋体" w:cs="宋体"/>
                <w:color w:val="auto"/>
                <w:sz w:val="21"/>
                <w:szCs w:val="21"/>
                <w:highlight w:val="none"/>
              </w:rPr>
            </w:pPr>
          </w:p>
        </w:tc>
        <w:tc>
          <w:tcPr>
            <w:tcW w:w="7912" w:type="dxa"/>
            <w:noWrap w:val="0"/>
            <w:vAlign w:val="center"/>
          </w:tcPr>
          <w:p w14:paraId="4E69DFC7">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磋商的顺序：</w:t>
            </w:r>
          </w:p>
          <w:p w14:paraId="119EFB08">
            <w:pPr>
              <w:pStyle w:val="8"/>
              <w:spacing w:line="360" w:lineRule="auto"/>
              <w:rPr>
                <w:rFonts w:hint="eastAsia" w:ascii="宋体" w:hAnsi="宋体"/>
                <w:color w:val="auto"/>
                <w:szCs w:val="21"/>
                <w:highlight w:val="none"/>
              </w:rPr>
            </w:pPr>
            <w:r>
              <w:rPr>
                <w:rFonts w:hint="eastAsia" w:ascii="宋体" w:hAnsi="宋体" w:cs="宋体"/>
                <w:color w:val="auto"/>
                <w:szCs w:val="21"/>
                <w:highlight w:val="none"/>
              </w:rPr>
              <w:t>□</w:t>
            </w:r>
            <w:r>
              <w:rPr>
                <w:rFonts w:hint="eastAsia" w:ascii="宋体" w:hAnsi="宋体"/>
                <w:color w:val="auto"/>
                <w:szCs w:val="21"/>
                <w:highlight w:val="none"/>
              </w:rPr>
              <w:t>按照</w:t>
            </w:r>
            <w:r>
              <w:rPr>
                <w:rFonts w:hint="eastAsia" w:ascii="宋体" w:hAnsi="宋体" w:cs="宋体"/>
                <w:color w:val="auto"/>
                <w:szCs w:val="21"/>
                <w:highlight w:val="none"/>
              </w:rPr>
              <w:t>提交首次响应文件的顺序，通知磋商时，若某供应商不在通知现场时（该供应商排序到最后磋商），按照签到的顺序由其下一位供应商先参与磋商。</w:t>
            </w:r>
          </w:p>
          <w:p w14:paraId="71C38546">
            <w:pPr>
              <w:pStyle w:val="8"/>
              <w:spacing w:line="360" w:lineRule="auto"/>
              <w:rPr>
                <w:rFonts w:hint="eastAsia" w:ascii="宋体" w:hAnsi="宋体" w:eastAsia="宋体" w:cs="宋体"/>
                <w:b/>
                <w:color w:val="auto"/>
                <w:sz w:val="21"/>
                <w:szCs w:val="21"/>
                <w:highlight w:val="none"/>
                <w:lang w:val="en-US" w:eastAsia="zh-CN"/>
              </w:rPr>
            </w:pPr>
            <w:r>
              <w:rPr>
                <w:rFonts w:hint="eastAsia" w:ascii="宋体" w:hAnsi="宋体" w:cs="宋体"/>
                <w:color w:val="auto"/>
                <w:szCs w:val="21"/>
                <w:highlight w:val="none"/>
              </w:rPr>
              <w:t>☑随机排序。</w:t>
            </w:r>
            <w:r>
              <w:rPr>
                <w:rFonts w:hint="eastAsia" w:ascii="宋体" w:hAnsi="宋体" w:cs="宋体"/>
                <w:color w:val="auto"/>
                <w:szCs w:val="21"/>
                <w:highlight w:val="none"/>
                <w:lang w:eastAsia="zh-CN"/>
              </w:rPr>
              <w:t>【由磋商小组在广西政府采购云平台上对竞标人发起询标函，在</w:t>
            </w:r>
            <w:r>
              <w:rPr>
                <w:rFonts w:hint="eastAsia" w:ascii="宋体" w:hAnsi="宋体" w:cs="宋体"/>
                <w:color w:val="auto"/>
                <w:szCs w:val="21"/>
                <w:highlight w:val="none"/>
                <w:lang w:val="en-US" w:eastAsia="zh-CN"/>
              </w:rPr>
              <w:t>30分钟内竞标人在广西政府采购云平台上进行回复确认，如竞标人在规定时间内没有回复的，视为无效。</w:t>
            </w:r>
            <w:r>
              <w:rPr>
                <w:rFonts w:hint="eastAsia" w:ascii="宋体" w:hAnsi="宋体" w:cs="宋体"/>
                <w:color w:val="auto"/>
                <w:szCs w:val="21"/>
                <w:highlight w:val="none"/>
                <w:lang w:eastAsia="zh-CN"/>
              </w:rPr>
              <w:t>】</w:t>
            </w:r>
          </w:p>
        </w:tc>
      </w:tr>
      <w:tr w14:paraId="0F6266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01153877">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28.1</w:t>
            </w:r>
          </w:p>
        </w:tc>
        <w:tc>
          <w:tcPr>
            <w:tcW w:w="7912" w:type="dxa"/>
            <w:noWrap w:val="0"/>
            <w:vAlign w:val="center"/>
          </w:tcPr>
          <w:p w14:paraId="4D4FB37D">
            <w:p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☑不需要缴纳履约保证金。</w:t>
            </w:r>
          </w:p>
        </w:tc>
      </w:tr>
      <w:tr w14:paraId="54C023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7E68CD45">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29.1</w:t>
            </w:r>
          </w:p>
        </w:tc>
        <w:tc>
          <w:tcPr>
            <w:tcW w:w="7912" w:type="dxa"/>
            <w:noWrap w:val="0"/>
            <w:vAlign w:val="center"/>
          </w:tcPr>
          <w:p w14:paraId="3FCEF036">
            <w:pPr>
              <w:autoSpaceDE w:val="0"/>
              <w:autoSpaceDN w:val="0"/>
              <w:snapToGrid w:val="0"/>
              <w:spacing w:line="360" w:lineRule="auto"/>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签订合同携带的证明材料： 委托代理人负责签订合同的，须携带授权委托书及委托代理人身份证原件等其他资格证件。法定代表人负责签订合同的，须携带法定代表人身份证明原件及身份证原件等其他证明材料。</w:t>
            </w:r>
          </w:p>
        </w:tc>
      </w:tr>
      <w:tr w14:paraId="6E1F67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63B52200">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31.2</w:t>
            </w:r>
          </w:p>
        </w:tc>
        <w:tc>
          <w:tcPr>
            <w:tcW w:w="7912" w:type="dxa"/>
            <w:noWrap w:val="0"/>
            <w:vAlign w:val="center"/>
          </w:tcPr>
          <w:p w14:paraId="671F3F3B">
            <w:p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接收质疑函方式：以书面形式。</w:t>
            </w:r>
          </w:p>
          <w:p w14:paraId="01417281">
            <w:pPr>
              <w:snapToGrid w:val="0"/>
              <w:spacing w:line="360" w:lineRule="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sz w:val="21"/>
                <w:szCs w:val="21"/>
                <w:highlight w:val="none"/>
                <w:lang w:val="en-US" w:eastAsia="zh-CN"/>
              </w:rPr>
              <w:t>质疑联系部门及联系方式：</w:t>
            </w:r>
            <w:r>
              <w:rPr>
                <w:rFonts w:hint="eastAsia" w:ascii="宋体" w:hAnsi="宋体" w:eastAsia="宋体" w:cs="宋体"/>
                <w:color w:val="auto"/>
                <w:sz w:val="21"/>
                <w:szCs w:val="21"/>
                <w:highlight w:val="none"/>
              </w:rPr>
              <w:t>详见竞争性磋商公告</w:t>
            </w:r>
          </w:p>
          <w:p w14:paraId="01C323B4">
            <w:pPr>
              <w:autoSpaceDE w:val="0"/>
              <w:autoSpaceDN w:val="0"/>
              <w:snapToGrid w:val="0"/>
              <w:spacing w:line="360" w:lineRule="auto"/>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业务时间：上午8时00分到12时00分，下午3时00分到6时00分，业务时间以外、双休日和法定节假日不办理业务。</w:t>
            </w:r>
          </w:p>
        </w:tc>
      </w:tr>
      <w:tr w14:paraId="5AECE2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244C2B60">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32.1</w:t>
            </w:r>
          </w:p>
        </w:tc>
        <w:tc>
          <w:tcPr>
            <w:tcW w:w="7912" w:type="dxa"/>
            <w:noWrap w:val="0"/>
            <w:vAlign w:val="center"/>
          </w:tcPr>
          <w:p w14:paraId="49D644FA">
            <w:pPr>
              <w:pStyle w:val="15"/>
              <w:snapToGrid w:val="0"/>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1.采购代理费支付方式：</w:t>
            </w:r>
          </w:p>
          <w:p w14:paraId="136CA5C3">
            <w:pPr>
              <w:pStyle w:val="15"/>
              <w:snapToGrid w:val="0"/>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☑本项目代理服务费由成交供应商领取成交通知书前，一次性向采购代理机构支付。</w:t>
            </w:r>
          </w:p>
          <w:p w14:paraId="7D4F2E2D">
            <w:pPr>
              <w:pStyle w:val="15"/>
              <w:snapToGrid w:val="0"/>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□采购人支付。</w:t>
            </w:r>
          </w:p>
          <w:p w14:paraId="65BF743D">
            <w:pPr>
              <w:pStyle w:val="15"/>
              <w:snapToGrid w:val="0"/>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采购代理费收取标准：根据《广西壮族自治区物价局转发国家发展改革委关于进一步放开建设项目专业服务价格的通知》(桂价费〔2015〕32号)、《自治区住房城乡建设厅关于颁布2018年&lt;广西壮族自治区工程建设其他费用定额&gt;的通知》(桂建标〔2018〕37号)等规范文件规定收取。</w:t>
            </w:r>
          </w:p>
        </w:tc>
      </w:tr>
      <w:tr w14:paraId="49E672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3914CA47">
            <w:pPr>
              <w:spacing w:line="360" w:lineRule="auto"/>
              <w:jc w:val="center"/>
              <w:rPr>
                <w:rFonts w:hint="eastAsia" w:ascii="宋体" w:hAnsi="宋体" w:eastAsia="宋体" w:cs="宋体"/>
                <w:color w:val="auto"/>
                <w:sz w:val="21"/>
                <w:szCs w:val="21"/>
                <w:highlight w:val="none"/>
              </w:rPr>
            </w:pPr>
            <w:r>
              <w:rPr>
                <w:rFonts w:hint="eastAsia" w:ascii="宋体" w:hAnsi="宋体" w:cs="宋体"/>
                <w:color w:val="auto"/>
                <w:szCs w:val="21"/>
                <w:highlight w:val="none"/>
              </w:rPr>
              <w:t>33.1</w:t>
            </w:r>
          </w:p>
        </w:tc>
        <w:tc>
          <w:tcPr>
            <w:tcW w:w="7912" w:type="dxa"/>
            <w:noWrap w:val="0"/>
            <w:vAlign w:val="center"/>
          </w:tcPr>
          <w:p w14:paraId="2E945329">
            <w:pPr>
              <w:pStyle w:val="15"/>
              <w:snapToGrid w:val="0"/>
              <w:spacing w:line="360" w:lineRule="auto"/>
              <w:rPr>
                <w:rFonts w:hint="eastAsia" w:ascii="宋体" w:hAnsi="宋体" w:eastAsia="宋体" w:cs="宋体"/>
                <w:color w:val="auto"/>
                <w:kern w:val="2"/>
                <w:sz w:val="21"/>
                <w:szCs w:val="21"/>
                <w:highlight w:val="none"/>
                <w:lang w:val="en-US" w:eastAsia="zh-CN"/>
              </w:rPr>
            </w:pPr>
            <w:r>
              <w:rPr>
                <w:rFonts w:hint="eastAsia" w:hAnsi="宋体" w:cs="宋体"/>
                <w:color w:val="auto"/>
                <w:sz w:val="21"/>
                <w:highlight w:val="none"/>
              </w:rPr>
              <w:t>解释：构成本磋商文件的各个组成文件应互为解释，互为说明；除磋商文件中有特别规定外，仅适用于竞标阶段的规定，按更正公告（澄清公告）、竞争性磋商公告、供应商须知、采购需求、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由采购人或者采购代理机构负责解释。</w:t>
            </w:r>
          </w:p>
        </w:tc>
      </w:tr>
      <w:tr w14:paraId="748830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1576D0C5">
            <w:pPr>
              <w:spacing w:line="360" w:lineRule="auto"/>
              <w:jc w:val="center"/>
              <w:rPr>
                <w:rFonts w:hint="eastAsia" w:ascii="宋体" w:hAnsi="宋体" w:eastAsia="宋体" w:cs="宋体"/>
                <w:color w:val="auto"/>
                <w:sz w:val="21"/>
                <w:szCs w:val="21"/>
                <w:highlight w:val="none"/>
              </w:rPr>
            </w:pPr>
            <w:r>
              <w:rPr>
                <w:rFonts w:hint="eastAsia" w:ascii="宋体" w:hAnsi="宋体" w:cs="宋体"/>
                <w:color w:val="auto"/>
                <w:szCs w:val="21"/>
                <w:highlight w:val="none"/>
              </w:rPr>
              <w:t>33.2</w:t>
            </w:r>
          </w:p>
        </w:tc>
        <w:tc>
          <w:tcPr>
            <w:tcW w:w="7912" w:type="dxa"/>
            <w:noWrap w:val="0"/>
            <w:vAlign w:val="center"/>
          </w:tcPr>
          <w:p w14:paraId="33154FB3">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1.本招标文件中描述</w:t>
            </w:r>
            <w:r>
              <w:rPr>
                <w:rFonts w:hint="eastAsia" w:ascii="宋体" w:hAnsi="宋体" w:cs="宋体"/>
                <w:color w:val="auto"/>
                <w:szCs w:val="21"/>
                <w:highlight w:val="none"/>
                <w:lang w:eastAsia="zh-CN"/>
              </w:rPr>
              <w:t>响应</w:t>
            </w:r>
            <w:r>
              <w:rPr>
                <w:rFonts w:hint="eastAsia" w:ascii="宋体" w:hAnsi="宋体" w:eastAsia="宋体" w:cs="宋体"/>
                <w:color w:val="auto"/>
                <w:szCs w:val="21"/>
                <w:highlight w:val="none"/>
              </w:rPr>
              <w:t>人的“公章”是指根据我国对公章的管理规定，用</w:t>
            </w:r>
            <w:r>
              <w:rPr>
                <w:rFonts w:hint="eastAsia" w:ascii="宋体" w:hAnsi="宋体" w:cs="宋体"/>
                <w:color w:val="auto"/>
                <w:szCs w:val="21"/>
                <w:highlight w:val="none"/>
                <w:lang w:eastAsia="zh-CN"/>
              </w:rPr>
              <w:t>响应</w:t>
            </w:r>
            <w:r>
              <w:rPr>
                <w:rFonts w:hint="eastAsia" w:ascii="宋体" w:hAnsi="宋体" w:eastAsia="宋体" w:cs="宋体"/>
                <w:color w:val="auto"/>
                <w:szCs w:val="21"/>
                <w:highlight w:val="none"/>
              </w:rPr>
              <w:t>人法定主体行为名称制作的印章，除本招标文件有特殊规定外，</w:t>
            </w:r>
            <w:r>
              <w:rPr>
                <w:rFonts w:hint="eastAsia" w:ascii="宋体" w:hAnsi="宋体" w:cs="宋体"/>
                <w:color w:val="auto"/>
                <w:szCs w:val="21"/>
                <w:highlight w:val="none"/>
                <w:lang w:eastAsia="zh-CN"/>
              </w:rPr>
              <w:t>响应</w:t>
            </w:r>
            <w:r>
              <w:rPr>
                <w:rFonts w:hint="eastAsia" w:ascii="宋体" w:hAnsi="宋体" w:eastAsia="宋体" w:cs="宋体"/>
                <w:color w:val="auto"/>
                <w:szCs w:val="21"/>
                <w:highlight w:val="none"/>
              </w:rPr>
              <w:t>人的财务章、部门章、分公司章、工会章、合同章、</w:t>
            </w:r>
            <w:r>
              <w:rPr>
                <w:rFonts w:hint="eastAsia" w:ascii="宋体" w:hAnsi="宋体" w:cs="宋体"/>
                <w:color w:val="auto"/>
                <w:szCs w:val="21"/>
                <w:highlight w:val="none"/>
                <w:lang w:eastAsia="zh-CN"/>
              </w:rPr>
              <w:t>响应</w:t>
            </w:r>
            <w:r>
              <w:rPr>
                <w:rFonts w:hint="eastAsia" w:ascii="宋体" w:hAnsi="宋体" w:eastAsia="宋体" w:cs="宋体"/>
                <w:color w:val="auto"/>
                <w:szCs w:val="21"/>
                <w:highlight w:val="none"/>
              </w:rPr>
              <w:t>专用章、业务专用章等其它形式印章均不能代替公章。</w:t>
            </w:r>
          </w:p>
          <w:p w14:paraId="79D6B194">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2.本招标文件中描述</w:t>
            </w:r>
            <w:r>
              <w:rPr>
                <w:rFonts w:hint="eastAsia" w:ascii="宋体" w:hAnsi="宋体" w:cs="宋体"/>
                <w:color w:val="auto"/>
                <w:szCs w:val="21"/>
                <w:highlight w:val="none"/>
                <w:lang w:eastAsia="zh-CN"/>
              </w:rPr>
              <w:t>响应</w:t>
            </w:r>
            <w:r>
              <w:rPr>
                <w:rFonts w:hint="eastAsia" w:ascii="宋体" w:hAnsi="宋体" w:eastAsia="宋体" w:cs="宋体"/>
                <w:color w:val="auto"/>
                <w:szCs w:val="21"/>
                <w:highlight w:val="none"/>
              </w:rPr>
              <w:t>人的“签字”是指</w:t>
            </w:r>
            <w:r>
              <w:rPr>
                <w:rFonts w:hint="eastAsia" w:ascii="宋体" w:hAnsi="宋体" w:cs="宋体"/>
                <w:color w:val="auto"/>
                <w:szCs w:val="21"/>
                <w:highlight w:val="none"/>
                <w:lang w:eastAsia="zh-CN"/>
              </w:rPr>
              <w:t>响应</w:t>
            </w:r>
            <w:r>
              <w:rPr>
                <w:rFonts w:hint="eastAsia" w:ascii="宋体" w:hAnsi="宋体" w:eastAsia="宋体" w:cs="宋体"/>
                <w:color w:val="auto"/>
                <w:szCs w:val="21"/>
                <w:highlight w:val="none"/>
              </w:rPr>
              <w:t>人的法定代表人或被授权人亲自在招标文件规定签署处亲笔写上个人的名字的行为，私章、签字章、印鉴、影印等其它形式均不能代替亲笔签字。</w:t>
            </w:r>
          </w:p>
          <w:p w14:paraId="0B1A145D">
            <w:pPr>
              <w:snapToGrid w:val="0"/>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3.电子</w:t>
            </w:r>
            <w:r>
              <w:rPr>
                <w:rFonts w:hint="eastAsia" w:ascii="宋体" w:hAnsi="宋体" w:cs="宋体"/>
                <w:color w:val="auto"/>
                <w:szCs w:val="21"/>
                <w:highlight w:val="none"/>
                <w:lang w:val="en-US" w:eastAsia="zh-CN"/>
              </w:rPr>
              <w:t>响应</w:t>
            </w:r>
            <w:r>
              <w:rPr>
                <w:rFonts w:hint="eastAsia" w:ascii="宋体" w:hAnsi="宋体" w:eastAsia="宋体" w:cs="宋体"/>
                <w:color w:val="auto"/>
                <w:szCs w:val="21"/>
                <w:highlight w:val="none"/>
                <w:lang w:val="en-US" w:eastAsia="zh-CN"/>
              </w:rPr>
              <w:t>文件中须加盖供应商公章部分均采用CA签章，并根据“政府采购项目电子交易管理操作指南-供应商”及本招标文件规定的格式和顺序编制电子</w:t>
            </w:r>
            <w:r>
              <w:rPr>
                <w:rFonts w:hint="eastAsia" w:ascii="宋体" w:hAnsi="宋体" w:cs="宋体"/>
                <w:color w:val="auto"/>
                <w:szCs w:val="21"/>
                <w:highlight w:val="none"/>
                <w:lang w:val="en-US" w:eastAsia="zh-CN"/>
              </w:rPr>
              <w:t>响应</w:t>
            </w:r>
            <w:r>
              <w:rPr>
                <w:rFonts w:hint="eastAsia" w:ascii="宋体" w:hAnsi="宋体" w:eastAsia="宋体" w:cs="宋体"/>
                <w:color w:val="auto"/>
                <w:szCs w:val="21"/>
                <w:highlight w:val="none"/>
                <w:lang w:val="en-US" w:eastAsia="zh-CN"/>
              </w:rPr>
              <w:t>文件并进行关联定位，以便</w:t>
            </w:r>
            <w:r>
              <w:rPr>
                <w:rFonts w:hint="eastAsia" w:ascii="宋体" w:hAnsi="宋体" w:cs="宋体"/>
                <w:color w:val="auto"/>
                <w:szCs w:val="21"/>
                <w:highlight w:val="none"/>
                <w:lang w:val="en-US" w:eastAsia="zh-CN"/>
              </w:rPr>
              <w:t>磋商小组</w:t>
            </w:r>
            <w:r>
              <w:rPr>
                <w:rFonts w:hint="eastAsia" w:ascii="宋体" w:hAnsi="宋体" w:eastAsia="宋体" w:cs="宋体"/>
                <w:color w:val="auto"/>
                <w:szCs w:val="21"/>
                <w:highlight w:val="none"/>
                <w:lang w:val="en-US" w:eastAsia="zh-CN"/>
              </w:rPr>
              <w:t>在评审时，点击评分项可直接定位到该评分项内容。如对招标文件的某项要求，供应商的电子</w:t>
            </w:r>
            <w:r>
              <w:rPr>
                <w:rFonts w:hint="eastAsia" w:ascii="宋体" w:hAnsi="宋体" w:cs="宋体"/>
                <w:color w:val="auto"/>
                <w:szCs w:val="21"/>
                <w:highlight w:val="none"/>
                <w:lang w:val="en-US" w:eastAsia="zh-CN"/>
              </w:rPr>
              <w:t>响应</w:t>
            </w:r>
            <w:r>
              <w:rPr>
                <w:rFonts w:hint="eastAsia" w:ascii="宋体" w:hAnsi="宋体" w:eastAsia="宋体" w:cs="宋体"/>
                <w:color w:val="auto"/>
                <w:szCs w:val="21"/>
                <w:highlight w:val="none"/>
                <w:lang w:val="en-US" w:eastAsia="zh-CN"/>
              </w:rPr>
              <w:t>文件未能关联定位提供相应的内容与其对应，则</w:t>
            </w:r>
            <w:r>
              <w:rPr>
                <w:rFonts w:hint="eastAsia" w:ascii="宋体" w:hAnsi="宋体" w:cs="宋体"/>
                <w:color w:val="auto"/>
                <w:szCs w:val="21"/>
                <w:highlight w:val="none"/>
                <w:lang w:val="en-US" w:eastAsia="zh-CN"/>
              </w:rPr>
              <w:t>磋商小组</w:t>
            </w:r>
            <w:r>
              <w:rPr>
                <w:rFonts w:hint="eastAsia" w:ascii="宋体" w:hAnsi="宋体" w:eastAsia="宋体" w:cs="宋体"/>
                <w:color w:val="auto"/>
                <w:szCs w:val="21"/>
                <w:highlight w:val="none"/>
                <w:lang w:val="en-US" w:eastAsia="zh-CN"/>
              </w:rPr>
              <w:t>在评审时如做出对供应商不利的评审由供应商自行承担。电子</w:t>
            </w:r>
            <w:r>
              <w:rPr>
                <w:rFonts w:hint="eastAsia" w:ascii="宋体" w:hAnsi="宋体" w:cs="宋体"/>
                <w:color w:val="auto"/>
                <w:szCs w:val="21"/>
                <w:highlight w:val="none"/>
                <w:lang w:val="en-US" w:eastAsia="zh-CN"/>
              </w:rPr>
              <w:t>响应</w:t>
            </w:r>
            <w:r>
              <w:rPr>
                <w:rFonts w:hint="eastAsia" w:ascii="宋体" w:hAnsi="宋体" w:eastAsia="宋体" w:cs="宋体"/>
                <w:color w:val="auto"/>
                <w:szCs w:val="21"/>
                <w:highlight w:val="none"/>
                <w:lang w:val="en-US" w:eastAsia="zh-CN"/>
              </w:rPr>
              <w:t>文件如内容不完整、编排混乱导致</w:t>
            </w:r>
            <w:r>
              <w:rPr>
                <w:rFonts w:hint="eastAsia" w:ascii="宋体" w:hAnsi="宋体" w:cs="宋体"/>
                <w:color w:val="auto"/>
                <w:szCs w:val="21"/>
                <w:highlight w:val="none"/>
                <w:lang w:val="en-US" w:eastAsia="zh-CN"/>
              </w:rPr>
              <w:t>响应</w:t>
            </w:r>
            <w:r>
              <w:rPr>
                <w:rFonts w:hint="eastAsia" w:ascii="宋体" w:hAnsi="宋体" w:eastAsia="宋体" w:cs="宋体"/>
                <w:color w:val="auto"/>
                <w:szCs w:val="21"/>
                <w:highlight w:val="none"/>
                <w:lang w:val="en-US" w:eastAsia="zh-CN"/>
              </w:rPr>
              <w:t>文件被误读、 漏读，或者在按采购文件规定的部位查找不到相关内容的，由供应商自行承担。</w:t>
            </w:r>
          </w:p>
          <w:p w14:paraId="4DD102C0">
            <w:pPr>
              <w:snapToGrid w:val="0"/>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4.CA签章上目前没有法人（负责人）或授权代表签字信息，供应商在</w:t>
            </w:r>
            <w:r>
              <w:rPr>
                <w:rFonts w:hint="eastAsia" w:ascii="宋体" w:hAnsi="宋体" w:cs="宋体"/>
                <w:color w:val="auto"/>
                <w:szCs w:val="21"/>
                <w:highlight w:val="none"/>
                <w:lang w:val="en-US" w:eastAsia="zh-CN"/>
              </w:rPr>
              <w:t>响应</w:t>
            </w:r>
            <w:r>
              <w:rPr>
                <w:rFonts w:hint="eastAsia" w:ascii="宋体" w:hAnsi="宋体" w:eastAsia="宋体" w:cs="宋体"/>
                <w:color w:val="auto"/>
                <w:szCs w:val="21"/>
                <w:highlight w:val="none"/>
                <w:lang w:val="en-US" w:eastAsia="zh-CN"/>
              </w:rPr>
              <w:t>文件中涉及到签字的位置线下签好字然后扫描或者拍照做成PDF的格式亦可。</w:t>
            </w:r>
            <w:r>
              <w:rPr>
                <w:rFonts w:hint="eastAsia" w:ascii="宋体" w:hAnsi="宋体" w:cs="宋体"/>
                <w:color w:val="auto"/>
                <w:szCs w:val="21"/>
                <w:highlight w:val="none"/>
                <w:lang w:val="en-US" w:eastAsia="zh-CN"/>
              </w:rPr>
              <w:t>响应</w:t>
            </w:r>
            <w:r>
              <w:rPr>
                <w:rFonts w:hint="eastAsia" w:ascii="宋体" w:hAnsi="宋体" w:eastAsia="宋体" w:cs="宋体"/>
                <w:color w:val="auto"/>
                <w:szCs w:val="21"/>
                <w:highlight w:val="none"/>
                <w:lang w:val="en-US" w:eastAsia="zh-CN"/>
              </w:rPr>
              <w:t>文件中涉及到签字的位置未按要求签字的，提供的材料视为无效。</w:t>
            </w:r>
          </w:p>
          <w:p w14:paraId="7C850F8C">
            <w:pPr>
              <w:snapToGrid w:val="0"/>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Cs w:val="21"/>
                <w:highlight w:val="none"/>
                <w:lang w:val="en-US" w:eastAsia="zh-CN"/>
              </w:rPr>
              <w:t>5.本招标文件所称的“以上”“以下”“以内”“届满”，包括本数；所称的“不满”“超过”“以外”，不包括本数。</w:t>
            </w:r>
            <w:r>
              <w:rPr>
                <w:rFonts w:hint="eastAsia" w:ascii="宋体" w:hAnsi="宋体" w:eastAsia="宋体" w:cs="宋体"/>
                <w:color w:val="auto"/>
                <w:szCs w:val="21"/>
                <w:highlight w:val="none"/>
              </w:rPr>
              <w:t>。</w:t>
            </w:r>
          </w:p>
        </w:tc>
      </w:tr>
      <w:tr w14:paraId="76E9E6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688C7948">
            <w:pPr>
              <w:spacing w:line="360" w:lineRule="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预留份额</w:t>
            </w:r>
          </w:p>
        </w:tc>
        <w:tc>
          <w:tcPr>
            <w:tcW w:w="7912" w:type="dxa"/>
            <w:noWrap w:val="0"/>
            <w:vAlign w:val="center"/>
          </w:tcPr>
          <w:p w14:paraId="57752E08">
            <w:pPr>
              <w:snapToGrid w:val="0"/>
              <w:spacing w:line="360" w:lineRule="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本项目专门面向中小企业采购，预留份额100%，本项目属于物业管理行业</w:t>
            </w:r>
          </w:p>
        </w:tc>
      </w:tr>
    </w:tbl>
    <w:p w14:paraId="3601E770">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r>
        <w:rPr>
          <w:rFonts w:hint="eastAsia" w:ascii="宋体" w:hAnsi="宋体" w:eastAsia="宋体" w:cs="宋体"/>
          <w:b/>
          <w:color w:val="auto"/>
          <w:sz w:val="32"/>
          <w:szCs w:val="32"/>
          <w:highlight w:val="none"/>
        </w:rPr>
        <w:t>供应商须知正文</w:t>
      </w:r>
    </w:p>
    <w:p w14:paraId="0C0CB642">
      <w:pPr>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一、总则</w:t>
      </w:r>
    </w:p>
    <w:p w14:paraId="02A5D9CF">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1.适用范围</w:t>
      </w:r>
    </w:p>
    <w:p w14:paraId="36CB6B2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14:paraId="4B94A77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w:t>
      </w:r>
      <w:r>
        <w:rPr>
          <w:rFonts w:hint="eastAsia" w:ascii="宋体" w:hAnsi="宋体" w:eastAsia="宋体" w:cs="宋体"/>
          <w:color w:val="auto"/>
          <w:spacing w:val="-6"/>
          <w:szCs w:val="21"/>
          <w:highlight w:val="none"/>
        </w:rPr>
        <w:t>本竞争性磋商文件（以下简称磋商文件）适用于本项目的所有采购程序和环节（法律、法规另有规定的，从其规定）。</w:t>
      </w:r>
    </w:p>
    <w:p w14:paraId="3CF81217">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2.定义</w:t>
      </w:r>
    </w:p>
    <w:p w14:paraId="137F812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2.1“采购人”是指</w:t>
      </w:r>
      <w:r>
        <w:rPr>
          <w:rFonts w:hint="eastAsia" w:ascii="宋体" w:hAnsi="宋体" w:eastAsia="宋体" w:cs="宋体"/>
          <w:color w:val="auto"/>
          <w:szCs w:val="21"/>
          <w:highlight w:val="none"/>
          <w:lang w:eastAsia="zh-CN"/>
        </w:rPr>
        <w:t>广西壮族自治区崇左市中级人民法院</w:t>
      </w:r>
      <w:r>
        <w:rPr>
          <w:rFonts w:hint="eastAsia" w:ascii="宋体" w:hAnsi="宋体" w:eastAsia="宋体" w:cs="宋体"/>
          <w:color w:val="auto"/>
          <w:szCs w:val="21"/>
          <w:highlight w:val="none"/>
        </w:rPr>
        <w:t>。</w:t>
      </w:r>
    </w:p>
    <w:p w14:paraId="444910CF">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2.2“采购代理机构”是指</w:t>
      </w:r>
      <w:r>
        <w:rPr>
          <w:rFonts w:hint="eastAsia" w:ascii="宋体" w:hAnsi="宋体" w:cs="宋体"/>
          <w:color w:val="auto"/>
          <w:szCs w:val="21"/>
          <w:highlight w:val="none"/>
          <w:lang w:eastAsia="zh-CN"/>
        </w:rPr>
        <w:t>广西金旺技术管理有限公司</w:t>
      </w:r>
      <w:r>
        <w:rPr>
          <w:rFonts w:hint="eastAsia" w:ascii="宋体" w:hAnsi="宋体" w:eastAsia="宋体" w:cs="宋体"/>
          <w:color w:val="auto"/>
          <w:szCs w:val="21"/>
          <w:highlight w:val="none"/>
        </w:rPr>
        <w:t>。</w:t>
      </w:r>
    </w:p>
    <w:p w14:paraId="7DE2757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2.3“供应商”是指向采购人提供货物、工程或者服务的法人、其他组织或者自然人。</w:t>
      </w:r>
    </w:p>
    <w:p w14:paraId="34D7CCB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2.4“服务”是指除货物和工程以外的其他政府采购对象。</w:t>
      </w:r>
    </w:p>
    <w:p w14:paraId="216000B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2.5“竞标”是指供应商按照本项目竞争性磋商公告或者邀请函规定的方式获取磋商文件、提交响应文件并希望获得标的的行为。</w:t>
      </w:r>
    </w:p>
    <w:p w14:paraId="0B7E173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2.6“响应文件”</w:t>
      </w:r>
      <w:r>
        <w:rPr>
          <w:rFonts w:hint="eastAsia" w:ascii="宋体" w:hAnsi="宋体" w:eastAsia="宋体" w:cs="宋体"/>
          <w:color w:val="auto"/>
          <w:spacing w:val="-6"/>
          <w:szCs w:val="21"/>
          <w:highlight w:val="none"/>
        </w:rPr>
        <w:t>是指：供应商根据本磋商文件要求，编制包含资格证明、商务</w:t>
      </w:r>
      <w:r>
        <w:rPr>
          <w:rFonts w:hint="eastAsia" w:ascii="宋体" w:hAnsi="宋体" w:cs="宋体"/>
          <w:color w:val="auto"/>
          <w:spacing w:val="-6"/>
          <w:szCs w:val="21"/>
          <w:highlight w:val="none"/>
          <w:lang w:eastAsia="zh-CN"/>
        </w:rPr>
        <w:t>报价、</w:t>
      </w:r>
      <w:r>
        <w:rPr>
          <w:rFonts w:hint="eastAsia" w:ascii="宋体" w:hAnsi="宋体" w:eastAsia="宋体" w:cs="宋体"/>
          <w:color w:val="auto"/>
          <w:spacing w:val="-6"/>
          <w:szCs w:val="21"/>
          <w:highlight w:val="none"/>
        </w:rPr>
        <w:t>技术</w:t>
      </w:r>
      <w:r>
        <w:rPr>
          <w:rFonts w:hint="eastAsia" w:ascii="宋体" w:hAnsi="宋体" w:cs="宋体"/>
          <w:color w:val="auto"/>
          <w:spacing w:val="-6"/>
          <w:szCs w:val="21"/>
          <w:highlight w:val="none"/>
          <w:lang w:eastAsia="zh-CN"/>
        </w:rPr>
        <w:t>文件</w:t>
      </w:r>
      <w:r>
        <w:rPr>
          <w:rFonts w:hint="eastAsia" w:ascii="宋体" w:hAnsi="宋体" w:eastAsia="宋体" w:cs="宋体"/>
          <w:color w:val="auto"/>
          <w:spacing w:val="-6"/>
          <w:szCs w:val="21"/>
          <w:highlight w:val="none"/>
        </w:rPr>
        <w:t>等所有内容的文件。</w:t>
      </w:r>
    </w:p>
    <w:p w14:paraId="6047FA1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2.7“实质性要求”是指磋商文件中已经指明不满足则响应文件按无效响应处理的条款，或者不能负偏离的条款，或者采购需求中带“▲”的条款。</w:t>
      </w:r>
    </w:p>
    <w:p w14:paraId="5525D2C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2.8“正偏离”，是指响应文件对磋商文件“采购需求”中有关条款作出的响应优于条款要求并有利于采购人的情形。</w:t>
      </w:r>
    </w:p>
    <w:p w14:paraId="5AC650A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2.9“负偏离”，是指响应文件对磋商文件“采购需求”中有关条款作出的响应不满足条款要求，导致采购人要求不能得到满足的情形。</w:t>
      </w:r>
    </w:p>
    <w:p w14:paraId="3EB9455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2.10“允许负偏离的条款”是指采购需求中的不属于“实质性要求”的条款。</w:t>
      </w:r>
    </w:p>
    <w:p w14:paraId="28295AE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2.11“书面形式”是指合同书、信件和数据电文（包括电报、电传、传真、电子数据交换和电子邮件）等可以有形地表现所载内容的形式。</w:t>
      </w:r>
    </w:p>
    <w:p w14:paraId="364EBD1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2.12“首次报价”是指供应商提交的首次响应文件中的报价。</w:t>
      </w:r>
    </w:p>
    <w:p w14:paraId="22CDBFF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2.13“评审价”是指供应商提交的最后报价并经修正（如有）和政策功能价格扣除（如有）后的价格。</w:t>
      </w:r>
    </w:p>
    <w:p w14:paraId="14182FAD">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3.供应商的资格条件</w:t>
      </w:r>
    </w:p>
    <w:p w14:paraId="6A0540B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供应商的资格条件详见“供应商须知前附表”。</w:t>
      </w:r>
    </w:p>
    <w:p w14:paraId="781011C9">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4.竞标费用</w:t>
      </w:r>
    </w:p>
    <w:p w14:paraId="18FC685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供应商应承担参与本次采购活动有关的所有费用，包括但不限于获取磋商文件、勘查现场、编制和提交响应文件、参加磋商与应答、签订合同等，不论竞标结果如何，均应自行承担。</w:t>
      </w:r>
    </w:p>
    <w:p w14:paraId="14B0F769">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5.联合体竞标</w:t>
      </w:r>
    </w:p>
    <w:p w14:paraId="5F8A37E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5.1本项目是否接受联合体竞标，详见“供应商须知前附表”。</w:t>
      </w:r>
    </w:p>
    <w:p w14:paraId="3CA4F2E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5.2</w:t>
      </w:r>
      <w:r>
        <w:rPr>
          <w:rFonts w:hint="eastAsia" w:ascii="宋体" w:hAnsi="宋体" w:eastAsia="宋体" w:cs="宋体"/>
          <w:color w:val="auto"/>
          <w:highlight w:val="none"/>
        </w:rPr>
        <w:t>如接受联合体竞标，</w:t>
      </w:r>
      <w:r>
        <w:rPr>
          <w:rFonts w:hint="eastAsia" w:ascii="宋体" w:hAnsi="宋体" w:eastAsia="宋体" w:cs="宋体"/>
          <w:color w:val="auto"/>
          <w:szCs w:val="21"/>
          <w:highlight w:val="none"/>
        </w:rPr>
        <w:t>联合体竞标要求详见“供应商须知前附表”。</w:t>
      </w:r>
    </w:p>
    <w:p w14:paraId="00168C8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5.3根据《政府采购促进中小企业发展暂行办法》第六条规定，“鼓励大中型企业和其他自然人、法人或者其他组织与小型、微型企业组成联合体共同参加非专门面向中小企业的政府采购活动。联合协议中约定，小型、微型企业的协议合同金额占到联合体协议合同总金额30%以上的，可给予联合体2%-3%的价格扣除。联合体各方均为小型、微型企业的，联合体视同为小型、微型企业享受本办法第四条、第五条规定的扶持政策。组成联合体的大中型企业和其他自然人、法人或者其他组织，与小型、微型企业之间不得存在投资关系。”</w:t>
      </w:r>
    </w:p>
    <w:p w14:paraId="729FA06A">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 xml:space="preserve">6.转包与分包             </w:t>
      </w:r>
    </w:p>
    <w:p w14:paraId="3AC3278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6.1本项目不允许转包。</w:t>
      </w:r>
    </w:p>
    <w:p w14:paraId="10D3ADB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6.2本项目是否允许分包详见“供应商须知前附表”，本项目不允许违法分包。</w:t>
      </w:r>
    </w:p>
    <w:p w14:paraId="0D5A2022">
      <w:pPr>
        <w:spacing w:line="360" w:lineRule="auto"/>
        <w:ind w:firstLine="482" w:firstLineChars="200"/>
        <w:rPr>
          <w:rFonts w:hint="eastAsia" w:ascii="宋体" w:hAnsi="宋体" w:eastAsia="宋体" w:cs="宋体"/>
          <w:b/>
          <w:bCs/>
          <w:color w:val="auto"/>
          <w:sz w:val="24"/>
          <w:highlight w:val="none"/>
        </w:rPr>
      </w:pPr>
      <w:bookmarkStart w:id="59" w:name="_Toc254970532"/>
      <w:bookmarkStart w:id="60" w:name="_Toc254970673"/>
      <w:r>
        <w:rPr>
          <w:rFonts w:hint="eastAsia" w:ascii="宋体" w:hAnsi="宋体" w:eastAsia="宋体" w:cs="宋体"/>
          <w:b/>
          <w:bCs/>
          <w:color w:val="auto"/>
          <w:sz w:val="24"/>
          <w:highlight w:val="none"/>
        </w:rPr>
        <w:t>7.特别说明</w:t>
      </w:r>
      <w:bookmarkEnd w:id="59"/>
      <w:bookmarkEnd w:id="60"/>
    </w:p>
    <w:p w14:paraId="424FC819">
      <w:pPr>
        <w:spacing w:line="360" w:lineRule="auto"/>
        <w:ind w:firstLine="420" w:firstLineChars="200"/>
        <w:rPr>
          <w:rFonts w:hint="eastAsia" w:ascii="宋体" w:hAnsi="宋体" w:eastAsia="宋体" w:cs="宋体"/>
          <w:color w:val="auto"/>
          <w:szCs w:val="21"/>
          <w:highlight w:val="none"/>
        </w:rPr>
      </w:pPr>
      <w:bookmarkStart w:id="61" w:name="_8.1提供相同品牌产品且通过资格审查、符合性审查的不同投标人参加同一合"/>
      <w:bookmarkEnd w:id="61"/>
      <w:r>
        <w:rPr>
          <w:rFonts w:hint="eastAsia" w:ascii="宋体" w:hAnsi="宋体" w:eastAsia="宋体" w:cs="宋体"/>
          <w:color w:val="auto"/>
          <w:szCs w:val="21"/>
          <w:highlight w:val="none"/>
        </w:rPr>
        <w:t>7.1如果本磋商文件要求供应商提供资格、信誉、荣誉、业绩与企业认证等材料的，则供应商所提供的以上材料必须为供应商所拥有。</w:t>
      </w:r>
    </w:p>
    <w:p w14:paraId="75DAB48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7.2供应商应仔细阅读磋商文件的所有内容，按照磋商文件的要求提交响应文件，并对所提供的全部资料的真实性承担法律责任。</w:t>
      </w:r>
    </w:p>
    <w:p w14:paraId="135C916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7.3供应商在竞标活动中提供任何疑似虚假材料，将报监管部门查处；签订合同后发现的，成交供应商须依照《中华人民共和国消费者权益保护法》规定赔偿采购人，且民事赔偿并不免除违法供应商的行政与刑事责任。</w:t>
      </w:r>
    </w:p>
    <w:p w14:paraId="7EC4D94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7.4在政府采购活动中，采购人员及相关人员与供应商有下列利害关系之一的，应当回避：</w:t>
      </w:r>
    </w:p>
    <w:p w14:paraId="5207AA5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（1）参加采购活动前3年内与供应商存在劳动关系；</w:t>
      </w:r>
    </w:p>
    <w:p w14:paraId="4861CB6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（2）参加采购活动前3年内担任供应商的董事、监事；</w:t>
      </w:r>
    </w:p>
    <w:p w14:paraId="04DA296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（3）参加采购活动前3年内是供应商的控股股东或者实际控制人；</w:t>
      </w:r>
    </w:p>
    <w:p w14:paraId="7672398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（4）与供应商的法定代表人或者负责人有夫妻、直系血亲、三代以内旁系血亲或者近姻亲关系；</w:t>
      </w:r>
    </w:p>
    <w:p w14:paraId="157DC2D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（5）与供应商有其他可能影响政府采购活动公平、公正进行的关系。</w:t>
      </w:r>
    </w:p>
    <w:p w14:paraId="650767D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5F108BC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7.5有下列情形之一的视为供应商相互串通竞标，响应文件将被视为无效：</w:t>
      </w:r>
    </w:p>
    <w:p w14:paraId="0371469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（1）不同供应商的响应文件由同一单位或者个人编制；或者不同供应商报名的IP地址一致的；</w:t>
      </w:r>
    </w:p>
    <w:p w14:paraId="12B793F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（2）不同供应商委托同一单位或者个人办理竞标事宜；</w:t>
      </w:r>
    </w:p>
    <w:p w14:paraId="4840A42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（3）不同的供应商的响应文件载明的项目管理员为同一个人；</w:t>
      </w:r>
    </w:p>
    <w:p w14:paraId="79ECFDA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（4）不同供应商的响应文件异常一致或者报价呈规律性差异；</w:t>
      </w:r>
    </w:p>
    <w:p w14:paraId="3FD2A4D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（5）不同供应商的响应文件相互混装；</w:t>
      </w:r>
    </w:p>
    <w:p w14:paraId="0C81CCE6">
      <w:pPr>
        <w:tabs>
          <w:tab w:val="left" w:pos="6931"/>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（6）不同供应商的磋商保证金从同一单位或者个人账户转出。</w:t>
      </w:r>
      <w:r>
        <w:rPr>
          <w:rFonts w:hint="eastAsia" w:ascii="宋体" w:hAnsi="宋体" w:eastAsia="宋体" w:cs="宋体"/>
          <w:color w:val="auto"/>
          <w:szCs w:val="21"/>
          <w:highlight w:val="none"/>
        </w:rPr>
        <w:tab/>
      </w:r>
    </w:p>
    <w:p w14:paraId="4A0C9B1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7.6供应商有下列情形之一的，属于恶意串通行为，将报同级监督管理部门：</w:t>
      </w:r>
    </w:p>
    <w:p w14:paraId="415EFA9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（1）供应商直接或者间接从采购人或者采购代理机构处获得其他供应商的相关信息并修改其响应文件；</w:t>
      </w:r>
    </w:p>
    <w:p w14:paraId="6444D6E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（2）供应商按照采购人或者采购代理机构的授意撤换、修改响应文件；</w:t>
      </w:r>
    </w:p>
    <w:p w14:paraId="66E8718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（3）供应商之间协商报价、技术方案等响应文件或者响应文件的实质性内容；</w:t>
      </w:r>
    </w:p>
    <w:p w14:paraId="0305F75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（4）属于同一集团、协会、商会等组织成员的供应商按照该组织要求协同参加政府采购活动；</w:t>
      </w:r>
    </w:p>
    <w:p w14:paraId="60922EE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（5）供应商之间事先约定一致抬高或者压低报价，或者在政府采购活动中事先约定轮流以高价位或者低价位成交，或者事先约定由某一特定供应商成交，然后再参加竞标；</w:t>
      </w:r>
    </w:p>
    <w:p w14:paraId="1CDF766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（6）供应商之间商定部分供应商放弃参加政府采购活动或者放弃成交；</w:t>
      </w:r>
    </w:p>
    <w:p w14:paraId="1FD9C58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（7）供应商与采购人或者采购代理机构之间、供应商相互之间，为谋求特定供应商成交或者排斥其他供应商的其他串通行为。</w:t>
      </w:r>
    </w:p>
    <w:p w14:paraId="6E631FDD">
      <w:pPr>
        <w:spacing w:line="360" w:lineRule="auto"/>
        <w:jc w:val="center"/>
        <w:rPr>
          <w:rFonts w:hint="eastAsia" w:ascii="宋体" w:hAnsi="宋体" w:eastAsia="宋体" w:cs="宋体"/>
          <w:color w:val="auto"/>
          <w:sz w:val="20"/>
          <w:szCs w:val="20"/>
          <w:highlight w:val="none"/>
        </w:rPr>
      </w:pPr>
      <w:bookmarkStart w:id="62" w:name="_Toc254970675"/>
      <w:bookmarkStart w:id="63" w:name="_Toc254970534"/>
      <w:r>
        <w:rPr>
          <w:rFonts w:hint="eastAsia" w:ascii="宋体" w:hAnsi="宋体" w:eastAsia="宋体" w:cs="宋体"/>
          <w:b/>
          <w:bCs/>
          <w:color w:val="auto"/>
          <w:sz w:val="28"/>
          <w:szCs w:val="28"/>
          <w:highlight w:val="none"/>
        </w:rPr>
        <w:t>二、磋商文件</w:t>
      </w:r>
      <w:bookmarkEnd w:id="62"/>
      <w:bookmarkEnd w:id="63"/>
    </w:p>
    <w:p w14:paraId="52E0B649">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8.磋商文件的构成</w:t>
      </w:r>
    </w:p>
    <w:p w14:paraId="6ECF33AE">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（1）竞争性磋商公告或者邀请函；</w:t>
      </w:r>
    </w:p>
    <w:p w14:paraId="49447874">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（2）供应商须知； </w:t>
      </w:r>
    </w:p>
    <w:p w14:paraId="4713C81F">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（3）采购需求；</w:t>
      </w:r>
    </w:p>
    <w:p w14:paraId="7988BCE4">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（4）评审程序、评审方法和评审标准；</w:t>
      </w:r>
    </w:p>
    <w:p w14:paraId="4BA7DF91">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（5）响应文件格式；</w:t>
      </w:r>
    </w:p>
    <w:p w14:paraId="0A27545B">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（6）合同文本。</w:t>
      </w:r>
    </w:p>
    <w:p w14:paraId="2377C043">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9.供应商的询问</w:t>
      </w:r>
    </w:p>
    <w:p w14:paraId="4D165D6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供应商应认真阅读磋商文件的采购需求，如供应商对磋商文件有疑问的，如要求采购人作出澄清或者修改的，供应商尽可能在提交首次响应文件截止之日前，以书面形式向采购人、采购代理机构提出。</w:t>
      </w:r>
    </w:p>
    <w:p w14:paraId="7B06F5CB">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10.磋商文件的澄清和修改</w:t>
      </w:r>
    </w:p>
    <w:p w14:paraId="150AC31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w:t>
      </w:r>
    </w:p>
    <w:p w14:paraId="2B2D0904">
      <w:pPr>
        <w:spacing w:line="360" w:lineRule="auto"/>
        <w:jc w:val="center"/>
        <w:rPr>
          <w:rFonts w:hint="eastAsia" w:ascii="宋体" w:hAnsi="宋体" w:eastAsia="宋体" w:cs="宋体"/>
          <w:b/>
          <w:bCs/>
          <w:color w:val="auto"/>
          <w:sz w:val="20"/>
          <w:szCs w:val="20"/>
          <w:highlight w:val="none"/>
        </w:rPr>
      </w:pPr>
      <w:r>
        <w:rPr>
          <w:rFonts w:hint="eastAsia" w:ascii="宋体" w:hAnsi="宋体" w:eastAsia="宋体" w:cs="宋体"/>
          <w:b/>
          <w:bCs/>
          <w:color w:val="auto"/>
          <w:sz w:val="28"/>
          <w:szCs w:val="28"/>
          <w:highlight w:val="none"/>
        </w:rPr>
        <w:t>三、响应文件的编制</w:t>
      </w:r>
    </w:p>
    <w:p w14:paraId="6AF9243B">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11.响应文件的编制原则</w:t>
      </w:r>
    </w:p>
    <w:p w14:paraId="0248841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供应商必须按照磋商文件的要求编制响应文件，并对其提交的响应文件的真实性、合法性承担法律责任。响应文件必须对磋商文件作出实质性响应。</w:t>
      </w:r>
    </w:p>
    <w:p w14:paraId="59E963B4">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12.响应文件的组成</w:t>
      </w:r>
    </w:p>
    <w:p w14:paraId="20AA079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12.1响应文件由资格证明文件、</w:t>
      </w:r>
      <w:r>
        <w:rPr>
          <w:rFonts w:hint="eastAsia" w:ascii="宋体" w:hAnsi="宋体" w:cs="宋体"/>
          <w:color w:val="auto"/>
          <w:szCs w:val="21"/>
          <w:highlight w:val="none"/>
        </w:rPr>
        <w:t>商务</w:t>
      </w:r>
      <w:r>
        <w:rPr>
          <w:rFonts w:hint="eastAsia" w:ascii="宋体" w:hAnsi="宋体" w:eastAsia="宋体" w:cs="宋体"/>
          <w:color w:val="auto"/>
          <w:szCs w:val="21"/>
          <w:highlight w:val="none"/>
        </w:rPr>
        <w:t>报价</w:t>
      </w:r>
      <w:r>
        <w:rPr>
          <w:rFonts w:hint="eastAsia" w:ascii="宋体" w:hAnsi="宋体" w:cs="宋体"/>
          <w:color w:val="auto"/>
          <w:szCs w:val="21"/>
          <w:highlight w:val="none"/>
          <w:lang w:eastAsia="zh-CN"/>
        </w:rPr>
        <w:t>文件、</w:t>
      </w:r>
      <w:r>
        <w:rPr>
          <w:rFonts w:hint="eastAsia" w:ascii="宋体" w:hAnsi="宋体" w:eastAsia="宋体" w:cs="宋体"/>
          <w:color w:val="auto"/>
          <w:szCs w:val="21"/>
          <w:highlight w:val="none"/>
        </w:rPr>
        <w:t>技术文件组成。</w:t>
      </w:r>
    </w:p>
    <w:p w14:paraId="51C73060">
      <w:pPr>
        <w:spacing w:line="360" w:lineRule="auto"/>
        <w:ind w:left="840" w:leftChars="200" w:hanging="420" w:hanging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12.1.1资格证明文件：详见须知前附表</w:t>
      </w:r>
    </w:p>
    <w:p w14:paraId="2A76E3CD">
      <w:pPr>
        <w:spacing w:line="360" w:lineRule="auto"/>
        <w:ind w:left="840" w:leftChars="200" w:hanging="420" w:hanging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12.1.2</w:t>
      </w:r>
      <w:r>
        <w:rPr>
          <w:rFonts w:hint="eastAsia" w:ascii="宋体" w:hAnsi="宋体" w:cs="宋体"/>
          <w:color w:val="auto"/>
          <w:szCs w:val="21"/>
          <w:highlight w:val="none"/>
          <w:lang w:eastAsia="zh-CN"/>
        </w:rPr>
        <w:t>商务报价文件</w:t>
      </w:r>
      <w:r>
        <w:rPr>
          <w:rFonts w:hint="eastAsia" w:ascii="宋体" w:hAnsi="宋体" w:eastAsia="宋体" w:cs="宋体"/>
          <w:color w:val="auto"/>
          <w:szCs w:val="21"/>
          <w:highlight w:val="none"/>
        </w:rPr>
        <w:t>：详见须知前附表</w:t>
      </w:r>
    </w:p>
    <w:p w14:paraId="54D7267E">
      <w:pPr>
        <w:spacing w:line="360" w:lineRule="auto"/>
        <w:ind w:left="840" w:leftChars="200" w:hanging="420" w:hanging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12.1.3</w:t>
      </w:r>
      <w:r>
        <w:rPr>
          <w:rFonts w:hint="eastAsia" w:ascii="宋体" w:hAnsi="宋体" w:cs="宋体"/>
          <w:color w:val="auto"/>
          <w:szCs w:val="21"/>
          <w:highlight w:val="none"/>
          <w:lang w:eastAsia="zh-CN"/>
        </w:rPr>
        <w:t>技术文件</w:t>
      </w:r>
      <w:r>
        <w:rPr>
          <w:rFonts w:hint="eastAsia" w:ascii="宋体" w:hAnsi="宋体" w:eastAsia="宋体" w:cs="宋体"/>
          <w:color w:val="auto"/>
          <w:szCs w:val="21"/>
          <w:highlight w:val="none"/>
        </w:rPr>
        <w:t>：详见须知前附表</w:t>
      </w:r>
    </w:p>
    <w:p w14:paraId="6E799C4C">
      <w:pPr>
        <w:spacing w:line="360" w:lineRule="auto"/>
        <w:ind w:left="840" w:leftChars="200" w:hanging="420" w:hanging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12.2响应文件电子版：详见须知前附表</w:t>
      </w:r>
    </w:p>
    <w:p w14:paraId="4B5A8547">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13.计量单位</w:t>
      </w:r>
    </w:p>
    <w:p w14:paraId="29C6B78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磋商文件已有明确规定的，使用磋商文件规定的计量单位；磋商文件没有规定的，应采用中华人民共和国法定计量单位，货币种类为人民币，否则视同未响应。</w:t>
      </w:r>
    </w:p>
    <w:p w14:paraId="08A3F980">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14.竞标的风险</w:t>
      </w:r>
    </w:p>
    <w:p w14:paraId="01A8334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供应商没有按照磋商文件要求提供全部资料，或者供应商没有对磋商文件在各方面作出实质性响应可能导致其响应无效，是供应商应当考虑的风险。</w:t>
      </w:r>
    </w:p>
    <w:p w14:paraId="65D7298C">
      <w:pPr>
        <w:spacing w:line="360" w:lineRule="auto"/>
        <w:ind w:firstLine="420" w:firstLineChars="200"/>
        <w:rPr>
          <w:rFonts w:hint="eastAsia" w:ascii="宋体" w:hAnsi="宋体" w:eastAsia="宋体" w:cs="宋体"/>
          <w:color w:val="auto"/>
          <w:szCs w:val="21"/>
          <w:highlight w:val="none"/>
        </w:rPr>
      </w:pPr>
    </w:p>
    <w:p w14:paraId="751A492B">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15.竞标报价要求和构成</w:t>
      </w:r>
    </w:p>
    <w:p w14:paraId="76B6F943">
      <w:pPr>
        <w:tabs>
          <w:tab w:val="left" w:pos="2492"/>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15.1竞标报价应按磋商文件中“竞标报价表”格式填写。</w:t>
      </w:r>
    </w:p>
    <w:p w14:paraId="376ACCEB">
      <w:pPr>
        <w:tabs>
          <w:tab w:val="left" w:pos="2492"/>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15.2竞标报价的价格构成见“供应商须知前附表”。</w:t>
      </w:r>
    </w:p>
    <w:p w14:paraId="008206A8">
      <w:pPr>
        <w:spacing w:line="360" w:lineRule="auto"/>
        <w:ind w:left="426" w:leftChars="203"/>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15.3竞标报价要求</w:t>
      </w:r>
    </w:p>
    <w:p w14:paraId="5DA0E02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15.3.1供应商的竞标报价应符合以下要求，否则响应文件按无效响应处理：</w:t>
      </w:r>
    </w:p>
    <w:p w14:paraId="4DDB8A64">
      <w:pPr>
        <w:spacing w:line="360"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（1）供应商必须就“采购需求”中所竞标的每个分标的全部内容分别作完整唯一总价报价，</w:t>
      </w:r>
    </w:p>
    <w:p w14:paraId="0DA39D1F">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不得存在漏项报价；</w:t>
      </w:r>
    </w:p>
    <w:p w14:paraId="59FA51B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（2）供应商必须就所竞标的分标的单项内容作唯一报价。</w:t>
      </w:r>
    </w:p>
    <w:p w14:paraId="3A639DD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15.3.2竞标报价（包含首次报价、最后报价）超过所竞标分标规定的采购预算金额或者最高限价的，其响应文件将作无效处理。</w:t>
      </w:r>
    </w:p>
    <w:p w14:paraId="13E015F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15.3.3</w:t>
      </w:r>
      <w:bookmarkStart w:id="64" w:name="_Hlk42592874"/>
      <w:r>
        <w:rPr>
          <w:rFonts w:hint="eastAsia" w:ascii="宋体" w:hAnsi="宋体" w:eastAsia="宋体" w:cs="宋体"/>
          <w:color w:val="auto"/>
          <w:szCs w:val="21"/>
          <w:highlight w:val="none"/>
        </w:rPr>
        <w:t>竞标报价（包含首次报价、最后报价）超过分项采购预算金额或者最高限价的，其响应文件将作无效处理。</w:t>
      </w:r>
    </w:p>
    <w:bookmarkEnd w:id="64"/>
    <w:p w14:paraId="0D8739A7">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16.竞标有效期</w:t>
      </w:r>
    </w:p>
    <w:p w14:paraId="6171670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16.1竞标有效期是指为保证采购人有足够的时间在提交响应文件后完成评审、确定成交供应商、合同签订等工作而要求供应商提交的响应文件在一定时间内保持有效的期限。</w:t>
      </w:r>
    </w:p>
    <w:p w14:paraId="25B1A56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16.2 竞标有效期应由供应商按“供应商须知前附表”规定的期限作出响应。</w:t>
      </w:r>
    </w:p>
    <w:p w14:paraId="410DD00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16.3供应商的响应文件在竞标有效期内均保持有效。</w:t>
      </w:r>
    </w:p>
    <w:p w14:paraId="560A7E3B">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17.磋商保证金</w:t>
      </w:r>
    </w:p>
    <w:p w14:paraId="01508E0A">
      <w:pPr>
        <w:spacing w:line="360"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17.1供应商须按“供应商须知前附表”的规定提交磋商保证金。</w:t>
      </w:r>
    </w:p>
    <w:p w14:paraId="35436C0A">
      <w:pPr>
        <w:spacing w:line="360"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17.2磋商保证金的退还</w:t>
      </w:r>
    </w:p>
    <w:p w14:paraId="1FBCE88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17.2.1未</w:t>
      </w:r>
      <w:r>
        <w:rPr>
          <w:rFonts w:hint="eastAsia" w:ascii="宋体" w:hAnsi="宋体" w:eastAsia="宋体" w:cs="宋体"/>
          <w:color w:val="auto"/>
          <w:spacing w:val="-6"/>
          <w:szCs w:val="21"/>
          <w:highlight w:val="none"/>
        </w:rPr>
        <w:t>成交供应商的磋商保证金自成交通知书发出之日起5个工作日内退还，退还方式如下：</w:t>
      </w:r>
    </w:p>
    <w:p w14:paraId="155C161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（1）采用银行转账方式的，以转账方式退回到供应商银行账户。</w:t>
      </w:r>
    </w:p>
    <w:p w14:paraId="365B206C">
      <w:pPr>
        <w:pStyle w:val="7"/>
        <w:spacing w:line="360" w:lineRule="auto"/>
        <w:ind w:firstLine="315"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（2）采用支票、汇票、本票或者金融、担保机构出具的保函方式的，由供应商代表持相关授权证明材料至采购人或者采购代理机构办理支票、汇票、本票或者金融、担保机构出具的保函原件退还手续。</w:t>
      </w:r>
    </w:p>
    <w:p w14:paraId="1CCC30C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17.2.2成交供应商的磋商保证金自签订合同之日起5个工作日内退还，退还方式同未成交供应商的磋商保证金的退还方式。 </w:t>
      </w:r>
    </w:p>
    <w:p w14:paraId="6CAEE5B8">
      <w:pPr>
        <w:spacing w:line="360"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17.3磋商保证金不计息。</w:t>
      </w:r>
    </w:p>
    <w:p w14:paraId="5139338F">
      <w:pPr>
        <w:spacing w:line="360"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17.4供应商有下列情形之一的，磋商保证金将不予退还： </w:t>
      </w:r>
    </w:p>
    <w:p w14:paraId="497D020F">
      <w:pPr>
        <w:spacing w:line="360"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（1）供应商在提交响应文件截止时间后撤回响应文件的；</w:t>
      </w:r>
    </w:p>
    <w:p w14:paraId="2261AB41">
      <w:pPr>
        <w:spacing w:line="360"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（2）供应商在响应文件中提供虚假材料的；</w:t>
      </w:r>
    </w:p>
    <w:p w14:paraId="69C85DD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（3）除因不可抗力或者磋商文件认可的情形以外，成交供应商不与采购人签订合同的；</w:t>
      </w:r>
    </w:p>
    <w:p w14:paraId="1362EFA0">
      <w:pPr>
        <w:spacing w:line="360"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（4）供应商与采购人、其他供应商或者采购代理机构恶意串通的；</w:t>
      </w:r>
    </w:p>
    <w:p w14:paraId="36A3DC66">
      <w:pPr>
        <w:spacing w:line="360"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（5）磋商文件规定的其他情形。</w:t>
      </w:r>
    </w:p>
    <w:p w14:paraId="4D6F86F9">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18.响应文件编制的要求</w:t>
      </w:r>
    </w:p>
    <w:p w14:paraId="61979ED4">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18.1本项目实行电子</w:t>
      </w:r>
      <w:r>
        <w:rPr>
          <w:rFonts w:hint="eastAsia" w:ascii="宋体" w:hAnsi="宋体" w:cs="宋体"/>
          <w:color w:val="auto"/>
          <w:szCs w:val="21"/>
          <w:highlight w:val="none"/>
          <w:lang w:eastAsia="zh-CN"/>
        </w:rPr>
        <w:t>响应</w:t>
      </w:r>
      <w:r>
        <w:rPr>
          <w:rFonts w:hint="eastAsia" w:ascii="宋体" w:hAnsi="宋体" w:cs="宋体"/>
          <w:color w:val="auto"/>
          <w:szCs w:val="21"/>
          <w:highlight w:val="none"/>
        </w:rPr>
        <w:t>响应：</w:t>
      </w:r>
    </w:p>
    <w:p w14:paraId="15DBF9DA">
      <w:pPr>
        <w:numPr>
          <w:ilvl w:val="0"/>
          <w:numId w:val="3"/>
        </w:num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电子响应文件按</w:t>
      </w:r>
      <w:r>
        <w:rPr>
          <w:rFonts w:hint="eastAsia" w:ascii="宋体" w:hAnsi="宋体" w:cs="宋体"/>
          <w:color w:val="auto"/>
          <w:szCs w:val="21"/>
          <w:highlight w:val="none"/>
          <w:lang w:eastAsia="zh-CN"/>
        </w:rPr>
        <w:t>广西政府采购云</w:t>
      </w:r>
      <w:r>
        <w:rPr>
          <w:rFonts w:hint="eastAsia" w:ascii="宋体" w:hAnsi="宋体" w:cs="宋体"/>
          <w:color w:val="auto"/>
          <w:szCs w:val="21"/>
          <w:highlight w:val="none"/>
        </w:rPr>
        <w:t>平台要求及本竞争性磋商文件要求制作、加密并递交。具体操作流程</w:t>
      </w:r>
    </w:p>
    <w:p w14:paraId="05661571">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可参考《政府采购项目电子交易管理操作指南-供应商》。</w:t>
      </w:r>
    </w:p>
    <w:p w14:paraId="20589B43">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（2）电子备份响应文件系上传</w:t>
      </w:r>
      <w:r>
        <w:rPr>
          <w:rFonts w:hint="eastAsia" w:ascii="宋体" w:hAnsi="宋体" w:cs="宋体"/>
          <w:color w:val="auto"/>
          <w:szCs w:val="21"/>
          <w:highlight w:val="none"/>
          <w:lang w:eastAsia="zh-CN"/>
        </w:rPr>
        <w:t>广西政府采购云</w:t>
      </w:r>
      <w:r>
        <w:rPr>
          <w:rFonts w:hint="eastAsia" w:ascii="宋体" w:hAnsi="宋体" w:cs="宋体"/>
          <w:color w:val="auto"/>
          <w:szCs w:val="21"/>
          <w:highlight w:val="none"/>
        </w:rPr>
        <w:t>平台的响应文件电子版，按照本竞争性磋商文件要求制作。</w:t>
      </w:r>
    </w:p>
    <w:p w14:paraId="677F1908">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（3）响应文件启用顺序和效力：响应文件的启用，按先后顺位分别为电子响应文件、以介质存储</w:t>
      </w:r>
    </w:p>
    <w:p w14:paraId="52119633">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的数据电文形式的电子备份响应文件。全部供应商的电子响应文件均已按时解密的，以介质存储的数据电文形式的电子备份响应文件自动失效。如果某位供应商的电子响应文件无法按时解密的，其电子响应文件为无效，启用以介质存储的数据电文形式的电子备份响应文件。供应商仅递交电子备份响应文件的，磋商无效。</w:t>
      </w:r>
    </w:p>
    <w:p w14:paraId="28210D72">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18.2供应商提交的竞争性磋商响应文件以及供应商与采购代理机构和采购人就有关磋商的所有</w:t>
      </w:r>
    </w:p>
    <w:p w14:paraId="39715F1E">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来往函电均应使用中文。供应商提交的支持文件和印刷的文献可以使用别的语言，但其相应内容必须附有中文翻译文本，在解释竞争性磋商响应文件时以翻译文本为主。</w:t>
      </w:r>
    </w:p>
    <w:p w14:paraId="7FB10DE7">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18.3供应商应认真阅读、并充分理解本文件的全部内容（包括所有的澄清、更改、补充、答疑等</w:t>
      </w:r>
    </w:p>
    <w:p w14:paraId="656F7076">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内容），承诺并履行本文件中各项条款规定及要求。</w:t>
      </w:r>
    </w:p>
    <w:p w14:paraId="6155A417">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18.4竞争性磋商响应文件必须按本文件的全部内容，包括所有的澄清、更改、补充、答疑等内容</w:t>
      </w:r>
    </w:p>
    <w:p w14:paraId="7113CBB4">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及附件进行编制。</w:t>
      </w:r>
    </w:p>
    <w:p w14:paraId="48A77AC9">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18.5如因供应商只填写和提供了本文件要求的部分内容和附件，而给磋商小组评审造成困难，其</w:t>
      </w:r>
    </w:p>
    <w:p w14:paraId="3FCA5582">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可能导致的结果和责任由供应商自行承担。</w:t>
      </w:r>
    </w:p>
    <w:p w14:paraId="05D9E057">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19.响应文件的密封和标记</w:t>
      </w:r>
    </w:p>
    <w:p w14:paraId="580761B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19.1电子磋商响应文件中须加盖供应商公章部分均采用 CA 签章，并根据“政府采购项目电子交易管理操作指南-供应商” 及本磋商文件规定的格式和顺序编制电子磋商响应文件并进行关联定位，以便磋商小组在评审时，点击评分项可直接定位到该评分项内容。如对磋商文件的某项要求，供应商的电子磋商响应文件未能关联定位提供相应的内容与其对应，则磋商小组在评审时如做出对供应商不利的评审由供应商自行承担。电子磋商响应文件如内容不完整、编排混乱导致磋商响应文件被误读、 漏读，或者在按采购文件规定的部位查找不到相关内容的，由供应商自行承担。</w:t>
      </w:r>
    </w:p>
    <w:p w14:paraId="74DAB15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19.2 CA签章上目前没有法人（负责人）或授权代表签字信息，供应商在磋商响应文件中涉及到签字的位置线下签好字然后扫描或者拍照做成PDF的格式即可。</w:t>
      </w:r>
    </w:p>
    <w:p w14:paraId="759829A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19.3磋商响应文件不得涂改，若有修改错漏处，须法定代表人（负责人）或授权委托人签字。磋商响应文件因字迹潦草或表达不清所引起的后果由供应商负责。</w:t>
      </w:r>
    </w:p>
    <w:p w14:paraId="72686AC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19.4供应商应将电子备份响应文件装入到一个响应文件袋内加以密封（要求文件袋无明显缝隙露出袋内文件）；电子备份响应文件袋在每一封贴处密封签章【公章、密封章、法定代表人（负责人）、委托代理人签字等均可】。</w:t>
      </w:r>
    </w:p>
    <w:p w14:paraId="5E1FA7F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电子备份响应文件袋的包装封面上应注明供应商名称、供应商地址、响应文件名称（电子备份响应文件）、竞标项目名称、项目编号、并加盖供应商公章，并注明“截标时才能启封”。</w:t>
      </w:r>
    </w:p>
    <w:p w14:paraId="1841A67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19.5逾期送达或者未按照竞争性磋商文件要求密封的电子备份响应文件将被拒绝，由此造成电子备份响应文件被误投或提前拆封的风险由供应商承担。</w:t>
      </w:r>
    </w:p>
    <w:p w14:paraId="607B2730">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20.响应文件的提交</w:t>
      </w:r>
    </w:p>
    <w:p w14:paraId="521FA63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20.1供应商必须在“供应商须知前附表”规定的时间和地点提交响应文件，本项目采用电子标进行竞标，有关事项详见“供应商须知前附表”。</w:t>
      </w:r>
    </w:p>
    <w:p w14:paraId="2B0FA0F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20.2采购代理机构工作人员收到响应文件后，应当如实记载响应文件的密封情况。</w:t>
      </w:r>
    </w:p>
    <w:p w14:paraId="647CA22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20.3在首次响应文件提交截止时间后送达的或者不符合本须知正文第19.3条的响应文件为无效文件，采购人或者采购代理机构应当拒收。</w:t>
      </w:r>
    </w:p>
    <w:p w14:paraId="1406DCB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20.4电子</w:t>
      </w:r>
      <w:r>
        <w:rPr>
          <w:rFonts w:hint="eastAsia" w:ascii="宋体" w:hAnsi="宋体" w:cs="宋体"/>
          <w:color w:val="auto"/>
          <w:szCs w:val="21"/>
          <w:highlight w:val="none"/>
          <w:lang w:eastAsia="zh-CN"/>
        </w:rPr>
        <w:t>响应</w:t>
      </w:r>
      <w:r>
        <w:rPr>
          <w:rFonts w:hint="eastAsia" w:ascii="宋体" w:hAnsi="宋体" w:cs="宋体"/>
          <w:color w:val="auto"/>
          <w:szCs w:val="21"/>
          <w:highlight w:val="none"/>
        </w:rPr>
        <w:t>文件的相关说明</w:t>
      </w:r>
    </w:p>
    <w:p w14:paraId="3A35209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（1）供应商进行电子</w:t>
      </w:r>
      <w:r>
        <w:rPr>
          <w:rFonts w:hint="eastAsia" w:ascii="宋体" w:hAnsi="宋体" w:cs="宋体"/>
          <w:color w:val="auto"/>
          <w:szCs w:val="21"/>
          <w:highlight w:val="none"/>
          <w:lang w:eastAsia="zh-CN"/>
        </w:rPr>
        <w:t>响应</w:t>
      </w:r>
      <w:r>
        <w:rPr>
          <w:rFonts w:hint="eastAsia" w:ascii="宋体" w:hAnsi="宋体" w:cs="宋体"/>
          <w:color w:val="auto"/>
          <w:szCs w:val="21"/>
          <w:highlight w:val="none"/>
        </w:rPr>
        <w:t>应安装客户端软件，并按照采购文件和电子交易平台的要求编制并加密磋商响应文件。供应商未按规定加密的磋商响应文件，电子交易平台将拒收。供应商应当在磋商截止时间前完成磋商响应文件的传输递交，并可以补充、修改或者撤回磋商响应文件。补充或者修改磋商响应文件的，应当先行撤回原文件，补充、修改后重新传输递交。磋商截止时间前未完成传输的，视为撤回磋商响应文件。磋商截止时间后递交的磋商响应文件，电子交易平台将拒收。</w:t>
      </w:r>
    </w:p>
    <w:p w14:paraId="0898267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（2）供应商在电子交易平台传输递交响应文件后，还可以在响应文件递交截止时间前提交电子备份响应文件，若供应商未提交电子备份响应文件，其后果由供应商自行承担。</w:t>
      </w:r>
    </w:p>
    <w:p w14:paraId="1A4423E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（3）如有特殊情况，采购代理机构延长截止时间和开标时间，采购代理机构和供应商的权利和义务将受到新的截止时间和开标时间的约束。</w:t>
      </w:r>
    </w:p>
    <w:p w14:paraId="392D9382">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21.首次响应文件的补充、修改与撤回</w:t>
      </w:r>
    </w:p>
    <w:p w14:paraId="6271EB7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在首次响应文件提交截止时间前，可以对所提交的响应文件进行补充、修改或者撤回，并书面通知采购人、采购代理机构。补充、修改的内容作为响应文件的组成部分。补充、修改的内容与响应文件不一致的，以补充、修改的内容为准。</w:t>
      </w:r>
    </w:p>
    <w:p w14:paraId="287E51D0">
      <w:pPr>
        <w:spacing w:line="360" w:lineRule="auto"/>
        <w:ind w:firstLine="482" w:firstLineChars="200"/>
        <w:rPr>
          <w:rFonts w:ascii="黑体" w:hAnsi="黑体" w:eastAsia="黑体" w:cs="宋体"/>
          <w:b/>
          <w:bCs/>
          <w:color w:val="auto"/>
          <w:sz w:val="24"/>
          <w:highlight w:val="none"/>
        </w:rPr>
      </w:pPr>
      <w:bookmarkStart w:id="65" w:name="_Hlk45702405"/>
      <w:r>
        <w:rPr>
          <w:rFonts w:hint="eastAsia" w:ascii="黑体" w:hAnsi="黑体" w:eastAsia="黑体" w:cs="宋体"/>
          <w:b/>
          <w:bCs/>
          <w:color w:val="auto"/>
          <w:sz w:val="24"/>
          <w:highlight w:val="none"/>
        </w:rPr>
        <w:t>22. 首次响应文件的退回</w:t>
      </w:r>
    </w:p>
    <w:p w14:paraId="116AC88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在首次响应文件提交截止时间止提交响应文件的供应商不足3家时，应当由供应商法定代表人或者委托代理人签字领回响应文件（响应文件</w:t>
      </w:r>
      <w:r>
        <w:rPr>
          <w:rFonts w:hint="eastAsia" w:ascii="宋体" w:hAnsi="宋体"/>
          <w:color w:val="auto"/>
          <w:szCs w:val="21"/>
          <w:highlight w:val="none"/>
        </w:rPr>
        <w:t>采用邮寄方式提交的</w:t>
      </w:r>
      <w:r>
        <w:rPr>
          <w:rFonts w:hint="eastAsia" w:ascii="宋体" w:hAnsi="宋体" w:cs="宋体"/>
          <w:color w:val="auto"/>
          <w:szCs w:val="21"/>
          <w:highlight w:val="none"/>
        </w:rPr>
        <w:t>，以到付的方式寄回至原地址），除此之外采购人和采购代理机构对已提交的响应文件概不退回。</w:t>
      </w:r>
    </w:p>
    <w:p w14:paraId="37AF27C0">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23. 截止时间后的撤回</w:t>
      </w:r>
    </w:p>
    <w:p w14:paraId="59EE232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供应商在首次响应文件提交截止时间后向采购人、采购代理机构书面申请撤回响应文件的，将根据本须知正文17.4的规定不予退还其磋商保证金。</w:t>
      </w:r>
    </w:p>
    <w:bookmarkEnd w:id="65"/>
    <w:p w14:paraId="5876B179">
      <w:pPr>
        <w:spacing w:line="360" w:lineRule="auto"/>
        <w:ind w:left="420" w:firstLine="420"/>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四、评审及磋商</w:t>
      </w:r>
    </w:p>
    <w:p w14:paraId="31B61E7A">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24.磋商小组成立</w:t>
      </w:r>
    </w:p>
    <w:p w14:paraId="28CE503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24.1磋商小组由采购人代表和评审专家共3人以上单数组成，具体人数见“供应商须知前附表”，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14:paraId="38B9ECE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0E913ECD">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25.首次响应文件的开启</w:t>
      </w:r>
    </w:p>
    <w:p w14:paraId="0B8AC83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首次响应文件由磋商小组或者采购代理机构在“供应商须知前附表”规定的时间开启。</w:t>
      </w:r>
    </w:p>
    <w:p w14:paraId="6A6041F5">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26.评审程序、评审方法和评审标准</w:t>
      </w:r>
    </w:p>
    <w:p w14:paraId="2B3ABD5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26.1本项目的评审方法为综合评分法。</w:t>
      </w:r>
    </w:p>
    <w:p w14:paraId="1DC5ADA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26.2磋商小组按照“第四章 评审程序、评审方法和评审标准”规定的方法、评审因素、标准和程序对响应文件进行评审。</w:t>
      </w:r>
    </w:p>
    <w:p w14:paraId="24FEA2D6">
      <w:pPr>
        <w:spacing w:line="360" w:lineRule="auto"/>
        <w:ind w:firstLine="420" w:firstLineChars="200"/>
        <w:rPr>
          <w:rFonts w:hint="eastAsia" w:ascii="宋体" w:hAnsi="宋体" w:eastAsia="宋体" w:cs="宋体"/>
          <w:color w:val="auto"/>
          <w:szCs w:val="21"/>
          <w:highlight w:val="none"/>
        </w:rPr>
      </w:pPr>
    </w:p>
    <w:p w14:paraId="2D5C7031">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27.确定成交供应商及结果公告</w:t>
      </w:r>
    </w:p>
    <w:p w14:paraId="707FCA14">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27.1</w:t>
      </w:r>
      <w:r>
        <w:rPr>
          <w:rFonts w:hint="eastAsia" w:ascii="宋体" w:hAnsi="宋体" w:eastAsia="宋体" w:cs="宋体"/>
          <w:b/>
          <w:bCs/>
          <w:color w:val="auto"/>
          <w:kern w:val="0"/>
          <w:szCs w:val="21"/>
          <w:highlight w:val="none"/>
        </w:rPr>
        <w:t xml:space="preserve"> </w:t>
      </w:r>
      <w:r>
        <w:rPr>
          <w:rFonts w:hint="eastAsia" w:ascii="宋体" w:hAnsi="宋体" w:eastAsia="宋体" w:cs="宋体"/>
          <w:b/>
          <w:bCs/>
          <w:color w:val="auto"/>
          <w:szCs w:val="21"/>
          <w:highlight w:val="none"/>
        </w:rPr>
        <w:t>采购代理机构应当在评审结束后2个工作日内将评审报告送采购人确认。采购人应当在收到评审报告后</w:t>
      </w:r>
      <w:r>
        <w:rPr>
          <w:rFonts w:hint="eastAsia" w:ascii="宋体" w:hAnsi="宋体" w:eastAsia="宋体" w:cs="宋体"/>
          <w:b/>
          <w:bCs/>
          <w:color w:val="auto"/>
          <w:szCs w:val="21"/>
          <w:highlight w:val="none"/>
          <w:lang w:val="en-US" w:eastAsia="zh-CN"/>
        </w:rPr>
        <w:t>2</w:t>
      </w:r>
      <w:r>
        <w:rPr>
          <w:rFonts w:hint="eastAsia" w:ascii="宋体" w:hAnsi="宋体" w:eastAsia="宋体" w:cs="宋体"/>
          <w:b/>
          <w:bCs/>
          <w:color w:val="auto"/>
          <w:szCs w:val="21"/>
          <w:highlight w:val="none"/>
        </w:rPr>
        <w:t>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5CBAC4B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27.2采购代理机构应当在</w:t>
      </w:r>
      <w:r>
        <w:rPr>
          <w:rFonts w:hint="eastAsia" w:ascii="宋体" w:hAnsi="宋体" w:eastAsia="宋体" w:cs="宋体"/>
          <w:color w:val="auto"/>
          <w:kern w:val="0"/>
          <w:szCs w:val="21"/>
          <w:highlight w:val="none"/>
        </w:rPr>
        <w:t>成交</w:t>
      </w:r>
      <w:r>
        <w:rPr>
          <w:rFonts w:hint="eastAsia" w:ascii="宋体" w:hAnsi="宋体" w:eastAsia="宋体" w:cs="宋体"/>
          <w:color w:val="auto"/>
          <w:szCs w:val="21"/>
          <w:highlight w:val="none"/>
        </w:rPr>
        <w:t>供应商确定后2个工作日内，在省级以上财政部门指定的媒体上公告成交结果，同时向成交供应商发出成交通知书。采购人或者采购代理机构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磋商文件一并保存。</w:t>
      </w:r>
    </w:p>
    <w:p w14:paraId="1BE2636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27.3 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14:paraId="1B6C0E1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27.4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以此类推。</w:t>
      </w:r>
    </w:p>
    <w:p w14:paraId="1B6A63D3">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28.履约保证金</w:t>
      </w:r>
    </w:p>
    <w:p w14:paraId="6724DF39">
      <w:pPr>
        <w:spacing w:line="360"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28.1 履约保证金的金额、提交方式、退付的时间和条件详见 “供应商须知前附表”。成交供应商未按规定提交履约保证金的，视为拒绝</w:t>
      </w:r>
      <w:r>
        <w:rPr>
          <w:rFonts w:hint="eastAsia" w:ascii="宋体" w:hAnsi="宋体" w:eastAsia="宋体" w:cs="宋体"/>
          <w:color w:val="auto"/>
          <w:highlight w:val="none"/>
        </w:rPr>
        <w:t>与采购人</w:t>
      </w:r>
      <w:r>
        <w:rPr>
          <w:rFonts w:hint="eastAsia" w:ascii="宋体" w:hAnsi="宋体" w:eastAsia="宋体" w:cs="宋体"/>
          <w:color w:val="auto"/>
          <w:szCs w:val="21"/>
          <w:highlight w:val="none"/>
        </w:rPr>
        <w:t>签订合同，采购人可以按照评审报告推荐的成交候选人名单排序，确定下一候选人为成交供应商，也可以重新开展政府采购活动。</w:t>
      </w:r>
    </w:p>
    <w:p w14:paraId="533A9169">
      <w:pPr>
        <w:spacing w:line="360"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28.2签订合同后，如成交供应商不按双方签订的合同规定履约，则没收其全部履约保证金，履约保证金不足以赔偿损失的，按实际损失赔偿。</w:t>
      </w:r>
    </w:p>
    <w:p w14:paraId="64785241">
      <w:pPr>
        <w:spacing w:line="360"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28.3在履约保证金退还日期前，若成交供应商的开户名称、开户银行、帐号有变动的，请以书面形式通知履约保证金收取单位，否则由此产生的后果由成交供应商自行承担。</w:t>
      </w:r>
    </w:p>
    <w:p w14:paraId="79073B63">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29.签订合同</w:t>
      </w:r>
    </w:p>
    <w:p w14:paraId="36FCA266">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hint="eastAsia" w:ascii="宋体" w:hAnsi="宋体" w:eastAsia="宋体" w:cs="宋体"/>
          <w:b w:val="0"/>
          <w:bCs w:val="0"/>
          <w:color w:val="auto"/>
          <w:szCs w:val="21"/>
          <w:highlight w:val="none"/>
        </w:rPr>
        <w:t>29.1</w:t>
      </w:r>
      <w:r>
        <w:rPr>
          <w:rFonts w:ascii="宋体" w:hAnsi="宋体"/>
          <w:color w:val="auto"/>
          <w:szCs w:val="21"/>
          <w:highlight w:val="none"/>
        </w:rPr>
        <w:t>成交供应商在收到成交通知书后，按规定缴纳履约保证金后（如有），须在</w:t>
      </w:r>
      <w:r>
        <w:rPr>
          <w:rFonts w:hint="eastAsia" w:ascii="宋体" w:hAnsi="宋体"/>
          <w:color w:val="auto"/>
          <w:szCs w:val="21"/>
          <w:highlight w:val="none"/>
        </w:rPr>
        <w:t>1</w:t>
      </w:r>
      <w:r>
        <w:rPr>
          <w:rFonts w:ascii="宋体" w:hAnsi="宋体"/>
          <w:color w:val="auto"/>
          <w:szCs w:val="21"/>
          <w:highlight w:val="none"/>
        </w:rPr>
        <w:t>5日历日内持成交通知书等材料与采购人签订施工合同</w:t>
      </w:r>
      <w:r>
        <w:rPr>
          <w:rFonts w:hint="eastAsia" w:ascii="宋体" w:hAnsi="宋体"/>
          <w:color w:val="auto"/>
          <w:szCs w:val="21"/>
          <w:highlight w:val="none"/>
          <w:lang w:eastAsia="zh-CN"/>
        </w:rPr>
        <w:t>（</w:t>
      </w:r>
      <w:r>
        <w:rPr>
          <w:rFonts w:hint="eastAsia" w:ascii="宋体" w:hAnsi="宋体" w:eastAsia="宋体" w:cs="宋体"/>
          <w:i w:val="0"/>
          <w:iCs w:val="0"/>
          <w:caps w:val="0"/>
          <w:color w:val="auto"/>
          <w:spacing w:val="0"/>
          <w:sz w:val="21"/>
          <w:szCs w:val="21"/>
          <w:highlight w:val="none"/>
        </w:rPr>
        <w:t>因不可抗力原因延迟签订合同的，自不可抗力事由消除之日起5个工作日内完成合同签订事宜</w:t>
      </w:r>
      <w:r>
        <w:rPr>
          <w:rFonts w:hint="eastAsia" w:ascii="宋体" w:hAnsi="宋体"/>
          <w:color w:val="auto"/>
          <w:szCs w:val="21"/>
          <w:highlight w:val="none"/>
          <w:lang w:eastAsia="zh-CN"/>
        </w:rPr>
        <w:t>）</w:t>
      </w:r>
      <w:r>
        <w:rPr>
          <w:rFonts w:ascii="宋体" w:hAnsi="宋体"/>
          <w:color w:val="auto"/>
          <w:szCs w:val="21"/>
          <w:highlight w:val="none"/>
        </w:rPr>
        <w:t>，否则采购人将取消其成交资格。</w:t>
      </w:r>
    </w:p>
    <w:p w14:paraId="53613E66">
      <w:pPr>
        <w:spacing w:line="360" w:lineRule="auto"/>
        <w:rPr>
          <w:rFonts w:hint="eastAsia" w:ascii="宋体" w:hAnsi="宋体" w:eastAsia="宋体" w:cs="宋体"/>
          <w:b w:val="0"/>
          <w:bCs w:val="0"/>
          <w:color w:val="auto"/>
          <w:szCs w:val="21"/>
          <w:highlight w:val="none"/>
        </w:rPr>
      </w:pPr>
    </w:p>
    <w:p w14:paraId="00670BA0">
      <w:pPr>
        <w:spacing w:line="360"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29.2 签订合同时间：按成交通知书规定的时间与采购人签订</w:t>
      </w:r>
      <w:r>
        <w:rPr>
          <w:rFonts w:hint="eastAsia" w:ascii="宋体" w:hAnsi="宋体" w:cs="宋体"/>
          <w:color w:val="auto"/>
          <w:szCs w:val="21"/>
          <w:highlight w:val="none"/>
          <w:lang w:eastAsia="zh-CN"/>
        </w:rPr>
        <w:t>采购合同</w:t>
      </w:r>
      <w:r>
        <w:rPr>
          <w:rFonts w:hint="eastAsia" w:ascii="宋体" w:hAnsi="宋体" w:eastAsia="宋体" w:cs="宋体"/>
          <w:color w:val="auto"/>
          <w:szCs w:val="21"/>
          <w:highlight w:val="none"/>
        </w:rPr>
        <w:t>。</w:t>
      </w:r>
    </w:p>
    <w:p w14:paraId="6619A941">
      <w:pPr>
        <w:spacing w:line="360"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29.3成交供应商拒绝与采购人签订合同的，采购人可以按照评审报告推荐的成交候选人名单排序，确定下一候选人为成交供应商，也可以重新开展政府采购活动。拒绝签订</w:t>
      </w:r>
      <w:r>
        <w:rPr>
          <w:rFonts w:hint="eastAsia" w:ascii="宋体" w:hAnsi="宋体" w:cs="宋体"/>
          <w:color w:val="auto"/>
          <w:szCs w:val="21"/>
          <w:highlight w:val="none"/>
          <w:lang w:eastAsia="zh-CN"/>
        </w:rPr>
        <w:t>采购合同</w:t>
      </w:r>
      <w:r>
        <w:rPr>
          <w:rFonts w:hint="eastAsia" w:ascii="宋体" w:hAnsi="宋体" w:eastAsia="宋体" w:cs="宋体"/>
          <w:color w:val="auto"/>
          <w:szCs w:val="21"/>
          <w:highlight w:val="none"/>
        </w:rPr>
        <w:t>的成交供应商不得参加对该合同项重新开展的采购活动。</w:t>
      </w:r>
    </w:p>
    <w:p w14:paraId="053F71E6">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30.</w:t>
      </w:r>
      <w:r>
        <w:rPr>
          <w:rFonts w:hint="eastAsia" w:ascii="宋体" w:hAnsi="宋体" w:cs="宋体"/>
          <w:b/>
          <w:bCs/>
          <w:color w:val="auto"/>
          <w:sz w:val="24"/>
          <w:highlight w:val="none"/>
          <w:lang w:eastAsia="zh-CN"/>
        </w:rPr>
        <w:t>采购合同</w:t>
      </w:r>
      <w:r>
        <w:rPr>
          <w:rFonts w:hint="eastAsia" w:ascii="宋体" w:hAnsi="宋体" w:eastAsia="宋体" w:cs="宋体"/>
          <w:b/>
          <w:bCs/>
          <w:color w:val="auto"/>
          <w:sz w:val="24"/>
          <w:highlight w:val="none"/>
        </w:rPr>
        <w:t>公告</w:t>
      </w:r>
    </w:p>
    <w:p w14:paraId="7453CEEA">
      <w:pPr>
        <w:spacing w:line="360" w:lineRule="auto"/>
        <w:ind w:firstLine="424" w:firstLineChars="202"/>
        <w:rPr>
          <w:rFonts w:hint="eastAsia" w:ascii="宋体" w:hAnsi="宋体" w:cs="宋体"/>
          <w:color w:val="auto"/>
          <w:szCs w:val="21"/>
          <w:highlight w:val="none"/>
        </w:rPr>
      </w:pPr>
      <w:r>
        <w:rPr>
          <w:rFonts w:hint="eastAsia" w:ascii="宋体" w:hAnsi="宋体" w:cs="宋体"/>
          <w:color w:val="auto"/>
          <w:szCs w:val="21"/>
          <w:highlight w:val="none"/>
          <w:lang w:val="en-US" w:eastAsia="zh-CN"/>
        </w:rPr>
        <w:t>30</w:t>
      </w:r>
      <w:r>
        <w:rPr>
          <w:rFonts w:ascii="宋体" w:hAnsi="宋体" w:cs="宋体"/>
          <w:color w:val="auto"/>
          <w:szCs w:val="21"/>
          <w:highlight w:val="none"/>
        </w:rPr>
        <w:t>.1</w:t>
      </w:r>
      <w:r>
        <w:rPr>
          <w:rFonts w:hint="eastAsia" w:ascii="宋体" w:hAnsi="宋体" w:cs="宋体"/>
          <w:color w:val="auto"/>
          <w:szCs w:val="21"/>
          <w:highlight w:val="none"/>
        </w:rPr>
        <w:t>成交供应商在自成交通知书发出之日起15日内和采购人签订合同，应当在签订合同时向采购人出示相关证明材料，具体内容详见 “供应商须知前附表”，经采购人核验合格后方可签订合同。</w:t>
      </w:r>
    </w:p>
    <w:p w14:paraId="634A03E2">
      <w:pPr>
        <w:spacing w:line="360" w:lineRule="auto"/>
        <w:ind w:firstLine="424" w:firstLineChars="202"/>
        <w:rPr>
          <w:rFonts w:hint="eastAsia" w:ascii="宋体" w:hAnsi="宋体" w:cs="宋体"/>
          <w:color w:val="auto"/>
          <w:szCs w:val="21"/>
          <w:highlight w:val="none"/>
        </w:rPr>
      </w:pPr>
      <w:r>
        <w:rPr>
          <w:rFonts w:hint="eastAsia" w:ascii="宋体" w:hAnsi="宋体" w:cs="宋体"/>
          <w:color w:val="auto"/>
          <w:szCs w:val="21"/>
          <w:highlight w:val="none"/>
          <w:lang w:val="en-US" w:eastAsia="zh-CN"/>
        </w:rPr>
        <w:t>30</w:t>
      </w:r>
      <w:r>
        <w:rPr>
          <w:rFonts w:hint="eastAsia" w:ascii="宋体" w:hAnsi="宋体" w:cs="宋体"/>
          <w:color w:val="auto"/>
          <w:szCs w:val="21"/>
          <w:highlight w:val="none"/>
        </w:rPr>
        <w:t>.2 签订合同时间：按成交通知书规定的时间与采购人签订政府采购合同。</w:t>
      </w:r>
    </w:p>
    <w:p w14:paraId="701300D7">
      <w:pPr>
        <w:spacing w:line="360" w:lineRule="auto"/>
        <w:ind w:firstLine="424" w:firstLineChars="202"/>
        <w:rPr>
          <w:rFonts w:hint="eastAsia" w:ascii="宋体" w:hAnsi="宋体" w:cs="宋体"/>
          <w:color w:val="auto"/>
          <w:szCs w:val="21"/>
          <w:highlight w:val="none"/>
        </w:rPr>
      </w:pPr>
      <w:r>
        <w:rPr>
          <w:rFonts w:hint="eastAsia" w:ascii="宋体" w:hAnsi="宋体" w:cs="宋体"/>
          <w:color w:val="auto"/>
          <w:szCs w:val="21"/>
          <w:highlight w:val="none"/>
          <w:lang w:val="en-US" w:eastAsia="zh-CN"/>
        </w:rPr>
        <w:t>30</w:t>
      </w:r>
      <w:r>
        <w:rPr>
          <w:rFonts w:hint="eastAsia" w:ascii="宋体" w:hAnsi="宋体" w:cs="宋体"/>
          <w:color w:val="auto"/>
          <w:szCs w:val="21"/>
          <w:highlight w:val="none"/>
        </w:rPr>
        <w:t>.3成交供应商拒绝与采购人签订合同的，采购人可以按照评审报告推荐的成交候选人名单排序，确定下一候选人为成交供应商，也可以重新开展政府采购活动。拒绝签订政府采购合同的成交供应商不得参加对该合同项重新开展的采购活动。</w:t>
      </w:r>
    </w:p>
    <w:p w14:paraId="76FC8EDA">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31. 询问、质疑和投诉</w:t>
      </w:r>
    </w:p>
    <w:p w14:paraId="451E0FA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31.1供应商对政府采购活动事项有疑问的，可以向采购人、采购代理机构提出询问，采购人或者采购代理机构应当在3个工作日内对供应商依法提出的询问作出答复。</w:t>
      </w:r>
    </w:p>
    <w:p w14:paraId="1F6E7B09">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31.2供应商认为磋商文件、采购过程或者成交结果使自己的合法权益受到损害的，应当在知道或者应知其权益受到损害之日起7个工作日内，以书面形式向采购人、采购代理机构提出质疑，</w:t>
      </w:r>
      <w:r>
        <w:rPr>
          <w:rFonts w:hint="eastAsia" w:ascii="宋体" w:hAnsi="宋体" w:eastAsia="宋体" w:cs="宋体"/>
          <w:color w:val="auto"/>
          <w:highlight w:val="none"/>
          <w:shd w:val="clear" w:color="auto" w:fill="FFFFFF"/>
        </w:rPr>
        <w:t>接收质疑函的方式、联系部门、联系电话和通讯地址等信息详见</w:t>
      </w:r>
      <w:r>
        <w:rPr>
          <w:rFonts w:hint="eastAsia" w:ascii="宋体" w:hAnsi="宋体" w:eastAsia="宋体" w:cs="宋体"/>
          <w:color w:val="auto"/>
          <w:szCs w:val="21"/>
          <w:highlight w:val="none"/>
        </w:rPr>
        <w:t>“供应商须知前附表”</w:t>
      </w:r>
      <w:r>
        <w:rPr>
          <w:rFonts w:hint="eastAsia" w:ascii="宋体" w:hAnsi="宋体" w:eastAsia="宋体" w:cs="宋体"/>
          <w:color w:val="auto"/>
          <w:highlight w:val="none"/>
        </w:rPr>
        <w:t>。具体质疑起算时间如下：</w:t>
      </w:r>
    </w:p>
    <w:p w14:paraId="62C6358B">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（1）对可以质疑的磋商文件提出质疑的，为收到磋商文件之日或者竞争性磋商公告期限届满之日；</w:t>
      </w:r>
    </w:p>
    <w:p w14:paraId="49634D49">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（2）对采购过程提出质疑的，为各采购程序环节结束之日；</w:t>
      </w:r>
    </w:p>
    <w:p w14:paraId="2D7BDE63">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（3）对成交结果提出质疑的，为成交结果公告期限届满之日。</w:t>
      </w:r>
    </w:p>
    <w:p w14:paraId="00E88B92">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31.3供应商提出的询问或者质疑超出采购人对采购代理机构委托授权范围的，采购代理机构应当告知供应商向采购人提出。政府采购评审专家应当配合采购人或者采购代理机构答复供应商的询问和质疑。</w:t>
      </w:r>
    </w:p>
    <w:p w14:paraId="26B5F36C">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31.4 供应商提出质疑应当提交质疑函和必要的证明材料，针对同一采购程序环节的质疑必须在法定质疑期内一次性提出。质疑函应当包括下列内容</w:t>
      </w:r>
      <w:r>
        <w:rPr>
          <w:rFonts w:hint="eastAsia" w:ascii="宋体" w:hAnsi="宋体" w:eastAsia="宋体" w:cs="宋体"/>
          <w:bCs/>
          <w:color w:val="auto"/>
          <w:highlight w:val="none"/>
        </w:rPr>
        <w:t>（质疑函格式后附）</w:t>
      </w:r>
      <w:r>
        <w:rPr>
          <w:rFonts w:hint="eastAsia" w:ascii="宋体" w:hAnsi="宋体" w:eastAsia="宋体" w:cs="宋体"/>
          <w:color w:val="auto"/>
          <w:highlight w:val="none"/>
        </w:rPr>
        <w:t>：</w:t>
      </w:r>
    </w:p>
    <w:p w14:paraId="20E0DAAA">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（1）供应商的姓名或者名称、地址、邮编、联系人及联系电话；</w:t>
      </w:r>
    </w:p>
    <w:p w14:paraId="0E51774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（2）质疑项目的名称、编号；</w:t>
      </w:r>
    </w:p>
    <w:p w14:paraId="7E591E50">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（3）具体、明确的质疑事项和与质疑事项相关的请求；</w:t>
      </w:r>
    </w:p>
    <w:p w14:paraId="1F744E6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（4）事实依据；</w:t>
      </w:r>
    </w:p>
    <w:p w14:paraId="1700F52C">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（5）必要的法律依据；</w:t>
      </w:r>
    </w:p>
    <w:p w14:paraId="507EDECC">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（6）提出质疑的日期。</w:t>
      </w:r>
    </w:p>
    <w:p w14:paraId="66AC11B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供应商为自然人的，应当由本人签字；供应商为法人或者其他组织的，应当由法定代表人、主要负责人，或者其委托代理人签字或者盖章，并加盖公章。</w:t>
      </w:r>
    </w:p>
    <w:p w14:paraId="4E79B3C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31.5采购人、采购代理机构认为供应商质疑不成立，或者成立但未对成交结果构成影响的，继续开展采购活动；认为供应商质疑成立且影响或者可能影响成交结果的，按照下列情况处理：</w:t>
      </w:r>
    </w:p>
    <w:p w14:paraId="2A83CECD">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（一）对采购文件提出的质疑，依法通过澄清或者修改可以继续开展采购活动的，澄清或者修改采购文件后继续开展采购活动；否则应当修改采购文件后重新开展采购活动。</w:t>
      </w:r>
    </w:p>
    <w:p w14:paraId="7AE44E5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（二）对采购过程或者成交结果提出的质疑，合格供应商符合法定数量时，可以从合格的成交候选人中另行确定成交供应商的，应当依法另行确定成交供应商；否则应当重新开展采购活动。</w:t>
      </w:r>
    </w:p>
    <w:p w14:paraId="3AC0413B">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质疑答复导致成交结果改变的，采购人或者采购代理机构应当将有关情况书面报告本级财政部门。</w:t>
      </w:r>
    </w:p>
    <w:p w14:paraId="742542E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highlight w:val="none"/>
        </w:rPr>
        <w:t>31.6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2DBDAF2A">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32.其他内容</w:t>
      </w:r>
    </w:p>
    <w:p w14:paraId="770910AF">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32.1代理服务收费标准及缴费账户详见“供应商须知前附表”，供应商为联合体的，可以由联合体中的一方或者多方共同交纳代理服务费。</w:t>
      </w:r>
    </w:p>
    <w:p w14:paraId="09603A36">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32.2代理服务费收费计算标准：</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532"/>
        <w:gridCol w:w="1546"/>
      </w:tblGrid>
      <w:tr w14:paraId="665A1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Borders>
              <w:tl2br w:val="single" w:color="auto" w:sz="4" w:space="0"/>
            </w:tcBorders>
            <w:noWrap w:val="0"/>
            <w:vAlign w:val="top"/>
          </w:tcPr>
          <w:p w14:paraId="62A63BF3">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费率</w:t>
            </w:r>
          </w:p>
          <w:p w14:paraId="24FB0362">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金额</w:t>
            </w:r>
          </w:p>
        </w:tc>
        <w:tc>
          <w:tcPr>
            <w:tcW w:w="1659" w:type="dxa"/>
            <w:noWrap w:val="0"/>
            <w:vAlign w:val="center"/>
          </w:tcPr>
          <w:p w14:paraId="506A0072">
            <w:pPr>
              <w:spacing w:line="360" w:lineRule="auto"/>
              <w:ind w:firstLine="105" w:firstLineChars="5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货物类</w:t>
            </w:r>
          </w:p>
        </w:tc>
        <w:tc>
          <w:tcPr>
            <w:tcW w:w="1532" w:type="dxa"/>
            <w:noWrap w:val="0"/>
            <w:vAlign w:val="center"/>
          </w:tcPr>
          <w:p w14:paraId="312E541A">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服务类</w:t>
            </w:r>
          </w:p>
        </w:tc>
        <w:tc>
          <w:tcPr>
            <w:tcW w:w="1546" w:type="dxa"/>
            <w:noWrap w:val="0"/>
            <w:vAlign w:val="center"/>
          </w:tcPr>
          <w:p w14:paraId="6092234D">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工程类</w:t>
            </w:r>
          </w:p>
        </w:tc>
      </w:tr>
      <w:tr w14:paraId="7D55A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14:paraId="2288CA92">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100万元以下</w:t>
            </w:r>
          </w:p>
        </w:tc>
        <w:tc>
          <w:tcPr>
            <w:tcW w:w="1659" w:type="dxa"/>
            <w:noWrap w:val="0"/>
            <w:vAlign w:val="top"/>
          </w:tcPr>
          <w:p w14:paraId="030BA200">
            <w:pPr>
              <w:spacing w:line="360" w:lineRule="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  1.5%                </w:t>
            </w:r>
          </w:p>
        </w:tc>
        <w:tc>
          <w:tcPr>
            <w:tcW w:w="1532" w:type="dxa"/>
            <w:noWrap w:val="0"/>
            <w:vAlign w:val="top"/>
          </w:tcPr>
          <w:p w14:paraId="13F02F76">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1.5%</w:t>
            </w:r>
          </w:p>
        </w:tc>
        <w:tc>
          <w:tcPr>
            <w:tcW w:w="1546" w:type="dxa"/>
            <w:noWrap w:val="0"/>
            <w:vAlign w:val="top"/>
          </w:tcPr>
          <w:p w14:paraId="0B20A958">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1.0% </w:t>
            </w:r>
          </w:p>
        </w:tc>
      </w:tr>
      <w:tr w14:paraId="39C31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14:paraId="6C5375E6">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100～500万元</w:t>
            </w:r>
          </w:p>
        </w:tc>
        <w:tc>
          <w:tcPr>
            <w:tcW w:w="1659" w:type="dxa"/>
            <w:noWrap w:val="0"/>
            <w:vAlign w:val="top"/>
          </w:tcPr>
          <w:p w14:paraId="2E364297">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1.1%                 </w:t>
            </w:r>
          </w:p>
        </w:tc>
        <w:tc>
          <w:tcPr>
            <w:tcW w:w="1532" w:type="dxa"/>
            <w:noWrap w:val="0"/>
            <w:vAlign w:val="top"/>
          </w:tcPr>
          <w:p w14:paraId="3F368103">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0.8%</w:t>
            </w:r>
          </w:p>
        </w:tc>
        <w:tc>
          <w:tcPr>
            <w:tcW w:w="1546" w:type="dxa"/>
            <w:noWrap w:val="0"/>
            <w:vAlign w:val="top"/>
          </w:tcPr>
          <w:p w14:paraId="42EF7F69">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0.7% </w:t>
            </w:r>
          </w:p>
        </w:tc>
      </w:tr>
      <w:tr w14:paraId="5E23C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14:paraId="130B57D1">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500～1000万元</w:t>
            </w:r>
          </w:p>
        </w:tc>
        <w:tc>
          <w:tcPr>
            <w:tcW w:w="1659" w:type="dxa"/>
            <w:noWrap w:val="0"/>
            <w:vAlign w:val="top"/>
          </w:tcPr>
          <w:p w14:paraId="243D522E">
            <w:pPr>
              <w:spacing w:line="360" w:lineRule="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  0.8%                </w:t>
            </w:r>
          </w:p>
        </w:tc>
        <w:tc>
          <w:tcPr>
            <w:tcW w:w="1532" w:type="dxa"/>
            <w:noWrap w:val="0"/>
            <w:vAlign w:val="top"/>
          </w:tcPr>
          <w:p w14:paraId="1F69C5C9">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0.45%</w:t>
            </w:r>
          </w:p>
        </w:tc>
        <w:tc>
          <w:tcPr>
            <w:tcW w:w="1546" w:type="dxa"/>
            <w:noWrap w:val="0"/>
            <w:vAlign w:val="top"/>
          </w:tcPr>
          <w:p w14:paraId="733BFD3F">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0.55%</w:t>
            </w:r>
          </w:p>
        </w:tc>
      </w:tr>
      <w:tr w14:paraId="263A4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14:paraId="78458CF8">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1000～5000万元</w:t>
            </w:r>
          </w:p>
        </w:tc>
        <w:tc>
          <w:tcPr>
            <w:tcW w:w="1659" w:type="dxa"/>
            <w:noWrap w:val="0"/>
            <w:vAlign w:val="top"/>
          </w:tcPr>
          <w:p w14:paraId="043DD3D4">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0.5%                </w:t>
            </w:r>
          </w:p>
        </w:tc>
        <w:tc>
          <w:tcPr>
            <w:tcW w:w="1532" w:type="dxa"/>
            <w:noWrap w:val="0"/>
            <w:vAlign w:val="top"/>
          </w:tcPr>
          <w:p w14:paraId="51679F79">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0.25%</w:t>
            </w:r>
          </w:p>
        </w:tc>
        <w:tc>
          <w:tcPr>
            <w:tcW w:w="1546" w:type="dxa"/>
            <w:noWrap w:val="0"/>
            <w:vAlign w:val="top"/>
          </w:tcPr>
          <w:p w14:paraId="56413630">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0.35% </w:t>
            </w:r>
          </w:p>
        </w:tc>
      </w:tr>
      <w:tr w14:paraId="58897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14:paraId="12E461F6">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5000万元～1亿元</w:t>
            </w:r>
          </w:p>
        </w:tc>
        <w:tc>
          <w:tcPr>
            <w:tcW w:w="1659" w:type="dxa"/>
            <w:noWrap w:val="0"/>
            <w:vAlign w:val="top"/>
          </w:tcPr>
          <w:p w14:paraId="3C3A5E2F">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0.25%                 </w:t>
            </w:r>
          </w:p>
        </w:tc>
        <w:tc>
          <w:tcPr>
            <w:tcW w:w="1532" w:type="dxa"/>
            <w:noWrap w:val="0"/>
            <w:vAlign w:val="top"/>
          </w:tcPr>
          <w:p w14:paraId="5BE00913">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0.1%</w:t>
            </w:r>
          </w:p>
        </w:tc>
        <w:tc>
          <w:tcPr>
            <w:tcW w:w="1546" w:type="dxa"/>
            <w:noWrap w:val="0"/>
            <w:vAlign w:val="top"/>
          </w:tcPr>
          <w:p w14:paraId="4348D572">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0.2%</w:t>
            </w:r>
          </w:p>
        </w:tc>
      </w:tr>
      <w:tr w14:paraId="73305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14:paraId="20DFBA28">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1～5亿元</w:t>
            </w:r>
          </w:p>
        </w:tc>
        <w:tc>
          <w:tcPr>
            <w:tcW w:w="1659" w:type="dxa"/>
            <w:noWrap w:val="0"/>
            <w:vAlign w:val="top"/>
          </w:tcPr>
          <w:p w14:paraId="139E21BA">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0.05%</w:t>
            </w:r>
          </w:p>
        </w:tc>
        <w:tc>
          <w:tcPr>
            <w:tcW w:w="1532" w:type="dxa"/>
            <w:noWrap w:val="0"/>
            <w:vAlign w:val="top"/>
          </w:tcPr>
          <w:p w14:paraId="55125940">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0.05%</w:t>
            </w:r>
          </w:p>
        </w:tc>
        <w:tc>
          <w:tcPr>
            <w:tcW w:w="1546" w:type="dxa"/>
            <w:noWrap w:val="0"/>
            <w:vAlign w:val="top"/>
          </w:tcPr>
          <w:p w14:paraId="43A65DBD">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0.05%</w:t>
            </w:r>
          </w:p>
        </w:tc>
      </w:tr>
      <w:tr w14:paraId="311C3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14:paraId="13ABCAE4">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5～10亿元</w:t>
            </w:r>
          </w:p>
        </w:tc>
        <w:tc>
          <w:tcPr>
            <w:tcW w:w="1659" w:type="dxa"/>
            <w:noWrap w:val="0"/>
            <w:vAlign w:val="top"/>
          </w:tcPr>
          <w:p w14:paraId="6B636F8C">
            <w:pPr>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0.035%</w:t>
            </w:r>
          </w:p>
        </w:tc>
        <w:tc>
          <w:tcPr>
            <w:tcW w:w="1532" w:type="dxa"/>
            <w:noWrap w:val="0"/>
            <w:vAlign w:val="top"/>
          </w:tcPr>
          <w:p w14:paraId="641F683F">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0.035%</w:t>
            </w:r>
          </w:p>
        </w:tc>
        <w:tc>
          <w:tcPr>
            <w:tcW w:w="1546" w:type="dxa"/>
            <w:noWrap w:val="0"/>
            <w:vAlign w:val="top"/>
          </w:tcPr>
          <w:p w14:paraId="1ADDF2DE">
            <w:pPr>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0.035%</w:t>
            </w:r>
          </w:p>
        </w:tc>
      </w:tr>
      <w:tr w14:paraId="70D28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14:paraId="0C7EC870">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10～50亿元</w:t>
            </w:r>
          </w:p>
        </w:tc>
        <w:tc>
          <w:tcPr>
            <w:tcW w:w="1659" w:type="dxa"/>
            <w:noWrap w:val="0"/>
            <w:vAlign w:val="top"/>
          </w:tcPr>
          <w:p w14:paraId="7DCF792B">
            <w:pPr>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0.008%</w:t>
            </w:r>
          </w:p>
        </w:tc>
        <w:tc>
          <w:tcPr>
            <w:tcW w:w="1532" w:type="dxa"/>
            <w:noWrap w:val="0"/>
            <w:vAlign w:val="top"/>
          </w:tcPr>
          <w:p w14:paraId="0ECE4FFA">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0.008%</w:t>
            </w:r>
          </w:p>
        </w:tc>
        <w:tc>
          <w:tcPr>
            <w:tcW w:w="1546" w:type="dxa"/>
            <w:noWrap w:val="0"/>
            <w:vAlign w:val="top"/>
          </w:tcPr>
          <w:p w14:paraId="31A564F5">
            <w:pPr>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0.008%</w:t>
            </w:r>
          </w:p>
        </w:tc>
      </w:tr>
      <w:tr w14:paraId="39027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14:paraId="11E44A6D">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50～100亿元</w:t>
            </w:r>
          </w:p>
        </w:tc>
        <w:tc>
          <w:tcPr>
            <w:tcW w:w="1659" w:type="dxa"/>
            <w:noWrap w:val="0"/>
            <w:vAlign w:val="top"/>
          </w:tcPr>
          <w:p w14:paraId="5B711D8A">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0.006%</w:t>
            </w:r>
          </w:p>
        </w:tc>
        <w:tc>
          <w:tcPr>
            <w:tcW w:w="1532" w:type="dxa"/>
            <w:noWrap w:val="0"/>
            <w:vAlign w:val="top"/>
          </w:tcPr>
          <w:p w14:paraId="349BA615">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0.006%</w:t>
            </w:r>
          </w:p>
        </w:tc>
        <w:tc>
          <w:tcPr>
            <w:tcW w:w="1546" w:type="dxa"/>
            <w:noWrap w:val="0"/>
            <w:vAlign w:val="top"/>
          </w:tcPr>
          <w:p w14:paraId="394997CA">
            <w:pPr>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0.006%</w:t>
            </w:r>
          </w:p>
        </w:tc>
      </w:tr>
      <w:tr w14:paraId="092B5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14:paraId="7CC216DA">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100亿以上</w:t>
            </w:r>
          </w:p>
        </w:tc>
        <w:tc>
          <w:tcPr>
            <w:tcW w:w="1659" w:type="dxa"/>
            <w:noWrap w:val="0"/>
            <w:vAlign w:val="top"/>
          </w:tcPr>
          <w:p w14:paraId="0C5ED85D">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0.004%</w:t>
            </w:r>
          </w:p>
        </w:tc>
        <w:tc>
          <w:tcPr>
            <w:tcW w:w="1532" w:type="dxa"/>
            <w:noWrap w:val="0"/>
            <w:vAlign w:val="top"/>
          </w:tcPr>
          <w:p w14:paraId="1649D6A7">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0.004%</w:t>
            </w:r>
          </w:p>
        </w:tc>
        <w:tc>
          <w:tcPr>
            <w:tcW w:w="1546" w:type="dxa"/>
            <w:noWrap w:val="0"/>
            <w:vAlign w:val="top"/>
          </w:tcPr>
          <w:p w14:paraId="61EBF2D7">
            <w:pPr>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0.004%</w:t>
            </w:r>
          </w:p>
        </w:tc>
      </w:tr>
    </w:tbl>
    <w:p w14:paraId="3EC9D48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注：</w:t>
      </w:r>
    </w:p>
    <w:p w14:paraId="57D2C636">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（1）按本表费率计算的收费为采购代理的收费基准价格；</w:t>
      </w:r>
    </w:p>
    <w:p w14:paraId="5D54ABBE">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（2）采购代理收费按差额定率累进法计算。</w:t>
      </w:r>
    </w:p>
    <w:p w14:paraId="3708494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例如：某服务采购代理业务成交金额或者暂定价为150万元，计算采购代理收费额如下：</w:t>
      </w:r>
    </w:p>
    <w:p w14:paraId="4A8A89DA">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100 万元 ×l.5 ％＝ 1.5 万元</w:t>
      </w:r>
    </w:p>
    <w:p w14:paraId="7E470E1A">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150 － 100 ）万元 ×0.8％＝ 0.4万元</w:t>
      </w:r>
    </w:p>
    <w:p w14:paraId="03C29F0D">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合计收费＝ 1.5 ＋ 0.4＝ 1.9 万元</w:t>
      </w:r>
    </w:p>
    <w:p w14:paraId="1D911994">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33.需要补充的其他内容</w:t>
      </w:r>
    </w:p>
    <w:p w14:paraId="0063020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33.1本磋商文件解释规则详见“供应商须知前附表”。</w:t>
      </w:r>
    </w:p>
    <w:p w14:paraId="09650A45">
      <w:pPr>
        <w:spacing w:line="360" w:lineRule="auto"/>
        <w:ind w:firstLine="420" w:firstLineChars="200"/>
        <w:rPr>
          <w:rFonts w:hint="default" w:ascii="宋体" w:hAnsi="宋体" w:eastAsia="宋体" w:cs="宋体"/>
          <w:color w:val="auto"/>
          <w:highlight w:val="none"/>
          <w:lang w:val="en-US" w:eastAsia="zh-CN"/>
        </w:rPr>
      </w:pPr>
      <w:r>
        <w:rPr>
          <w:rFonts w:hint="eastAsia" w:ascii="宋体" w:hAnsi="宋体" w:eastAsia="宋体" w:cs="宋体"/>
          <w:color w:val="auto"/>
          <w:highlight w:val="none"/>
        </w:rPr>
        <w:t>33.2 其他事项详见“供应商须知前附表”。</w:t>
      </w:r>
      <w:r>
        <w:rPr>
          <w:rFonts w:hint="eastAsia" w:ascii="宋体" w:hAnsi="宋体" w:eastAsia="宋体" w:cs="宋体"/>
          <w:b/>
          <w:color w:val="auto"/>
          <w:highlight w:val="none"/>
        </w:rPr>
        <w:br w:type="page"/>
      </w:r>
      <w:r>
        <w:rPr>
          <w:rFonts w:hint="eastAsia" w:ascii="宋体" w:hAnsi="宋体" w:eastAsia="宋体" w:cs="宋体"/>
          <w:bCs/>
          <w:color w:val="auto"/>
          <w:sz w:val="32"/>
          <w:szCs w:val="32"/>
          <w:highlight w:val="none"/>
        </w:rPr>
        <w:t>附件1：</w:t>
      </w:r>
      <w:r>
        <w:rPr>
          <w:rFonts w:hint="eastAsia" w:ascii="宋体" w:hAnsi="宋体" w:eastAsia="宋体" w:cs="宋体"/>
          <w:bCs/>
          <w:color w:val="auto"/>
          <w:sz w:val="32"/>
          <w:szCs w:val="32"/>
          <w:highlight w:val="none"/>
          <w:lang w:val="en-US" w:eastAsia="zh-CN"/>
        </w:rPr>
        <w:t xml:space="preserve">  </w:t>
      </w:r>
    </w:p>
    <w:p w14:paraId="20FE3D8B">
      <w:pPr>
        <w:widowControl/>
        <w:shd w:val="clear" w:color="auto" w:fill="FFFFFF"/>
        <w:spacing w:line="360" w:lineRule="auto"/>
        <w:jc w:val="center"/>
        <w:rPr>
          <w:rFonts w:hint="eastAsia" w:ascii="宋体" w:hAnsi="宋体" w:eastAsia="宋体" w:cs="宋体"/>
          <w:color w:val="auto"/>
          <w:kern w:val="0"/>
          <w:sz w:val="32"/>
          <w:szCs w:val="32"/>
          <w:highlight w:val="none"/>
        </w:rPr>
      </w:pPr>
      <w:r>
        <w:rPr>
          <w:rFonts w:hint="eastAsia" w:ascii="宋体" w:hAnsi="宋体" w:eastAsia="宋体" w:cs="宋体"/>
          <w:b/>
          <w:bCs/>
          <w:color w:val="auto"/>
          <w:kern w:val="0"/>
          <w:sz w:val="32"/>
          <w:szCs w:val="32"/>
          <w:highlight w:val="none"/>
        </w:rPr>
        <w:t>广西壮族自治区政府采购项目合同验收书（格式）</w:t>
      </w:r>
    </w:p>
    <w:p w14:paraId="635DC869">
      <w:pPr>
        <w:widowControl/>
        <w:shd w:val="clear" w:color="auto" w:fill="FFFFFF"/>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根据政府采购项目（</w:t>
      </w:r>
      <w:r>
        <w:rPr>
          <w:rFonts w:hint="eastAsia" w:ascii="宋体" w:hAnsi="宋体" w:eastAsia="宋体" w:cs="宋体"/>
          <w:color w:val="auto"/>
          <w:kern w:val="0"/>
          <w:szCs w:val="21"/>
          <w:highlight w:val="none"/>
          <w:u w:val="single"/>
        </w:rPr>
        <w:t>采购合同编号：</w:t>
      </w:r>
      <w:r>
        <w:rPr>
          <w:rFonts w:hint="eastAsia" w:ascii="宋体" w:hAnsi="宋体" w:eastAsia="宋体" w:cs="宋体"/>
          <w:color w:val="auto"/>
          <w:kern w:val="0"/>
          <w:szCs w:val="21"/>
          <w:highlight w:val="none"/>
          <w:u w:val="single"/>
        </w:rPr>
        <w:softHyphen/>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）的约定，我单位对（</w:t>
      </w:r>
      <w:r>
        <w:rPr>
          <w:rFonts w:hint="eastAsia" w:ascii="宋体" w:hAnsi="宋体" w:eastAsia="宋体" w:cs="宋体"/>
          <w:color w:val="auto"/>
          <w:kern w:val="0"/>
          <w:szCs w:val="21"/>
          <w:highlight w:val="none"/>
          <w:u w:val="single"/>
        </w:rPr>
        <w:t xml:space="preserve"> 项目名称 </w:t>
      </w:r>
      <w:r>
        <w:rPr>
          <w:rFonts w:hint="eastAsia" w:ascii="宋体" w:hAnsi="宋体" w:eastAsia="宋体" w:cs="宋体"/>
          <w:color w:val="auto"/>
          <w:kern w:val="0"/>
          <w:szCs w:val="21"/>
          <w:highlight w:val="none"/>
        </w:rPr>
        <w:t>） 政府采购项目成交供应商（</w:t>
      </w:r>
      <w:r>
        <w:rPr>
          <w:rFonts w:hint="eastAsia" w:ascii="宋体" w:hAnsi="宋体" w:eastAsia="宋体" w:cs="宋体"/>
          <w:color w:val="auto"/>
          <w:kern w:val="0"/>
          <w:szCs w:val="21"/>
          <w:highlight w:val="none"/>
          <w:u w:val="single"/>
        </w:rPr>
        <w:t xml:space="preserve"> 公司名称 </w:t>
      </w:r>
      <w:r>
        <w:rPr>
          <w:rFonts w:hint="eastAsia" w:ascii="宋体" w:hAnsi="宋体" w:eastAsia="宋体" w:cs="宋体"/>
          <w:color w:val="auto"/>
          <w:kern w:val="0"/>
          <w:szCs w:val="21"/>
          <w:highlight w:val="none"/>
        </w:rPr>
        <w:t>） 提供的货物（或者工程、服务）进行了验收，验收情况如下：</w:t>
      </w:r>
    </w:p>
    <w:tbl>
      <w:tblPr>
        <w:tblStyle w:val="23"/>
        <w:tblW w:w="0" w:type="auto"/>
        <w:jc w:val="center"/>
        <w:tblLayout w:type="fixed"/>
        <w:tblCellMar>
          <w:top w:w="0" w:type="dxa"/>
          <w:left w:w="0" w:type="dxa"/>
          <w:bottom w:w="0" w:type="dxa"/>
          <w:right w:w="0" w:type="dxa"/>
        </w:tblCellMar>
      </w:tblPr>
      <w:tblGrid>
        <w:gridCol w:w="804"/>
        <w:gridCol w:w="825"/>
        <w:gridCol w:w="1623"/>
        <w:gridCol w:w="798"/>
        <w:gridCol w:w="102"/>
        <w:gridCol w:w="2002"/>
        <w:gridCol w:w="178"/>
        <w:gridCol w:w="685"/>
        <w:gridCol w:w="1428"/>
      </w:tblGrid>
      <w:tr w14:paraId="14B04599">
        <w:tblPrEx>
          <w:tblCellMar>
            <w:top w:w="0" w:type="dxa"/>
            <w:left w:w="0" w:type="dxa"/>
            <w:bottom w:w="0" w:type="dxa"/>
            <w:right w:w="0" w:type="dxa"/>
          </w:tblCellMar>
        </w:tblPrEx>
        <w:trPr>
          <w:trHeight w:val="497" w:hRule="atLeast"/>
          <w:jc w:val="center"/>
        </w:trPr>
        <w:tc>
          <w:tcPr>
            <w:tcW w:w="3252" w:type="dxa"/>
            <w:gridSpan w:val="3"/>
            <w:tcBorders>
              <w:top w:val="single" w:color="auto" w:sz="8" w:space="0"/>
              <w:left w:val="single" w:color="auto" w:sz="8" w:space="0"/>
              <w:bottom w:val="single" w:color="auto" w:sz="8" w:space="0"/>
              <w:right w:val="single" w:color="auto" w:sz="8" w:space="0"/>
            </w:tcBorders>
            <w:noWrap w:val="0"/>
            <w:vAlign w:val="center"/>
          </w:tcPr>
          <w:p w14:paraId="40980C00">
            <w:pPr>
              <w:widowControl/>
              <w:snapToGrid w:val="0"/>
              <w:spacing w:before="100" w:beforeAutospacing="1" w:after="100" w:afterAutospacing="1" w:line="360" w:lineRule="auto"/>
              <w:ind w:firstLine="5"/>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验收方式：</w:t>
            </w:r>
          </w:p>
        </w:tc>
        <w:tc>
          <w:tcPr>
            <w:tcW w:w="5193" w:type="dxa"/>
            <w:gridSpan w:val="6"/>
            <w:tcBorders>
              <w:top w:val="single" w:color="auto" w:sz="8" w:space="0"/>
              <w:left w:val="nil"/>
              <w:bottom w:val="single" w:color="auto" w:sz="8" w:space="0"/>
              <w:right w:val="single" w:color="auto" w:sz="8" w:space="0"/>
            </w:tcBorders>
            <w:noWrap w:val="0"/>
            <w:vAlign w:val="center"/>
          </w:tcPr>
          <w:p w14:paraId="1B21ABF0">
            <w:pPr>
              <w:widowControl/>
              <w:snapToGrid w:val="0"/>
              <w:spacing w:before="100" w:beforeAutospacing="1" w:after="100" w:afterAutospacing="1"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sym w:font="Wingdings 2" w:char="00A3"/>
            </w:r>
            <w:r>
              <w:rPr>
                <w:rFonts w:hint="eastAsia" w:ascii="宋体" w:hAnsi="宋体" w:eastAsia="宋体" w:cs="宋体"/>
                <w:color w:val="auto"/>
                <w:kern w:val="0"/>
                <w:szCs w:val="21"/>
                <w:highlight w:val="none"/>
              </w:rPr>
              <w:t xml:space="preserve">自行验收 </w:t>
            </w:r>
            <w:r>
              <w:rPr>
                <w:rFonts w:hint="eastAsia" w:ascii="宋体" w:hAnsi="宋体" w:eastAsia="宋体" w:cs="宋体"/>
                <w:color w:val="auto"/>
                <w:kern w:val="0"/>
                <w:szCs w:val="21"/>
                <w:highlight w:val="none"/>
              </w:rPr>
              <w:sym w:font="Wingdings 2" w:char="00A3"/>
            </w:r>
            <w:r>
              <w:rPr>
                <w:rFonts w:hint="eastAsia" w:ascii="宋体" w:hAnsi="宋体" w:eastAsia="宋体" w:cs="宋体"/>
                <w:color w:val="auto"/>
                <w:kern w:val="0"/>
                <w:szCs w:val="21"/>
                <w:highlight w:val="none"/>
              </w:rPr>
              <w:t>委托验收</w:t>
            </w:r>
          </w:p>
        </w:tc>
      </w:tr>
      <w:tr w14:paraId="76C9A8EB">
        <w:tblPrEx>
          <w:tblCellMar>
            <w:top w:w="0" w:type="dxa"/>
            <w:left w:w="0" w:type="dxa"/>
            <w:bottom w:w="0" w:type="dxa"/>
            <w:right w:w="0" w:type="dxa"/>
          </w:tblCellMar>
        </w:tblPrEx>
        <w:trPr>
          <w:trHeight w:val="622" w:hRule="atLeast"/>
          <w:jc w:val="center"/>
        </w:trPr>
        <w:tc>
          <w:tcPr>
            <w:tcW w:w="804" w:type="dxa"/>
            <w:tcBorders>
              <w:top w:val="nil"/>
              <w:left w:val="single" w:color="auto" w:sz="8" w:space="0"/>
              <w:bottom w:val="single" w:color="auto" w:sz="8" w:space="0"/>
              <w:right w:val="single" w:color="auto" w:sz="8" w:space="0"/>
            </w:tcBorders>
            <w:noWrap w:val="0"/>
            <w:vAlign w:val="center"/>
          </w:tcPr>
          <w:p w14:paraId="2EDAA7C3">
            <w:pPr>
              <w:widowControl/>
              <w:snapToGrid w:val="0"/>
              <w:spacing w:before="100" w:beforeAutospacing="1" w:after="100" w:afterAutospacing="1" w:line="360" w:lineRule="auto"/>
              <w:ind w:firstLine="2"/>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2448" w:type="dxa"/>
            <w:gridSpan w:val="2"/>
            <w:tcBorders>
              <w:top w:val="nil"/>
              <w:left w:val="nil"/>
              <w:bottom w:val="single" w:color="auto" w:sz="8" w:space="0"/>
              <w:right w:val="single" w:color="auto" w:sz="8" w:space="0"/>
            </w:tcBorders>
            <w:noWrap w:val="0"/>
            <w:vAlign w:val="center"/>
          </w:tcPr>
          <w:p w14:paraId="2471B7D2">
            <w:pPr>
              <w:widowControl/>
              <w:snapToGrid w:val="0"/>
              <w:spacing w:before="100" w:beforeAutospacing="1" w:after="100" w:afterAutospacing="1" w:line="360" w:lineRule="auto"/>
              <w:ind w:firstLine="2"/>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名称</w:t>
            </w:r>
          </w:p>
        </w:tc>
        <w:tc>
          <w:tcPr>
            <w:tcW w:w="2902" w:type="dxa"/>
            <w:gridSpan w:val="3"/>
            <w:tcBorders>
              <w:top w:val="nil"/>
              <w:left w:val="nil"/>
              <w:bottom w:val="single" w:color="auto" w:sz="8" w:space="0"/>
              <w:right w:val="single" w:color="auto" w:sz="8" w:space="0"/>
            </w:tcBorders>
            <w:noWrap w:val="0"/>
            <w:vAlign w:val="center"/>
          </w:tcPr>
          <w:p w14:paraId="7502D33A">
            <w:pPr>
              <w:widowControl/>
              <w:snapToGrid w:val="0"/>
              <w:spacing w:before="100" w:beforeAutospacing="1" w:after="100" w:afterAutospacing="1" w:line="360" w:lineRule="auto"/>
              <w:ind w:firstLine="2"/>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货物型号规格、标准及配置等（或者服务内容、标准）</w:t>
            </w:r>
          </w:p>
        </w:tc>
        <w:tc>
          <w:tcPr>
            <w:tcW w:w="863" w:type="dxa"/>
            <w:gridSpan w:val="2"/>
            <w:tcBorders>
              <w:top w:val="nil"/>
              <w:left w:val="nil"/>
              <w:bottom w:val="single" w:color="auto" w:sz="8" w:space="0"/>
              <w:right w:val="single" w:color="auto" w:sz="8" w:space="0"/>
            </w:tcBorders>
            <w:noWrap w:val="0"/>
            <w:vAlign w:val="center"/>
          </w:tcPr>
          <w:p w14:paraId="31BA63E6">
            <w:pPr>
              <w:widowControl/>
              <w:snapToGrid w:val="0"/>
              <w:spacing w:before="100" w:beforeAutospacing="1" w:after="100" w:afterAutospacing="1"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数量</w:t>
            </w:r>
          </w:p>
        </w:tc>
        <w:tc>
          <w:tcPr>
            <w:tcW w:w="1428" w:type="dxa"/>
            <w:tcBorders>
              <w:top w:val="nil"/>
              <w:left w:val="nil"/>
              <w:bottom w:val="single" w:color="auto" w:sz="8" w:space="0"/>
              <w:right w:val="single" w:color="auto" w:sz="8" w:space="0"/>
            </w:tcBorders>
            <w:noWrap w:val="0"/>
            <w:vAlign w:val="center"/>
          </w:tcPr>
          <w:p w14:paraId="12C5284C">
            <w:pPr>
              <w:widowControl/>
              <w:snapToGrid w:val="0"/>
              <w:spacing w:before="100" w:beforeAutospacing="1" w:after="100" w:afterAutospacing="1" w:line="360" w:lineRule="auto"/>
              <w:ind w:firstLine="2"/>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金额</w:t>
            </w:r>
          </w:p>
        </w:tc>
      </w:tr>
      <w:tr w14:paraId="450225A4">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noWrap w:val="0"/>
            <w:vAlign w:val="center"/>
          </w:tcPr>
          <w:p w14:paraId="0323457D">
            <w:pPr>
              <w:widowControl/>
              <w:spacing w:before="100" w:beforeAutospacing="1" w:after="100" w:afterAutospacing="1" w:line="360" w:lineRule="auto"/>
              <w:jc w:val="center"/>
              <w:rPr>
                <w:rFonts w:hint="eastAsia" w:ascii="宋体" w:hAnsi="宋体" w:eastAsia="宋体" w:cs="宋体"/>
                <w:color w:val="auto"/>
                <w:kern w:val="0"/>
                <w:szCs w:val="21"/>
                <w:highlight w:val="none"/>
              </w:rPr>
            </w:pPr>
          </w:p>
        </w:tc>
        <w:tc>
          <w:tcPr>
            <w:tcW w:w="2448" w:type="dxa"/>
            <w:gridSpan w:val="2"/>
            <w:tcBorders>
              <w:top w:val="nil"/>
              <w:left w:val="nil"/>
              <w:bottom w:val="single" w:color="auto" w:sz="8" w:space="0"/>
              <w:right w:val="single" w:color="auto" w:sz="8" w:space="0"/>
            </w:tcBorders>
            <w:noWrap w:val="0"/>
            <w:vAlign w:val="center"/>
          </w:tcPr>
          <w:p w14:paraId="1F9ABE92">
            <w:pPr>
              <w:widowControl/>
              <w:spacing w:before="100" w:beforeAutospacing="1" w:after="100" w:afterAutospacing="1" w:line="360" w:lineRule="auto"/>
              <w:jc w:val="center"/>
              <w:rPr>
                <w:rFonts w:hint="eastAsia" w:ascii="宋体" w:hAnsi="宋体" w:eastAsia="宋体" w:cs="宋体"/>
                <w:color w:val="auto"/>
                <w:kern w:val="0"/>
                <w:szCs w:val="21"/>
                <w:highlight w:val="none"/>
              </w:rPr>
            </w:pPr>
          </w:p>
        </w:tc>
        <w:tc>
          <w:tcPr>
            <w:tcW w:w="2902" w:type="dxa"/>
            <w:gridSpan w:val="3"/>
            <w:tcBorders>
              <w:top w:val="nil"/>
              <w:left w:val="nil"/>
              <w:bottom w:val="single" w:color="auto" w:sz="8" w:space="0"/>
              <w:right w:val="single" w:color="auto" w:sz="8" w:space="0"/>
            </w:tcBorders>
            <w:noWrap w:val="0"/>
            <w:vAlign w:val="center"/>
          </w:tcPr>
          <w:p w14:paraId="77F276CB">
            <w:pPr>
              <w:widowControl/>
              <w:spacing w:before="100" w:beforeAutospacing="1" w:after="100" w:afterAutospacing="1" w:line="360" w:lineRule="auto"/>
              <w:jc w:val="center"/>
              <w:rPr>
                <w:rFonts w:hint="eastAsia" w:ascii="宋体" w:hAnsi="宋体" w:eastAsia="宋体" w:cs="宋体"/>
                <w:color w:val="auto"/>
                <w:kern w:val="0"/>
                <w:szCs w:val="21"/>
                <w:highlight w:val="none"/>
              </w:rPr>
            </w:pPr>
          </w:p>
        </w:tc>
        <w:tc>
          <w:tcPr>
            <w:tcW w:w="863" w:type="dxa"/>
            <w:gridSpan w:val="2"/>
            <w:tcBorders>
              <w:top w:val="nil"/>
              <w:left w:val="nil"/>
              <w:bottom w:val="single" w:color="auto" w:sz="8" w:space="0"/>
              <w:right w:val="single" w:color="auto" w:sz="8" w:space="0"/>
            </w:tcBorders>
            <w:noWrap w:val="0"/>
            <w:vAlign w:val="center"/>
          </w:tcPr>
          <w:p w14:paraId="5B64CD3F">
            <w:pPr>
              <w:widowControl/>
              <w:spacing w:before="100" w:beforeAutospacing="1" w:after="100" w:afterAutospacing="1" w:line="360" w:lineRule="auto"/>
              <w:jc w:val="center"/>
              <w:rPr>
                <w:rFonts w:hint="eastAsia" w:ascii="宋体" w:hAnsi="宋体" w:eastAsia="宋体" w:cs="宋体"/>
                <w:color w:val="auto"/>
                <w:kern w:val="0"/>
                <w:szCs w:val="21"/>
                <w:highlight w:val="none"/>
              </w:rPr>
            </w:pPr>
          </w:p>
        </w:tc>
        <w:tc>
          <w:tcPr>
            <w:tcW w:w="1428" w:type="dxa"/>
            <w:tcBorders>
              <w:top w:val="nil"/>
              <w:left w:val="nil"/>
              <w:bottom w:val="single" w:color="auto" w:sz="8" w:space="0"/>
              <w:right w:val="single" w:color="auto" w:sz="8" w:space="0"/>
            </w:tcBorders>
            <w:noWrap w:val="0"/>
            <w:vAlign w:val="center"/>
          </w:tcPr>
          <w:p w14:paraId="172FD059">
            <w:pPr>
              <w:widowControl/>
              <w:spacing w:before="100" w:beforeAutospacing="1" w:after="100" w:afterAutospacing="1" w:line="360" w:lineRule="auto"/>
              <w:jc w:val="center"/>
              <w:rPr>
                <w:rFonts w:hint="eastAsia" w:ascii="宋体" w:hAnsi="宋体" w:eastAsia="宋体" w:cs="宋体"/>
                <w:color w:val="auto"/>
                <w:kern w:val="0"/>
                <w:szCs w:val="21"/>
                <w:highlight w:val="none"/>
              </w:rPr>
            </w:pPr>
          </w:p>
        </w:tc>
      </w:tr>
      <w:tr w14:paraId="5911C51B">
        <w:tblPrEx>
          <w:tblCellMar>
            <w:top w:w="0" w:type="dxa"/>
            <w:left w:w="0" w:type="dxa"/>
            <w:bottom w:w="0" w:type="dxa"/>
            <w:right w:w="0" w:type="dxa"/>
          </w:tblCellMar>
        </w:tblPrEx>
        <w:trPr>
          <w:trHeight w:val="487" w:hRule="atLeast"/>
          <w:jc w:val="center"/>
        </w:trPr>
        <w:tc>
          <w:tcPr>
            <w:tcW w:w="6154" w:type="dxa"/>
            <w:gridSpan w:val="6"/>
            <w:tcBorders>
              <w:top w:val="nil"/>
              <w:left w:val="single" w:color="auto" w:sz="8" w:space="0"/>
              <w:bottom w:val="single" w:color="auto" w:sz="8" w:space="0"/>
              <w:right w:val="single" w:color="auto" w:sz="8" w:space="0"/>
            </w:tcBorders>
            <w:noWrap w:val="0"/>
            <w:vAlign w:val="center"/>
          </w:tcPr>
          <w:p w14:paraId="51EBDF2F">
            <w:pPr>
              <w:widowControl/>
              <w:snapToGrid w:val="0"/>
              <w:spacing w:before="100" w:beforeAutospacing="1" w:after="100" w:afterAutospacing="1" w:line="360" w:lineRule="auto"/>
              <w:ind w:firstLine="5"/>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 计</w:t>
            </w:r>
          </w:p>
        </w:tc>
        <w:tc>
          <w:tcPr>
            <w:tcW w:w="863" w:type="dxa"/>
            <w:gridSpan w:val="2"/>
            <w:tcBorders>
              <w:top w:val="nil"/>
              <w:left w:val="nil"/>
              <w:bottom w:val="single" w:color="auto" w:sz="8" w:space="0"/>
              <w:right w:val="single" w:color="auto" w:sz="8" w:space="0"/>
            </w:tcBorders>
            <w:noWrap w:val="0"/>
            <w:vAlign w:val="center"/>
          </w:tcPr>
          <w:p w14:paraId="57F13826">
            <w:pPr>
              <w:widowControl/>
              <w:spacing w:before="100" w:beforeAutospacing="1" w:after="100" w:afterAutospacing="1" w:line="360" w:lineRule="auto"/>
              <w:jc w:val="center"/>
              <w:rPr>
                <w:rFonts w:hint="eastAsia" w:ascii="宋体" w:hAnsi="宋体" w:eastAsia="宋体" w:cs="宋体"/>
                <w:color w:val="auto"/>
                <w:kern w:val="0"/>
                <w:szCs w:val="21"/>
                <w:highlight w:val="none"/>
              </w:rPr>
            </w:pPr>
          </w:p>
        </w:tc>
        <w:tc>
          <w:tcPr>
            <w:tcW w:w="1428" w:type="dxa"/>
            <w:tcBorders>
              <w:top w:val="nil"/>
              <w:left w:val="nil"/>
              <w:bottom w:val="single" w:color="auto" w:sz="8" w:space="0"/>
              <w:right w:val="single" w:color="auto" w:sz="8" w:space="0"/>
            </w:tcBorders>
            <w:noWrap w:val="0"/>
            <w:vAlign w:val="center"/>
          </w:tcPr>
          <w:p w14:paraId="09A5521D">
            <w:pPr>
              <w:widowControl/>
              <w:spacing w:before="100" w:beforeAutospacing="1" w:after="100" w:afterAutospacing="1" w:line="360" w:lineRule="auto"/>
              <w:jc w:val="center"/>
              <w:rPr>
                <w:rFonts w:hint="eastAsia" w:ascii="宋体" w:hAnsi="宋体" w:eastAsia="宋体" w:cs="宋体"/>
                <w:color w:val="auto"/>
                <w:kern w:val="0"/>
                <w:szCs w:val="21"/>
                <w:highlight w:val="none"/>
              </w:rPr>
            </w:pPr>
          </w:p>
        </w:tc>
      </w:tr>
      <w:tr w14:paraId="3FF176FC">
        <w:tblPrEx>
          <w:tblCellMar>
            <w:top w:w="0" w:type="dxa"/>
            <w:left w:w="0" w:type="dxa"/>
            <w:bottom w:w="0" w:type="dxa"/>
            <w:right w:w="0" w:type="dxa"/>
          </w:tblCellMar>
        </w:tblPrEx>
        <w:trPr>
          <w:trHeight w:val="641" w:hRule="atLeast"/>
          <w:jc w:val="center"/>
        </w:trPr>
        <w:tc>
          <w:tcPr>
            <w:tcW w:w="8445" w:type="dxa"/>
            <w:gridSpan w:val="9"/>
            <w:tcBorders>
              <w:top w:val="nil"/>
              <w:left w:val="single" w:color="auto" w:sz="8" w:space="0"/>
              <w:bottom w:val="single" w:color="auto" w:sz="8" w:space="0"/>
              <w:right w:val="single" w:color="auto" w:sz="8" w:space="0"/>
            </w:tcBorders>
            <w:noWrap w:val="0"/>
            <w:vAlign w:val="center"/>
          </w:tcPr>
          <w:p w14:paraId="7731DB6E">
            <w:pPr>
              <w:widowControl/>
              <w:snapToGrid w:val="0"/>
              <w:spacing w:before="100" w:beforeAutospacing="1" w:after="100" w:afterAutospacing="1" w:line="360" w:lineRule="auto"/>
              <w:ind w:firstLine="210" w:firstLineChars="1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合计大写金额：  仟  佰  拾  万  仟  佰  拾  元</w:t>
            </w:r>
          </w:p>
        </w:tc>
      </w:tr>
      <w:tr w14:paraId="13ECFE6B">
        <w:tblPrEx>
          <w:tblCellMar>
            <w:top w:w="0" w:type="dxa"/>
            <w:left w:w="0" w:type="dxa"/>
            <w:bottom w:w="0" w:type="dxa"/>
            <w:right w:w="0" w:type="dxa"/>
          </w:tblCellMar>
        </w:tblPrEx>
        <w:trPr>
          <w:trHeight w:val="641" w:hRule="atLeast"/>
          <w:jc w:val="center"/>
        </w:trPr>
        <w:tc>
          <w:tcPr>
            <w:tcW w:w="1629" w:type="dxa"/>
            <w:gridSpan w:val="2"/>
            <w:tcBorders>
              <w:top w:val="nil"/>
              <w:left w:val="single" w:color="auto" w:sz="8" w:space="0"/>
              <w:bottom w:val="single" w:color="auto" w:sz="8" w:space="0"/>
              <w:right w:val="single" w:color="auto" w:sz="8" w:space="0"/>
            </w:tcBorders>
            <w:noWrap w:val="0"/>
            <w:vAlign w:val="center"/>
          </w:tcPr>
          <w:p w14:paraId="5B52BB4C">
            <w:pPr>
              <w:widowControl/>
              <w:snapToGrid w:val="0"/>
              <w:spacing w:before="100" w:beforeAutospacing="1" w:after="100" w:afterAutospacing="1" w:line="360" w:lineRule="auto"/>
              <w:ind w:firstLine="2"/>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实际供货日期</w:t>
            </w:r>
          </w:p>
        </w:tc>
        <w:tc>
          <w:tcPr>
            <w:tcW w:w="2421" w:type="dxa"/>
            <w:gridSpan w:val="2"/>
            <w:tcBorders>
              <w:top w:val="nil"/>
              <w:left w:val="nil"/>
              <w:bottom w:val="single" w:color="auto" w:sz="8" w:space="0"/>
              <w:right w:val="single" w:color="auto" w:sz="8" w:space="0"/>
            </w:tcBorders>
            <w:noWrap w:val="0"/>
            <w:vAlign w:val="center"/>
          </w:tcPr>
          <w:p w14:paraId="5A7EFA7E">
            <w:pPr>
              <w:widowControl/>
              <w:spacing w:before="100" w:beforeAutospacing="1" w:after="100" w:afterAutospacing="1" w:line="360" w:lineRule="auto"/>
              <w:jc w:val="center"/>
              <w:rPr>
                <w:rFonts w:hint="eastAsia" w:ascii="宋体" w:hAnsi="宋体" w:eastAsia="宋体" w:cs="宋体"/>
                <w:color w:val="auto"/>
                <w:kern w:val="0"/>
                <w:szCs w:val="21"/>
                <w:highlight w:val="none"/>
              </w:rPr>
            </w:pPr>
          </w:p>
        </w:tc>
        <w:tc>
          <w:tcPr>
            <w:tcW w:w="2282" w:type="dxa"/>
            <w:gridSpan w:val="3"/>
            <w:tcBorders>
              <w:top w:val="nil"/>
              <w:left w:val="nil"/>
              <w:bottom w:val="single" w:color="auto" w:sz="8" w:space="0"/>
              <w:right w:val="single" w:color="auto" w:sz="8" w:space="0"/>
            </w:tcBorders>
            <w:noWrap w:val="0"/>
            <w:vAlign w:val="center"/>
          </w:tcPr>
          <w:p w14:paraId="2EA98715">
            <w:pPr>
              <w:widowControl/>
              <w:snapToGrid w:val="0"/>
              <w:spacing w:before="100" w:beforeAutospacing="1" w:after="100" w:afterAutospacing="1" w:line="360" w:lineRule="auto"/>
              <w:ind w:firstLine="46"/>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合同交货验收日期</w:t>
            </w:r>
          </w:p>
        </w:tc>
        <w:tc>
          <w:tcPr>
            <w:tcW w:w="2113" w:type="dxa"/>
            <w:gridSpan w:val="2"/>
            <w:tcBorders>
              <w:top w:val="nil"/>
              <w:left w:val="nil"/>
              <w:bottom w:val="single" w:color="auto" w:sz="8" w:space="0"/>
              <w:right w:val="single" w:color="auto" w:sz="8" w:space="0"/>
            </w:tcBorders>
            <w:noWrap w:val="0"/>
            <w:vAlign w:val="center"/>
          </w:tcPr>
          <w:p w14:paraId="466F7A89">
            <w:pPr>
              <w:widowControl/>
              <w:spacing w:before="100" w:beforeAutospacing="1" w:after="100" w:afterAutospacing="1" w:line="360" w:lineRule="auto"/>
              <w:jc w:val="center"/>
              <w:rPr>
                <w:rFonts w:hint="eastAsia" w:ascii="宋体" w:hAnsi="宋体" w:eastAsia="宋体" w:cs="宋体"/>
                <w:color w:val="auto"/>
                <w:kern w:val="0"/>
                <w:szCs w:val="21"/>
                <w:highlight w:val="none"/>
              </w:rPr>
            </w:pPr>
          </w:p>
        </w:tc>
      </w:tr>
      <w:tr w14:paraId="5B0C6D5F">
        <w:tblPrEx>
          <w:tblCellMar>
            <w:top w:w="0" w:type="dxa"/>
            <w:left w:w="0" w:type="dxa"/>
            <w:bottom w:w="0" w:type="dxa"/>
            <w:right w:w="0" w:type="dxa"/>
          </w:tblCellMar>
        </w:tblPrEx>
        <w:trPr>
          <w:trHeight w:val="693" w:hRule="atLeast"/>
          <w:jc w:val="center"/>
        </w:trPr>
        <w:tc>
          <w:tcPr>
            <w:tcW w:w="1629"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0C920037">
            <w:pPr>
              <w:widowControl/>
              <w:snapToGrid w:val="0"/>
              <w:spacing w:before="100" w:beforeAutospacing="1" w:after="100" w:afterAutospacing="1"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验收具体内容</w:t>
            </w:r>
          </w:p>
        </w:tc>
        <w:tc>
          <w:tcPr>
            <w:tcW w:w="6816" w:type="dxa"/>
            <w:gridSpan w:val="7"/>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4E0A6F92">
            <w:pPr>
              <w:widowControl/>
              <w:snapToGrid w:val="0"/>
              <w:spacing w:before="100" w:beforeAutospacing="1" w:after="100" w:afterAutospacing="1"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应按采购合同、磋商文件、竞标响应文件及验收方案等进行验收；并核对成交供应商在安装调试等方面是否违反合同约定或者服务规范要求、提供的质量保证证明材料是否齐全、应有的配件及附件是否达到合同约定等。可附件)</w:t>
            </w:r>
          </w:p>
        </w:tc>
      </w:tr>
      <w:tr w14:paraId="3628B23C">
        <w:tblPrEx>
          <w:tblCellMar>
            <w:top w:w="0" w:type="dxa"/>
            <w:left w:w="0" w:type="dxa"/>
            <w:bottom w:w="0" w:type="dxa"/>
            <w:right w:w="0" w:type="dxa"/>
          </w:tblCellMar>
        </w:tblPrEx>
        <w:trPr>
          <w:trHeight w:val="1281" w:hRule="atLeast"/>
          <w:jc w:val="center"/>
        </w:trPr>
        <w:tc>
          <w:tcPr>
            <w:tcW w:w="1629" w:type="dxa"/>
            <w:gridSpan w:val="2"/>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3B5A5010">
            <w:pPr>
              <w:widowControl/>
              <w:spacing w:before="100" w:beforeAutospacing="1" w:after="100" w:afterAutospacing="1"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验收小组意见</w:t>
            </w:r>
          </w:p>
        </w:tc>
        <w:tc>
          <w:tcPr>
            <w:tcW w:w="6816" w:type="dxa"/>
            <w:gridSpan w:val="7"/>
            <w:tcBorders>
              <w:top w:val="nil"/>
              <w:left w:val="nil"/>
              <w:bottom w:val="single" w:color="auto" w:sz="8" w:space="0"/>
              <w:right w:val="single" w:color="auto" w:sz="8" w:space="0"/>
            </w:tcBorders>
            <w:noWrap w:val="0"/>
            <w:vAlign w:val="center"/>
          </w:tcPr>
          <w:p w14:paraId="19608725">
            <w:pPr>
              <w:widowControl/>
              <w:spacing w:before="100" w:beforeAutospacing="1" w:after="100" w:afterAutospacing="1" w:line="360" w:lineRule="auto"/>
              <w:ind w:firstLine="210" w:firstLineChars="1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验收结论性意见：</w:t>
            </w:r>
          </w:p>
        </w:tc>
      </w:tr>
      <w:tr w14:paraId="3E11AAAB">
        <w:tblPrEx>
          <w:tblCellMar>
            <w:top w:w="0" w:type="dxa"/>
            <w:left w:w="0" w:type="dxa"/>
            <w:bottom w:w="0" w:type="dxa"/>
            <w:right w:w="0" w:type="dxa"/>
          </w:tblCellMar>
        </w:tblPrEx>
        <w:trPr>
          <w:trHeight w:val="607" w:hRule="atLeast"/>
          <w:jc w:val="center"/>
        </w:trPr>
        <w:tc>
          <w:tcPr>
            <w:tcW w:w="1629" w:type="dxa"/>
            <w:gridSpan w:val="2"/>
            <w:vMerge w:val="continue"/>
            <w:tcBorders>
              <w:top w:val="nil"/>
              <w:left w:val="single" w:color="auto" w:sz="8" w:space="0"/>
              <w:bottom w:val="single" w:color="auto" w:sz="8" w:space="0"/>
              <w:right w:val="single" w:color="auto" w:sz="8" w:space="0"/>
            </w:tcBorders>
            <w:noWrap w:val="0"/>
            <w:vAlign w:val="center"/>
          </w:tcPr>
          <w:p w14:paraId="1691D6C8">
            <w:pPr>
              <w:widowControl/>
              <w:spacing w:line="360" w:lineRule="auto"/>
              <w:jc w:val="left"/>
              <w:rPr>
                <w:rFonts w:hint="eastAsia" w:ascii="宋体" w:hAnsi="宋体" w:eastAsia="宋体" w:cs="宋体"/>
                <w:color w:val="auto"/>
                <w:kern w:val="0"/>
                <w:szCs w:val="21"/>
                <w:highlight w:val="none"/>
              </w:rPr>
            </w:pPr>
          </w:p>
        </w:tc>
        <w:tc>
          <w:tcPr>
            <w:tcW w:w="6816" w:type="dxa"/>
            <w:gridSpan w:val="7"/>
            <w:tcBorders>
              <w:top w:val="nil"/>
              <w:left w:val="nil"/>
              <w:bottom w:val="single" w:color="auto" w:sz="8" w:space="0"/>
              <w:right w:val="single" w:color="auto" w:sz="8" w:space="0"/>
            </w:tcBorders>
            <w:noWrap w:val="0"/>
            <w:vAlign w:val="center"/>
          </w:tcPr>
          <w:p w14:paraId="527CD7E7">
            <w:pPr>
              <w:widowControl/>
              <w:spacing w:before="100" w:beforeAutospacing="1" w:after="100" w:afterAutospacing="1" w:line="360" w:lineRule="auto"/>
              <w:ind w:firstLine="210" w:firstLineChars="1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有异议的意见和说明理由：</w:t>
            </w:r>
          </w:p>
          <w:p w14:paraId="5A21B013">
            <w:pPr>
              <w:widowControl/>
              <w:spacing w:before="100" w:beforeAutospacing="1" w:after="100" w:afterAutospacing="1" w:line="360" w:lineRule="auto"/>
              <w:ind w:firstLine="210" w:firstLineChars="1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签字：</w:t>
            </w:r>
          </w:p>
        </w:tc>
      </w:tr>
      <w:tr w14:paraId="4A223895">
        <w:tblPrEx>
          <w:tblCellMar>
            <w:top w:w="0" w:type="dxa"/>
            <w:left w:w="0" w:type="dxa"/>
            <w:bottom w:w="0" w:type="dxa"/>
            <w:right w:w="0" w:type="dxa"/>
          </w:tblCellMar>
        </w:tblPrEx>
        <w:trPr>
          <w:trHeight w:val="507" w:hRule="atLeast"/>
          <w:jc w:val="center"/>
        </w:trPr>
        <w:tc>
          <w:tcPr>
            <w:tcW w:w="8445" w:type="dxa"/>
            <w:gridSpan w:val="9"/>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263786F0">
            <w:pPr>
              <w:widowControl/>
              <w:spacing w:before="100" w:beforeAutospacing="1" w:after="100" w:afterAutospacing="1"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验收小组成员签字：</w:t>
            </w:r>
          </w:p>
        </w:tc>
      </w:tr>
      <w:tr w14:paraId="28777830">
        <w:tblPrEx>
          <w:tblCellMar>
            <w:top w:w="0" w:type="dxa"/>
            <w:left w:w="0" w:type="dxa"/>
            <w:bottom w:w="0" w:type="dxa"/>
            <w:right w:w="0" w:type="dxa"/>
          </w:tblCellMar>
        </w:tblPrEx>
        <w:trPr>
          <w:trHeight w:val="736" w:hRule="atLeast"/>
          <w:jc w:val="center"/>
        </w:trPr>
        <w:tc>
          <w:tcPr>
            <w:tcW w:w="8445" w:type="dxa"/>
            <w:gridSpan w:val="9"/>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5F75C327">
            <w:pPr>
              <w:widowControl/>
              <w:spacing w:before="100" w:beforeAutospacing="1" w:after="100" w:afterAutospacing="1"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监督人员或者其他相关人员签字：</w:t>
            </w:r>
          </w:p>
          <w:p w14:paraId="4C0C22D5">
            <w:pPr>
              <w:widowControl/>
              <w:spacing w:before="100" w:beforeAutospacing="1" w:after="100" w:afterAutospacing="1" w:line="360" w:lineRule="auto"/>
              <w:ind w:firstLine="74"/>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或者受邀机构的意见（盖章）：</w:t>
            </w:r>
          </w:p>
        </w:tc>
      </w:tr>
      <w:tr w14:paraId="7133076C">
        <w:tblPrEx>
          <w:tblCellMar>
            <w:top w:w="0" w:type="dxa"/>
            <w:left w:w="0" w:type="dxa"/>
            <w:bottom w:w="0" w:type="dxa"/>
            <w:right w:w="0" w:type="dxa"/>
          </w:tblCellMar>
        </w:tblPrEx>
        <w:trPr>
          <w:trHeight w:val="758" w:hRule="atLeast"/>
          <w:jc w:val="center"/>
        </w:trPr>
        <w:tc>
          <w:tcPr>
            <w:tcW w:w="4152" w:type="dxa"/>
            <w:gridSpan w:val="5"/>
            <w:tcBorders>
              <w:top w:val="nil"/>
              <w:left w:val="single" w:color="auto" w:sz="8" w:space="0"/>
              <w:bottom w:val="single" w:color="auto" w:sz="8" w:space="0"/>
              <w:right w:val="nil"/>
            </w:tcBorders>
            <w:noWrap w:val="0"/>
            <w:tcMar>
              <w:top w:w="0" w:type="dxa"/>
              <w:left w:w="108" w:type="dxa"/>
              <w:bottom w:w="0" w:type="dxa"/>
              <w:right w:w="108" w:type="dxa"/>
            </w:tcMar>
            <w:vAlign w:val="center"/>
          </w:tcPr>
          <w:p w14:paraId="2780F090">
            <w:pPr>
              <w:widowControl/>
              <w:spacing w:before="100" w:beforeAutospacing="1" w:after="100" w:afterAutospacing="1"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成交供应商负责人签字或者盖章：</w:t>
            </w:r>
          </w:p>
          <w:p w14:paraId="12F6A5AA">
            <w:pPr>
              <w:widowControl/>
              <w:spacing w:before="100" w:beforeAutospacing="1" w:after="100" w:afterAutospacing="1" w:line="360" w:lineRule="auto"/>
              <w:jc w:val="left"/>
              <w:rPr>
                <w:rFonts w:hint="eastAsia" w:ascii="宋体" w:hAnsi="宋体" w:eastAsia="宋体" w:cs="宋体"/>
                <w:color w:val="auto"/>
                <w:kern w:val="0"/>
                <w:szCs w:val="21"/>
                <w:highlight w:val="none"/>
              </w:rPr>
            </w:pPr>
          </w:p>
          <w:p w14:paraId="03A528D0">
            <w:pPr>
              <w:widowControl/>
              <w:spacing w:before="100" w:beforeAutospacing="1" w:after="100" w:afterAutospacing="1"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联系电话：                年  月  日</w:t>
            </w:r>
          </w:p>
        </w:tc>
        <w:tc>
          <w:tcPr>
            <w:tcW w:w="4293" w:type="dxa"/>
            <w:gridSpan w:val="4"/>
            <w:tcBorders>
              <w:top w:val="nil"/>
              <w:left w:val="nil"/>
              <w:bottom w:val="single" w:color="auto" w:sz="8" w:space="0"/>
              <w:right w:val="single" w:color="auto" w:sz="8" w:space="0"/>
            </w:tcBorders>
            <w:noWrap w:val="0"/>
            <w:vAlign w:val="center"/>
          </w:tcPr>
          <w:p w14:paraId="3F7B2FFF">
            <w:pPr>
              <w:widowControl/>
              <w:spacing w:before="100" w:beforeAutospacing="1" w:after="100" w:afterAutospacing="1" w:line="360" w:lineRule="auto"/>
              <w:ind w:firstLine="210" w:firstLineChars="1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采购人或者受托机构的意见（盖章）：</w:t>
            </w:r>
          </w:p>
          <w:p w14:paraId="13B5B359">
            <w:pPr>
              <w:widowControl/>
              <w:spacing w:before="100" w:beforeAutospacing="1" w:after="100" w:afterAutospacing="1" w:line="360" w:lineRule="auto"/>
              <w:ind w:firstLine="210" w:firstLineChars="100"/>
              <w:jc w:val="left"/>
              <w:rPr>
                <w:rFonts w:hint="eastAsia" w:ascii="宋体" w:hAnsi="宋体" w:eastAsia="宋体" w:cs="宋体"/>
                <w:color w:val="auto"/>
                <w:kern w:val="0"/>
                <w:szCs w:val="21"/>
                <w:highlight w:val="none"/>
              </w:rPr>
            </w:pPr>
          </w:p>
          <w:p w14:paraId="3FFE14C5">
            <w:pPr>
              <w:widowControl/>
              <w:spacing w:before="100" w:beforeAutospacing="1" w:after="100" w:afterAutospacing="1" w:line="360" w:lineRule="auto"/>
              <w:ind w:firstLine="210" w:firstLineChars="1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联系电话：                  年  月  日</w:t>
            </w:r>
          </w:p>
        </w:tc>
      </w:tr>
    </w:tbl>
    <w:p w14:paraId="53DBC00F">
      <w:pPr>
        <w:pStyle w:val="3"/>
        <w:numPr>
          <w:ilvl w:val="0"/>
          <w:numId w:val="4"/>
        </w:num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br w:type="page"/>
      </w:r>
      <w:bookmarkStart w:id="66" w:name="_Toc44229895"/>
      <w:r>
        <w:rPr>
          <w:rFonts w:hint="eastAsia" w:ascii="宋体" w:hAnsi="宋体" w:eastAsia="宋体" w:cs="宋体"/>
          <w:color w:val="auto"/>
          <w:highlight w:val="none"/>
        </w:rPr>
        <w:t>采购需求</w:t>
      </w:r>
      <w:bookmarkEnd w:id="66"/>
    </w:p>
    <w:p w14:paraId="79D35254">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采购项目技术规格、参数及要求</w:t>
      </w:r>
    </w:p>
    <w:p w14:paraId="4B8D2038">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说明：</w:t>
      </w:r>
    </w:p>
    <w:p w14:paraId="5B95A976">
      <w:pPr>
        <w:spacing w:line="360" w:lineRule="auto"/>
        <w:ind w:firstLine="424" w:firstLineChars="202"/>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1.根据《财政部 发展改革委 生态环境部 市场监管总局关于调整优化节能产品、环境标志产品政府采购执行机制的通知》（财库〔2019〕9号）和《关于印发节能产品政府采购品目清单的通知》（财库〔2019〕19号）的规定，节能产品政府采购品目清单内标注“★”的品目属于政府强制采购节能产品，如本项目包含的配套货物属于品目清单内标注“★”的产品时，供应商的竞标货物必须使用政府强制采购的节能产品，供应商必须在响应文件中提供所竞标产品的节能产品认证证书复印件（加盖供应商公章），否则响应文件按无效响应处理。如本项目包含的配套货物属于品目清单内非标注“★”的产品时，应优先采购，具体详见“第四章 评审程序、评审方法和评审标准”。</w:t>
      </w:r>
    </w:p>
    <w:p w14:paraId="22B0AA11">
      <w:pPr>
        <w:spacing w:line="360" w:lineRule="auto"/>
        <w:ind w:firstLine="424" w:firstLineChars="202"/>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2.“实质性要求”是指磋商文件中已经指明不满足则响应文件按无效响应处理的条款，或者不能负偏离的条款，或者采购需求中带“▲”的条款。</w:t>
      </w:r>
    </w:p>
    <w:p w14:paraId="1F61E26A">
      <w:pPr>
        <w:spacing w:line="360" w:lineRule="auto"/>
        <w:ind w:firstLine="424" w:firstLineChars="202"/>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 服务项目中伴随货物的，采购需求中出现的品牌、型号或者生产供应商仅起参考作用，不属于指定品牌、型号或者生产供应商的情形。供应商可参照或者选用其他相当的品牌、型号或者生产供应商替代。</w:t>
      </w:r>
    </w:p>
    <w:p w14:paraId="1DB0F3F7">
      <w:pPr>
        <w:spacing w:line="360" w:lineRule="auto"/>
        <w:ind w:firstLine="424" w:firstLineChars="202"/>
        <w:jc w:val="left"/>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4.</w:t>
      </w:r>
      <w:r>
        <w:rPr>
          <w:rFonts w:hint="eastAsia" w:ascii="宋体" w:hAnsi="宋体" w:eastAsia="宋体" w:cs="宋体"/>
          <w:color w:val="auto"/>
          <w:highlight w:val="none"/>
        </w:rPr>
        <w:t>供应商必须自行为其磋商产品侵犯他人的知识产权或者专利成果的行为承担相应法律责任。</w:t>
      </w:r>
    </w:p>
    <w:p w14:paraId="6F3B7575">
      <w:pPr>
        <w:tabs>
          <w:tab w:val="left" w:pos="180"/>
          <w:tab w:val="left" w:pos="1620"/>
        </w:tabs>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一、采购项目需求一览表</w:t>
      </w:r>
    </w:p>
    <w:p w14:paraId="4D8140CC">
      <w:pPr>
        <w:tabs>
          <w:tab w:val="left" w:pos="180"/>
          <w:tab w:val="left" w:pos="1620"/>
        </w:tabs>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采购预算：详见竞争性磋商公告</w:t>
      </w:r>
    </w:p>
    <w:tbl>
      <w:tblPr>
        <w:tblStyle w:val="23"/>
        <w:tblpPr w:leftFromText="180" w:rightFromText="180" w:vertAnchor="text" w:horzAnchor="page" w:tblpX="1176" w:tblpY="36"/>
        <w:tblOverlap w:val="never"/>
        <w:tblW w:w="958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1"/>
        <w:gridCol w:w="754"/>
        <w:gridCol w:w="808"/>
        <w:gridCol w:w="1015"/>
        <w:gridCol w:w="6278"/>
      </w:tblGrid>
      <w:tr w14:paraId="1C5352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731" w:type="dxa"/>
            <w:noWrap w:val="0"/>
            <w:vAlign w:val="center"/>
          </w:tcPr>
          <w:p w14:paraId="1D43055F">
            <w:pPr>
              <w:pStyle w:val="28"/>
              <w:pageBreakBefore w:val="0"/>
              <w:widowControl w:val="0"/>
              <w:kinsoku/>
              <w:wordWrap/>
              <w:overflowPunct/>
              <w:topLinePunct w:val="0"/>
              <w:autoSpaceDE/>
              <w:autoSpaceDN/>
              <w:bidi w:val="0"/>
              <w:adjustRightInd/>
              <w:spacing w:before="2" w:line="336" w:lineRule="auto"/>
              <w:ind w:left="108" w:right="96"/>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562" w:type="dxa"/>
            <w:gridSpan w:val="2"/>
            <w:noWrap w:val="0"/>
            <w:vAlign w:val="center"/>
          </w:tcPr>
          <w:p w14:paraId="4CB41778">
            <w:pPr>
              <w:pStyle w:val="15"/>
              <w:pageBreakBefore w:val="0"/>
              <w:widowControl w:val="0"/>
              <w:kinsoku/>
              <w:wordWrap/>
              <w:overflowPunct/>
              <w:topLinePunct w:val="0"/>
              <w:autoSpaceDE/>
              <w:autoSpaceDN/>
              <w:bidi w:val="0"/>
              <w:adjustRightInd/>
              <w:spacing w:line="336" w:lineRule="auto"/>
              <w:jc w:val="center"/>
              <w:textAlignment w:val="auto"/>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服务名称</w:t>
            </w:r>
          </w:p>
        </w:tc>
        <w:tc>
          <w:tcPr>
            <w:tcW w:w="1015" w:type="dxa"/>
            <w:noWrap w:val="0"/>
            <w:vAlign w:val="center"/>
          </w:tcPr>
          <w:p w14:paraId="0E58A24B">
            <w:pPr>
              <w:pStyle w:val="15"/>
              <w:pageBreakBefore w:val="0"/>
              <w:widowControl w:val="0"/>
              <w:kinsoku/>
              <w:wordWrap/>
              <w:overflowPunct/>
              <w:topLinePunct w:val="0"/>
              <w:autoSpaceDE/>
              <w:autoSpaceDN/>
              <w:bidi w:val="0"/>
              <w:adjustRightInd/>
              <w:spacing w:line="336" w:lineRule="auto"/>
              <w:jc w:val="center"/>
              <w:textAlignment w:val="auto"/>
              <w:outlineLvl w:val="0"/>
              <w:rPr>
                <w:rFonts w:hint="eastAsia" w:ascii="宋体" w:hAnsi="宋体" w:eastAsia="宋体" w:cs="宋体"/>
                <w:b/>
                <w:color w:val="auto"/>
                <w:sz w:val="21"/>
                <w:szCs w:val="21"/>
                <w:highlight w:val="none"/>
                <w:lang w:val="en-US"/>
              </w:rPr>
            </w:pPr>
            <w:r>
              <w:rPr>
                <w:rFonts w:hint="eastAsia" w:ascii="宋体" w:hAnsi="宋体" w:eastAsia="宋体" w:cs="宋体"/>
                <w:b/>
                <w:color w:val="auto"/>
                <w:sz w:val="21"/>
                <w:szCs w:val="21"/>
                <w:highlight w:val="none"/>
              </w:rPr>
              <w:t>数量</w:t>
            </w:r>
            <w:r>
              <w:rPr>
                <w:rFonts w:hint="eastAsia" w:ascii="宋体" w:hAnsi="宋体" w:eastAsia="宋体" w:cs="宋体"/>
                <w:b/>
                <w:color w:val="auto"/>
                <w:sz w:val="21"/>
                <w:szCs w:val="21"/>
                <w:highlight w:val="none"/>
                <w:lang w:val="en-US"/>
              </w:rPr>
              <w:t>/单位</w:t>
            </w:r>
          </w:p>
        </w:tc>
        <w:tc>
          <w:tcPr>
            <w:tcW w:w="6278" w:type="dxa"/>
            <w:noWrap w:val="0"/>
            <w:vAlign w:val="center"/>
          </w:tcPr>
          <w:p w14:paraId="7DB6A35B">
            <w:pPr>
              <w:pStyle w:val="15"/>
              <w:pageBreakBefore w:val="0"/>
              <w:widowControl w:val="0"/>
              <w:kinsoku/>
              <w:wordWrap/>
              <w:overflowPunct/>
              <w:topLinePunct w:val="0"/>
              <w:autoSpaceDE/>
              <w:autoSpaceDN/>
              <w:bidi w:val="0"/>
              <w:adjustRightInd/>
              <w:spacing w:line="336" w:lineRule="auto"/>
              <w:jc w:val="center"/>
              <w:textAlignment w:val="auto"/>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服务内容及要求</w:t>
            </w:r>
          </w:p>
        </w:tc>
      </w:tr>
      <w:tr w14:paraId="4A8B95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31" w:type="dxa"/>
            <w:noWrap w:val="0"/>
            <w:vAlign w:val="center"/>
          </w:tcPr>
          <w:p w14:paraId="5993700A">
            <w:pPr>
              <w:pStyle w:val="28"/>
              <w:pageBreakBefore w:val="0"/>
              <w:widowControl w:val="0"/>
              <w:kinsoku/>
              <w:wordWrap/>
              <w:overflowPunct/>
              <w:topLinePunct w:val="0"/>
              <w:autoSpaceDE/>
              <w:autoSpaceDN/>
              <w:bidi w:val="0"/>
              <w:adjustRightInd/>
              <w:spacing w:line="336" w:lineRule="auto"/>
              <w:ind w:left="6"/>
              <w:jc w:val="center"/>
              <w:textAlignment w:val="auto"/>
              <w:rPr>
                <w:rFonts w:hint="eastAsia" w:ascii="宋体" w:hAnsi="宋体" w:eastAsia="宋体" w:cs="宋体"/>
                <w:b/>
                <w:color w:val="auto"/>
                <w:sz w:val="21"/>
                <w:szCs w:val="21"/>
                <w:highlight w:val="none"/>
                <w:lang w:val="en-US"/>
              </w:rPr>
            </w:pPr>
          </w:p>
          <w:p w14:paraId="6E3FD6C0">
            <w:pPr>
              <w:pStyle w:val="28"/>
              <w:pageBreakBefore w:val="0"/>
              <w:widowControl w:val="0"/>
              <w:kinsoku/>
              <w:wordWrap/>
              <w:overflowPunct/>
              <w:topLinePunct w:val="0"/>
              <w:autoSpaceDE/>
              <w:autoSpaceDN/>
              <w:bidi w:val="0"/>
              <w:adjustRightInd/>
              <w:spacing w:line="336" w:lineRule="auto"/>
              <w:ind w:left="6"/>
              <w:jc w:val="center"/>
              <w:textAlignment w:val="auto"/>
              <w:rPr>
                <w:rFonts w:hint="eastAsia" w:ascii="宋体" w:hAnsi="宋体" w:eastAsia="宋体" w:cs="宋体"/>
                <w:b/>
                <w:color w:val="auto"/>
                <w:sz w:val="21"/>
                <w:szCs w:val="21"/>
                <w:highlight w:val="none"/>
                <w:lang w:val="en-US"/>
              </w:rPr>
            </w:pPr>
          </w:p>
          <w:p w14:paraId="40406FC0">
            <w:pPr>
              <w:pStyle w:val="28"/>
              <w:pageBreakBefore w:val="0"/>
              <w:widowControl w:val="0"/>
              <w:kinsoku/>
              <w:wordWrap/>
              <w:overflowPunct/>
              <w:topLinePunct w:val="0"/>
              <w:autoSpaceDE/>
              <w:autoSpaceDN/>
              <w:bidi w:val="0"/>
              <w:adjustRightInd/>
              <w:spacing w:line="336" w:lineRule="auto"/>
              <w:ind w:left="6"/>
              <w:jc w:val="center"/>
              <w:textAlignment w:val="auto"/>
              <w:rPr>
                <w:rFonts w:hint="eastAsia" w:ascii="宋体" w:hAnsi="宋体" w:eastAsia="宋体" w:cs="宋体"/>
                <w:b/>
                <w:color w:val="auto"/>
                <w:sz w:val="21"/>
                <w:szCs w:val="21"/>
                <w:highlight w:val="none"/>
                <w:lang w:val="en-US"/>
              </w:rPr>
            </w:pPr>
          </w:p>
          <w:p w14:paraId="494B5059">
            <w:pPr>
              <w:pStyle w:val="28"/>
              <w:pageBreakBefore w:val="0"/>
              <w:widowControl w:val="0"/>
              <w:kinsoku/>
              <w:wordWrap/>
              <w:overflowPunct/>
              <w:topLinePunct w:val="0"/>
              <w:autoSpaceDE/>
              <w:autoSpaceDN/>
              <w:bidi w:val="0"/>
              <w:adjustRightInd/>
              <w:spacing w:line="336" w:lineRule="auto"/>
              <w:ind w:left="6"/>
              <w:jc w:val="center"/>
              <w:textAlignment w:val="auto"/>
              <w:rPr>
                <w:rFonts w:hint="eastAsia" w:ascii="宋体" w:hAnsi="宋体" w:eastAsia="宋体" w:cs="宋体"/>
                <w:b/>
                <w:color w:val="auto"/>
                <w:sz w:val="21"/>
                <w:szCs w:val="21"/>
                <w:highlight w:val="none"/>
                <w:lang w:val="en-US"/>
              </w:rPr>
            </w:pPr>
            <w:r>
              <w:rPr>
                <w:rFonts w:hint="eastAsia" w:ascii="宋体" w:hAnsi="宋体" w:eastAsia="宋体" w:cs="宋体"/>
                <w:b/>
                <w:color w:val="auto"/>
                <w:sz w:val="21"/>
                <w:szCs w:val="21"/>
                <w:highlight w:val="none"/>
                <w:lang w:val="en-US"/>
              </w:rPr>
              <w:t>1</w:t>
            </w:r>
          </w:p>
          <w:p w14:paraId="1709A8E5">
            <w:pPr>
              <w:pStyle w:val="28"/>
              <w:pageBreakBefore w:val="0"/>
              <w:widowControl w:val="0"/>
              <w:kinsoku/>
              <w:wordWrap/>
              <w:overflowPunct/>
              <w:topLinePunct w:val="0"/>
              <w:autoSpaceDE/>
              <w:autoSpaceDN/>
              <w:bidi w:val="0"/>
              <w:adjustRightInd/>
              <w:spacing w:line="336" w:lineRule="auto"/>
              <w:ind w:left="6"/>
              <w:jc w:val="center"/>
              <w:textAlignment w:val="auto"/>
              <w:rPr>
                <w:rFonts w:hint="eastAsia" w:ascii="宋体" w:hAnsi="宋体" w:eastAsia="宋体" w:cs="宋体"/>
                <w:b/>
                <w:color w:val="auto"/>
                <w:sz w:val="21"/>
                <w:szCs w:val="21"/>
                <w:highlight w:val="none"/>
                <w:lang w:val="en-US"/>
              </w:rPr>
            </w:pPr>
          </w:p>
        </w:tc>
        <w:tc>
          <w:tcPr>
            <w:tcW w:w="1562" w:type="dxa"/>
            <w:gridSpan w:val="2"/>
            <w:noWrap w:val="0"/>
            <w:vAlign w:val="center"/>
          </w:tcPr>
          <w:p w14:paraId="473A9E56">
            <w:pPr>
              <w:pStyle w:val="17"/>
              <w:pageBreakBefore w:val="0"/>
              <w:widowControl w:val="0"/>
              <w:kinsoku/>
              <w:wordWrap/>
              <w:overflowPunct/>
              <w:topLinePunct w:val="0"/>
              <w:autoSpaceDE/>
              <w:autoSpaceDN/>
              <w:bidi w:val="0"/>
              <w:adjustRightInd/>
              <w:spacing w:line="336" w:lineRule="auto"/>
              <w:jc w:val="center"/>
              <w:textAlignment w:val="auto"/>
              <w:rPr>
                <w:rFonts w:hint="eastAsia" w:ascii="宋体" w:hAnsi="宋体" w:eastAsia="宋体" w:cs="宋体"/>
                <w:b/>
                <w:color w:val="auto"/>
                <w:sz w:val="21"/>
                <w:szCs w:val="21"/>
                <w:highlight w:val="none"/>
                <w:lang w:eastAsia="zh-CN"/>
              </w:rPr>
            </w:pPr>
            <w:r>
              <w:rPr>
                <w:rFonts w:hint="eastAsia" w:ascii="宋体" w:hAnsi="宋体" w:cs="宋体"/>
                <w:color w:val="auto"/>
                <w:sz w:val="21"/>
                <w:szCs w:val="21"/>
                <w:highlight w:val="none"/>
                <w:lang w:eastAsia="zh-CN"/>
              </w:rPr>
              <w:t>崇左市中级人民法院物业服务采购</w:t>
            </w:r>
          </w:p>
        </w:tc>
        <w:tc>
          <w:tcPr>
            <w:tcW w:w="1015" w:type="dxa"/>
            <w:noWrap w:val="0"/>
            <w:vAlign w:val="center"/>
          </w:tcPr>
          <w:p w14:paraId="537FB00C">
            <w:pPr>
              <w:pStyle w:val="28"/>
              <w:pageBreakBefore w:val="0"/>
              <w:widowControl w:val="0"/>
              <w:kinsoku/>
              <w:wordWrap/>
              <w:overflowPunct/>
              <w:topLinePunct w:val="0"/>
              <w:autoSpaceDE/>
              <w:autoSpaceDN/>
              <w:bidi w:val="0"/>
              <w:adjustRightInd/>
              <w:spacing w:before="53" w:line="336" w:lineRule="auto"/>
              <w:jc w:val="center"/>
              <w:textAlignment w:val="auto"/>
              <w:rPr>
                <w:rFonts w:hint="eastAsia" w:ascii="宋体" w:hAnsi="宋体" w:eastAsia="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1年</w:t>
            </w:r>
          </w:p>
        </w:tc>
        <w:tc>
          <w:tcPr>
            <w:tcW w:w="6278" w:type="dxa"/>
            <w:noWrap w:val="0"/>
            <w:vAlign w:val="center"/>
          </w:tcPr>
          <w:p w14:paraId="32395F18">
            <w:pPr>
              <w:spacing w:line="440" w:lineRule="exact"/>
              <w:rPr>
                <w:rFonts w:hint="eastAsia" w:ascii="宋体" w:hAnsi="Courier New"/>
                <w:b/>
                <w:bCs/>
                <w:color w:val="000000"/>
                <w:szCs w:val="20"/>
              </w:rPr>
            </w:pPr>
            <w:r>
              <w:rPr>
                <w:rFonts w:hint="eastAsia" w:ascii="宋体" w:hAnsi="Courier New"/>
                <w:b/>
                <w:bCs/>
                <w:color w:val="000000"/>
                <w:szCs w:val="20"/>
              </w:rPr>
              <w:t>一、物业基本情况</w:t>
            </w:r>
          </w:p>
          <w:p w14:paraId="310BC2E0">
            <w:pPr>
              <w:spacing w:line="440" w:lineRule="exact"/>
              <w:ind w:left="105" w:leftChars="50" w:firstLine="306" w:firstLineChars="146"/>
              <w:rPr>
                <w:rFonts w:hint="eastAsia" w:ascii="宋体" w:hAnsi="Courier New"/>
                <w:bCs/>
                <w:color w:val="000000"/>
                <w:szCs w:val="20"/>
              </w:rPr>
            </w:pPr>
            <w:r>
              <w:rPr>
                <w:rFonts w:hint="eastAsia" w:ascii="宋体" w:hAnsi="Courier New"/>
                <w:bCs/>
                <w:color w:val="000000"/>
                <w:szCs w:val="20"/>
                <w:lang w:eastAsia="zh-CN"/>
              </w:rPr>
              <w:t>广西壮族自治区崇左市中级人民法院审判综合楼位于崇左市石景林东路4号，占地面积约12018平方米，总建筑面积19876平方米，审判综合大楼共7层（包含两座电梯）、诉讼服务中心大楼3层</w:t>
            </w:r>
            <w:r>
              <w:rPr>
                <w:rFonts w:hint="eastAsia" w:ascii="宋体" w:hAnsi="Courier New"/>
                <w:bCs/>
                <w:color w:val="000000"/>
                <w:szCs w:val="20"/>
                <w:lang w:val="en-US" w:eastAsia="zh-CN"/>
              </w:rPr>
              <w:t>和</w:t>
            </w:r>
            <w:r>
              <w:rPr>
                <w:rFonts w:hint="eastAsia" w:ascii="宋体" w:hAnsi="Courier New"/>
                <w:bCs/>
                <w:color w:val="000000"/>
                <w:szCs w:val="20"/>
                <w:lang w:eastAsia="zh-CN"/>
              </w:rPr>
              <w:t>一座电梯、诉讼与非诉讼联动中心大楼3层</w:t>
            </w:r>
            <w:r>
              <w:rPr>
                <w:rFonts w:hint="eastAsia" w:ascii="宋体" w:hAnsi="Courier New"/>
                <w:bCs/>
                <w:color w:val="000000"/>
                <w:szCs w:val="20"/>
                <w:lang w:val="en-US" w:eastAsia="zh-CN"/>
              </w:rPr>
              <w:t>和</w:t>
            </w:r>
            <w:r>
              <w:rPr>
                <w:rFonts w:hint="eastAsia" w:ascii="宋体" w:hAnsi="Courier New"/>
                <w:bCs/>
                <w:color w:val="000000"/>
                <w:szCs w:val="20"/>
                <w:lang w:eastAsia="zh-CN"/>
              </w:rPr>
              <w:t>一座电梯，拟选定一家物业公司进行秩序维护、保洁服务、职工食堂服务、绿化工作等服务工作</w:t>
            </w:r>
            <w:r>
              <w:rPr>
                <w:rFonts w:hint="eastAsia" w:ascii="宋体" w:hAnsi="Courier New"/>
                <w:bCs/>
                <w:color w:val="000000"/>
                <w:szCs w:val="20"/>
              </w:rPr>
              <w:t>。</w:t>
            </w:r>
          </w:p>
          <w:p w14:paraId="0101919D">
            <w:pPr>
              <w:spacing w:line="440" w:lineRule="exact"/>
              <w:rPr>
                <w:rFonts w:hint="eastAsia" w:ascii="宋体" w:hAnsi="Courier New"/>
                <w:b/>
                <w:bCs/>
                <w:color w:val="000000"/>
                <w:szCs w:val="20"/>
              </w:rPr>
            </w:pPr>
            <w:r>
              <w:rPr>
                <w:rFonts w:hint="eastAsia" w:ascii="宋体" w:hAnsi="Courier New"/>
                <w:b/>
                <w:bCs/>
                <w:color w:val="000000"/>
                <w:szCs w:val="20"/>
              </w:rPr>
              <w:t>二、物业管理服务委托事项</w:t>
            </w:r>
          </w:p>
          <w:p w14:paraId="2D0E848C">
            <w:pPr>
              <w:spacing w:line="440" w:lineRule="exact"/>
              <w:rPr>
                <w:rFonts w:hint="eastAsia" w:ascii="宋体" w:hAnsi="Courier New"/>
                <w:bCs/>
                <w:color w:val="000000"/>
                <w:szCs w:val="20"/>
              </w:rPr>
            </w:pPr>
            <w:r>
              <w:rPr>
                <w:rFonts w:hint="eastAsia" w:ascii="宋体" w:hAnsi="Courier New"/>
                <w:b/>
                <w:bCs/>
                <w:color w:val="000000"/>
                <w:szCs w:val="20"/>
              </w:rPr>
              <w:t xml:space="preserve"> </w:t>
            </w:r>
            <w:r>
              <w:rPr>
                <w:rFonts w:hint="eastAsia" w:ascii="宋体" w:hAnsi="Courier New"/>
                <w:bCs/>
                <w:color w:val="000000"/>
                <w:szCs w:val="20"/>
              </w:rPr>
              <w:t xml:space="preserve"> (一)秩序维护</w:t>
            </w:r>
          </w:p>
          <w:p w14:paraId="1BF4D1EF">
            <w:pPr>
              <w:spacing w:line="440" w:lineRule="exact"/>
              <w:rPr>
                <w:rFonts w:hint="eastAsia" w:ascii="宋体" w:hAnsi="Courier New"/>
                <w:bCs/>
                <w:color w:val="000000"/>
                <w:szCs w:val="20"/>
              </w:rPr>
            </w:pPr>
            <w:r>
              <w:rPr>
                <w:rFonts w:hint="eastAsia" w:ascii="宋体" w:hAnsi="Courier New"/>
                <w:bCs/>
                <w:color w:val="000000"/>
                <w:szCs w:val="20"/>
              </w:rPr>
              <w:t xml:space="preserve">    1、办公楼及院区内安全巡逻、门岗值班；</w:t>
            </w:r>
          </w:p>
          <w:p w14:paraId="18EEEF2B">
            <w:pPr>
              <w:spacing w:line="440" w:lineRule="exact"/>
              <w:rPr>
                <w:rFonts w:hint="eastAsia" w:ascii="宋体" w:hAnsi="Courier New"/>
                <w:bCs/>
                <w:color w:val="000000"/>
                <w:szCs w:val="20"/>
              </w:rPr>
            </w:pPr>
            <w:r>
              <w:rPr>
                <w:rFonts w:hint="eastAsia" w:ascii="宋体" w:hAnsi="Courier New"/>
                <w:bCs/>
                <w:color w:val="000000"/>
                <w:szCs w:val="20"/>
              </w:rPr>
              <w:t xml:space="preserve">    2、车辆管理、停放，交通疏导；</w:t>
            </w:r>
          </w:p>
          <w:p w14:paraId="6227D45B">
            <w:pPr>
              <w:spacing w:line="440" w:lineRule="exact"/>
              <w:rPr>
                <w:rFonts w:hint="eastAsia" w:ascii="宋体" w:hAnsi="Courier New"/>
                <w:bCs/>
                <w:color w:val="000000"/>
                <w:szCs w:val="20"/>
              </w:rPr>
            </w:pPr>
            <w:r>
              <w:rPr>
                <w:rFonts w:hint="eastAsia" w:ascii="宋体" w:hAnsi="Courier New"/>
                <w:bCs/>
                <w:color w:val="000000"/>
                <w:szCs w:val="20"/>
              </w:rPr>
              <w:t xml:space="preserve">    3、来访登记；</w:t>
            </w:r>
          </w:p>
          <w:p w14:paraId="50C7BC78">
            <w:pPr>
              <w:spacing w:line="440" w:lineRule="exact"/>
              <w:rPr>
                <w:rFonts w:hint="eastAsia" w:ascii="宋体" w:hAnsi="Courier New"/>
                <w:bCs/>
                <w:color w:val="000000"/>
                <w:szCs w:val="20"/>
              </w:rPr>
            </w:pPr>
            <w:r>
              <w:rPr>
                <w:rFonts w:hint="eastAsia" w:ascii="宋体" w:hAnsi="Courier New"/>
                <w:bCs/>
                <w:color w:val="000000"/>
                <w:szCs w:val="20"/>
              </w:rPr>
              <w:t xml:space="preserve">    4、物业治安、消防管理。</w:t>
            </w:r>
          </w:p>
          <w:p w14:paraId="42313552">
            <w:pPr>
              <w:spacing w:line="440" w:lineRule="exact"/>
              <w:rPr>
                <w:rFonts w:hint="eastAsia" w:ascii="宋体" w:hAnsi="Courier New"/>
                <w:bCs/>
                <w:color w:val="000000"/>
                <w:szCs w:val="20"/>
              </w:rPr>
            </w:pPr>
            <w:r>
              <w:rPr>
                <w:rFonts w:hint="eastAsia" w:ascii="宋体" w:hAnsi="Courier New"/>
                <w:bCs/>
                <w:color w:val="000000"/>
                <w:szCs w:val="20"/>
              </w:rPr>
              <w:t xml:space="preserve">    (二)保洁服务</w:t>
            </w:r>
          </w:p>
          <w:p w14:paraId="48C1C365">
            <w:pPr>
              <w:spacing w:line="440" w:lineRule="exact"/>
              <w:rPr>
                <w:rFonts w:hint="eastAsia" w:ascii="宋体" w:hAnsi="Courier New"/>
                <w:bCs/>
                <w:color w:val="000000"/>
                <w:szCs w:val="20"/>
              </w:rPr>
            </w:pPr>
            <w:r>
              <w:rPr>
                <w:rFonts w:hint="eastAsia" w:ascii="宋体" w:hAnsi="Courier New"/>
                <w:bCs/>
                <w:color w:val="000000"/>
                <w:szCs w:val="20"/>
              </w:rPr>
              <w:t xml:space="preserve">    1、维护大院及诉讼服务中心周围公共环境卫生，即公用设施和附属建筑物的保洁(包括道路、广场、草坪、停车场、垃圾桶、路灯、球场、休息凳、户外健身器材等)；</w:t>
            </w:r>
          </w:p>
          <w:p w14:paraId="0D7562C1">
            <w:pPr>
              <w:spacing w:line="440" w:lineRule="exact"/>
              <w:rPr>
                <w:rFonts w:hint="eastAsia" w:ascii="宋体" w:hAnsi="Courier New"/>
                <w:bCs/>
                <w:color w:val="000000"/>
                <w:szCs w:val="20"/>
              </w:rPr>
            </w:pPr>
            <w:r>
              <w:rPr>
                <w:rFonts w:hint="eastAsia" w:ascii="宋体" w:hAnsi="Courier New"/>
                <w:bCs/>
                <w:color w:val="000000"/>
                <w:szCs w:val="20"/>
              </w:rPr>
              <w:t xml:space="preserve">    2、办公楼的公共场所保洁(包括大厅、车库、走廊、栏杆、通道、电梯、楼梯、卫生间、杂物间等)；</w:t>
            </w:r>
          </w:p>
          <w:p w14:paraId="7C4CCE30">
            <w:pPr>
              <w:spacing w:line="440" w:lineRule="exact"/>
              <w:rPr>
                <w:rFonts w:hint="eastAsia" w:ascii="宋体" w:hAnsi="Courier New"/>
                <w:bCs/>
                <w:color w:val="000000"/>
                <w:szCs w:val="20"/>
              </w:rPr>
            </w:pPr>
            <w:r>
              <w:rPr>
                <w:rFonts w:hint="eastAsia" w:ascii="宋体" w:hAnsi="Courier New"/>
                <w:bCs/>
                <w:color w:val="000000"/>
                <w:szCs w:val="20"/>
              </w:rPr>
              <w:t xml:space="preserve">    3、诉讼服务中心、</w:t>
            </w:r>
            <w:r>
              <w:rPr>
                <w:rFonts w:hint="eastAsia" w:ascii="宋体" w:hAnsi="Courier New"/>
                <w:bCs/>
                <w:color w:val="000000"/>
                <w:szCs w:val="20"/>
                <w:lang w:eastAsia="zh-CN"/>
              </w:rPr>
              <w:t>诉讼与非诉讼联动中心大楼、</w:t>
            </w:r>
            <w:r>
              <w:rPr>
                <w:rFonts w:hint="eastAsia" w:ascii="宋体" w:hAnsi="Courier New"/>
                <w:bCs/>
                <w:color w:val="000000"/>
                <w:szCs w:val="20"/>
              </w:rPr>
              <w:t>审判法庭、信访接待区、各会议室、休息室等的保洁保养；</w:t>
            </w:r>
          </w:p>
          <w:p w14:paraId="4409C8D5">
            <w:pPr>
              <w:spacing w:line="440" w:lineRule="exact"/>
              <w:rPr>
                <w:rFonts w:hint="eastAsia" w:ascii="宋体" w:hAnsi="Courier New"/>
                <w:bCs/>
                <w:color w:val="000000"/>
                <w:szCs w:val="20"/>
              </w:rPr>
            </w:pPr>
            <w:r>
              <w:rPr>
                <w:rFonts w:hint="eastAsia" w:ascii="宋体" w:hAnsi="Courier New"/>
                <w:bCs/>
                <w:color w:val="000000"/>
                <w:szCs w:val="20"/>
              </w:rPr>
              <w:t xml:space="preserve">    4、垃圾日产日清，卫生间、楼层垃圾桶保洁；</w:t>
            </w:r>
          </w:p>
          <w:p w14:paraId="0CDD0628">
            <w:pPr>
              <w:spacing w:line="440" w:lineRule="exact"/>
              <w:rPr>
                <w:rFonts w:hint="eastAsia" w:ascii="宋体" w:hAnsi="Courier New"/>
                <w:bCs/>
                <w:color w:val="000000"/>
                <w:szCs w:val="20"/>
              </w:rPr>
            </w:pPr>
            <w:r>
              <w:rPr>
                <w:rFonts w:hint="eastAsia" w:ascii="宋体" w:hAnsi="Courier New"/>
                <w:bCs/>
                <w:color w:val="000000"/>
                <w:szCs w:val="20"/>
              </w:rPr>
              <w:t xml:space="preserve">    5、电梯的日常保洁消毒；</w:t>
            </w:r>
          </w:p>
          <w:p w14:paraId="7A19F452">
            <w:pPr>
              <w:spacing w:line="440" w:lineRule="exact"/>
              <w:rPr>
                <w:rFonts w:hint="eastAsia" w:ascii="宋体" w:hAnsi="Courier New"/>
                <w:bCs/>
                <w:color w:val="000000"/>
                <w:szCs w:val="20"/>
              </w:rPr>
            </w:pPr>
            <w:r>
              <w:rPr>
                <w:rFonts w:hint="eastAsia" w:ascii="宋体" w:hAnsi="Courier New"/>
                <w:bCs/>
                <w:color w:val="000000"/>
                <w:szCs w:val="20"/>
              </w:rPr>
              <w:t xml:space="preserve">    7、保持建筑外立面墙体3米以下的玻璃窗干净铮亮无污迹；</w:t>
            </w:r>
          </w:p>
          <w:p w14:paraId="42B5C569">
            <w:pPr>
              <w:spacing w:line="440" w:lineRule="exact"/>
              <w:rPr>
                <w:rFonts w:hint="eastAsia" w:ascii="宋体" w:hAnsi="Courier New"/>
                <w:bCs/>
                <w:color w:val="000000"/>
                <w:szCs w:val="20"/>
              </w:rPr>
            </w:pPr>
            <w:r>
              <w:rPr>
                <w:rFonts w:hint="eastAsia" w:ascii="宋体" w:hAnsi="Courier New"/>
                <w:bCs/>
                <w:color w:val="000000"/>
                <w:szCs w:val="20"/>
              </w:rPr>
              <w:t xml:space="preserve">    8、协助进行宣传环境布置等其它临时性工作。</w:t>
            </w:r>
          </w:p>
          <w:p w14:paraId="35032112">
            <w:pPr>
              <w:spacing w:line="440" w:lineRule="exact"/>
              <w:ind w:firstLine="420" w:firstLineChars="200"/>
              <w:rPr>
                <w:rFonts w:hint="eastAsia" w:ascii="宋体" w:hAnsi="Courier New"/>
                <w:bCs/>
                <w:color w:val="000000"/>
                <w:szCs w:val="20"/>
              </w:rPr>
            </w:pPr>
            <w:r>
              <w:rPr>
                <w:rFonts w:hint="eastAsia" w:ascii="宋体" w:hAnsi="Courier New"/>
                <w:bCs/>
                <w:color w:val="000000"/>
                <w:szCs w:val="20"/>
              </w:rPr>
              <w:t>9、车库冲洗、审判综合楼、诉讼服务中心</w:t>
            </w:r>
            <w:r>
              <w:rPr>
                <w:rFonts w:hint="eastAsia" w:ascii="宋体" w:hAnsi="Courier New"/>
                <w:bCs/>
                <w:color w:val="000000"/>
                <w:szCs w:val="20"/>
                <w:lang w:eastAsia="zh-CN"/>
              </w:rPr>
              <w:t>、诉讼与非诉讼联动中心大楼</w:t>
            </w:r>
            <w:r>
              <w:rPr>
                <w:rFonts w:hint="eastAsia" w:ascii="宋体" w:hAnsi="Courier New"/>
                <w:bCs/>
                <w:color w:val="000000"/>
                <w:szCs w:val="20"/>
              </w:rPr>
              <w:t>台阶清洗（每年不少于两次）。</w:t>
            </w:r>
          </w:p>
          <w:p w14:paraId="1822CB9D">
            <w:pPr>
              <w:spacing w:line="440" w:lineRule="exact"/>
              <w:rPr>
                <w:rFonts w:hint="eastAsia" w:ascii="宋体" w:hAnsi="Courier New"/>
                <w:bCs/>
                <w:color w:val="000000"/>
                <w:szCs w:val="20"/>
              </w:rPr>
            </w:pPr>
            <w:r>
              <w:rPr>
                <w:rFonts w:hint="eastAsia" w:ascii="宋体" w:hAnsi="Courier New"/>
                <w:bCs/>
                <w:color w:val="000000"/>
                <w:szCs w:val="20"/>
              </w:rPr>
              <w:t xml:space="preserve">    (三) </w:t>
            </w:r>
            <w:r>
              <w:rPr>
                <w:rFonts w:hint="eastAsia" w:ascii="宋体" w:hAnsi="Courier New"/>
                <w:color w:val="000000"/>
                <w:szCs w:val="20"/>
              </w:rPr>
              <w:t>职工食堂服务</w:t>
            </w:r>
          </w:p>
          <w:p w14:paraId="251A8039">
            <w:pPr>
              <w:spacing w:line="440" w:lineRule="exact"/>
              <w:ind w:firstLine="420" w:firstLineChars="200"/>
              <w:rPr>
                <w:rFonts w:hint="eastAsia" w:ascii="宋体" w:hAnsi="Courier New"/>
                <w:color w:val="000000"/>
                <w:szCs w:val="20"/>
              </w:rPr>
            </w:pPr>
            <w:r>
              <w:rPr>
                <w:rFonts w:hint="eastAsia" w:ascii="宋体" w:hAnsi="Courier New"/>
                <w:color w:val="000000"/>
                <w:szCs w:val="20"/>
              </w:rPr>
              <w:t>1、做好食堂日常伙食烹制分配供应；</w:t>
            </w:r>
          </w:p>
          <w:p w14:paraId="4AB79D47">
            <w:pPr>
              <w:spacing w:line="440" w:lineRule="exact"/>
              <w:ind w:firstLine="420" w:firstLineChars="200"/>
              <w:rPr>
                <w:rFonts w:hint="eastAsia" w:ascii="宋体" w:hAnsi="Courier New"/>
                <w:color w:val="000000"/>
                <w:szCs w:val="20"/>
              </w:rPr>
            </w:pPr>
            <w:r>
              <w:rPr>
                <w:rFonts w:hint="eastAsia" w:ascii="宋体" w:hAnsi="Courier New"/>
                <w:color w:val="000000"/>
                <w:szCs w:val="20"/>
              </w:rPr>
              <w:t>2、协助做好接待工作；</w:t>
            </w:r>
          </w:p>
          <w:p w14:paraId="1BC93E9B">
            <w:pPr>
              <w:spacing w:line="440" w:lineRule="exact"/>
              <w:ind w:firstLine="420" w:firstLineChars="200"/>
              <w:rPr>
                <w:rFonts w:hint="eastAsia" w:ascii="宋体" w:hAnsi="Courier New"/>
                <w:color w:val="000000"/>
                <w:szCs w:val="20"/>
              </w:rPr>
            </w:pPr>
            <w:r>
              <w:rPr>
                <w:rFonts w:hint="eastAsia" w:ascii="宋体" w:hAnsi="Courier New"/>
                <w:color w:val="000000"/>
                <w:szCs w:val="20"/>
              </w:rPr>
              <w:t>3、做好日常干警用餐登记及食品采购计划制定；</w:t>
            </w:r>
          </w:p>
          <w:p w14:paraId="35C06D37">
            <w:pPr>
              <w:spacing w:line="440" w:lineRule="exact"/>
              <w:ind w:firstLine="420" w:firstLineChars="200"/>
              <w:rPr>
                <w:rFonts w:hint="eastAsia" w:ascii="宋体" w:hAnsi="Courier New"/>
                <w:color w:val="000000"/>
                <w:szCs w:val="20"/>
              </w:rPr>
            </w:pPr>
            <w:r>
              <w:rPr>
                <w:rFonts w:hint="eastAsia" w:ascii="宋体" w:hAnsi="Courier New"/>
                <w:color w:val="000000"/>
                <w:szCs w:val="20"/>
              </w:rPr>
              <w:t>4、做好食安全及食堂保洁工作。</w:t>
            </w:r>
          </w:p>
          <w:p w14:paraId="43B3ADB0">
            <w:pPr>
              <w:spacing w:line="440" w:lineRule="exact"/>
              <w:ind w:firstLine="315" w:firstLineChars="150"/>
              <w:rPr>
                <w:rFonts w:hint="eastAsia" w:ascii="宋体" w:hAnsi="Courier New"/>
                <w:color w:val="000000"/>
                <w:szCs w:val="20"/>
              </w:rPr>
            </w:pPr>
            <w:r>
              <w:rPr>
                <w:rFonts w:hint="eastAsia" w:ascii="宋体" w:hAnsi="Courier New"/>
                <w:color w:val="000000"/>
                <w:szCs w:val="20"/>
              </w:rPr>
              <w:t>（四）绿化工作</w:t>
            </w:r>
          </w:p>
          <w:p w14:paraId="2CD3DCC0">
            <w:pPr>
              <w:rPr>
                <w:rFonts w:hint="eastAsia" w:ascii="宋体" w:hAnsi="宋体"/>
                <w:color w:val="000000"/>
                <w:szCs w:val="21"/>
              </w:rPr>
            </w:pPr>
            <w:r>
              <w:rPr>
                <w:rFonts w:hint="eastAsia" w:ascii="宋体" w:hAnsi="Courier New"/>
                <w:color w:val="000000"/>
                <w:szCs w:val="20"/>
              </w:rPr>
              <w:t xml:space="preserve">    1、</w:t>
            </w:r>
            <w:r>
              <w:rPr>
                <w:rFonts w:hint="eastAsia" w:ascii="宋体" w:hAnsi="宋体"/>
                <w:color w:val="000000"/>
                <w:szCs w:val="21"/>
              </w:rPr>
              <w:t>负责本项目环境绿化美化及小景点的设置、保养；</w:t>
            </w:r>
          </w:p>
          <w:p w14:paraId="5C24C8CD">
            <w:pPr>
              <w:rPr>
                <w:rFonts w:hint="eastAsia" w:ascii="宋体" w:hAnsi="Courier New"/>
                <w:color w:val="000000"/>
                <w:szCs w:val="20"/>
              </w:rPr>
            </w:pPr>
            <w:r>
              <w:rPr>
                <w:rFonts w:hint="eastAsia" w:ascii="宋体" w:hAnsi="宋体"/>
                <w:color w:val="000000"/>
                <w:szCs w:val="21"/>
              </w:rPr>
              <w:t xml:space="preserve">    2、负责辖区内绿化的养护、修剪、造型及病虫害防治工作。</w:t>
            </w:r>
          </w:p>
          <w:p w14:paraId="467E0ABB">
            <w:pPr>
              <w:spacing w:line="440" w:lineRule="exact"/>
              <w:rPr>
                <w:rFonts w:hint="eastAsia" w:ascii="宋体" w:hAnsi="Courier New"/>
                <w:b/>
                <w:bCs/>
                <w:color w:val="000000"/>
                <w:szCs w:val="20"/>
              </w:rPr>
            </w:pPr>
            <w:r>
              <w:rPr>
                <w:rFonts w:hint="eastAsia" w:ascii="宋体" w:hAnsi="Courier New"/>
                <w:b/>
                <w:bCs/>
                <w:color w:val="000000"/>
                <w:szCs w:val="20"/>
              </w:rPr>
              <w:t xml:space="preserve">    三、物业管理服务标准</w:t>
            </w:r>
          </w:p>
          <w:p w14:paraId="73B71189">
            <w:pPr>
              <w:spacing w:line="440" w:lineRule="exact"/>
              <w:rPr>
                <w:rFonts w:hint="eastAsia" w:ascii="宋体" w:hAnsi="宋体"/>
                <w:color w:val="000000"/>
                <w:szCs w:val="21"/>
              </w:rPr>
            </w:pPr>
            <w:r>
              <w:rPr>
                <w:rFonts w:hint="eastAsia" w:ascii="宋体" w:hAnsi="宋体"/>
                <w:color w:val="000000"/>
                <w:szCs w:val="21"/>
              </w:rPr>
              <w:t xml:space="preserve">    (一)秩序维护</w:t>
            </w:r>
          </w:p>
          <w:p w14:paraId="089B28E2">
            <w:pPr>
              <w:spacing w:line="440" w:lineRule="exact"/>
              <w:rPr>
                <w:rFonts w:hint="eastAsia" w:ascii="宋体" w:hAnsi="宋体"/>
                <w:color w:val="000000"/>
                <w:szCs w:val="21"/>
              </w:rPr>
            </w:pPr>
            <w:r>
              <w:rPr>
                <w:rFonts w:hint="eastAsia" w:ascii="宋体" w:hAnsi="宋体"/>
                <w:color w:val="000000"/>
                <w:szCs w:val="21"/>
              </w:rPr>
              <w:t xml:space="preserve">    1、秩序维护管理严密、严格、正规，措施得力，人员尽责，监管到位，防范严密，无重大疏漏；</w:t>
            </w:r>
          </w:p>
          <w:p w14:paraId="2F58E39E">
            <w:pPr>
              <w:spacing w:line="440" w:lineRule="exact"/>
              <w:rPr>
                <w:rFonts w:hint="eastAsia" w:ascii="宋体" w:hAnsi="宋体"/>
                <w:color w:val="000000"/>
                <w:szCs w:val="21"/>
              </w:rPr>
            </w:pPr>
            <w:r>
              <w:rPr>
                <w:rFonts w:hint="eastAsia" w:ascii="宋体" w:hAnsi="宋体"/>
                <w:color w:val="000000"/>
                <w:szCs w:val="21"/>
              </w:rPr>
              <w:t xml:space="preserve">    2、在我院有关部门的具体指导下，做好大楼及院区的安全生产、安全保卫、处置治安、突发事件和协助消防保障、消防安全检查工作；</w:t>
            </w:r>
          </w:p>
          <w:p w14:paraId="403C50A6">
            <w:pPr>
              <w:spacing w:line="440" w:lineRule="exact"/>
              <w:ind w:firstLine="315" w:firstLineChars="150"/>
              <w:rPr>
                <w:rFonts w:hint="eastAsia" w:ascii="宋体" w:hAnsi="宋体"/>
                <w:color w:val="000000"/>
                <w:szCs w:val="21"/>
              </w:rPr>
            </w:pPr>
            <w:r>
              <w:rPr>
                <w:rFonts w:hint="eastAsia" w:ascii="宋体" w:hAnsi="宋体"/>
                <w:color w:val="000000"/>
                <w:szCs w:val="21"/>
              </w:rPr>
              <w:t xml:space="preserve"> 3、秩序维护人员要求具备良好的综合素质，责任心强，自觉执行制度，精神面貌佳，口齿伶俐，反应敏捷；</w:t>
            </w:r>
          </w:p>
          <w:p w14:paraId="08BBB9E4">
            <w:pPr>
              <w:spacing w:line="440" w:lineRule="exact"/>
              <w:rPr>
                <w:rFonts w:hint="eastAsia" w:ascii="宋体" w:hAnsi="宋体"/>
                <w:color w:val="000000"/>
                <w:szCs w:val="21"/>
              </w:rPr>
            </w:pPr>
            <w:r>
              <w:rPr>
                <w:rFonts w:hint="eastAsia" w:ascii="宋体" w:hAnsi="宋体"/>
                <w:color w:val="000000"/>
                <w:szCs w:val="21"/>
              </w:rPr>
              <w:t xml:space="preserve">    4、秩序维护员认真遵守各项规章制度，掌握工作流程；</w:t>
            </w:r>
          </w:p>
          <w:p w14:paraId="7972171E">
            <w:pPr>
              <w:spacing w:line="440" w:lineRule="exact"/>
              <w:rPr>
                <w:rFonts w:hint="eastAsia" w:ascii="宋体" w:hAnsi="宋体"/>
                <w:color w:val="000000"/>
                <w:szCs w:val="21"/>
              </w:rPr>
            </w:pPr>
            <w:r>
              <w:rPr>
                <w:rFonts w:hint="eastAsia" w:ascii="宋体" w:hAnsi="宋体"/>
                <w:color w:val="000000"/>
                <w:szCs w:val="21"/>
              </w:rPr>
              <w:t xml:space="preserve">    5、各种安全应急预案齐备，处理突发事件及时，处置突发群体性事件果断、正确；</w:t>
            </w:r>
          </w:p>
          <w:p w14:paraId="223E5F66">
            <w:pPr>
              <w:spacing w:line="440" w:lineRule="exact"/>
              <w:rPr>
                <w:rFonts w:hint="eastAsia" w:ascii="宋体" w:hAnsi="宋体"/>
                <w:color w:val="000000"/>
                <w:szCs w:val="21"/>
              </w:rPr>
            </w:pPr>
            <w:r>
              <w:rPr>
                <w:rFonts w:hint="eastAsia" w:ascii="宋体" w:hAnsi="宋体"/>
                <w:color w:val="000000"/>
                <w:szCs w:val="21"/>
              </w:rPr>
              <w:t xml:space="preserve">    6、做好办公楼及院内安全防范、门岗执勤、安全监控、防范巡逻：做好防火灭火、防盗防毁等工作；</w:t>
            </w:r>
          </w:p>
          <w:p w14:paraId="69C5E176">
            <w:pPr>
              <w:spacing w:line="440" w:lineRule="exact"/>
              <w:rPr>
                <w:rFonts w:hint="eastAsia" w:ascii="宋体" w:hAnsi="宋体"/>
                <w:color w:val="000000"/>
                <w:szCs w:val="21"/>
              </w:rPr>
            </w:pPr>
            <w:r>
              <w:rPr>
                <w:rFonts w:hint="eastAsia" w:ascii="宋体" w:hAnsi="宋体"/>
                <w:color w:val="000000"/>
                <w:szCs w:val="21"/>
              </w:rPr>
              <w:t xml:space="preserve">    7、科学调控车辆进出、停放有序：道路通畅，无堵塞；</w:t>
            </w:r>
          </w:p>
          <w:p w14:paraId="1ECB2963">
            <w:pPr>
              <w:spacing w:line="440" w:lineRule="exact"/>
              <w:rPr>
                <w:rFonts w:hint="eastAsia" w:ascii="宋体" w:hAnsi="宋体"/>
                <w:color w:val="000000"/>
                <w:szCs w:val="21"/>
              </w:rPr>
            </w:pPr>
            <w:r>
              <w:rPr>
                <w:rFonts w:hint="eastAsia" w:ascii="宋体" w:hAnsi="宋体"/>
                <w:color w:val="000000"/>
                <w:szCs w:val="21"/>
              </w:rPr>
              <w:t xml:space="preserve">    8、对车辆进行有效管理，对可疑人员进行盘查，做好车辆安全管理工作。</w:t>
            </w:r>
          </w:p>
          <w:p w14:paraId="4FFEE550">
            <w:pPr>
              <w:spacing w:line="440" w:lineRule="exact"/>
              <w:rPr>
                <w:rFonts w:hint="eastAsia" w:ascii="宋体" w:hAnsi="宋体"/>
                <w:color w:val="000000"/>
                <w:szCs w:val="21"/>
              </w:rPr>
            </w:pPr>
            <w:r>
              <w:rPr>
                <w:rFonts w:hint="eastAsia" w:ascii="宋体" w:hAnsi="宋体"/>
                <w:color w:val="000000"/>
                <w:szCs w:val="21"/>
              </w:rPr>
              <w:t xml:space="preserve">   (二)保洁服务。</w:t>
            </w:r>
          </w:p>
          <w:p w14:paraId="359F7406">
            <w:pPr>
              <w:spacing w:line="440" w:lineRule="exact"/>
              <w:ind w:firstLine="315" w:firstLineChars="150"/>
              <w:rPr>
                <w:rFonts w:hint="eastAsia" w:ascii="宋体" w:hAnsi="宋体"/>
                <w:color w:val="000000"/>
                <w:szCs w:val="21"/>
              </w:rPr>
            </w:pPr>
            <w:r>
              <w:rPr>
                <w:rFonts w:hint="eastAsia" w:ascii="宋体" w:hAnsi="宋体"/>
                <w:color w:val="000000"/>
                <w:szCs w:val="21"/>
              </w:rPr>
              <w:t xml:space="preserve"> l、院内公共场所保持清洁，地面无纸屑、烟头、杂物等废弃物；</w:t>
            </w:r>
          </w:p>
          <w:p w14:paraId="00D9605F">
            <w:pPr>
              <w:spacing w:line="440" w:lineRule="exact"/>
              <w:rPr>
                <w:rFonts w:hint="eastAsia" w:ascii="宋体" w:hAnsi="宋体"/>
                <w:color w:val="000000"/>
                <w:szCs w:val="21"/>
              </w:rPr>
            </w:pPr>
            <w:r>
              <w:rPr>
                <w:rFonts w:hint="eastAsia" w:ascii="宋体" w:hAnsi="宋体"/>
                <w:color w:val="000000"/>
                <w:szCs w:val="21"/>
              </w:rPr>
              <w:t xml:space="preserve">    2、办公楼楼道走廊地面干爽洁净，无污渍、积水、杂物等，楼道、扶手和栏杆干净无灰尘，公共门框和墙壁无积尘和蜘蛛网；</w:t>
            </w:r>
          </w:p>
          <w:p w14:paraId="21E207EB">
            <w:pPr>
              <w:spacing w:line="440" w:lineRule="exact"/>
              <w:ind w:firstLine="315" w:firstLineChars="150"/>
              <w:rPr>
                <w:rFonts w:hint="eastAsia" w:ascii="宋体" w:hAnsi="宋体"/>
                <w:color w:val="000000"/>
                <w:szCs w:val="21"/>
              </w:rPr>
            </w:pPr>
            <w:r>
              <w:rPr>
                <w:rFonts w:hint="eastAsia" w:ascii="宋体" w:hAnsi="宋体"/>
                <w:color w:val="000000"/>
                <w:szCs w:val="21"/>
              </w:rPr>
              <w:t xml:space="preserve"> 3、大楼大厅地面铮亮无污迹，玻璃窗无积尘污迹，大厅立柱、墙壁、灯具、顶部无积尘污迹；</w:t>
            </w:r>
          </w:p>
          <w:p w14:paraId="29E81116">
            <w:pPr>
              <w:spacing w:line="440" w:lineRule="exact"/>
              <w:rPr>
                <w:rFonts w:hint="eastAsia" w:ascii="宋体" w:hAnsi="宋体"/>
                <w:color w:val="000000"/>
                <w:szCs w:val="21"/>
              </w:rPr>
            </w:pPr>
            <w:r>
              <w:rPr>
                <w:rFonts w:hint="eastAsia" w:ascii="宋体" w:hAnsi="宋体"/>
                <w:color w:val="000000"/>
                <w:szCs w:val="21"/>
              </w:rPr>
              <w:t xml:space="preserve">    4、垃圾日产日清，垃圾箱外表干净，无异味；</w:t>
            </w:r>
          </w:p>
          <w:p w14:paraId="29E29EEC">
            <w:pPr>
              <w:spacing w:line="440" w:lineRule="exact"/>
              <w:ind w:firstLine="315" w:firstLineChars="150"/>
              <w:rPr>
                <w:rFonts w:hint="eastAsia" w:ascii="宋体" w:hAnsi="宋体"/>
                <w:color w:val="000000"/>
                <w:szCs w:val="21"/>
              </w:rPr>
            </w:pPr>
            <w:r>
              <w:rPr>
                <w:rFonts w:hint="eastAsia" w:ascii="宋体" w:hAnsi="宋体"/>
                <w:color w:val="000000"/>
                <w:szCs w:val="21"/>
              </w:rPr>
              <w:t xml:space="preserve"> 5、卫生间每天冲洗2次以上，楼层垃圾桶每日早上7：50、下午5：00前各清洁1次，并保持卫生间无污迹，无积水、无异味，下水道畅通；</w:t>
            </w:r>
          </w:p>
          <w:p w14:paraId="2D75A4A2">
            <w:pPr>
              <w:spacing w:line="440" w:lineRule="exact"/>
              <w:ind w:firstLine="420" w:firstLineChars="200"/>
              <w:rPr>
                <w:rFonts w:hint="eastAsia" w:ascii="宋体" w:hAnsi="宋体"/>
                <w:color w:val="000000"/>
                <w:szCs w:val="21"/>
              </w:rPr>
            </w:pPr>
            <w:r>
              <w:rPr>
                <w:rFonts w:hint="eastAsia" w:ascii="宋体" w:hAnsi="宋体"/>
                <w:color w:val="000000"/>
                <w:szCs w:val="21"/>
              </w:rPr>
              <w:t>6、每天检查一次卫生间，对缺纸的纸筒和洗手液及时进行补充；卫生间洗手液、纸盒、纸张指定负责人到我院行装科领用；</w:t>
            </w:r>
          </w:p>
          <w:p w14:paraId="2A8A7BE6">
            <w:pPr>
              <w:spacing w:line="440" w:lineRule="exact"/>
              <w:ind w:firstLine="315" w:firstLineChars="150"/>
              <w:rPr>
                <w:rFonts w:hint="eastAsia" w:ascii="宋体" w:hAnsi="宋体"/>
                <w:color w:val="000000"/>
                <w:szCs w:val="21"/>
              </w:rPr>
            </w:pPr>
            <w:r>
              <w:rPr>
                <w:rFonts w:hint="eastAsia" w:ascii="宋体" w:hAnsi="宋体"/>
                <w:color w:val="000000"/>
                <w:szCs w:val="21"/>
              </w:rPr>
              <w:t xml:space="preserve"> 7、每天早上7:50时前对电梯进行日常保洁消毒，按期更换电梯地垫并清洗备用；备换电梯地垫由我院负责购买；</w:t>
            </w:r>
          </w:p>
          <w:p w14:paraId="7EC133FA">
            <w:pPr>
              <w:spacing w:line="440" w:lineRule="exact"/>
              <w:rPr>
                <w:rFonts w:hint="eastAsia" w:ascii="宋体" w:hAnsi="宋体"/>
                <w:color w:val="000000"/>
                <w:szCs w:val="21"/>
              </w:rPr>
            </w:pPr>
            <w:r>
              <w:rPr>
                <w:rFonts w:hint="eastAsia" w:ascii="宋体" w:hAnsi="宋体"/>
                <w:color w:val="000000"/>
                <w:szCs w:val="21"/>
              </w:rPr>
              <w:t xml:space="preserve">    8、地下车库每年冲洗两次以上，审判大楼及诉讼服务中心</w:t>
            </w:r>
            <w:r>
              <w:rPr>
                <w:rFonts w:hint="eastAsia" w:ascii="宋体" w:hAnsi="宋体"/>
                <w:color w:val="000000"/>
                <w:szCs w:val="21"/>
                <w:lang w:eastAsia="zh-CN"/>
              </w:rPr>
              <w:t>、</w:t>
            </w:r>
            <w:r>
              <w:rPr>
                <w:rFonts w:hint="eastAsia" w:ascii="宋体" w:hAnsi="Courier New"/>
                <w:bCs/>
                <w:color w:val="000000"/>
                <w:szCs w:val="20"/>
                <w:lang w:eastAsia="zh-CN"/>
              </w:rPr>
              <w:t>诉讼与非诉讼联动中心大楼</w:t>
            </w:r>
            <w:r>
              <w:rPr>
                <w:rFonts w:hint="eastAsia" w:ascii="宋体" w:hAnsi="宋体"/>
                <w:color w:val="000000"/>
                <w:szCs w:val="21"/>
              </w:rPr>
              <w:t>台阶盐酸涮洗每年两次以上；</w:t>
            </w:r>
          </w:p>
          <w:p w14:paraId="7A0B2E90">
            <w:pPr>
              <w:spacing w:line="440" w:lineRule="exact"/>
              <w:ind w:firstLine="420" w:firstLineChars="200"/>
              <w:rPr>
                <w:rFonts w:hint="eastAsia" w:ascii="宋体" w:hAnsi="宋体"/>
                <w:color w:val="000000"/>
                <w:szCs w:val="21"/>
              </w:rPr>
            </w:pPr>
            <w:r>
              <w:rPr>
                <w:rFonts w:hint="eastAsia" w:ascii="宋体" w:hAnsi="宋体"/>
                <w:color w:val="000000"/>
                <w:szCs w:val="21"/>
              </w:rPr>
              <w:t>9、协助大楼内单位进行宣传环境布置等其他日常工作。</w:t>
            </w:r>
          </w:p>
          <w:p w14:paraId="54D1980A">
            <w:pPr>
              <w:spacing w:line="440" w:lineRule="exact"/>
              <w:rPr>
                <w:rFonts w:hint="eastAsia" w:ascii="宋体" w:hAnsi="Courier New"/>
                <w:color w:val="000000"/>
                <w:szCs w:val="20"/>
              </w:rPr>
            </w:pPr>
            <w:r>
              <w:rPr>
                <w:rFonts w:hint="eastAsia" w:ascii="宋体" w:hAnsi="宋体"/>
                <w:color w:val="000000"/>
                <w:szCs w:val="21"/>
              </w:rPr>
              <w:t xml:space="preserve">   </w:t>
            </w:r>
            <w:r>
              <w:rPr>
                <w:rFonts w:hint="eastAsia" w:ascii="宋体" w:hAnsi="Courier New"/>
                <w:color w:val="000000"/>
                <w:szCs w:val="20"/>
              </w:rPr>
              <w:t xml:space="preserve"> （三）职工食堂服务</w:t>
            </w:r>
          </w:p>
          <w:p w14:paraId="47B2A0FB">
            <w:pPr>
              <w:spacing w:line="440" w:lineRule="exact"/>
              <w:rPr>
                <w:rFonts w:hint="eastAsia" w:ascii="宋体" w:hAnsi="Courier New"/>
                <w:color w:val="000000"/>
                <w:szCs w:val="20"/>
              </w:rPr>
            </w:pPr>
            <w:r>
              <w:rPr>
                <w:rFonts w:hint="eastAsia" w:ascii="宋体" w:hAnsi="Courier New"/>
                <w:color w:val="000000"/>
                <w:szCs w:val="20"/>
              </w:rPr>
              <w:t xml:space="preserve">    1、精心做好烹调制作，要求饭菜可口、质量保证；</w:t>
            </w:r>
          </w:p>
          <w:p w14:paraId="7DD8D7E5">
            <w:pPr>
              <w:spacing w:line="440" w:lineRule="exact"/>
              <w:rPr>
                <w:rFonts w:hint="eastAsia" w:ascii="宋体" w:hAnsi="Courier New"/>
                <w:color w:val="000000"/>
                <w:szCs w:val="20"/>
              </w:rPr>
            </w:pPr>
            <w:r>
              <w:rPr>
                <w:rFonts w:hint="eastAsia" w:ascii="宋体" w:hAnsi="Courier New"/>
                <w:color w:val="000000"/>
                <w:szCs w:val="20"/>
              </w:rPr>
              <w:t xml:space="preserve">    2、各种食品在制作前必须坚持清洗干净，要求厨房工作人员在工作时候要佩带口罩，保证食品卫生；</w:t>
            </w:r>
          </w:p>
          <w:p w14:paraId="690A6902">
            <w:pPr>
              <w:spacing w:line="440" w:lineRule="exact"/>
              <w:rPr>
                <w:rFonts w:hint="eastAsia" w:ascii="宋体" w:hAnsi="Courier New"/>
                <w:color w:val="000000"/>
                <w:szCs w:val="20"/>
              </w:rPr>
            </w:pPr>
            <w:r>
              <w:rPr>
                <w:rFonts w:hint="eastAsia" w:ascii="宋体" w:hAnsi="Courier New"/>
                <w:color w:val="000000"/>
                <w:szCs w:val="20"/>
              </w:rPr>
              <w:t xml:space="preserve">    3、严把采购环节的验收、检查关，确保食品安全；</w:t>
            </w:r>
          </w:p>
          <w:p w14:paraId="4C0638BD">
            <w:pPr>
              <w:spacing w:line="440" w:lineRule="exact"/>
              <w:rPr>
                <w:rFonts w:hint="eastAsia" w:ascii="宋体" w:hAnsi="宋体"/>
                <w:color w:val="000000"/>
                <w:szCs w:val="21"/>
              </w:rPr>
            </w:pPr>
            <w:r>
              <w:rPr>
                <w:rFonts w:hint="eastAsia" w:ascii="宋体" w:hAnsi="Courier New"/>
                <w:color w:val="000000"/>
                <w:szCs w:val="20"/>
              </w:rPr>
              <w:t xml:space="preserve">    4、接待服务工作要做到文明、热情、大方，善始善终完成整个接待过程。</w:t>
            </w:r>
            <w:r>
              <w:rPr>
                <w:rFonts w:hint="eastAsia" w:ascii="宋体" w:hAnsi="宋体"/>
                <w:color w:val="000000"/>
                <w:szCs w:val="21"/>
              </w:rPr>
              <w:t xml:space="preserve">    </w:t>
            </w:r>
          </w:p>
          <w:p w14:paraId="3E4419F7">
            <w:pPr>
              <w:spacing w:line="440" w:lineRule="exact"/>
              <w:rPr>
                <w:rFonts w:hint="eastAsia" w:ascii="宋体" w:hAnsi="宋体"/>
                <w:color w:val="000000"/>
                <w:szCs w:val="21"/>
              </w:rPr>
            </w:pPr>
            <w:r>
              <w:rPr>
                <w:rFonts w:hint="eastAsia" w:ascii="宋体" w:hAnsi="宋体"/>
                <w:color w:val="000000"/>
                <w:szCs w:val="21"/>
              </w:rPr>
              <w:t xml:space="preserve">    (四)绿化养护内容与标准</w:t>
            </w:r>
          </w:p>
          <w:p w14:paraId="598C3E4E">
            <w:pPr>
              <w:spacing w:line="440" w:lineRule="exact"/>
              <w:rPr>
                <w:rFonts w:hint="eastAsia" w:ascii="宋体" w:hAnsi="宋体"/>
                <w:color w:val="000000"/>
                <w:szCs w:val="21"/>
              </w:rPr>
            </w:pPr>
            <w:r>
              <w:rPr>
                <w:rFonts w:hint="eastAsia" w:ascii="宋体" w:hAnsi="宋体"/>
                <w:color w:val="000000"/>
                <w:szCs w:val="21"/>
              </w:rPr>
              <w:t xml:space="preserve">    1、要求</w:t>
            </w:r>
          </w:p>
          <w:p w14:paraId="4218D3F8">
            <w:pPr>
              <w:spacing w:line="440" w:lineRule="exact"/>
              <w:rPr>
                <w:rFonts w:hint="eastAsia" w:ascii="宋体" w:hAnsi="宋体"/>
                <w:color w:val="000000"/>
                <w:szCs w:val="21"/>
              </w:rPr>
            </w:pPr>
            <w:r>
              <w:rPr>
                <w:rFonts w:hint="eastAsia" w:ascii="宋体" w:hAnsi="宋体"/>
                <w:color w:val="000000"/>
                <w:szCs w:val="21"/>
              </w:rPr>
              <w:t xml:space="preserve">  （1）绿地总体布局合理，满足办公环境的需要，地被、草配植合理，层次较丰富，景观好；</w:t>
            </w:r>
          </w:p>
          <w:p w14:paraId="1DA6A546">
            <w:pPr>
              <w:spacing w:line="440" w:lineRule="exact"/>
              <w:rPr>
                <w:rFonts w:hint="eastAsia" w:ascii="宋体" w:hAnsi="宋体"/>
                <w:color w:val="000000"/>
                <w:szCs w:val="21"/>
              </w:rPr>
            </w:pPr>
            <w:r>
              <w:rPr>
                <w:rFonts w:hint="eastAsia" w:ascii="宋体" w:hAnsi="宋体"/>
                <w:color w:val="000000"/>
                <w:szCs w:val="21"/>
              </w:rPr>
              <w:t xml:space="preserve">  （2）绿地设施、硬质景观保持完好。清杂：每年清除杂草不低于12遍；</w:t>
            </w:r>
          </w:p>
          <w:p w14:paraId="06446BD6">
            <w:pPr>
              <w:spacing w:line="440" w:lineRule="exact"/>
              <w:rPr>
                <w:rFonts w:hint="eastAsia" w:ascii="宋体" w:hAnsi="宋体"/>
                <w:color w:val="000000"/>
                <w:szCs w:val="21"/>
              </w:rPr>
            </w:pPr>
            <w:r>
              <w:rPr>
                <w:rFonts w:hint="eastAsia" w:ascii="宋体" w:hAnsi="宋体"/>
                <w:color w:val="000000"/>
                <w:szCs w:val="21"/>
              </w:rPr>
              <w:t xml:space="preserve">  （3）常年保证有效供水，有低洼及时整平，基本无积水；</w:t>
            </w:r>
          </w:p>
          <w:p w14:paraId="0179DDBE">
            <w:pPr>
              <w:spacing w:line="440" w:lineRule="exact"/>
              <w:rPr>
                <w:rFonts w:hint="eastAsia" w:ascii="宋体" w:hAnsi="宋体"/>
                <w:color w:val="000000"/>
                <w:szCs w:val="21"/>
              </w:rPr>
            </w:pPr>
            <w:r>
              <w:rPr>
                <w:rFonts w:hint="eastAsia" w:ascii="宋体" w:hAnsi="宋体"/>
                <w:color w:val="000000"/>
                <w:szCs w:val="21"/>
              </w:rPr>
              <w:t xml:space="preserve">  （4）病虫害防治 及时做好病虫害防治；</w:t>
            </w:r>
          </w:p>
          <w:p w14:paraId="76B886DC">
            <w:pPr>
              <w:spacing w:line="440" w:lineRule="exact"/>
              <w:rPr>
                <w:rFonts w:hint="eastAsia" w:ascii="宋体" w:hAnsi="宋体"/>
                <w:color w:val="000000"/>
                <w:szCs w:val="21"/>
              </w:rPr>
            </w:pPr>
            <w:r>
              <w:rPr>
                <w:rFonts w:hint="eastAsia" w:ascii="宋体" w:hAnsi="宋体"/>
                <w:color w:val="000000"/>
                <w:szCs w:val="21"/>
              </w:rPr>
              <w:t xml:space="preserve">  （5）树木：蓠、球、造型植物及时修剪，每年不少于五遍，做到枝叶紧密、圆整、无脱节；地被、攀援植物修剪及时，每年不少于三次，基本无枯枝； </w:t>
            </w:r>
          </w:p>
          <w:p w14:paraId="6A4B924A">
            <w:pPr>
              <w:spacing w:line="440" w:lineRule="exact"/>
              <w:rPr>
                <w:rFonts w:hint="eastAsia" w:ascii="宋体" w:hAnsi="宋体"/>
                <w:color w:val="000000"/>
                <w:szCs w:val="21"/>
              </w:rPr>
            </w:pPr>
            <w:r>
              <w:rPr>
                <w:rFonts w:hint="eastAsia" w:ascii="宋体" w:hAnsi="宋体"/>
                <w:color w:val="000000"/>
                <w:szCs w:val="21"/>
              </w:rPr>
              <w:t xml:space="preserve">  （6）季度花草放置：摆放长开季度花，每季度更换一次，摆放面积不低于2000平方米，花草租赁费、运输费、人工费等由中标人负责； </w:t>
            </w:r>
          </w:p>
          <w:p w14:paraId="5E190AC2">
            <w:pPr>
              <w:spacing w:line="440" w:lineRule="exact"/>
              <w:rPr>
                <w:rFonts w:hint="eastAsia" w:ascii="宋体" w:hAnsi="宋体"/>
                <w:color w:val="000000"/>
                <w:szCs w:val="21"/>
              </w:rPr>
            </w:pPr>
            <w:r>
              <w:rPr>
                <w:rFonts w:hint="eastAsia" w:ascii="宋体" w:hAnsi="宋体"/>
                <w:color w:val="000000"/>
                <w:szCs w:val="21"/>
              </w:rPr>
              <w:t xml:space="preserve">  （7）扶正加固：树木基本无倾斜；</w:t>
            </w:r>
          </w:p>
          <w:p w14:paraId="4397383D">
            <w:pPr>
              <w:spacing w:line="440" w:lineRule="exact"/>
              <w:rPr>
                <w:rFonts w:hint="eastAsia" w:ascii="宋体" w:hAnsi="宋体"/>
                <w:color w:val="000000"/>
                <w:szCs w:val="21"/>
              </w:rPr>
            </w:pPr>
            <w:r>
              <w:rPr>
                <w:rFonts w:hint="eastAsia" w:ascii="宋体" w:hAnsi="宋体"/>
                <w:color w:val="000000"/>
                <w:szCs w:val="21"/>
              </w:rPr>
              <w:t xml:space="preserve">  （8）修剪、及时清除枯萎的花蒂、黄叶、杂草、垃圾；</w:t>
            </w:r>
          </w:p>
          <w:p w14:paraId="40E1CCFE">
            <w:pPr>
              <w:spacing w:line="440" w:lineRule="exact"/>
              <w:rPr>
                <w:rFonts w:hint="eastAsia" w:ascii="宋体" w:hAnsi="宋体"/>
                <w:color w:val="000000"/>
                <w:szCs w:val="21"/>
              </w:rPr>
            </w:pPr>
            <w:r>
              <w:rPr>
                <w:rFonts w:hint="eastAsia" w:ascii="宋体" w:hAnsi="宋体"/>
                <w:color w:val="000000"/>
                <w:szCs w:val="21"/>
              </w:rPr>
              <w:t xml:space="preserve">    2、标准：</w:t>
            </w:r>
          </w:p>
          <w:p w14:paraId="5626432D">
            <w:pPr>
              <w:spacing w:line="440" w:lineRule="exact"/>
              <w:rPr>
                <w:rFonts w:hint="eastAsia" w:ascii="宋体" w:hAnsi="宋体"/>
                <w:color w:val="000000"/>
                <w:szCs w:val="21"/>
              </w:rPr>
            </w:pPr>
            <w:r>
              <w:rPr>
                <w:rFonts w:hint="eastAsia" w:ascii="宋体" w:hAnsi="宋体"/>
                <w:color w:val="000000"/>
                <w:szCs w:val="21"/>
              </w:rPr>
              <w:t xml:space="preserve">  （1）草坪草生长均匀、草地清洁，无烟头、无垃圾沉积，无黄土裸露现象，草长不超过5厘米，杂草占有率不超过草坪面积的10%，杂草高度不超过种植草；</w:t>
            </w:r>
          </w:p>
          <w:p w14:paraId="6E73FF8B">
            <w:pPr>
              <w:spacing w:line="440" w:lineRule="exact"/>
              <w:rPr>
                <w:rFonts w:hint="eastAsia" w:ascii="宋体" w:hAnsi="宋体"/>
                <w:color w:val="000000"/>
                <w:szCs w:val="21"/>
              </w:rPr>
            </w:pPr>
            <w:r>
              <w:rPr>
                <w:rFonts w:hint="eastAsia" w:ascii="宋体" w:hAnsi="宋体"/>
                <w:color w:val="000000"/>
                <w:szCs w:val="21"/>
              </w:rPr>
              <w:t xml:space="preserve">  （2）树木生长旺盛，没有病虫害，枯枝及时处理；</w:t>
            </w:r>
          </w:p>
          <w:p w14:paraId="306E361C">
            <w:pPr>
              <w:spacing w:line="440" w:lineRule="exact"/>
              <w:rPr>
                <w:rFonts w:hint="eastAsia" w:ascii="宋体" w:hAnsi="宋体"/>
                <w:color w:val="000000"/>
                <w:szCs w:val="21"/>
              </w:rPr>
            </w:pPr>
            <w:r>
              <w:rPr>
                <w:rFonts w:hint="eastAsia" w:ascii="宋体" w:hAnsi="宋体"/>
                <w:color w:val="000000"/>
                <w:szCs w:val="21"/>
              </w:rPr>
              <w:t xml:space="preserve">  （3）灌木树冠修剪均匀；</w:t>
            </w:r>
          </w:p>
          <w:p w14:paraId="4DAE2ED0">
            <w:pPr>
              <w:spacing w:line="440" w:lineRule="exact"/>
              <w:rPr>
                <w:rFonts w:hint="eastAsia" w:ascii="宋体" w:hAnsi="宋体"/>
                <w:color w:val="000000"/>
                <w:szCs w:val="21"/>
              </w:rPr>
            </w:pPr>
            <w:r>
              <w:rPr>
                <w:rFonts w:hint="eastAsia" w:ascii="宋体" w:hAnsi="宋体"/>
                <w:color w:val="000000"/>
                <w:szCs w:val="21"/>
              </w:rPr>
              <w:t xml:space="preserve">  （4）新种树木杆直、均匀、不歪倒；</w:t>
            </w:r>
          </w:p>
          <w:p w14:paraId="51C13BE4">
            <w:pPr>
              <w:spacing w:line="440" w:lineRule="exact"/>
              <w:rPr>
                <w:rFonts w:hint="eastAsia" w:ascii="宋体" w:hAnsi="宋体"/>
                <w:color w:val="000000"/>
                <w:szCs w:val="21"/>
              </w:rPr>
            </w:pPr>
            <w:r>
              <w:rPr>
                <w:rFonts w:hint="eastAsia" w:ascii="宋体" w:hAnsi="宋体"/>
                <w:color w:val="000000"/>
                <w:szCs w:val="21"/>
              </w:rPr>
              <w:t xml:space="preserve">  （5）盆花出圃满盆率达到90%以上，植株高矮均匀，花色鲜艳；</w:t>
            </w:r>
          </w:p>
          <w:p w14:paraId="5B2C4360">
            <w:pPr>
              <w:spacing w:line="440" w:lineRule="exact"/>
              <w:rPr>
                <w:rFonts w:hint="eastAsia" w:ascii="宋体" w:hAnsi="宋体"/>
                <w:color w:val="000000"/>
                <w:szCs w:val="21"/>
              </w:rPr>
            </w:pPr>
            <w:r>
              <w:rPr>
                <w:rFonts w:hint="eastAsia" w:ascii="宋体" w:hAnsi="宋体"/>
                <w:color w:val="000000"/>
                <w:szCs w:val="21"/>
              </w:rPr>
              <w:t xml:space="preserve">  （6）文明施工，工作中产生的废物及时清理，不影响交通。</w:t>
            </w:r>
          </w:p>
          <w:p w14:paraId="78000118">
            <w:pPr>
              <w:autoSpaceDE w:val="0"/>
              <w:autoSpaceDN w:val="0"/>
              <w:adjustRightInd w:val="0"/>
              <w:spacing w:line="480" w:lineRule="exact"/>
              <w:ind w:firstLine="420" w:firstLineChars="200"/>
              <w:rPr>
                <w:rFonts w:hint="eastAsia" w:ascii="新宋体" w:hAnsi="新宋体" w:eastAsia="新宋体"/>
                <w:color w:val="auto"/>
                <w:szCs w:val="21"/>
                <w:highlight w:val="none"/>
                <w:lang w:val="zh-CN"/>
              </w:rPr>
            </w:pPr>
            <w:r>
              <w:rPr>
                <w:rFonts w:hint="eastAsia" w:ascii="宋体" w:hAnsi="宋体"/>
                <w:color w:val="000000"/>
                <w:szCs w:val="21"/>
              </w:rPr>
              <w:t xml:space="preserve">  （五）人员配置要求：本项目共配置不少于22人（项目经理1名、电工1名，秩序维护员4名、保洁员8名、绿化护理员2人，食堂大厨1人,食堂副厨1人，帮工及保洁4人）【注：食堂大厨，食堂副厨，帮工及保洁员可保留聘用采购人单位现有该岗位人员〈食堂6人单月工资总额不低于 18000元（含社保费），中标人要为以上6人办齐五险〉】。</w:t>
            </w:r>
          </w:p>
          <w:p w14:paraId="76682021">
            <w:pPr>
              <w:numPr>
                <w:ilvl w:val="0"/>
                <w:numId w:val="5"/>
              </w:numPr>
              <w:autoSpaceDE w:val="0"/>
              <w:autoSpaceDN w:val="0"/>
              <w:adjustRightInd w:val="0"/>
              <w:spacing w:line="480" w:lineRule="exact"/>
              <w:ind w:firstLine="420" w:firstLineChars="200"/>
              <w:rPr>
                <w:rFonts w:hint="eastAsia" w:ascii="新宋体" w:hAnsi="新宋体" w:eastAsia="新宋体"/>
                <w:color w:val="auto"/>
                <w:szCs w:val="21"/>
                <w:highlight w:val="none"/>
                <w:lang w:val="zh-CN"/>
              </w:rPr>
            </w:pPr>
            <w:r>
              <w:rPr>
                <w:rFonts w:hint="eastAsia" w:ascii="新宋体" w:hAnsi="新宋体" w:eastAsia="新宋体"/>
                <w:color w:val="auto"/>
                <w:szCs w:val="21"/>
                <w:highlight w:val="none"/>
                <w:lang w:val="zh-CN"/>
              </w:rPr>
              <w:t>其他事项</w:t>
            </w:r>
          </w:p>
          <w:p w14:paraId="005E7C47">
            <w:pPr>
              <w:pStyle w:val="8"/>
              <w:spacing w:line="360" w:lineRule="auto"/>
              <w:rPr>
                <w:rFonts w:hint="eastAsia" w:ascii="宋体" w:hAnsi="宋体" w:cs="Arial"/>
                <w:color w:val="auto"/>
                <w:szCs w:val="21"/>
                <w:highlight w:val="none"/>
                <w:lang w:val="en-US" w:eastAsia="zh-CN"/>
              </w:rPr>
            </w:pPr>
            <w:r>
              <w:rPr>
                <w:rFonts w:hint="eastAsia" w:ascii="宋体" w:hAnsi="宋体" w:cs="Arial"/>
                <w:color w:val="auto"/>
                <w:szCs w:val="21"/>
                <w:highlight w:val="none"/>
                <w:lang w:val="en-US" w:eastAsia="zh-CN"/>
              </w:rPr>
              <w:t>1．物业公司从业人员的工资及每年应有的福利费、奖金、加班费等由成交单位负责，工资水平应优于当地最低工资标准，且成交单位需按国家规定为每位从业人员交各种社会保险。法定节假日、双休日及其他超出上班时间的加班，成交单位须按国家规定支付加班费，如有员工反映加班没有加班费，经核实确认的，业主有权从每月向成交单位支付的服务费中扣下相应的费用。当现场管理和保安人员有缺员时，成交单位必须在3日内补齐人员，加班费的计算方式以从业人员的月工资总额除以22天为基数，按实际天数计算，发放给加班人员。以上各项费用均由中标人承担，业主不再支付相关需要费用。</w:t>
            </w:r>
          </w:p>
          <w:p w14:paraId="225CD687">
            <w:pPr>
              <w:pStyle w:val="8"/>
              <w:spacing w:line="360" w:lineRule="auto"/>
              <w:rPr>
                <w:rFonts w:hint="eastAsia" w:ascii="宋体" w:hAnsi="宋体" w:cs="Arial"/>
                <w:color w:val="auto"/>
                <w:szCs w:val="21"/>
                <w:highlight w:val="none"/>
                <w:lang w:val="en-US" w:eastAsia="zh-CN"/>
              </w:rPr>
            </w:pPr>
            <w:r>
              <w:rPr>
                <w:rFonts w:hint="eastAsia" w:ascii="宋体" w:hAnsi="宋体" w:cs="Arial"/>
                <w:color w:val="auto"/>
                <w:szCs w:val="21"/>
                <w:highlight w:val="none"/>
                <w:lang w:val="en-US" w:eastAsia="zh-CN"/>
              </w:rPr>
              <w:t>2．业主与从业人员不发生任何劳动和雇佣关系，成交单位必须按劳动法与从业人员签订劳动合同。从业人员由成交单位自行管理，并遵守国家相关劳动法律法规，涉及劳务纠纷和劳动事故全部由成交单位承担责任。成交单位和从业人员应遵守安全操作规章制度，若发生人身伤害伤亡等事故，由成交单位自负，与业主无关。</w:t>
            </w:r>
          </w:p>
          <w:p w14:paraId="016B6514">
            <w:pPr>
              <w:pStyle w:val="8"/>
              <w:spacing w:line="360" w:lineRule="auto"/>
              <w:rPr>
                <w:rFonts w:hint="default" w:ascii="宋体" w:hAnsi="宋体" w:cs="Arial"/>
                <w:color w:val="auto"/>
                <w:szCs w:val="21"/>
                <w:highlight w:val="none"/>
                <w:lang w:val="en-US" w:eastAsia="zh-CN"/>
              </w:rPr>
            </w:pPr>
            <w:r>
              <w:rPr>
                <w:rFonts w:hint="eastAsia" w:ascii="宋体" w:hAnsi="宋体" w:cs="Arial"/>
                <w:color w:val="auto"/>
                <w:szCs w:val="21"/>
                <w:highlight w:val="none"/>
                <w:lang w:val="en-US" w:eastAsia="zh-CN"/>
              </w:rPr>
              <w:t>3、如乙方在服务期内满意度调查连续3次低于90分或未按采购人要求整改达3次及以上的采购人有权解除合同。如给采购人造成损失的，按照合同约定进行处罚。</w:t>
            </w:r>
          </w:p>
        </w:tc>
      </w:tr>
      <w:tr w14:paraId="140FEF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 w:hRule="atLeast"/>
        </w:trPr>
        <w:tc>
          <w:tcPr>
            <w:tcW w:w="9586" w:type="dxa"/>
            <w:gridSpan w:val="5"/>
            <w:noWrap w:val="0"/>
            <w:vAlign w:val="center"/>
          </w:tcPr>
          <w:p w14:paraId="3E164AF4">
            <w:pPr>
              <w:pageBreakBefore w:val="0"/>
              <w:widowControl w:val="0"/>
              <w:kinsoku/>
              <w:wordWrap/>
              <w:overflowPunct/>
              <w:topLinePunct w:val="0"/>
              <w:autoSpaceDE/>
              <w:autoSpaceDN/>
              <w:bidi w:val="0"/>
              <w:adjustRightInd/>
              <w:spacing w:line="336" w:lineRule="auto"/>
              <w:textAlignment w:val="auto"/>
              <w:rPr>
                <w:rFonts w:hint="eastAsia" w:ascii="宋体" w:hAnsi="宋体" w:eastAsia="宋体" w:cs="宋体"/>
                <w:color w:val="auto"/>
                <w:sz w:val="21"/>
                <w:szCs w:val="21"/>
                <w:highlight w:val="none"/>
              </w:rPr>
            </w:pPr>
            <w:r>
              <w:rPr>
                <w:rFonts w:hint="eastAsia" w:ascii="宋体" w:hAnsi="宋体" w:cs="宋体"/>
                <w:b/>
                <w:bCs/>
                <w:color w:val="auto"/>
                <w:sz w:val="21"/>
                <w:szCs w:val="21"/>
                <w:highlight w:val="none"/>
                <w:lang w:eastAsia="zh-CN"/>
              </w:rPr>
              <w:t>二、</w:t>
            </w:r>
            <w:r>
              <w:rPr>
                <w:rFonts w:hint="eastAsia" w:ascii="宋体" w:hAnsi="宋体" w:eastAsia="宋体" w:cs="宋体"/>
                <w:b/>
                <w:bCs/>
                <w:color w:val="auto"/>
                <w:sz w:val="21"/>
                <w:szCs w:val="21"/>
                <w:highlight w:val="none"/>
              </w:rPr>
              <w:t>商务条款</w:t>
            </w:r>
          </w:p>
        </w:tc>
      </w:tr>
      <w:tr w14:paraId="44767A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485" w:type="dxa"/>
            <w:gridSpan w:val="2"/>
            <w:noWrap w:val="0"/>
            <w:vAlign w:val="center"/>
          </w:tcPr>
          <w:p w14:paraId="3BB5B165">
            <w:pPr>
              <w:pStyle w:val="15"/>
              <w:pageBreakBefore w:val="0"/>
              <w:widowControl w:val="0"/>
              <w:kinsoku/>
              <w:wordWrap/>
              <w:overflowPunct/>
              <w:topLinePunct w:val="0"/>
              <w:autoSpaceDE/>
              <w:autoSpaceDN/>
              <w:bidi w:val="0"/>
              <w:adjustRightInd/>
              <w:snapToGrid w:val="0"/>
              <w:spacing w:line="336" w:lineRule="auto"/>
              <w:jc w:val="center"/>
              <w:textAlignment w:val="auto"/>
              <w:outlineLvl w:val="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合同签订期限</w:t>
            </w:r>
          </w:p>
        </w:tc>
        <w:tc>
          <w:tcPr>
            <w:tcW w:w="8101" w:type="dxa"/>
            <w:gridSpan w:val="3"/>
            <w:noWrap w:val="0"/>
            <w:vAlign w:val="center"/>
          </w:tcPr>
          <w:p w14:paraId="67A1E9ED">
            <w:pPr>
              <w:pStyle w:val="15"/>
              <w:pageBreakBefore w:val="0"/>
              <w:widowControl w:val="0"/>
              <w:kinsoku/>
              <w:wordWrap/>
              <w:overflowPunct/>
              <w:topLinePunct w:val="0"/>
              <w:autoSpaceDE/>
              <w:autoSpaceDN/>
              <w:bidi w:val="0"/>
              <w:adjustRightInd/>
              <w:snapToGrid w:val="0"/>
              <w:spacing w:line="336" w:lineRule="auto"/>
              <w:ind w:firstLine="210" w:firstLineChars="100"/>
              <w:textAlignment w:val="auto"/>
              <w:outlineLvl w:val="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自</w:t>
            </w:r>
            <w:r>
              <w:rPr>
                <w:rFonts w:hint="eastAsia" w:hAnsi="宋体" w:cs="宋体"/>
                <w:b w:val="0"/>
                <w:bCs w:val="0"/>
                <w:color w:val="auto"/>
                <w:sz w:val="21"/>
                <w:szCs w:val="21"/>
                <w:highlight w:val="none"/>
                <w:lang w:eastAsia="zh-CN"/>
              </w:rPr>
              <w:t>成交</w:t>
            </w:r>
            <w:r>
              <w:rPr>
                <w:rFonts w:hint="eastAsia" w:ascii="宋体" w:hAnsi="宋体" w:eastAsia="宋体" w:cs="宋体"/>
                <w:b w:val="0"/>
                <w:bCs w:val="0"/>
                <w:color w:val="auto"/>
                <w:sz w:val="21"/>
                <w:szCs w:val="21"/>
                <w:highlight w:val="none"/>
              </w:rPr>
              <w:t>通知书发出之日起</w:t>
            </w:r>
            <w:r>
              <w:rPr>
                <w:rFonts w:hint="eastAsia" w:ascii="宋体" w:hAnsi="宋体" w:eastAsia="宋体" w:cs="宋体"/>
                <w:b w:val="0"/>
                <w:bCs w:val="0"/>
                <w:color w:val="auto"/>
                <w:sz w:val="21"/>
                <w:szCs w:val="21"/>
                <w:highlight w:val="none"/>
                <w:lang w:val="en-US"/>
              </w:rPr>
              <w:t>15</w:t>
            </w:r>
            <w:r>
              <w:rPr>
                <w:rFonts w:hint="eastAsia" w:ascii="宋体" w:hAnsi="宋体" w:eastAsia="宋体" w:cs="宋体"/>
                <w:b w:val="0"/>
                <w:bCs w:val="0"/>
                <w:color w:val="auto"/>
                <w:sz w:val="21"/>
                <w:szCs w:val="21"/>
                <w:highlight w:val="none"/>
              </w:rPr>
              <w:t>日内。</w:t>
            </w:r>
          </w:p>
        </w:tc>
      </w:tr>
      <w:tr w14:paraId="5D697B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485" w:type="dxa"/>
            <w:gridSpan w:val="2"/>
            <w:noWrap w:val="0"/>
            <w:vAlign w:val="center"/>
          </w:tcPr>
          <w:p w14:paraId="18D38285">
            <w:pPr>
              <w:pStyle w:val="15"/>
              <w:pageBreakBefore w:val="0"/>
              <w:widowControl w:val="0"/>
              <w:kinsoku/>
              <w:wordWrap/>
              <w:overflowPunct/>
              <w:topLinePunct w:val="0"/>
              <w:autoSpaceDE/>
              <w:autoSpaceDN/>
              <w:bidi w:val="0"/>
              <w:adjustRightInd/>
              <w:snapToGrid w:val="0"/>
              <w:spacing w:line="336" w:lineRule="auto"/>
              <w:jc w:val="center"/>
              <w:textAlignment w:val="auto"/>
              <w:outlineLvl w:val="0"/>
              <w:rPr>
                <w:rFonts w:hint="eastAsia" w:ascii="宋体" w:hAnsi="宋体" w:eastAsia="宋体" w:cs="宋体"/>
                <w:b/>
                <w:color w:val="auto"/>
                <w:sz w:val="21"/>
                <w:szCs w:val="21"/>
                <w:highlight w:val="none"/>
              </w:rPr>
            </w:pPr>
            <w:r>
              <w:rPr>
                <w:rFonts w:hint="eastAsia" w:ascii="宋体" w:hAnsi="宋体" w:eastAsia="宋体" w:cs="宋体"/>
                <w:bCs/>
                <w:color w:val="auto"/>
                <w:sz w:val="21"/>
                <w:szCs w:val="21"/>
                <w:highlight w:val="none"/>
              </w:rPr>
              <w:t>▲</w:t>
            </w:r>
            <w:r>
              <w:rPr>
                <w:rFonts w:hint="eastAsia" w:hAnsi="宋体" w:cs="宋体"/>
                <w:bCs/>
                <w:color w:val="auto"/>
                <w:sz w:val="21"/>
                <w:szCs w:val="21"/>
                <w:highlight w:val="none"/>
                <w:lang w:eastAsia="zh-CN"/>
              </w:rPr>
              <w:t>服务</w:t>
            </w:r>
            <w:r>
              <w:rPr>
                <w:rFonts w:hint="eastAsia" w:ascii="宋体" w:hAnsi="宋体" w:eastAsia="宋体" w:cs="宋体"/>
                <w:color w:val="auto"/>
                <w:sz w:val="21"/>
                <w:szCs w:val="21"/>
                <w:highlight w:val="none"/>
              </w:rPr>
              <w:t>时间</w:t>
            </w:r>
          </w:p>
        </w:tc>
        <w:tc>
          <w:tcPr>
            <w:tcW w:w="8101" w:type="dxa"/>
            <w:gridSpan w:val="3"/>
            <w:noWrap w:val="0"/>
            <w:vAlign w:val="center"/>
          </w:tcPr>
          <w:p w14:paraId="3A352361">
            <w:pPr>
              <w:pageBreakBefore w:val="0"/>
              <w:widowControl w:val="0"/>
              <w:kinsoku/>
              <w:wordWrap/>
              <w:overflowPunct/>
              <w:topLinePunct w:val="0"/>
              <w:autoSpaceDE/>
              <w:autoSpaceDN/>
              <w:bidi w:val="0"/>
              <w:adjustRightInd/>
              <w:snapToGrid/>
              <w:spacing w:line="336" w:lineRule="auto"/>
              <w:ind w:firstLine="210" w:firstLineChars="100"/>
              <w:textAlignment w:val="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color w:val="auto"/>
                <w:szCs w:val="21"/>
                <w:highlight w:val="none"/>
                <w:lang w:val="en-US" w:eastAsia="zh-CN"/>
              </w:rPr>
              <w:t>1年</w:t>
            </w:r>
          </w:p>
        </w:tc>
      </w:tr>
      <w:tr w14:paraId="499CA0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485" w:type="dxa"/>
            <w:gridSpan w:val="2"/>
            <w:noWrap w:val="0"/>
            <w:vAlign w:val="center"/>
          </w:tcPr>
          <w:p w14:paraId="2C478443">
            <w:pPr>
              <w:pStyle w:val="15"/>
              <w:pageBreakBefore w:val="0"/>
              <w:widowControl w:val="0"/>
              <w:kinsoku/>
              <w:wordWrap/>
              <w:overflowPunct/>
              <w:topLinePunct w:val="0"/>
              <w:autoSpaceDE/>
              <w:autoSpaceDN/>
              <w:bidi w:val="0"/>
              <w:adjustRightInd/>
              <w:snapToGrid w:val="0"/>
              <w:spacing w:line="336" w:lineRule="auto"/>
              <w:jc w:val="center"/>
              <w:textAlignment w:val="auto"/>
              <w:outlineLvl w:val="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交付地点</w:t>
            </w:r>
          </w:p>
        </w:tc>
        <w:tc>
          <w:tcPr>
            <w:tcW w:w="8101" w:type="dxa"/>
            <w:gridSpan w:val="3"/>
            <w:noWrap w:val="0"/>
            <w:vAlign w:val="center"/>
          </w:tcPr>
          <w:p w14:paraId="08C0B89A">
            <w:pPr>
              <w:pStyle w:val="15"/>
              <w:pageBreakBefore w:val="0"/>
              <w:widowControl w:val="0"/>
              <w:kinsoku/>
              <w:wordWrap/>
              <w:overflowPunct/>
              <w:topLinePunct w:val="0"/>
              <w:autoSpaceDE/>
              <w:autoSpaceDN/>
              <w:bidi w:val="0"/>
              <w:adjustRightInd/>
              <w:snapToGrid w:val="0"/>
              <w:spacing w:line="336" w:lineRule="auto"/>
              <w:ind w:firstLine="210" w:firstLineChars="100"/>
              <w:textAlignment w:val="auto"/>
              <w:outlineLvl w:val="0"/>
              <w:rPr>
                <w:rFonts w:hint="eastAsia" w:ascii="宋体" w:hAnsi="宋体" w:eastAsia="宋体" w:cs="宋体"/>
                <w:color w:val="auto"/>
                <w:sz w:val="21"/>
                <w:szCs w:val="21"/>
                <w:highlight w:val="none"/>
              </w:rPr>
            </w:pPr>
            <w:r>
              <w:rPr>
                <w:rFonts w:hint="eastAsia" w:hAnsi="宋体" w:cs="宋体"/>
                <w:color w:val="auto"/>
                <w:sz w:val="21"/>
                <w:szCs w:val="21"/>
                <w:highlight w:val="none"/>
                <w:lang w:eastAsia="zh-CN"/>
              </w:rPr>
              <w:t>广西壮族自治区崇左市中级人民法院</w:t>
            </w:r>
            <w:r>
              <w:rPr>
                <w:rFonts w:hint="eastAsia" w:ascii="宋体" w:hAnsi="宋体" w:eastAsia="宋体" w:cs="宋体"/>
                <w:color w:val="auto"/>
                <w:sz w:val="21"/>
                <w:szCs w:val="21"/>
                <w:highlight w:val="none"/>
              </w:rPr>
              <w:t>（采购人指定地点）</w:t>
            </w:r>
          </w:p>
        </w:tc>
      </w:tr>
      <w:tr w14:paraId="6DA3A1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8" w:hRule="atLeast"/>
        </w:trPr>
        <w:tc>
          <w:tcPr>
            <w:tcW w:w="1485" w:type="dxa"/>
            <w:gridSpan w:val="2"/>
            <w:noWrap w:val="0"/>
            <w:vAlign w:val="center"/>
          </w:tcPr>
          <w:p w14:paraId="192600DC">
            <w:pPr>
              <w:pStyle w:val="15"/>
              <w:pageBreakBefore w:val="0"/>
              <w:widowControl w:val="0"/>
              <w:kinsoku/>
              <w:wordWrap/>
              <w:overflowPunct/>
              <w:topLinePunct w:val="0"/>
              <w:autoSpaceDE/>
              <w:autoSpaceDN/>
              <w:bidi w:val="0"/>
              <w:adjustRightInd/>
              <w:snapToGrid w:val="0"/>
              <w:spacing w:line="336" w:lineRule="auto"/>
              <w:jc w:val="center"/>
              <w:textAlignment w:val="auto"/>
              <w:outlineLvl w:val="0"/>
              <w:rPr>
                <w:rFonts w:hint="eastAsia" w:ascii="宋体" w:hAnsi="宋体" w:eastAsia="宋体" w:cs="宋体"/>
                <w:b/>
                <w:color w:val="auto"/>
                <w:sz w:val="21"/>
                <w:szCs w:val="21"/>
                <w:highlight w:val="none"/>
              </w:rPr>
            </w:pPr>
            <w:r>
              <w:rPr>
                <w:rFonts w:hint="eastAsia" w:ascii="宋体" w:hAnsi="宋体" w:eastAsia="宋体" w:cs="宋体"/>
                <w:bCs/>
                <w:color w:val="auto"/>
                <w:sz w:val="21"/>
                <w:szCs w:val="21"/>
                <w:highlight w:val="none"/>
              </w:rPr>
              <w:t>▲</w:t>
            </w:r>
            <w:r>
              <w:rPr>
                <w:rFonts w:hint="eastAsia" w:ascii="宋体" w:hAnsi="宋体" w:eastAsia="宋体" w:cs="宋体"/>
                <w:color w:val="auto"/>
                <w:sz w:val="21"/>
                <w:szCs w:val="21"/>
                <w:highlight w:val="none"/>
              </w:rPr>
              <w:t>付款方式</w:t>
            </w:r>
          </w:p>
        </w:tc>
        <w:tc>
          <w:tcPr>
            <w:tcW w:w="8101" w:type="dxa"/>
            <w:gridSpan w:val="3"/>
            <w:noWrap w:val="0"/>
            <w:vAlign w:val="center"/>
          </w:tcPr>
          <w:p w14:paraId="32B0D6F9">
            <w:pPr>
              <w:widowControl/>
              <w:spacing w:line="380" w:lineRule="exact"/>
              <w:ind w:firstLine="420" w:firstLineChars="200"/>
              <w:jc w:val="left"/>
              <w:rPr>
                <w:rFonts w:hint="eastAsia" w:ascii="宋体" w:hAnsi="宋体" w:eastAsia="宋体" w:cs="宋体"/>
                <w:color w:val="auto"/>
                <w:sz w:val="21"/>
                <w:szCs w:val="21"/>
                <w:highlight w:val="none"/>
              </w:rPr>
            </w:pPr>
            <w:r>
              <w:rPr>
                <w:rFonts w:hint="eastAsia" w:ascii="宋体" w:hAnsi="宋体" w:cs="宋体"/>
                <w:color w:val="auto"/>
                <w:szCs w:val="28"/>
                <w:lang w:val="en-US" w:eastAsia="zh-CN"/>
              </w:rPr>
              <w:t>本项目无预付款，按照季度进行结算</w:t>
            </w:r>
            <w:r>
              <w:rPr>
                <w:rFonts w:hint="eastAsia" w:ascii="宋体" w:hAnsi="宋体" w:cs="宋体"/>
                <w:color w:val="auto"/>
                <w:szCs w:val="28"/>
                <w:lang w:eastAsia="zh-CN"/>
              </w:rPr>
              <w:t>。在每</w:t>
            </w:r>
            <w:r>
              <w:rPr>
                <w:rFonts w:hint="eastAsia" w:ascii="宋体" w:hAnsi="宋体" w:cs="宋体"/>
                <w:color w:val="auto"/>
                <w:szCs w:val="28"/>
                <w:lang w:val="en-US" w:eastAsia="zh-CN"/>
              </w:rPr>
              <w:t>季度</w:t>
            </w:r>
            <w:r>
              <w:rPr>
                <w:rFonts w:hint="eastAsia" w:ascii="宋体" w:hAnsi="宋体" w:cs="宋体"/>
                <w:color w:val="auto"/>
                <w:szCs w:val="28"/>
                <w:lang w:eastAsia="zh-CN"/>
              </w:rPr>
              <w:t>前</w:t>
            </w:r>
            <w:r>
              <w:rPr>
                <w:rFonts w:hint="eastAsia" w:ascii="宋体" w:hAnsi="宋体" w:cs="宋体"/>
                <w:color w:val="auto"/>
                <w:szCs w:val="28"/>
                <w:lang w:val="en-US" w:eastAsia="zh-CN"/>
              </w:rPr>
              <w:t>10</w:t>
            </w:r>
            <w:r>
              <w:rPr>
                <w:rFonts w:hint="eastAsia" w:ascii="宋体" w:hAnsi="宋体" w:cs="宋体"/>
                <w:color w:val="auto"/>
                <w:szCs w:val="28"/>
                <w:lang w:eastAsia="zh-CN"/>
              </w:rPr>
              <w:t>个工作日</w:t>
            </w:r>
            <w:r>
              <w:rPr>
                <w:rFonts w:hint="eastAsia" w:ascii="宋体" w:hAnsi="宋体" w:cs="宋体"/>
                <w:color w:val="auto"/>
                <w:szCs w:val="28"/>
                <w:lang w:val="en-US" w:eastAsia="zh-CN"/>
              </w:rPr>
              <w:t>供应商</w:t>
            </w:r>
            <w:r>
              <w:rPr>
                <w:rFonts w:hint="eastAsia" w:ascii="宋体" w:hAnsi="宋体" w:cs="宋体"/>
                <w:color w:val="auto"/>
                <w:szCs w:val="28"/>
                <w:lang w:eastAsia="zh-CN"/>
              </w:rPr>
              <w:t>提交物业费支付申请单</w:t>
            </w:r>
            <w:r>
              <w:rPr>
                <w:rFonts w:hint="eastAsia" w:ascii="宋体" w:hAnsi="宋体" w:cs="宋体"/>
                <w:color w:val="auto"/>
                <w:szCs w:val="28"/>
                <w:lang w:val="en-US" w:eastAsia="zh-CN"/>
              </w:rPr>
              <w:t>并经采购人</w:t>
            </w:r>
            <w:r>
              <w:rPr>
                <w:rFonts w:hint="eastAsia" w:ascii="宋体" w:hAnsi="宋体" w:cs="宋体"/>
                <w:color w:val="auto"/>
                <w:szCs w:val="28"/>
                <w:lang w:eastAsia="zh-CN"/>
              </w:rPr>
              <w:t>确认，</w:t>
            </w:r>
            <w:r>
              <w:rPr>
                <w:rFonts w:hint="eastAsia" w:ascii="宋体" w:hAnsi="宋体" w:cs="宋体"/>
                <w:color w:val="auto"/>
                <w:szCs w:val="28"/>
                <w:lang w:val="en-US" w:eastAsia="zh-CN"/>
              </w:rPr>
              <w:t>采购人</w:t>
            </w:r>
            <w:r>
              <w:rPr>
                <w:rFonts w:hint="eastAsia" w:ascii="宋体" w:hAnsi="宋体" w:cs="宋体"/>
                <w:color w:val="auto"/>
                <w:szCs w:val="28"/>
                <w:lang w:eastAsia="zh-CN"/>
              </w:rPr>
              <w:t>在</w:t>
            </w:r>
            <w:r>
              <w:rPr>
                <w:rFonts w:hint="eastAsia" w:ascii="宋体" w:hAnsi="宋体" w:cs="宋体"/>
                <w:color w:val="auto"/>
                <w:szCs w:val="28"/>
                <w:lang w:val="en-US" w:eastAsia="zh-CN"/>
              </w:rPr>
              <w:t>供应商开具等额增值税发票后</w:t>
            </w:r>
            <w:r>
              <w:rPr>
                <w:rFonts w:hint="eastAsia" w:ascii="宋体" w:hAnsi="宋体" w:cs="宋体"/>
                <w:color w:val="auto"/>
                <w:szCs w:val="28"/>
                <w:lang w:eastAsia="zh-CN"/>
              </w:rPr>
              <w:t>以银行转账方式支付当</w:t>
            </w:r>
            <w:r>
              <w:rPr>
                <w:rFonts w:hint="eastAsia" w:ascii="宋体" w:hAnsi="宋体" w:cs="宋体"/>
                <w:color w:val="auto"/>
                <w:szCs w:val="28"/>
                <w:lang w:val="en-US" w:eastAsia="zh-CN"/>
              </w:rPr>
              <w:t>季度的</w:t>
            </w:r>
            <w:r>
              <w:rPr>
                <w:rFonts w:hint="eastAsia" w:ascii="宋体" w:hAnsi="宋体" w:cs="宋体"/>
                <w:color w:val="auto"/>
                <w:szCs w:val="28"/>
                <w:lang w:eastAsia="zh-CN"/>
              </w:rPr>
              <w:t>物业服务费。</w:t>
            </w:r>
          </w:p>
        </w:tc>
      </w:tr>
      <w:tr w14:paraId="1E0412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6" w:hRule="atLeast"/>
        </w:trPr>
        <w:tc>
          <w:tcPr>
            <w:tcW w:w="1485" w:type="dxa"/>
            <w:gridSpan w:val="2"/>
            <w:noWrap w:val="0"/>
            <w:vAlign w:val="center"/>
          </w:tcPr>
          <w:p w14:paraId="1AEF1805">
            <w:pPr>
              <w:pStyle w:val="15"/>
              <w:pageBreakBefore w:val="0"/>
              <w:widowControl w:val="0"/>
              <w:kinsoku/>
              <w:wordWrap/>
              <w:overflowPunct/>
              <w:topLinePunct w:val="0"/>
              <w:autoSpaceDE/>
              <w:autoSpaceDN/>
              <w:bidi w:val="0"/>
              <w:adjustRightInd/>
              <w:snapToGrid w:val="0"/>
              <w:spacing w:line="360" w:lineRule="auto"/>
              <w:jc w:val="center"/>
              <w:textAlignment w:val="auto"/>
              <w:outlineLvl w:val="0"/>
              <w:rPr>
                <w:rFonts w:hint="default" w:ascii="宋体" w:hAnsi="宋体" w:eastAsia="宋体" w:cs="宋体"/>
                <w:bCs/>
                <w:color w:val="auto"/>
                <w:sz w:val="21"/>
                <w:szCs w:val="21"/>
                <w:highlight w:val="none"/>
                <w:lang w:val="en-US" w:eastAsia="zh-CN"/>
              </w:rPr>
            </w:pPr>
            <w:r>
              <w:rPr>
                <w:rFonts w:hint="eastAsia" w:hAnsi="宋体" w:cs="宋体"/>
                <w:bCs/>
                <w:color w:val="auto"/>
                <w:sz w:val="21"/>
                <w:szCs w:val="21"/>
                <w:highlight w:val="none"/>
                <w:lang w:val="en-US" w:eastAsia="zh-CN"/>
              </w:rPr>
              <w:t>响应</w:t>
            </w:r>
            <w:r>
              <w:rPr>
                <w:rFonts w:hint="eastAsia" w:hAnsi="宋体" w:eastAsia="宋体" w:cs="宋体"/>
                <w:bCs/>
                <w:color w:val="auto"/>
                <w:sz w:val="21"/>
                <w:szCs w:val="21"/>
                <w:highlight w:val="none"/>
                <w:lang w:val="en-US" w:eastAsia="zh-CN"/>
              </w:rPr>
              <w:t>人信用要求</w:t>
            </w:r>
          </w:p>
        </w:tc>
        <w:tc>
          <w:tcPr>
            <w:tcW w:w="8101" w:type="dxa"/>
            <w:gridSpan w:val="3"/>
            <w:noWrap w:val="0"/>
            <w:vAlign w:val="center"/>
          </w:tcPr>
          <w:p w14:paraId="164AFB73">
            <w:pPr>
              <w:pageBreakBefore w:val="0"/>
              <w:widowControl w:val="0"/>
              <w:tabs>
                <w:tab w:val="left" w:pos="180"/>
                <w:tab w:val="left" w:pos="1620"/>
              </w:tabs>
              <w:kinsoku/>
              <w:wordWrap/>
              <w:overflowPunct/>
              <w:topLinePunct w:val="0"/>
              <w:autoSpaceDE/>
              <w:autoSpaceDN/>
              <w:bidi w:val="0"/>
              <w:adjustRightInd/>
              <w:spacing w:line="360" w:lineRule="auto"/>
              <w:ind w:firstLine="420" w:firstLineChars="200"/>
              <w:textAlignment w:val="auto"/>
              <w:rPr>
                <w:rStyle w:val="30"/>
                <w:rFonts w:hint="eastAsia"/>
                <w:color w:val="auto"/>
                <w:sz w:val="21"/>
                <w:szCs w:val="21"/>
                <w:highlight w:val="none"/>
                <w:lang w:val="en-US" w:eastAsia="zh-CN"/>
              </w:rPr>
            </w:pPr>
            <w:r>
              <w:rPr>
                <w:rFonts w:hint="eastAsia" w:ascii="宋体" w:hAnsi="宋体" w:cs="宋体"/>
                <w:color w:val="auto"/>
                <w:szCs w:val="21"/>
                <w:highlight w:val="none"/>
              </w:rPr>
              <w:t>企业信用要求：</w:t>
            </w:r>
            <w:r>
              <w:rPr>
                <w:rFonts w:hint="eastAsia" w:ascii="宋体" w:hAnsi="宋体" w:cs="宋体"/>
                <w:color w:val="auto"/>
                <w:szCs w:val="21"/>
                <w:highlight w:val="none"/>
                <w:lang w:eastAsia="zh-CN"/>
              </w:rPr>
              <w:t>响应</w:t>
            </w:r>
            <w:r>
              <w:rPr>
                <w:rFonts w:hint="eastAsia" w:ascii="宋体" w:hAnsi="宋体" w:cs="宋体"/>
                <w:color w:val="auto"/>
                <w:szCs w:val="21"/>
                <w:highlight w:val="none"/>
              </w:rPr>
              <w:t>人在“信用中国”网站(www.creditchina.gov.cn)、中国政府采购网(www.ccgp.gov.cn)等渠道未被列入失信被执行人或重大税收违法案件当事人名单或政府采购严重违法失信行为记录名单。</w:t>
            </w:r>
          </w:p>
        </w:tc>
      </w:tr>
      <w:tr w14:paraId="42BD2A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1485" w:type="dxa"/>
            <w:gridSpan w:val="2"/>
            <w:noWrap w:val="0"/>
            <w:vAlign w:val="center"/>
          </w:tcPr>
          <w:p w14:paraId="3785B72F">
            <w:pPr>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rPr>
              <w:t>其他要求</w:t>
            </w:r>
          </w:p>
        </w:tc>
        <w:tc>
          <w:tcPr>
            <w:tcW w:w="8101" w:type="dxa"/>
            <w:gridSpan w:val="3"/>
            <w:noWrap w:val="0"/>
            <w:vAlign w:val="center"/>
          </w:tcPr>
          <w:p w14:paraId="7D4917A5">
            <w:pPr>
              <w:pageBreakBefore w:val="0"/>
              <w:widowControl w:val="0"/>
              <w:kinsoku/>
              <w:wordWrap/>
              <w:overflowPunct/>
              <w:topLinePunct w:val="0"/>
              <w:autoSpaceDE/>
              <w:autoSpaceDN/>
              <w:bidi w:val="0"/>
              <w:adjustRightInd/>
              <w:spacing w:line="360" w:lineRule="auto"/>
              <w:textAlignment w:val="auto"/>
              <w:rPr>
                <w:rFonts w:hint="eastAsia"/>
                <w:color w:val="auto"/>
                <w:highlight w:val="none"/>
              </w:rPr>
            </w:pPr>
            <w:r>
              <w:rPr>
                <w:rFonts w:hint="eastAsia" w:ascii="宋体" w:hAnsi="宋体" w:eastAsia="宋体" w:cs="宋体"/>
                <w:color w:val="auto"/>
                <w:highlight w:val="none"/>
              </w:rPr>
              <w:t>▲</w:t>
            </w:r>
            <w:r>
              <w:rPr>
                <w:rFonts w:hint="eastAsia"/>
                <w:color w:val="auto"/>
                <w:highlight w:val="none"/>
              </w:rPr>
              <w:t>1、报价必须含以下部分：</w:t>
            </w:r>
          </w:p>
          <w:p w14:paraId="6D29AB73">
            <w:pPr>
              <w:pageBreakBefore w:val="0"/>
              <w:widowControl w:val="0"/>
              <w:kinsoku/>
              <w:wordWrap/>
              <w:overflowPunct/>
              <w:topLinePunct w:val="0"/>
              <w:autoSpaceDE/>
              <w:autoSpaceDN/>
              <w:bidi w:val="0"/>
              <w:adjustRightInd/>
              <w:spacing w:line="360" w:lineRule="auto"/>
              <w:textAlignment w:val="auto"/>
              <w:rPr>
                <w:rFonts w:hint="eastAsia"/>
                <w:color w:val="auto"/>
                <w:highlight w:val="none"/>
              </w:rPr>
            </w:pPr>
            <w:r>
              <w:rPr>
                <w:rFonts w:hint="eastAsia"/>
                <w:color w:val="auto"/>
                <w:highlight w:val="none"/>
              </w:rPr>
              <w:t>（1）服务的价格；</w:t>
            </w:r>
          </w:p>
          <w:p w14:paraId="73750F36">
            <w:pPr>
              <w:pageBreakBefore w:val="0"/>
              <w:widowControl w:val="0"/>
              <w:kinsoku/>
              <w:wordWrap/>
              <w:overflowPunct/>
              <w:topLinePunct w:val="0"/>
              <w:autoSpaceDE/>
              <w:autoSpaceDN/>
              <w:bidi w:val="0"/>
              <w:adjustRightInd/>
              <w:spacing w:line="360" w:lineRule="auto"/>
              <w:textAlignment w:val="auto"/>
              <w:rPr>
                <w:rFonts w:hint="eastAsia"/>
                <w:color w:val="auto"/>
                <w:highlight w:val="none"/>
              </w:rPr>
            </w:pPr>
            <w:r>
              <w:rPr>
                <w:rFonts w:hint="eastAsia"/>
                <w:color w:val="auto"/>
                <w:highlight w:val="none"/>
              </w:rPr>
              <w:t>（2）必要的保险费用和各项税金；</w:t>
            </w:r>
          </w:p>
          <w:p w14:paraId="1B3595CF">
            <w:pPr>
              <w:pageBreakBefore w:val="0"/>
              <w:widowControl w:val="0"/>
              <w:kinsoku/>
              <w:wordWrap/>
              <w:overflowPunct/>
              <w:topLinePunct w:val="0"/>
              <w:autoSpaceDE/>
              <w:autoSpaceDN/>
              <w:bidi w:val="0"/>
              <w:adjustRightInd/>
              <w:spacing w:line="360" w:lineRule="auto"/>
              <w:textAlignment w:val="auto"/>
              <w:rPr>
                <w:rFonts w:hint="eastAsia"/>
                <w:color w:val="auto"/>
                <w:highlight w:val="none"/>
              </w:rPr>
            </w:pPr>
            <w:r>
              <w:rPr>
                <w:rFonts w:hint="eastAsia"/>
                <w:color w:val="auto"/>
                <w:highlight w:val="none"/>
              </w:rPr>
              <w:t>（3）包括培训、技术支持、售后服务等费用。</w:t>
            </w:r>
            <w:r>
              <w:rPr>
                <w:rFonts w:hint="eastAsia"/>
                <w:color w:val="auto"/>
                <w:highlight w:val="none"/>
                <w:lang w:eastAsia="zh-CN"/>
              </w:rPr>
              <w:t>响应</w:t>
            </w:r>
            <w:r>
              <w:rPr>
                <w:rFonts w:hint="eastAsia"/>
                <w:color w:val="auto"/>
                <w:highlight w:val="none"/>
              </w:rPr>
              <w:t>人为履行本合同而发生的所有费用均应包含在合同价款中，采购人不再另行支付其它任何费用。</w:t>
            </w:r>
          </w:p>
          <w:p w14:paraId="7DB33D38">
            <w:pPr>
              <w:pageBreakBefore w:val="0"/>
              <w:widowControl w:val="0"/>
              <w:kinsoku/>
              <w:wordWrap/>
              <w:overflowPunct/>
              <w:topLinePunct w:val="0"/>
              <w:autoSpaceDE/>
              <w:autoSpaceDN/>
              <w:bidi w:val="0"/>
              <w:adjustRightInd/>
              <w:spacing w:line="360" w:lineRule="auto"/>
              <w:textAlignment w:val="auto"/>
              <w:rPr>
                <w:rFonts w:hint="eastAsia"/>
                <w:color w:val="auto"/>
                <w:highlight w:val="none"/>
              </w:rPr>
            </w:pPr>
            <w:r>
              <w:rPr>
                <w:rFonts w:hint="eastAsia"/>
                <w:color w:val="auto"/>
                <w:highlight w:val="none"/>
              </w:rPr>
              <w:t>2、</w:t>
            </w:r>
            <w:r>
              <w:rPr>
                <w:rFonts w:hint="eastAsia"/>
                <w:color w:val="auto"/>
                <w:highlight w:val="none"/>
                <w:lang w:eastAsia="zh-CN"/>
              </w:rPr>
              <w:t>响应</w:t>
            </w:r>
            <w:r>
              <w:rPr>
                <w:rFonts w:hint="eastAsia"/>
                <w:color w:val="auto"/>
                <w:highlight w:val="none"/>
              </w:rPr>
              <w:t>人提供针对本项目的服务方案。</w:t>
            </w:r>
          </w:p>
          <w:p w14:paraId="32C68178">
            <w:pPr>
              <w:pageBreakBefore w:val="0"/>
              <w:widowControl w:val="0"/>
              <w:kinsoku/>
              <w:wordWrap/>
              <w:overflowPunct/>
              <w:topLinePunct w:val="0"/>
              <w:autoSpaceDE/>
              <w:autoSpaceDN/>
              <w:bidi w:val="0"/>
              <w:adjustRightInd/>
              <w:spacing w:line="360" w:lineRule="auto"/>
              <w:textAlignment w:val="auto"/>
              <w:rPr>
                <w:rFonts w:hint="default" w:eastAsia="宋体"/>
                <w:color w:val="auto"/>
                <w:highlight w:val="none"/>
                <w:lang w:val="en-US" w:eastAsia="zh-CN"/>
              </w:rPr>
            </w:pPr>
            <w:r>
              <w:rPr>
                <w:rFonts w:hint="eastAsia"/>
                <w:color w:val="auto"/>
                <w:highlight w:val="none"/>
                <w:lang w:val="en-US"/>
              </w:rPr>
              <w:t>3、</w:t>
            </w:r>
            <w:r>
              <w:rPr>
                <w:rFonts w:hint="eastAsia"/>
                <w:color w:val="auto"/>
                <w:highlight w:val="none"/>
                <w:lang w:val="en-US" w:eastAsia="zh-CN"/>
              </w:rPr>
              <w:t>验收要求：</w:t>
            </w:r>
            <w:r>
              <w:rPr>
                <w:rFonts w:hint="eastAsia"/>
                <w:color w:val="auto"/>
                <w:highlight w:val="none"/>
              </w:rPr>
              <w:t>符合现行国家相关标准、行业标准、地方标准或者其他标准、规范。</w:t>
            </w:r>
          </w:p>
        </w:tc>
      </w:tr>
    </w:tbl>
    <w:p w14:paraId="3C5A87F7">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b/>
          <w:bCs/>
          <w:color w:val="auto"/>
          <w:sz w:val="28"/>
          <w:szCs w:val="28"/>
          <w:lang w:eastAsia="zh-CN"/>
        </w:rPr>
      </w:pPr>
      <w:bookmarkStart w:id="67" w:name="_Toc44229896"/>
    </w:p>
    <w:p w14:paraId="3B5E673B">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b/>
          <w:bCs/>
          <w:color w:val="auto"/>
          <w:sz w:val="28"/>
          <w:szCs w:val="28"/>
          <w:lang w:eastAsia="zh-CN"/>
        </w:rPr>
      </w:pPr>
    </w:p>
    <w:p w14:paraId="551F6A99">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b/>
          <w:bCs/>
          <w:color w:val="auto"/>
          <w:sz w:val="28"/>
          <w:szCs w:val="28"/>
          <w:lang w:eastAsia="zh-CN"/>
        </w:rPr>
      </w:pPr>
    </w:p>
    <w:p w14:paraId="0DC5D0C5">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b/>
          <w:bCs/>
          <w:color w:val="auto"/>
          <w:sz w:val="28"/>
          <w:szCs w:val="28"/>
          <w:lang w:eastAsia="zh-CN"/>
        </w:rPr>
      </w:pPr>
    </w:p>
    <w:p w14:paraId="54E0868A">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b/>
          <w:bCs/>
          <w:color w:val="auto"/>
          <w:sz w:val="28"/>
          <w:szCs w:val="28"/>
          <w:lang w:eastAsia="zh-CN"/>
        </w:rPr>
      </w:pPr>
    </w:p>
    <w:p w14:paraId="71776020">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b/>
          <w:bCs/>
          <w:color w:val="auto"/>
          <w:sz w:val="28"/>
          <w:szCs w:val="28"/>
          <w:lang w:eastAsia="zh-CN"/>
        </w:rPr>
      </w:pPr>
    </w:p>
    <w:p w14:paraId="1D3BA007">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b/>
          <w:bCs/>
          <w:color w:val="auto"/>
          <w:sz w:val="28"/>
          <w:szCs w:val="28"/>
          <w:lang w:eastAsia="zh-CN"/>
        </w:rPr>
      </w:pPr>
    </w:p>
    <w:p w14:paraId="4248B926">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b/>
          <w:bCs/>
          <w:color w:val="auto"/>
          <w:sz w:val="28"/>
          <w:szCs w:val="28"/>
          <w:lang w:eastAsia="zh-CN"/>
        </w:rPr>
      </w:pPr>
    </w:p>
    <w:p w14:paraId="0121204C">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b/>
          <w:bCs/>
          <w:color w:val="auto"/>
          <w:sz w:val="28"/>
          <w:szCs w:val="28"/>
          <w:lang w:eastAsia="zh-CN"/>
        </w:rPr>
      </w:pPr>
    </w:p>
    <w:p w14:paraId="093E0B3F">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b/>
          <w:bCs/>
          <w:color w:val="auto"/>
          <w:sz w:val="28"/>
          <w:szCs w:val="28"/>
          <w:lang w:eastAsia="zh-CN"/>
        </w:rPr>
      </w:pPr>
    </w:p>
    <w:p w14:paraId="6FB4DF25">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b/>
          <w:bCs/>
          <w:color w:val="auto"/>
          <w:sz w:val="28"/>
          <w:szCs w:val="28"/>
          <w:lang w:eastAsia="zh-CN"/>
        </w:rPr>
      </w:pPr>
    </w:p>
    <w:p w14:paraId="32B86EA2">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b/>
          <w:bCs/>
          <w:color w:val="auto"/>
          <w:sz w:val="28"/>
          <w:szCs w:val="28"/>
          <w:lang w:eastAsia="zh-CN"/>
        </w:rPr>
      </w:pPr>
    </w:p>
    <w:p w14:paraId="0ED4D33D">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b/>
          <w:bCs/>
          <w:color w:val="auto"/>
          <w:sz w:val="28"/>
          <w:szCs w:val="28"/>
          <w:lang w:eastAsia="zh-CN"/>
        </w:rPr>
      </w:pPr>
    </w:p>
    <w:p w14:paraId="245209E1">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b/>
          <w:bCs/>
          <w:color w:val="auto"/>
          <w:sz w:val="28"/>
          <w:szCs w:val="28"/>
          <w:lang w:eastAsia="zh-CN"/>
        </w:rPr>
      </w:pPr>
    </w:p>
    <w:p w14:paraId="129623BC">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b/>
          <w:bCs/>
          <w:color w:val="auto"/>
          <w:sz w:val="28"/>
          <w:szCs w:val="28"/>
          <w:lang w:eastAsia="zh-CN"/>
        </w:rPr>
      </w:pPr>
    </w:p>
    <w:p w14:paraId="35AD4EB0">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b/>
          <w:bCs/>
          <w:color w:val="auto"/>
          <w:sz w:val="28"/>
          <w:szCs w:val="28"/>
          <w:lang w:eastAsia="zh-CN"/>
        </w:rPr>
      </w:pPr>
    </w:p>
    <w:p w14:paraId="1F86369B">
      <w:pPr>
        <w:pStyle w:val="10"/>
        <w:rPr>
          <w:rFonts w:hint="eastAsia"/>
          <w:lang w:eastAsia="zh-CN"/>
        </w:rPr>
      </w:pPr>
    </w:p>
    <w:p w14:paraId="626A2BD2">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b/>
          <w:bCs/>
          <w:color w:val="auto"/>
          <w:sz w:val="28"/>
          <w:szCs w:val="28"/>
          <w:lang w:eastAsia="zh-CN"/>
        </w:rPr>
      </w:pPr>
    </w:p>
    <w:p w14:paraId="050AC19D">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b/>
          <w:bCs/>
          <w:color w:val="auto"/>
          <w:sz w:val="28"/>
          <w:szCs w:val="28"/>
          <w:lang w:eastAsia="zh-CN"/>
        </w:rPr>
      </w:pPr>
    </w:p>
    <w:p w14:paraId="1FA7EC34">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b/>
          <w:bCs/>
          <w:color w:val="auto"/>
          <w:sz w:val="28"/>
          <w:szCs w:val="28"/>
          <w:lang w:eastAsia="zh-CN"/>
        </w:rPr>
      </w:pPr>
    </w:p>
    <w:p w14:paraId="7194D777">
      <w:pPr>
        <w:pStyle w:val="5"/>
        <w:rPr>
          <w:rFonts w:hint="eastAsia"/>
          <w:lang w:eastAsia="zh-CN"/>
        </w:rPr>
      </w:pPr>
    </w:p>
    <w:p w14:paraId="213015A0">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b/>
          <w:bCs/>
          <w:color w:val="auto"/>
          <w:sz w:val="28"/>
          <w:szCs w:val="28"/>
          <w:lang w:eastAsia="zh-CN"/>
        </w:rPr>
      </w:pPr>
    </w:p>
    <w:p w14:paraId="7744728B">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b/>
          <w:bCs/>
          <w:color w:val="auto"/>
          <w:sz w:val="28"/>
          <w:szCs w:val="28"/>
          <w:lang w:eastAsia="zh-CN"/>
        </w:rPr>
      </w:pPr>
      <w:r>
        <w:rPr>
          <w:rFonts w:hint="eastAsia" w:asciiTheme="minorEastAsia" w:hAnsiTheme="minorEastAsia" w:eastAsiaTheme="minorEastAsia" w:cstheme="minorEastAsia"/>
          <w:b/>
          <w:bCs/>
          <w:color w:val="auto"/>
          <w:sz w:val="28"/>
          <w:szCs w:val="28"/>
          <w:lang w:eastAsia="zh-CN"/>
        </w:rPr>
        <w:t>附件</w:t>
      </w:r>
      <w:r>
        <w:rPr>
          <w:rFonts w:hint="eastAsia" w:asciiTheme="minorEastAsia" w:hAnsiTheme="minorEastAsia" w:eastAsiaTheme="minorEastAsia" w:cstheme="minorEastAsia"/>
          <w:b/>
          <w:bCs/>
          <w:color w:val="auto"/>
          <w:sz w:val="28"/>
          <w:szCs w:val="28"/>
          <w:lang w:val="en-US" w:eastAsia="zh-CN"/>
        </w:rPr>
        <w:t>2：</w:t>
      </w:r>
      <w:bookmarkStart w:id="68" w:name="p45"/>
      <w:r>
        <w:rPr>
          <w:rFonts w:hint="eastAsia" w:asciiTheme="minorEastAsia" w:hAnsiTheme="minorEastAsia" w:eastAsiaTheme="minorEastAsia" w:cstheme="minorEastAsia"/>
          <w:b/>
          <w:bCs/>
          <w:color w:val="auto"/>
          <w:sz w:val="28"/>
          <w:szCs w:val="28"/>
          <w:lang w:eastAsia="zh-CN"/>
        </w:rPr>
        <w:t>满意度调查记录表</w:t>
      </w:r>
      <w:bookmarkEnd w:id="68"/>
    </w:p>
    <w:p w14:paraId="107A9D68">
      <w:pPr>
        <w:pStyle w:val="10"/>
        <w:rPr>
          <w:rFonts w:hint="eastAsia"/>
          <w:color w:val="auto"/>
        </w:rPr>
      </w:pPr>
    </w:p>
    <w:tbl>
      <w:tblPr>
        <w:tblStyle w:val="23"/>
        <w:tblW w:w="95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024"/>
        <w:gridCol w:w="292"/>
        <w:gridCol w:w="720"/>
        <w:gridCol w:w="813"/>
        <w:gridCol w:w="363"/>
        <w:gridCol w:w="984"/>
        <w:gridCol w:w="453"/>
        <w:gridCol w:w="1347"/>
        <w:gridCol w:w="3078"/>
      </w:tblGrid>
      <w:tr w14:paraId="19998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492" w:type="dxa"/>
            <w:gridSpan w:val="2"/>
            <w:vAlign w:val="center"/>
          </w:tcPr>
          <w:p w14:paraId="5EB5D9FC">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pacing w:val="-14"/>
                <w:sz w:val="21"/>
                <w:szCs w:val="21"/>
              </w:rPr>
            </w:pPr>
            <w:r>
              <w:rPr>
                <w:rFonts w:hint="eastAsia" w:asciiTheme="minorEastAsia" w:hAnsiTheme="minorEastAsia" w:eastAsiaTheme="minorEastAsia" w:cstheme="minorEastAsia"/>
                <w:color w:val="auto"/>
                <w:spacing w:val="-14"/>
                <w:sz w:val="21"/>
                <w:szCs w:val="21"/>
                <w:lang w:val="en-US" w:eastAsia="zh-CN"/>
              </w:rPr>
              <w:t>物业公司</w:t>
            </w:r>
            <w:r>
              <w:rPr>
                <w:rFonts w:hint="eastAsia" w:asciiTheme="minorEastAsia" w:hAnsiTheme="minorEastAsia" w:eastAsiaTheme="minorEastAsia" w:cstheme="minorEastAsia"/>
                <w:color w:val="auto"/>
                <w:spacing w:val="-14"/>
                <w:sz w:val="21"/>
                <w:szCs w:val="21"/>
              </w:rPr>
              <w:t>名称</w:t>
            </w:r>
          </w:p>
        </w:tc>
        <w:tc>
          <w:tcPr>
            <w:tcW w:w="3625" w:type="dxa"/>
            <w:gridSpan w:val="6"/>
            <w:vAlign w:val="center"/>
          </w:tcPr>
          <w:p w14:paraId="698591B6">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1"/>
                <w:szCs w:val="21"/>
              </w:rPr>
            </w:pPr>
          </w:p>
        </w:tc>
        <w:tc>
          <w:tcPr>
            <w:tcW w:w="1347" w:type="dxa"/>
            <w:vAlign w:val="center"/>
          </w:tcPr>
          <w:p w14:paraId="74119403">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调查人</w:t>
            </w:r>
          </w:p>
        </w:tc>
        <w:tc>
          <w:tcPr>
            <w:tcW w:w="3078" w:type="dxa"/>
            <w:vAlign w:val="center"/>
          </w:tcPr>
          <w:p w14:paraId="3DB2FB7A">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1"/>
                <w:szCs w:val="21"/>
              </w:rPr>
            </w:pPr>
          </w:p>
        </w:tc>
      </w:tr>
      <w:tr w14:paraId="18C11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492" w:type="dxa"/>
            <w:gridSpan w:val="2"/>
            <w:vAlign w:val="center"/>
          </w:tcPr>
          <w:p w14:paraId="3E134946">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业主单位</w:t>
            </w:r>
            <w:r>
              <w:rPr>
                <w:rFonts w:hint="eastAsia" w:asciiTheme="minorEastAsia" w:hAnsiTheme="minorEastAsia" w:eastAsiaTheme="minorEastAsia" w:cstheme="minorEastAsia"/>
                <w:color w:val="auto"/>
                <w:sz w:val="21"/>
                <w:szCs w:val="21"/>
              </w:rPr>
              <w:t>名称</w:t>
            </w:r>
          </w:p>
        </w:tc>
        <w:tc>
          <w:tcPr>
            <w:tcW w:w="3625" w:type="dxa"/>
            <w:gridSpan w:val="6"/>
            <w:vAlign w:val="center"/>
          </w:tcPr>
          <w:p w14:paraId="360F067B">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1"/>
                <w:szCs w:val="21"/>
              </w:rPr>
            </w:pPr>
          </w:p>
        </w:tc>
        <w:tc>
          <w:tcPr>
            <w:tcW w:w="1347" w:type="dxa"/>
            <w:vAlign w:val="center"/>
          </w:tcPr>
          <w:p w14:paraId="564EBCEF">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日</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期</w:t>
            </w:r>
          </w:p>
        </w:tc>
        <w:tc>
          <w:tcPr>
            <w:tcW w:w="3078" w:type="dxa"/>
            <w:vAlign w:val="center"/>
          </w:tcPr>
          <w:p w14:paraId="312251FB">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1"/>
                <w:szCs w:val="21"/>
              </w:rPr>
            </w:pPr>
          </w:p>
        </w:tc>
      </w:tr>
      <w:tr w14:paraId="769FF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Align w:val="center"/>
          </w:tcPr>
          <w:p w14:paraId="196C5F47">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序号</w:t>
            </w:r>
          </w:p>
        </w:tc>
        <w:tc>
          <w:tcPr>
            <w:tcW w:w="1316" w:type="dxa"/>
            <w:gridSpan w:val="2"/>
            <w:vAlign w:val="center"/>
          </w:tcPr>
          <w:p w14:paraId="4C7A3120">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调查项目</w:t>
            </w:r>
          </w:p>
        </w:tc>
        <w:tc>
          <w:tcPr>
            <w:tcW w:w="720" w:type="dxa"/>
            <w:vAlign w:val="center"/>
          </w:tcPr>
          <w:p w14:paraId="7E34C561">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满意</w:t>
            </w:r>
          </w:p>
        </w:tc>
        <w:tc>
          <w:tcPr>
            <w:tcW w:w="813" w:type="dxa"/>
            <w:vAlign w:val="center"/>
          </w:tcPr>
          <w:p w14:paraId="19F9486F">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基本</w:t>
            </w:r>
          </w:p>
          <w:p w14:paraId="0066E339">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满意</w:t>
            </w:r>
          </w:p>
        </w:tc>
        <w:tc>
          <w:tcPr>
            <w:tcW w:w="363" w:type="dxa"/>
            <w:vAlign w:val="center"/>
          </w:tcPr>
          <w:p w14:paraId="725BB7DC">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一般</w:t>
            </w:r>
          </w:p>
        </w:tc>
        <w:tc>
          <w:tcPr>
            <w:tcW w:w="984" w:type="dxa"/>
            <w:vAlign w:val="center"/>
          </w:tcPr>
          <w:p w14:paraId="1EFFD2D1">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不太</w:t>
            </w:r>
          </w:p>
          <w:p w14:paraId="1C61BC80">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满意</w:t>
            </w:r>
          </w:p>
        </w:tc>
        <w:tc>
          <w:tcPr>
            <w:tcW w:w="453" w:type="dxa"/>
            <w:vAlign w:val="center"/>
          </w:tcPr>
          <w:p w14:paraId="60975DB2">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不满意</w:t>
            </w:r>
          </w:p>
        </w:tc>
        <w:tc>
          <w:tcPr>
            <w:tcW w:w="4425" w:type="dxa"/>
            <w:gridSpan w:val="2"/>
            <w:vAlign w:val="center"/>
          </w:tcPr>
          <w:p w14:paraId="7B93D69F">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请您简单叙述您不满意的主要原因，并提出您的宝贵意见和建议（位置不够可写于背面或另附页）</w:t>
            </w:r>
          </w:p>
        </w:tc>
      </w:tr>
      <w:tr w14:paraId="40341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Align w:val="center"/>
          </w:tcPr>
          <w:p w14:paraId="2F083209">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p>
        </w:tc>
        <w:tc>
          <w:tcPr>
            <w:tcW w:w="1316" w:type="dxa"/>
            <w:gridSpan w:val="2"/>
            <w:vAlign w:val="center"/>
          </w:tcPr>
          <w:p w14:paraId="3685E8D9">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人员素质</w:t>
            </w:r>
          </w:p>
        </w:tc>
        <w:tc>
          <w:tcPr>
            <w:tcW w:w="720" w:type="dxa"/>
            <w:vAlign w:val="center"/>
          </w:tcPr>
          <w:p w14:paraId="6AD5C0E7">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1"/>
                <w:szCs w:val="21"/>
              </w:rPr>
            </w:pPr>
          </w:p>
        </w:tc>
        <w:tc>
          <w:tcPr>
            <w:tcW w:w="813" w:type="dxa"/>
            <w:vAlign w:val="center"/>
          </w:tcPr>
          <w:p w14:paraId="11AC168E">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1"/>
                <w:szCs w:val="21"/>
              </w:rPr>
            </w:pPr>
          </w:p>
        </w:tc>
        <w:tc>
          <w:tcPr>
            <w:tcW w:w="363" w:type="dxa"/>
            <w:vAlign w:val="center"/>
          </w:tcPr>
          <w:p w14:paraId="3F8B5A35">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1"/>
                <w:szCs w:val="21"/>
              </w:rPr>
            </w:pPr>
          </w:p>
        </w:tc>
        <w:tc>
          <w:tcPr>
            <w:tcW w:w="984" w:type="dxa"/>
            <w:vAlign w:val="center"/>
          </w:tcPr>
          <w:p w14:paraId="2F884934">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1"/>
                <w:szCs w:val="21"/>
              </w:rPr>
            </w:pPr>
          </w:p>
        </w:tc>
        <w:tc>
          <w:tcPr>
            <w:tcW w:w="453" w:type="dxa"/>
            <w:vAlign w:val="center"/>
          </w:tcPr>
          <w:p w14:paraId="21675A3E">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1"/>
                <w:szCs w:val="21"/>
              </w:rPr>
            </w:pPr>
          </w:p>
        </w:tc>
        <w:tc>
          <w:tcPr>
            <w:tcW w:w="4425" w:type="dxa"/>
            <w:gridSpan w:val="2"/>
            <w:vMerge w:val="restart"/>
            <w:vAlign w:val="center"/>
          </w:tcPr>
          <w:p w14:paraId="758358F5">
            <w:pPr>
              <w:pageBreakBefore w:val="0"/>
              <w:kinsoku/>
              <w:overflowPunct/>
              <w:topLinePunct w:val="0"/>
              <w:autoSpaceDE/>
              <w:autoSpaceDN/>
              <w:bidi w:val="0"/>
              <w:spacing w:line="500" w:lineRule="exact"/>
              <w:textAlignment w:val="auto"/>
              <w:rPr>
                <w:rFonts w:hint="eastAsia" w:asciiTheme="minorEastAsia" w:hAnsiTheme="minorEastAsia" w:eastAsiaTheme="minorEastAsia" w:cstheme="minorEastAsia"/>
                <w:color w:val="auto"/>
                <w:sz w:val="21"/>
                <w:szCs w:val="21"/>
              </w:rPr>
            </w:pPr>
          </w:p>
          <w:p w14:paraId="3BC74264">
            <w:pPr>
              <w:pageBreakBefore w:val="0"/>
              <w:kinsoku/>
              <w:overflowPunct/>
              <w:topLinePunct w:val="0"/>
              <w:autoSpaceDE/>
              <w:autoSpaceDN/>
              <w:bidi w:val="0"/>
              <w:spacing w:line="500" w:lineRule="exact"/>
              <w:textAlignment w:val="auto"/>
              <w:rPr>
                <w:rFonts w:hint="eastAsia" w:asciiTheme="minorEastAsia" w:hAnsiTheme="minorEastAsia" w:eastAsiaTheme="minorEastAsia" w:cstheme="minorEastAsia"/>
                <w:color w:val="auto"/>
                <w:sz w:val="21"/>
                <w:szCs w:val="21"/>
              </w:rPr>
            </w:pPr>
          </w:p>
          <w:p w14:paraId="208EBE52">
            <w:pPr>
              <w:pageBreakBefore w:val="0"/>
              <w:kinsoku/>
              <w:overflowPunct/>
              <w:topLinePunct w:val="0"/>
              <w:autoSpaceDE/>
              <w:autoSpaceDN/>
              <w:bidi w:val="0"/>
              <w:spacing w:line="500" w:lineRule="exact"/>
              <w:textAlignment w:val="auto"/>
              <w:rPr>
                <w:rFonts w:hint="eastAsia" w:asciiTheme="minorEastAsia" w:hAnsiTheme="minorEastAsia" w:eastAsiaTheme="minorEastAsia" w:cstheme="minorEastAsia"/>
                <w:color w:val="auto"/>
                <w:sz w:val="21"/>
                <w:szCs w:val="21"/>
              </w:rPr>
            </w:pPr>
          </w:p>
          <w:p w14:paraId="0FEADB34">
            <w:pPr>
              <w:pageBreakBefore w:val="0"/>
              <w:kinsoku/>
              <w:overflowPunct/>
              <w:topLinePunct w:val="0"/>
              <w:autoSpaceDE/>
              <w:autoSpaceDN/>
              <w:bidi w:val="0"/>
              <w:spacing w:line="500" w:lineRule="exact"/>
              <w:textAlignment w:val="auto"/>
              <w:rPr>
                <w:rFonts w:hint="eastAsia" w:asciiTheme="minorEastAsia" w:hAnsiTheme="minorEastAsia" w:eastAsiaTheme="minorEastAsia" w:cstheme="minorEastAsia"/>
                <w:color w:val="auto"/>
                <w:sz w:val="21"/>
                <w:szCs w:val="21"/>
              </w:rPr>
            </w:pPr>
          </w:p>
          <w:p w14:paraId="0462DCF8">
            <w:pPr>
              <w:pageBreakBefore w:val="0"/>
              <w:kinsoku/>
              <w:overflowPunct/>
              <w:topLinePunct w:val="0"/>
              <w:autoSpaceDE/>
              <w:autoSpaceDN/>
              <w:bidi w:val="0"/>
              <w:spacing w:line="500" w:lineRule="exact"/>
              <w:textAlignment w:val="auto"/>
              <w:rPr>
                <w:rFonts w:hint="eastAsia" w:asciiTheme="minorEastAsia" w:hAnsiTheme="minorEastAsia" w:eastAsiaTheme="minorEastAsia" w:cstheme="minorEastAsia"/>
                <w:color w:val="auto"/>
                <w:sz w:val="21"/>
                <w:szCs w:val="21"/>
              </w:rPr>
            </w:pPr>
          </w:p>
          <w:p w14:paraId="13706BA8">
            <w:pPr>
              <w:pageBreakBefore w:val="0"/>
              <w:kinsoku/>
              <w:overflowPunct/>
              <w:topLinePunct w:val="0"/>
              <w:autoSpaceDE/>
              <w:autoSpaceDN/>
              <w:bidi w:val="0"/>
              <w:spacing w:line="500" w:lineRule="exact"/>
              <w:textAlignment w:val="auto"/>
              <w:rPr>
                <w:rFonts w:hint="eastAsia" w:asciiTheme="minorEastAsia" w:hAnsiTheme="minorEastAsia" w:eastAsiaTheme="minorEastAsia" w:cstheme="minorEastAsia"/>
                <w:color w:val="auto"/>
                <w:sz w:val="21"/>
                <w:szCs w:val="21"/>
              </w:rPr>
            </w:pPr>
          </w:p>
          <w:p w14:paraId="6D05002F">
            <w:pPr>
              <w:pageBreakBefore w:val="0"/>
              <w:kinsoku/>
              <w:overflowPunct/>
              <w:topLinePunct w:val="0"/>
              <w:autoSpaceDE/>
              <w:autoSpaceDN/>
              <w:bidi w:val="0"/>
              <w:spacing w:line="500" w:lineRule="exact"/>
              <w:textAlignment w:val="auto"/>
              <w:rPr>
                <w:rFonts w:hint="eastAsia" w:asciiTheme="minorEastAsia" w:hAnsiTheme="minorEastAsia" w:eastAsiaTheme="minorEastAsia" w:cstheme="minorEastAsia"/>
                <w:color w:val="auto"/>
                <w:sz w:val="21"/>
                <w:szCs w:val="21"/>
              </w:rPr>
            </w:pPr>
          </w:p>
          <w:p w14:paraId="11DC4DA3">
            <w:pPr>
              <w:pageBreakBefore w:val="0"/>
              <w:kinsoku/>
              <w:overflowPunct/>
              <w:topLinePunct w:val="0"/>
              <w:autoSpaceDE/>
              <w:autoSpaceDN/>
              <w:bidi w:val="0"/>
              <w:spacing w:line="500" w:lineRule="exact"/>
              <w:ind w:firstLine="1890" w:firstLineChars="9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客户签名：   </w:t>
            </w:r>
          </w:p>
          <w:p w14:paraId="1A4D9EBD">
            <w:pPr>
              <w:pageBreakBefore w:val="0"/>
              <w:kinsoku/>
              <w:overflowPunct/>
              <w:topLinePunct w:val="0"/>
              <w:autoSpaceDE/>
              <w:autoSpaceDN/>
              <w:bidi w:val="0"/>
              <w:spacing w:line="500" w:lineRule="exact"/>
              <w:ind w:firstLine="2310" w:firstLineChars="11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日期:</w:t>
            </w:r>
          </w:p>
        </w:tc>
      </w:tr>
      <w:tr w14:paraId="34028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Align w:val="center"/>
          </w:tcPr>
          <w:p w14:paraId="1D82F6E3">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w:t>
            </w:r>
          </w:p>
        </w:tc>
        <w:tc>
          <w:tcPr>
            <w:tcW w:w="1316" w:type="dxa"/>
            <w:gridSpan w:val="2"/>
            <w:vAlign w:val="center"/>
          </w:tcPr>
          <w:p w14:paraId="5996F141">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服务时效</w:t>
            </w:r>
          </w:p>
        </w:tc>
        <w:tc>
          <w:tcPr>
            <w:tcW w:w="720" w:type="dxa"/>
            <w:vAlign w:val="center"/>
          </w:tcPr>
          <w:p w14:paraId="715FCDA2">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1"/>
                <w:szCs w:val="21"/>
              </w:rPr>
            </w:pPr>
          </w:p>
        </w:tc>
        <w:tc>
          <w:tcPr>
            <w:tcW w:w="813" w:type="dxa"/>
            <w:vAlign w:val="center"/>
          </w:tcPr>
          <w:p w14:paraId="1B22FF1C">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1"/>
                <w:szCs w:val="21"/>
              </w:rPr>
            </w:pPr>
          </w:p>
        </w:tc>
        <w:tc>
          <w:tcPr>
            <w:tcW w:w="363" w:type="dxa"/>
            <w:vAlign w:val="center"/>
          </w:tcPr>
          <w:p w14:paraId="49DA635F">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1"/>
                <w:szCs w:val="21"/>
              </w:rPr>
            </w:pPr>
          </w:p>
        </w:tc>
        <w:tc>
          <w:tcPr>
            <w:tcW w:w="984" w:type="dxa"/>
            <w:vAlign w:val="center"/>
          </w:tcPr>
          <w:p w14:paraId="157E9A2E">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1"/>
                <w:szCs w:val="21"/>
              </w:rPr>
            </w:pPr>
          </w:p>
        </w:tc>
        <w:tc>
          <w:tcPr>
            <w:tcW w:w="453" w:type="dxa"/>
            <w:vAlign w:val="center"/>
          </w:tcPr>
          <w:p w14:paraId="753FC402">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1"/>
                <w:szCs w:val="21"/>
              </w:rPr>
            </w:pPr>
          </w:p>
        </w:tc>
        <w:tc>
          <w:tcPr>
            <w:tcW w:w="4425" w:type="dxa"/>
            <w:gridSpan w:val="2"/>
            <w:vMerge w:val="continue"/>
            <w:vAlign w:val="center"/>
          </w:tcPr>
          <w:p w14:paraId="20D914D2">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1"/>
                <w:szCs w:val="21"/>
              </w:rPr>
            </w:pPr>
          </w:p>
        </w:tc>
      </w:tr>
      <w:tr w14:paraId="15A52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Align w:val="center"/>
          </w:tcPr>
          <w:p w14:paraId="161F9EC6">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w:t>
            </w:r>
          </w:p>
        </w:tc>
        <w:tc>
          <w:tcPr>
            <w:tcW w:w="1316" w:type="dxa"/>
            <w:gridSpan w:val="2"/>
            <w:vAlign w:val="center"/>
          </w:tcPr>
          <w:p w14:paraId="741C6A92">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投诉处理</w:t>
            </w:r>
          </w:p>
        </w:tc>
        <w:tc>
          <w:tcPr>
            <w:tcW w:w="720" w:type="dxa"/>
            <w:vAlign w:val="center"/>
          </w:tcPr>
          <w:p w14:paraId="4A70C995">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1"/>
                <w:szCs w:val="21"/>
              </w:rPr>
            </w:pPr>
          </w:p>
        </w:tc>
        <w:tc>
          <w:tcPr>
            <w:tcW w:w="813" w:type="dxa"/>
            <w:vAlign w:val="center"/>
          </w:tcPr>
          <w:p w14:paraId="1035F31B">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1"/>
                <w:szCs w:val="21"/>
              </w:rPr>
            </w:pPr>
          </w:p>
        </w:tc>
        <w:tc>
          <w:tcPr>
            <w:tcW w:w="363" w:type="dxa"/>
            <w:vAlign w:val="center"/>
          </w:tcPr>
          <w:p w14:paraId="72C9834B">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1"/>
                <w:szCs w:val="21"/>
              </w:rPr>
            </w:pPr>
          </w:p>
        </w:tc>
        <w:tc>
          <w:tcPr>
            <w:tcW w:w="984" w:type="dxa"/>
            <w:vAlign w:val="center"/>
          </w:tcPr>
          <w:p w14:paraId="62DC7FB9">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1"/>
                <w:szCs w:val="21"/>
              </w:rPr>
            </w:pPr>
          </w:p>
        </w:tc>
        <w:tc>
          <w:tcPr>
            <w:tcW w:w="453" w:type="dxa"/>
            <w:vAlign w:val="center"/>
          </w:tcPr>
          <w:p w14:paraId="73141104">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1"/>
                <w:szCs w:val="21"/>
              </w:rPr>
            </w:pPr>
          </w:p>
        </w:tc>
        <w:tc>
          <w:tcPr>
            <w:tcW w:w="4425" w:type="dxa"/>
            <w:gridSpan w:val="2"/>
            <w:vMerge w:val="continue"/>
            <w:vAlign w:val="center"/>
          </w:tcPr>
          <w:p w14:paraId="10137495">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1"/>
                <w:szCs w:val="21"/>
              </w:rPr>
            </w:pPr>
          </w:p>
        </w:tc>
      </w:tr>
      <w:tr w14:paraId="6B4A3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Align w:val="center"/>
          </w:tcPr>
          <w:p w14:paraId="2661FBE1">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w:t>
            </w:r>
          </w:p>
        </w:tc>
        <w:tc>
          <w:tcPr>
            <w:tcW w:w="1316" w:type="dxa"/>
            <w:gridSpan w:val="2"/>
            <w:vAlign w:val="center"/>
          </w:tcPr>
          <w:p w14:paraId="448596C7">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维修服务</w:t>
            </w:r>
          </w:p>
        </w:tc>
        <w:tc>
          <w:tcPr>
            <w:tcW w:w="720" w:type="dxa"/>
            <w:vAlign w:val="center"/>
          </w:tcPr>
          <w:p w14:paraId="20EFB618">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1"/>
                <w:szCs w:val="21"/>
              </w:rPr>
            </w:pPr>
          </w:p>
        </w:tc>
        <w:tc>
          <w:tcPr>
            <w:tcW w:w="813" w:type="dxa"/>
            <w:vAlign w:val="center"/>
          </w:tcPr>
          <w:p w14:paraId="2ED65AFD">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1"/>
                <w:szCs w:val="21"/>
              </w:rPr>
            </w:pPr>
          </w:p>
        </w:tc>
        <w:tc>
          <w:tcPr>
            <w:tcW w:w="363" w:type="dxa"/>
            <w:vAlign w:val="center"/>
          </w:tcPr>
          <w:p w14:paraId="6905F21C">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1"/>
                <w:szCs w:val="21"/>
              </w:rPr>
            </w:pPr>
          </w:p>
        </w:tc>
        <w:tc>
          <w:tcPr>
            <w:tcW w:w="984" w:type="dxa"/>
            <w:vAlign w:val="center"/>
          </w:tcPr>
          <w:p w14:paraId="09977812">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1"/>
                <w:szCs w:val="21"/>
              </w:rPr>
            </w:pPr>
          </w:p>
        </w:tc>
        <w:tc>
          <w:tcPr>
            <w:tcW w:w="453" w:type="dxa"/>
            <w:vAlign w:val="center"/>
          </w:tcPr>
          <w:p w14:paraId="6AC0A5B3">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1"/>
                <w:szCs w:val="21"/>
              </w:rPr>
            </w:pPr>
          </w:p>
        </w:tc>
        <w:tc>
          <w:tcPr>
            <w:tcW w:w="4425" w:type="dxa"/>
            <w:gridSpan w:val="2"/>
            <w:vMerge w:val="continue"/>
            <w:vAlign w:val="center"/>
          </w:tcPr>
          <w:p w14:paraId="1F3C54CE">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1"/>
                <w:szCs w:val="21"/>
              </w:rPr>
            </w:pPr>
          </w:p>
        </w:tc>
      </w:tr>
      <w:tr w14:paraId="529E2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Align w:val="center"/>
          </w:tcPr>
          <w:p w14:paraId="48F718FF">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w:t>
            </w:r>
          </w:p>
        </w:tc>
        <w:tc>
          <w:tcPr>
            <w:tcW w:w="1316" w:type="dxa"/>
            <w:gridSpan w:val="2"/>
            <w:vAlign w:val="center"/>
          </w:tcPr>
          <w:p w14:paraId="37ED9EAD">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车辆管理</w:t>
            </w:r>
          </w:p>
        </w:tc>
        <w:tc>
          <w:tcPr>
            <w:tcW w:w="720" w:type="dxa"/>
            <w:vAlign w:val="center"/>
          </w:tcPr>
          <w:p w14:paraId="0EB4069A">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1"/>
                <w:szCs w:val="21"/>
              </w:rPr>
            </w:pPr>
          </w:p>
        </w:tc>
        <w:tc>
          <w:tcPr>
            <w:tcW w:w="813" w:type="dxa"/>
            <w:vAlign w:val="center"/>
          </w:tcPr>
          <w:p w14:paraId="40A8D856">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1"/>
                <w:szCs w:val="21"/>
              </w:rPr>
            </w:pPr>
          </w:p>
        </w:tc>
        <w:tc>
          <w:tcPr>
            <w:tcW w:w="363" w:type="dxa"/>
            <w:vAlign w:val="center"/>
          </w:tcPr>
          <w:p w14:paraId="1F1B0DFF">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1"/>
                <w:szCs w:val="21"/>
              </w:rPr>
            </w:pPr>
          </w:p>
        </w:tc>
        <w:tc>
          <w:tcPr>
            <w:tcW w:w="984" w:type="dxa"/>
            <w:vAlign w:val="center"/>
          </w:tcPr>
          <w:p w14:paraId="263E1769">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1"/>
                <w:szCs w:val="21"/>
              </w:rPr>
            </w:pPr>
          </w:p>
        </w:tc>
        <w:tc>
          <w:tcPr>
            <w:tcW w:w="453" w:type="dxa"/>
            <w:vAlign w:val="center"/>
          </w:tcPr>
          <w:p w14:paraId="342D28DD">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1"/>
                <w:szCs w:val="21"/>
              </w:rPr>
            </w:pPr>
          </w:p>
        </w:tc>
        <w:tc>
          <w:tcPr>
            <w:tcW w:w="4425" w:type="dxa"/>
            <w:gridSpan w:val="2"/>
            <w:vMerge w:val="continue"/>
            <w:vAlign w:val="center"/>
          </w:tcPr>
          <w:p w14:paraId="61F062DE">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1"/>
                <w:szCs w:val="21"/>
              </w:rPr>
            </w:pPr>
          </w:p>
        </w:tc>
      </w:tr>
      <w:tr w14:paraId="2F9E5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Align w:val="center"/>
          </w:tcPr>
          <w:p w14:paraId="0E64CF28">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w:t>
            </w:r>
          </w:p>
        </w:tc>
        <w:tc>
          <w:tcPr>
            <w:tcW w:w="1316" w:type="dxa"/>
            <w:gridSpan w:val="2"/>
            <w:vAlign w:val="center"/>
          </w:tcPr>
          <w:p w14:paraId="2EC872F2">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消防管理</w:t>
            </w:r>
          </w:p>
        </w:tc>
        <w:tc>
          <w:tcPr>
            <w:tcW w:w="720" w:type="dxa"/>
            <w:vAlign w:val="center"/>
          </w:tcPr>
          <w:p w14:paraId="7BE3904A">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1"/>
                <w:szCs w:val="21"/>
              </w:rPr>
            </w:pPr>
          </w:p>
        </w:tc>
        <w:tc>
          <w:tcPr>
            <w:tcW w:w="813" w:type="dxa"/>
            <w:vAlign w:val="center"/>
          </w:tcPr>
          <w:p w14:paraId="277F00A0">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1"/>
                <w:szCs w:val="21"/>
              </w:rPr>
            </w:pPr>
          </w:p>
        </w:tc>
        <w:tc>
          <w:tcPr>
            <w:tcW w:w="363" w:type="dxa"/>
            <w:vAlign w:val="center"/>
          </w:tcPr>
          <w:p w14:paraId="0CE457E6">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1"/>
                <w:szCs w:val="21"/>
              </w:rPr>
            </w:pPr>
          </w:p>
        </w:tc>
        <w:tc>
          <w:tcPr>
            <w:tcW w:w="984" w:type="dxa"/>
            <w:vAlign w:val="center"/>
          </w:tcPr>
          <w:p w14:paraId="4B702CA4">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1"/>
                <w:szCs w:val="21"/>
              </w:rPr>
            </w:pPr>
          </w:p>
        </w:tc>
        <w:tc>
          <w:tcPr>
            <w:tcW w:w="453" w:type="dxa"/>
            <w:vAlign w:val="center"/>
          </w:tcPr>
          <w:p w14:paraId="2403C531">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1"/>
                <w:szCs w:val="21"/>
              </w:rPr>
            </w:pPr>
          </w:p>
        </w:tc>
        <w:tc>
          <w:tcPr>
            <w:tcW w:w="4425" w:type="dxa"/>
            <w:gridSpan w:val="2"/>
            <w:vMerge w:val="continue"/>
            <w:vAlign w:val="center"/>
          </w:tcPr>
          <w:p w14:paraId="5399CC1C">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1"/>
                <w:szCs w:val="21"/>
              </w:rPr>
            </w:pPr>
          </w:p>
        </w:tc>
      </w:tr>
      <w:tr w14:paraId="45A5A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Align w:val="center"/>
          </w:tcPr>
          <w:p w14:paraId="7EBA99CD">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7</w:t>
            </w:r>
          </w:p>
        </w:tc>
        <w:tc>
          <w:tcPr>
            <w:tcW w:w="1316" w:type="dxa"/>
            <w:gridSpan w:val="2"/>
            <w:vAlign w:val="center"/>
          </w:tcPr>
          <w:p w14:paraId="66DC6CAE">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治安管理</w:t>
            </w:r>
          </w:p>
        </w:tc>
        <w:tc>
          <w:tcPr>
            <w:tcW w:w="720" w:type="dxa"/>
            <w:vAlign w:val="center"/>
          </w:tcPr>
          <w:p w14:paraId="1D4D52DE">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1"/>
                <w:szCs w:val="21"/>
              </w:rPr>
            </w:pPr>
          </w:p>
        </w:tc>
        <w:tc>
          <w:tcPr>
            <w:tcW w:w="813" w:type="dxa"/>
            <w:vAlign w:val="center"/>
          </w:tcPr>
          <w:p w14:paraId="45E4DDDB">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1"/>
                <w:szCs w:val="21"/>
              </w:rPr>
            </w:pPr>
          </w:p>
        </w:tc>
        <w:tc>
          <w:tcPr>
            <w:tcW w:w="363" w:type="dxa"/>
            <w:vAlign w:val="center"/>
          </w:tcPr>
          <w:p w14:paraId="7D919A17">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1"/>
                <w:szCs w:val="21"/>
              </w:rPr>
            </w:pPr>
          </w:p>
        </w:tc>
        <w:tc>
          <w:tcPr>
            <w:tcW w:w="984" w:type="dxa"/>
            <w:vAlign w:val="center"/>
          </w:tcPr>
          <w:p w14:paraId="0E3C61F1">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1"/>
                <w:szCs w:val="21"/>
              </w:rPr>
            </w:pPr>
          </w:p>
        </w:tc>
        <w:tc>
          <w:tcPr>
            <w:tcW w:w="453" w:type="dxa"/>
            <w:vAlign w:val="center"/>
          </w:tcPr>
          <w:p w14:paraId="67698B1D">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1"/>
                <w:szCs w:val="21"/>
              </w:rPr>
            </w:pPr>
          </w:p>
        </w:tc>
        <w:tc>
          <w:tcPr>
            <w:tcW w:w="4425" w:type="dxa"/>
            <w:gridSpan w:val="2"/>
            <w:vMerge w:val="continue"/>
            <w:vAlign w:val="center"/>
          </w:tcPr>
          <w:p w14:paraId="14510D89">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1"/>
                <w:szCs w:val="21"/>
              </w:rPr>
            </w:pPr>
          </w:p>
        </w:tc>
      </w:tr>
      <w:tr w14:paraId="17E81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Align w:val="center"/>
          </w:tcPr>
          <w:p w14:paraId="56FE8250">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8</w:t>
            </w:r>
          </w:p>
        </w:tc>
        <w:tc>
          <w:tcPr>
            <w:tcW w:w="1316" w:type="dxa"/>
            <w:gridSpan w:val="2"/>
            <w:vAlign w:val="center"/>
          </w:tcPr>
          <w:p w14:paraId="4F950C8A">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电梯服务</w:t>
            </w:r>
          </w:p>
        </w:tc>
        <w:tc>
          <w:tcPr>
            <w:tcW w:w="720" w:type="dxa"/>
            <w:vAlign w:val="center"/>
          </w:tcPr>
          <w:p w14:paraId="3BBE786B">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1"/>
                <w:szCs w:val="21"/>
              </w:rPr>
            </w:pPr>
          </w:p>
        </w:tc>
        <w:tc>
          <w:tcPr>
            <w:tcW w:w="813" w:type="dxa"/>
            <w:vAlign w:val="center"/>
          </w:tcPr>
          <w:p w14:paraId="248D94DE">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1"/>
                <w:szCs w:val="21"/>
              </w:rPr>
            </w:pPr>
          </w:p>
        </w:tc>
        <w:tc>
          <w:tcPr>
            <w:tcW w:w="363" w:type="dxa"/>
            <w:vAlign w:val="center"/>
          </w:tcPr>
          <w:p w14:paraId="5FE87832">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1"/>
                <w:szCs w:val="21"/>
              </w:rPr>
            </w:pPr>
          </w:p>
        </w:tc>
        <w:tc>
          <w:tcPr>
            <w:tcW w:w="984" w:type="dxa"/>
            <w:vAlign w:val="center"/>
          </w:tcPr>
          <w:p w14:paraId="093D9BE6">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1"/>
                <w:szCs w:val="21"/>
              </w:rPr>
            </w:pPr>
          </w:p>
        </w:tc>
        <w:tc>
          <w:tcPr>
            <w:tcW w:w="453" w:type="dxa"/>
            <w:vAlign w:val="center"/>
          </w:tcPr>
          <w:p w14:paraId="42A32922">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1"/>
                <w:szCs w:val="21"/>
              </w:rPr>
            </w:pPr>
          </w:p>
        </w:tc>
        <w:tc>
          <w:tcPr>
            <w:tcW w:w="4425" w:type="dxa"/>
            <w:gridSpan w:val="2"/>
            <w:vMerge w:val="continue"/>
            <w:vAlign w:val="center"/>
          </w:tcPr>
          <w:p w14:paraId="1DF268C3">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1"/>
                <w:szCs w:val="21"/>
              </w:rPr>
            </w:pPr>
          </w:p>
        </w:tc>
      </w:tr>
      <w:tr w14:paraId="17C03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Align w:val="center"/>
          </w:tcPr>
          <w:p w14:paraId="50629DBC">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9</w:t>
            </w:r>
          </w:p>
        </w:tc>
        <w:tc>
          <w:tcPr>
            <w:tcW w:w="1316" w:type="dxa"/>
            <w:gridSpan w:val="2"/>
            <w:vAlign w:val="center"/>
          </w:tcPr>
          <w:p w14:paraId="6FB8A411">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装修管理</w:t>
            </w:r>
          </w:p>
        </w:tc>
        <w:tc>
          <w:tcPr>
            <w:tcW w:w="720" w:type="dxa"/>
            <w:vAlign w:val="center"/>
          </w:tcPr>
          <w:p w14:paraId="61DEA7F0">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1"/>
                <w:szCs w:val="21"/>
              </w:rPr>
            </w:pPr>
          </w:p>
        </w:tc>
        <w:tc>
          <w:tcPr>
            <w:tcW w:w="813" w:type="dxa"/>
            <w:vAlign w:val="center"/>
          </w:tcPr>
          <w:p w14:paraId="7E5DF63E">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1"/>
                <w:szCs w:val="21"/>
              </w:rPr>
            </w:pPr>
          </w:p>
        </w:tc>
        <w:tc>
          <w:tcPr>
            <w:tcW w:w="363" w:type="dxa"/>
            <w:vAlign w:val="center"/>
          </w:tcPr>
          <w:p w14:paraId="18A656D5">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1"/>
                <w:szCs w:val="21"/>
              </w:rPr>
            </w:pPr>
          </w:p>
        </w:tc>
        <w:tc>
          <w:tcPr>
            <w:tcW w:w="984" w:type="dxa"/>
            <w:vAlign w:val="center"/>
          </w:tcPr>
          <w:p w14:paraId="73FA1D7E">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1"/>
                <w:szCs w:val="21"/>
              </w:rPr>
            </w:pPr>
          </w:p>
        </w:tc>
        <w:tc>
          <w:tcPr>
            <w:tcW w:w="453" w:type="dxa"/>
            <w:vAlign w:val="center"/>
          </w:tcPr>
          <w:p w14:paraId="4BF600B5">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1"/>
                <w:szCs w:val="21"/>
              </w:rPr>
            </w:pPr>
          </w:p>
        </w:tc>
        <w:tc>
          <w:tcPr>
            <w:tcW w:w="4425" w:type="dxa"/>
            <w:gridSpan w:val="2"/>
            <w:vMerge w:val="continue"/>
            <w:vAlign w:val="center"/>
          </w:tcPr>
          <w:p w14:paraId="5F65B27D">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1"/>
                <w:szCs w:val="21"/>
              </w:rPr>
            </w:pPr>
          </w:p>
        </w:tc>
      </w:tr>
      <w:tr w14:paraId="69088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Align w:val="center"/>
          </w:tcPr>
          <w:p w14:paraId="0904C21A">
            <w:pPr>
              <w:pageBreakBefore w:val="0"/>
              <w:kinsoku/>
              <w:overflowPunct/>
              <w:topLinePunct w:val="0"/>
              <w:autoSpaceDE/>
              <w:autoSpaceDN/>
              <w:bidi w:val="0"/>
              <w:spacing w:line="500" w:lineRule="exact"/>
              <w:jc w:val="center"/>
              <w:textAlignment w:val="auto"/>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10</w:t>
            </w:r>
          </w:p>
        </w:tc>
        <w:tc>
          <w:tcPr>
            <w:tcW w:w="1316" w:type="dxa"/>
            <w:gridSpan w:val="2"/>
            <w:vAlign w:val="center"/>
          </w:tcPr>
          <w:p w14:paraId="78CDA60F">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食品卫生</w:t>
            </w:r>
          </w:p>
        </w:tc>
        <w:tc>
          <w:tcPr>
            <w:tcW w:w="720" w:type="dxa"/>
            <w:vAlign w:val="center"/>
          </w:tcPr>
          <w:p w14:paraId="59AF09B5">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1"/>
                <w:szCs w:val="21"/>
              </w:rPr>
            </w:pPr>
          </w:p>
        </w:tc>
        <w:tc>
          <w:tcPr>
            <w:tcW w:w="813" w:type="dxa"/>
            <w:vAlign w:val="center"/>
          </w:tcPr>
          <w:p w14:paraId="575A622B">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1"/>
                <w:szCs w:val="21"/>
              </w:rPr>
            </w:pPr>
          </w:p>
        </w:tc>
        <w:tc>
          <w:tcPr>
            <w:tcW w:w="363" w:type="dxa"/>
            <w:vAlign w:val="center"/>
          </w:tcPr>
          <w:p w14:paraId="5B41E1F0">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1"/>
                <w:szCs w:val="21"/>
              </w:rPr>
            </w:pPr>
          </w:p>
        </w:tc>
        <w:tc>
          <w:tcPr>
            <w:tcW w:w="984" w:type="dxa"/>
            <w:vAlign w:val="center"/>
          </w:tcPr>
          <w:p w14:paraId="7F7F9379">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1"/>
                <w:szCs w:val="21"/>
              </w:rPr>
            </w:pPr>
          </w:p>
        </w:tc>
        <w:tc>
          <w:tcPr>
            <w:tcW w:w="453" w:type="dxa"/>
            <w:vAlign w:val="center"/>
          </w:tcPr>
          <w:p w14:paraId="4EF225A2">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1"/>
                <w:szCs w:val="21"/>
              </w:rPr>
            </w:pPr>
          </w:p>
        </w:tc>
        <w:tc>
          <w:tcPr>
            <w:tcW w:w="4425" w:type="dxa"/>
            <w:gridSpan w:val="2"/>
            <w:vMerge w:val="continue"/>
            <w:vAlign w:val="center"/>
          </w:tcPr>
          <w:p w14:paraId="74CBE7F5">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1"/>
                <w:szCs w:val="21"/>
              </w:rPr>
            </w:pPr>
          </w:p>
        </w:tc>
      </w:tr>
      <w:tr w14:paraId="164EC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Align w:val="center"/>
          </w:tcPr>
          <w:p w14:paraId="3C4A6A1C">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11</w:t>
            </w:r>
          </w:p>
        </w:tc>
        <w:tc>
          <w:tcPr>
            <w:tcW w:w="1316" w:type="dxa"/>
            <w:gridSpan w:val="2"/>
            <w:vAlign w:val="center"/>
          </w:tcPr>
          <w:p w14:paraId="71C46B38">
            <w:pPr>
              <w:pageBreakBefore w:val="0"/>
              <w:kinsoku/>
              <w:overflowPunct/>
              <w:topLinePunct w:val="0"/>
              <w:autoSpaceDE/>
              <w:autoSpaceDN/>
              <w:bidi w:val="0"/>
              <w:spacing w:line="500" w:lineRule="exact"/>
              <w:jc w:val="center"/>
              <w:textAlignment w:val="auto"/>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环境</w:t>
            </w:r>
            <w:r>
              <w:rPr>
                <w:rFonts w:hint="eastAsia" w:asciiTheme="minorEastAsia" w:hAnsiTheme="minorEastAsia" w:eastAsiaTheme="minorEastAsia" w:cstheme="minorEastAsia"/>
                <w:color w:val="auto"/>
                <w:sz w:val="21"/>
                <w:szCs w:val="21"/>
                <w:lang w:val="en-US" w:eastAsia="zh-CN"/>
              </w:rPr>
              <w:t>卫生</w:t>
            </w:r>
          </w:p>
        </w:tc>
        <w:tc>
          <w:tcPr>
            <w:tcW w:w="720" w:type="dxa"/>
            <w:vAlign w:val="center"/>
          </w:tcPr>
          <w:p w14:paraId="752DF487">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1"/>
                <w:szCs w:val="21"/>
              </w:rPr>
            </w:pPr>
          </w:p>
        </w:tc>
        <w:tc>
          <w:tcPr>
            <w:tcW w:w="813" w:type="dxa"/>
            <w:vAlign w:val="center"/>
          </w:tcPr>
          <w:p w14:paraId="387A0AD6">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1"/>
                <w:szCs w:val="21"/>
              </w:rPr>
            </w:pPr>
          </w:p>
        </w:tc>
        <w:tc>
          <w:tcPr>
            <w:tcW w:w="363" w:type="dxa"/>
            <w:vAlign w:val="center"/>
          </w:tcPr>
          <w:p w14:paraId="57FFA31E">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1"/>
                <w:szCs w:val="21"/>
              </w:rPr>
            </w:pPr>
          </w:p>
        </w:tc>
        <w:tc>
          <w:tcPr>
            <w:tcW w:w="984" w:type="dxa"/>
            <w:vAlign w:val="center"/>
          </w:tcPr>
          <w:p w14:paraId="68BE6403">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1"/>
                <w:szCs w:val="21"/>
              </w:rPr>
            </w:pPr>
          </w:p>
        </w:tc>
        <w:tc>
          <w:tcPr>
            <w:tcW w:w="453" w:type="dxa"/>
            <w:vAlign w:val="center"/>
          </w:tcPr>
          <w:p w14:paraId="27FD7940">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1"/>
                <w:szCs w:val="21"/>
              </w:rPr>
            </w:pPr>
          </w:p>
        </w:tc>
        <w:tc>
          <w:tcPr>
            <w:tcW w:w="4425" w:type="dxa"/>
            <w:gridSpan w:val="2"/>
            <w:vMerge w:val="continue"/>
            <w:vAlign w:val="center"/>
          </w:tcPr>
          <w:p w14:paraId="38793018">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1"/>
                <w:szCs w:val="21"/>
              </w:rPr>
            </w:pPr>
          </w:p>
        </w:tc>
      </w:tr>
      <w:tr w14:paraId="7C516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trPr>
        <w:tc>
          <w:tcPr>
            <w:tcW w:w="2504" w:type="dxa"/>
            <w:gridSpan w:val="4"/>
            <w:tcBorders>
              <w:bottom w:val="single" w:color="auto" w:sz="4" w:space="0"/>
            </w:tcBorders>
            <w:vAlign w:val="center"/>
          </w:tcPr>
          <w:p w14:paraId="45CF4D11">
            <w:pPr>
              <w:pageBreakBefore w:val="0"/>
              <w:kinsoku/>
              <w:overflowPunct/>
              <w:topLinePunct w:val="0"/>
              <w:autoSpaceDE/>
              <w:autoSpaceDN/>
              <w:bidi w:val="0"/>
              <w:spacing w:line="500" w:lineRule="exact"/>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您最满意的工作人员</w:t>
            </w:r>
          </w:p>
        </w:tc>
        <w:tc>
          <w:tcPr>
            <w:tcW w:w="2613" w:type="dxa"/>
            <w:gridSpan w:val="4"/>
            <w:tcBorders>
              <w:bottom w:val="single" w:color="auto" w:sz="4" w:space="0"/>
            </w:tcBorders>
            <w:vAlign w:val="center"/>
          </w:tcPr>
          <w:p w14:paraId="5DC1AE9B">
            <w:pPr>
              <w:pageBreakBefore w:val="0"/>
              <w:kinsoku/>
              <w:overflowPunct/>
              <w:topLinePunct w:val="0"/>
              <w:autoSpaceDE/>
              <w:autoSpaceDN/>
              <w:bidi w:val="0"/>
              <w:spacing w:line="500" w:lineRule="exact"/>
              <w:jc w:val="both"/>
              <w:textAlignment w:val="auto"/>
              <w:rPr>
                <w:rFonts w:hint="eastAsia" w:asciiTheme="minorEastAsia" w:hAnsiTheme="minorEastAsia" w:eastAsiaTheme="minorEastAsia" w:cstheme="minorEastAsia"/>
                <w:color w:val="auto"/>
                <w:sz w:val="21"/>
                <w:szCs w:val="21"/>
              </w:rPr>
            </w:pPr>
          </w:p>
        </w:tc>
        <w:tc>
          <w:tcPr>
            <w:tcW w:w="4425" w:type="dxa"/>
            <w:gridSpan w:val="2"/>
            <w:vMerge w:val="continue"/>
            <w:vAlign w:val="center"/>
          </w:tcPr>
          <w:p w14:paraId="1DC9EAA2">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1"/>
                <w:szCs w:val="21"/>
              </w:rPr>
            </w:pPr>
          </w:p>
        </w:tc>
      </w:tr>
      <w:tr w14:paraId="05A81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2" w:hRule="atLeast"/>
        </w:trPr>
        <w:tc>
          <w:tcPr>
            <w:tcW w:w="2504" w:type="dxa"/>
            <w:gridSpan w:val="4"/>
            <w:vAlign w:val="center"/>
          </w:tcPr>
          <w:p w14:paraId="6CB2DE28">
            <w:pPr>
              <w:pageBreakBefore w:val="0"/>
              <w:kinsoku/>
              <w:overflowPunct/>
              <w:topLinePunct w:val="0"/>
              <w:autoSpaceDE/>
              <w:autoSpaceDN/>
              <w:bidi w:val="0"/>
              <w:spacing w:line="500" w:lineRule="exact"/>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您最不满意的工作人员</w:t>
            </w:r>
          </w:p>
        </w:tc>
        <w:tc>
          <w:tcPr>
            <w:tcW w:w="2613" w:type="dxa"/>
            <w:gridSpan w:val="4"/>
            <w:vAlign w:val="center"/>
          </w:tcPr>
          <w:p w14:paraId="0BB71664">
            <w:pPr>
              <w:pageBreakBefore w:val="0"/>
              <w:kinsoku/>
              <w:overflowPunct/>
              <w:topLinePunct w:val="0"/>
              <w:autoSpaceDE/>
              <w:autoSpaceDN/>
              <w:bidi w:val="0"/>
              <w:spacing w:line="500" w:lineRule="exact"/>
              <w:jc w:val="both"/>
              <w:textAlignment w:val="auto"/>
              <w:rPr>
                <w:rFonts w:hint="eastAsia" w:asciiTheme="minorEastAsia" w:hAnsiTheme="minorEastAsia" w:eastAsiaTheme="minorEastAsia" w:cstheme="minorEastAsia"/>
                <w:color w:val="auto"/>
                <w:sz w:val="21"/>
                <w:szCs w:val="21"/>
              </w:rPr>
            </w:pPr>
          </w:p>
        </w:tc>
        <w:tc>
          <w:tcPr>
            <w:tcW w:w="4425" w:type="dxa"/>
            <w:gridSpan w:val="2"/>
            <w:vMerge w:val="continue"/>
            <w:vAlign w:val="center"/>
          </w:tcPr>
          <w:p w14:paraId="39DE591B">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1"/>
                <w:szCs w:val="21"/>
              </w:rPr>
            </w:pPr>
          </w:p>
        </w:tc>
      </w:tr>
    </w:tbl>
    <w:p w14:paraId="65C10BA8">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注：请您对照您的评价，在相应的栏内打“√”，谢谢合</w:t>
      </w:r>
      <w:bookmarkStart w:id="69" w:name="p47"/>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满意</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9.1-10分，</w:t>
      </w:r>
      <w:r>
        <w:rPr>
          <w:rFonts w:hint="eastAsia" w:asciiTheme="minorEastAsia" w:hAnsiTheme="minorEastAsia" w:eastAsiaTheme="minorEastAsia" w:cstheme="minorEastAsia"/>
          <w:color w:val="auto"/>
          <w:sz w:val="24"/>
          <w:szCs w:val="24"/>
        </w:rPr>
        <w:t>基本</w:t>
      </w:r>
    </w:p>
    <w:p w14:paraId="12E26D42">
      <w:pPr>
        <w:pageBreakBefore w:val="0"/>
        <w:kinsoku/>
        <w:overflowPunct/>
        <w:topLinePunct w:val="0"/>
        <w:autoSpaceDE/>
        <w:autoSpaceDN/>
        <w:bidi w:val="0"/>
        <w:spacing w:line="500" w:lineRule="exact"/>
        <w:jc w:val="center"/>
        <w:textAlignment w:val="auto"/>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满意</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7.1-9.0分，一般：5.1-7.0分，</w:t>
      </w:r>
      <w:r>
        <w:rPr>
          <w:rFonts w:hint="eastAsia" w:asciiTheme="minorEastAsia" w:hAnsiTheme="minorEastAsia" w:eastAsiaTheme="minorEastAsia" w:cstheme="minorEastAsia"/>
          <w:color w:val="auto"/>
          <w:sz w:val="24"/>
          <w:szCs w:val="24"/>
        </w:rPr>
        <w:t>不太满意</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2.1-5.0分，不满意：0-2.0分</w:t>
      </w:r>
    </w:p>
    <w:p w14:paraId="5DCC0067">
      <w:pPr>
        <w:pageBreakBefore w:val="0"/>
        <w:kinsoku/>
        <w:overflowPunct/>
        <w:topLinePunct w:val="0"/>
        <w:autoSpaceDE/>
        <w:autoSpaceDN/>
        <w:bidi w:val="0"/>
        <w:spacing w:line="500" w:lineRule="exac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制表：                    审核：                      批准：</w:t>
      </w:r>
    </w:p>
    <w:p w14:paraId="6969A946">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8"/>
          <w:szCs w:val="28"/>
        </w:rPr>
      </w:pPr>
    </w:p>
    <w:bookmarkEnd w:id="69"/>
    <w:p w14:paraId="20D35CB9">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8"/>
          <w:szCs w:val="28"/>
        </w:rPr>
      </w:pPr>
      <w:bookmarkStart w:id="70" w:name="p46"/>
    </w:p>
    <w:p w14:paraId="778985C2">
      <w:pPr>
        <w:pStyle w:val="10"/>
        <w:rPr>
          <w:rFonts w:hint="eastAsia" w:asciiTheme="minorEastAsia" w:hAnsiTheme="minorEastAsia" w:eastAsiaTheme="minorEastAsia" w:cstheme="minorEastAsia"/>
          <w:color w:val="auto"/>
          <w:sz w:val="28"/>
          <w:szCs w:val="28"/>
        </w:rPr>
      </w:pPr>
    </w:p>
    <w:p w14:paraId="59B7A9D7">
      <w:pPr>
        <w:rPr>
          <w:rFonts w:hint="eastAsia" w:asciiTheme="minorEastAsia" w:hAnsiTheme="minorEastAsia" w:eastAsiaTheme="minorEastAsia" w:cstheme="minorEastAsia"/>
          <w:color w:val="auto"/>
          <w:sz w:val="28"/>
          <w:szCs w:val="28"/>
        </w:rPr>
      </w:pPr>
    </w:p>
    <w:bookmarkEnd w:id="70"/>
    <w:p w14:paraId="755CA627">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lang w:eastAsia="zh-CN"/>
        </w:rPr>
        <w:t>异常问题</w:t>
      </w:r>
      <w:r>
        <w:rPr>
          <w:rFonts w:hint="eastAsia" w:asciiTheme="minorEastAsia" w:hAnsiTheme="minorEastAsia" w:eastAsiaTheme="minorEastAsia" w:cstheme="minorEastAsia"/>
          <w:b/>
          <w:bCs/>
          <w:color w:val="auto"/>
          <w:sz w:val="28"/>
          <w:szCs w:val="28"/>
          <w:lang w:val="en-US" w:eastAsia="zh-CN"/>
        </w:rPr>
        <w:t>/</w:t>
      </w:r>
      <w:r>
        <w:rPr>
          <w:rFonts w:hint="eastAsia" w:asciiTheme="minorEastAsia" w:hAnsiTheme="minorEastAsia" w:eastAsiaTheme="minorEastAsia" w:cstheme="minorEastAsia"/>
          <w:b/>
          <w:bCs/>
          <w:color w:val="auto"/>
          <w:sz w:val="28"/>
          <w:szCs w:val="28"/>
        </w:rPr>
        <w:t>意见（建议）处理表</w:t>
      </w:r>
    </w:p>
    <w:p w14:paraId="61B29424">
      <w:pPr>
        <w:pageBreakBefore w:val="0"/>
        <w:kinsoku/>
        <w:overflowPunct/>
        <w:topLinePunct w:val="0"/>
        <w:autoSpaceDE/>
        <w:autoSpaceDN/>
        <w:bidi w:val="0"/>
        <w:spacing w:line="500" w:lineRule="exact"/>
        <w:ind w:firstLine="7000" w:firstLineChars="25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w:t>
      </w:r>
    </w:p>
    <w:tbl>
      <w:tblPr>
        <w:tblStyle w:val="23"/>
        <w:tblW w:w="8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0"/>
        <w:gridCol w:w="4248"/>
        <w:gridCol w:w="1316"/>
        <w:gridCol w:w="1462"/>
      </w:tblGrid>
      <w:tr w14:paraId="1141B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830" w:type="dxa"/>
            <w:vAlign w:val="center"/>
          </w:tcPr>
          <w:p w14:paraId="29727B45">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pacing w:val="-14"/>
                <w:sz w:val="22"/>
                <w:szCs w:val="22"/>
                <w:lang w:val="en-US" w:eastAsia="zh-CN"/>
              </w:rPr>
              <w:t>物业公司</w:t>
            </w:r>
            <w:r>
              <w:rPr>
                <w:rFonts w:hint="eastAsia" w:asciiTheme="minorEastAsia" w:hAnsiTheme="minorEastAsia" w:eastAsiaTheme="minorEastAsia" w:cstheme="minorEastAsia"/>
                <w:color w:val="auto"/>
                <w:spacing w:val="-14"/>
                <w:sz w:val="22"/>
                <w:szCs w:val="22"/>
              </w:rPr>
              <w:t>名称</w:t>
            </w:r>
          </w:p>
        </w:tc>
        <w:tc>
          <w:tcPr>
            <w:tcW w:w="4248" w:type="dxa"/>
            <w:vAlign w:val="center"/>
          </w:tcPr>
          <w:p w14:paraId="3D7B727D">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8"/>
                <w:szCs w:val="28"/>
              </w:rPr>
            </w:pPr>
          </w:p>
        </w:tc>
        <w:tc>
          <w:tcPr>
            <w:tcW w:w="1316" w:type="dxa"/>
            <w:vAlign w:val="center"/>
          </w:tcPr>
          <w:p w14:paraId="708DFD2E">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2"/>
                <w:szCs w:val="22"/>
              </w:rPr>
              <w:t>调查人</w:t>
            </w:r>
          </w:p>
        </w:tc>
        <w:tc>
          <w:tcPr>
            <w:tcW w:w="1462" w:type="dxa"/>
            <w:vAlign w:val="center"/>
          </w:tcPr>
          <w:p w14:paraId="3367720D">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8"/>
                <w:szCs w:val="28"/>
              </w:rPr>
            </w:pPr>
          </w:p>
        </w:tc>
      </w:tr>
      <w:tr w14:paraId="349CE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830" w:type="dxa"/>
            <w:vAlign w:val="center"/>
          </w:tcPr>
          <w:p w14:paraId="5C0B2DAA">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2"/>
                <w:szCs w:val="22"/>
                <w:lang w:eastAsia="zh-CN"/>
              </w:rPr>
              <w:t>业主单位</w:t>
            </w:r>
            <w:r>
              <w:rPr>
                <w:rFonts w:hint="eastAsia" w:asciiTheme="minorEastAsia" w:hAnsiTheme="minorEastAsia" w:eastAsiaTheme="minorEastAsia" w:cstheme="minorEastAsia"/>
                <w:color w:val="auto"/>
                <w:sz w:val="22"/>
                <w:szCs w:val="22"/>
              </w:rPr>
              <w:t>名称</w:t>
            </w:r>
          </w:p>
        </w:tc>
        <w:tc>
          <w:tcPr>
            <w:tcW w:w="4248" w:type="dxa"/>
            <w:vAlign w:val="center"/>
          </w:tcPr>
          <w:p w14:paraId="4F22415F">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8"/>
                <w:szCs w:val="28"/>
              </w:rPr>
            </w:pPr>
          </w:p>
        </w:tc>
        <w:tc>
          <w:tcPr>
            <w:tcW w:w="1316" w:type="dxa"/>
            <w:vAlign w:val="center"/>
          </w:tcPr>
          <w:p w14:paraId="54F6DAE9">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2"/>
                <w:szCs w:val="22"/>
              </w:rPr>
              <w:t>日期</w:t>
            </w:r>
          </w:p>
        </w:tc>
        <w:tc>
          <w:tcPr>
            <w:tcW w:w="1462" w:type="dxa"/>
            <w:vAlign w:val="center"/>
          </w:tcPr>
          <w:p w14:paraId="4803A05F">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8"/>
                <w:szCs w:val="28"/>
              </w:rPr>
            </w:pPr>
          </w:p>
        </w:tc>
      </w:tr>
      <w:tr w14:paraId="697DF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856" w:type="dxa"/>
            <w:gridSpan w:val="4"/>
          </w:tcPr>
          <w:p w14:paraId="0127BA3A">
            <w:pPr>
              <w:pageBreakBefore w:val="0"/>
              <w:kinsoku/>
              <w:overflowPunct/>
              <w:topLinePunct w:val="0"/>
              <w:autoSpaceDE/>
              <w:autoSpaceDN/>
              <w:bidi w:val="0"/>
              <w:spacing w:line="500" w:lineRule="exac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意见（建议）描述：</w:t>
            </w:r>
          </w:p>
          <w:p w14:paraId="59DA877D">
            <w:pPr>
              <w:pageBreakBefore w:val="0"/>
              <w:kinsoku/>
              <w:overflowPunct/>
              <w:topLinePunct w:val="0"/>
              <w:autoSpaceDE/>
              <w:autoSpaceDN/>
              <w:bidi w:val="0"/>
              <w:spacing w:line="500" w:lineRule="exact"/>
              <w:textAlignment w:val="auto"/>
              <w:rPr>
                <w:rFonts w:hint="eastAsia" w:asciiTheme="minorEastAsia" w:hAnsiTheme="minorEastAsia" w:eastAsiaTheme="minorEastAsia" w:cstheme="minorEastAsia"/>
                <w:color w:val="auto"/>
                <w:sz w:val="24"/>
                <w:szCs w:val="24"/>
              </w:rPr>
            </w:pPr>
          </w:p>
          <w:p w14:paraId="7B188991">
            <w:pPr>
              <w:pageBreakBefore w:val="0"/>
              <w:kinsoku/>
              <w:overflowPunct/>
              <w:topLinePunct w:val="0"/>
              <w:autoSpaceDE/>
              <w:autoSpaceDN/>
              <w:bidi w:val="0"/>
              <w:spacing w:line="500" w:lineRule="exact"/>
              <w:textAlignment w:val="auto"/>
              <w:rPr>
                <w:rFonts w:hint="eastAsia" w:asciiTheme="minorEastAsia" w:hAnsiTheme="minorEastAsia" w:eastAsiaTheme="minorEastAsia" w:cstheme="minorEastAsia"/>
                <w:color w:val="auto"/>
                <w:sz w:val="24"/>
                <w:szCs w:val="24"/>
              </w:rPr>
            </w:pPr>
          </w:p>
          <w:p w14:paraId="5344AB70">
            <w:pPr>
              <w:pStyle w:val="16"/>
              <w:pageBreakBefore w:val="0"/>
              <w:kinsoku/>
              <w:overflowPunct/>
              <w:topLinePunct w:val="0"/>
              <w:autoSpaceDE/>
              <w:autoSpaceDN/>
              <w:bidi w:val="0"/>
              <w:spacing w:line="500" w:lineRule="exact"/>
              <w:textAlignment w:val="auto"/>
              <w:rPr>
                <w:rFonts w:hint="eastAsia" w:asciiTheme="minorEastAsia" w:hAnsiTheme="minorEastAsia" w:eastAsiaTheme="minorEastAsia" w:cstheme="minorEastAsia"/>
                <w:b w:val="0"/>
                <w:color w:val="auto"/>
                <w:sz w:val="24"/>
                <w:szCs w:val="24"/>
              </w:rPr>
            </w:pPr>
          </w:p>
          <w:p w14:paraId="01F42BCF">
            <w:pPr>
              <w:pageBreakBefore w:val="0"/>
              <w:tabs>
                <w:tab w:val="left" w:pos="7740"/>
              </w:tabs>
              <w:kinsoku/>
              <w:overflowPunct/>
              <w:topLinePunct w:val="0"/>
              <w:autoSpaceDE/>
              <w:autoSpaceDN/>
              <w:bidi w:val="0"/>
              <w:spacing w:line="500" w:lineRule="exac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签发人；      日期：</w:t>
            </w:r>
          </w:p>
        </w:tc>
      </w:tr>
      <w:tr w14:paraId="2F0BA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856" w:type="dxa"/>
            <w:gridSpan w:val="4"/>
          </w:tcPr>
          <w:p w14:paraId="6B5EB6D8">
            <w:pPr>
              <w:pageBreakBefore w:val="0"/>
              <w:kinsoku/>
              <w:overflowPunct/>
              <w:topLinePunct w:val="0"/>
              <w:autoSpaceDE/>
              <w:autoSpaceDN/>
              <w:bidi w:val="0"/>
              <w:spacing w:line="500" w:lineRule="exac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原因分析：</w:t>
            </w:r>
          </w:p>
          <w:p w14:paraId="2DB9E910">
            <w:pPr>
              <w:pageBreakBefore w:val="0"/>
              <w:kinsoku/>
              <w:overflowPunct/>
              <w:topLinePunct w:val="0"/>
              <w:autoSpaceDE/>
              <w:autoSpaceDN/>
              <w:bidi w:val="0"/>
              <w:spacing w:line="500" w:lineRule="exact"/>
              <w:textAlignment w:val="auto"/>
              <w:rPr>
                <w:rFonts w:hint="eastAsia" w:asciiTheme="minorEastAsia" w:hAnsiTheme="minorEastAsia" w:eastAsiaTheme="minorEastAsia" w:cstheme="minorEastAsia"/>
                <w:color w:val="auto"/>
                <w:sz w:val="24"/>
                <w:szCs w:val="24"/>
              </w:rPr>
            </w:pPr>
          </w:p>
          <w:p w14:paraId="17722326">
            <w:pPr>
              <w:pageBreakBefore w:val="0"/>
              <w:kinsoku/>
              <w:overflowPunct/>
              <w:topLinePunct w:val="0"/>
              <w:autoSpaceDE/>
              <w:autoSpaceDN/>
              <w:bidi w:val="0"/>
              <w:spacing w:line="500" w:lineRule="exact"/>
              <w:textAlignment w:val="auto"/>
              <w:rPr>
                <w:rFonts w:hint="eastAsia" w:asciiTheme="minorEastAsia" w:hAnsiTheme="minorEastAsia" w:eastAsiaTheme="minorEastAsia" w:cstheme="minorEastAsia"/>
                <w:color w:val="auto"/>
                <w:sz w:val="24"/>
                <w:szCs w:val="24"/>
              </w:rPr>
            </w:pPr>
          </w:p>
          <w:p w14:paraId="73BCBEDE">
            <w:pPr>
              <w:pageBreakBefore w:val="0"/>
              <w:tabs>
                <w:tab w:val="left" w:pos="7740"/>
              </w:tabs>
              <w:kinsoku/>
              <w:overflowPunct/>
              <w:topLinePunct w:val="0"/>
              <w:autoSpaceDE/>
              <w:autoSpaceDN/>
              <w:bidi w:val="0"/>
              <w:spacing w:line="500" w:lineRule="exac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分析人：      日期：</w:t>
            </w:r>
          </w:p>
        </w:tc>
      </w:tr>
      <w:tr w14:paraId="21693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856" w:type="dxa"/>
            <w:gridSpan w:val="4"/>
          </w:tcPr>
          <w:p w14:paraId="76827241">
            <w:pPr>
              <w:pageBreakBefore w:val="0"/>
              <w:kinsoku/>
              <w:overflowPunct/>
              <w:topLinePunct w:val="0"/>
              <w:autoSpaceDE/>
              <w:autoSpaceDN/>
              <w:bidi w:val="0"/>
              <w:spacing w:line="500" w:lineRule="exac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处理措施：</w:t>
            </w:r>
          </w:p>
          <w:p w14:paraId="674C7BB9">
            <w:pPr>
              <w:pageBreakBefore w:val="0"/>
              <w:kinsoku/>
              <w:overflowPunct/>
              <w:topLinePunct w:val="0"/>
              <w:autoSpaceDE/>
              <w:autoSpaceDN/>
              <w:bidi w:val="0"/>
              <w:spacing w:line="500" w:lineRule="exact"/>
              <w:textAlignment w:val="auto"/>
              <w:rPr>
                <w:rFonts w:hint="eastAsia" w:asciiTheme="minorEastAsia" w:hAnsiTheme="minorEastAsia" w:eastAsiaTheme="minorEastAsia" w:cstheme="minorEastAsia"/>
                <w:color w:val="auto"/>
                <w:sz w:val="24"/>
                <w:szCs w:val="24"/>
              </w:rPr>
            </w:pPr>
          </w:p>
          <w:p w14:paraId="60370114">
            <w:pPr>
              <w:pageBreakBefore w:val="0"/>
              <w:kinsoku/>
              <w:overflowPunct/>
              <w:topLinePunct w:val="0"/>
              <w:autoSpaceDE/>
              <w:autoSpaceDN/>
              <w:bidi w:val="0"/>
              <w:spacing w:line="500" w:lineRule="exact"/>
              <w:textAlignment w:val="auto"/>
              <w:rPr>
                <w:rFonts w:hint="eastAsia" w:asciiTheme="minorEastAsia" w:hAnsiTheme="minorEastAsia" w:eastAsiaTheme="minorEastAsia" w:cstheme="minorEastAsia"/>
                <w:color w:val="auto"/>
                <w:sz w:val="24"/>
                <w:szCs w:val="24"/>
              </w:rPr>
            </w:pPr>
          </w:p>
          <w:p w14:paraId="50A939AB">
            <w:pPr>
              <w:pageBreakBefore w:val="0"/>
              <w:tabs>
                <w:tab w:val="left" w:pos="7560"/>
                <w:tab w:val="left" w:pos="7740"/>
              </w:tabs>
              <w:kinsoku/>
              <w:overflowPunct/>
              <w:topLinePunct w:val="0"/>
              <w:autoSpaceDE/>
              <w:autoSpaceDN/>
              <w:bidi w:val="0"/>
              <w:spacing w:line="500" w:lineRule="exac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处理人：       日期：</w:t>
            </w:r>
          </w:p>
        </w:tc>
      </w:tr>
      <w:tr w14:paraId="1C64C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3" w:hRule="atLeast"/>
        </w:trPr>
        <w:tc>
          <w:tcPr>
            <w:tcW w:w="8856" w:type="dxa"/>
            <w:gridSpan w:val="4"/>
            <w:tcBorders>
              <w:bottom w:val="single" w:color="auto" w:sz="4" w:space="0"/>
            </w:tcBorders>
          </w:tcPr>
          <w:p w14:paraId="5A8DDBCC">
            <w:pPr>
              <w:pageBreakBefore w:val="0"/>
              <w:kinsoku/>
              <w:overflowPunct/>
              <w:topLinePunct w:val="0"/>
              <w:autoSpaceDE/>
              <w:autoSpaceDN/>
              <w:bidi w:val="0"/>
              <w:spacing w:line="500" w:lineRule="exac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结果验证：</w:t>
            </w:r>
          </w:p>
          <w:p w14:paraId="6EB754DB">
            <w:pPr>
              <w:pageBreakBefore w:val="0"/>
              <w:kinsoku/>
              <w:overflowPunct/>
              <w:topLinePunct w:val="0"/>
              <w:autoSpaceDE/>
              <w:autoSpaceDN/>
              <w:bidi w:val="0"/>
              <w:spacing w:line="500" w:lineRule="exact"/>
              <w:ind w:firstLine="5520" w:firstLineChars="23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验证人：       日期：</w:t>
            </w:r>
          </w:p>
        </w:tc>
      </w:tr>
      <w:tr w14:paraId="773A4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5" w:hRule="atLeast"/>
        </w:trPr>
        <w:tc>
          <w:tcPr>
            <w:tcW w:w="8856" w:type="dxa"/>
            <w:gridSpan w:val="4"/>
          </w:tcPr>
          <w:p w14:paraId="3E9AB015">
            <w:pPr>
              <w:pageBreakBefore w:val="0"/>
              <w:kinsoku/>
              <w:overflowPunct/>
              <w:topLinePunct w:val="0"/>
              <w:autoSpaceDE/>
              <w:autoSpaceDN/>
              <w:bidi w:val="0"/>
              <w:spacing w:line="500" w:lineRule="exact"/>
              <w:textAlignment w:val="auto"/>
              <w:rPr>
                <w:rFonts w:hint="eastAsia" w:asciiTheme="minorEastAsia" w:hAnsiTheme="minorEastAsia" w:eastAsiaTheme="minorEastAsia" w:cstheme="minorEastAsia"/>
                <w:color w:val="auto"/>
                <w:sz w:val="24"/>
                <w:szCs w:val="24"/>
              </w:rPr>
            </w:pPr>
          </w:p>
          <w:p w14:paraId="658FE11D">
            <w:pPr>
              <w:pageBreakBefore w:val="0"/>
              <w:kinsoku/>
              <w:overflowPunct/>
              <w:topLinePunct w:val="0"/>
              <w:autoSpaceDE/>
              <w:autoSpaceDN/>
              <w:bidi w:val="0"/>
              <w:spacing w:line="500" w:lineRule="exac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mc:AlternateContent>
                <mc:Choice Requires="wps">
                  <w:drawing>
                    <wp:anchor distT="0" distB="0" distL="114300" distR="114300" simplePos="0" relativeHeight="251660288" behindDoc="0" locked="0" layoutInCell="1" allowOverlap="1">
                      <wp:simplePos x="0" y="0"/>
                      <wp:positionH relativeFrom="column">
                        <wp:posOffset>3771900</wp:posOffset>
                      </wp:positionH>
                      <wp:positionV relativeFrom="paragraph">
                        <wp:posOffset>72390</wp:posOffset>
                      </wp:positionV>
                      <wp:extent cx="114300" cy="159385"/>
                      <wp:effectExtent l="4445" t="4445" r="14605" b="7620"/>
                      <wp:wrapNone/>
                      <wp:docPr id="240" name="矩形 240"/>
                      <wp:cNvGraphicFramePr/>
                      <a:graphic xmlns:a="http://schemas.openxmlformats.org/drawingml/2006/main">
                        <a:graphicData uri="http://schemas.microsoft.com/office/word/2010/wordprocessingShape">
                          <wps:wsp>
                            <wps:cNvSpPr/>
                            <wps:spPr>
                              <a:xfrm>
                                <a:off x="0" y="0"/>
                                <a:ext cx="114300" cy="15938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297pt;margin-top:5.7pt;height:12.55pt;width:9pt;z-index:251660288;mso-width-relative:page;mso-height-relative:page;" fillcolor="#FFFFFF" filled="t" stroked="t" coordsize="21600,21600" o:gfxdata="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EDw1aDYAAAACQEAAA8AAAAAAAAAAQAgAAAAIgAAAGRycy9kb3ducmV2&#10;LnhtbFBLAQIUABQAAAAIAIdO4kDkGcpJ/AEAACEEAAAOAAAAAAAAAAEAIAAAACcBAABkcnMvZTJv&#10;RG9jLnhtbFBLBQYAAAAABgAGAFkBAACVBQAAAAA=&#10;">
                      <v:fill on="t" focussize="0,0"/>
                      <v:stroke color="#000000" joinstyle="miter"/>
                      <v:imagedata o:title=""/>
                      <o:lock v:ext="edit" aspectratio="f"/>
                    </v:rect>
                  </w:pict>
                </mc:Fallback>
              </mc:AlternateContent>
            </w:r>
            <w:r>
              <w:rPr>
                <w:rFonts w:hint="eastAsia" w:asciiTheme="minorEastAsia" w:hAnsiTheme="minorEastAsia" w:eastAsiaTheme="minorEastAsia" w:cstheme="minorEastAsia"/>
                <w:color w:val="auto"/>
                <w:sz w:val="24"/>
                <w:szCs w:val="24"/>
              </w:rPr>
              <mc:AlternateContent>
                <mc:Choice Requires="wps">
                  <w:drawing>
                    <wp:anchor distT="0" distB="0" distL="114300" distR="114300" simplePos="0" relativeHeight="251659264" behindDoc="0" locked="0" layoutInCell="1" allowOverlap="1">
                      <wp:simplePos x="0" y="0"/>
                      <wp:positionH relativeFrom="column">
                        <wp:posOffset>2969895</wp:posOffset>
                      </wp:positionH>
                      <wp:positionV relativeFrom="paragraph">
                        <wp:posOffset>68580</wp:posOffset>
                      </wp:positionV>
                      <wp:extent cx="114300" cy="165735"/>
                      <wp:effectExtent l="4445" t="4445" r="14605" b="20320"/>
                      <wp:wrapNone/>
                      <wp:docPr id="241" name="矩形 241"/>
                      <wp:cNvGraphicFramePr/>
                      <a:graphic xmlns:a="http://schemas.openxmlformats.org/drawingml/2006/main">
                        <a:graphicData uri="http://schemas.microsoft.com/office/word/2010/wordprocessingShape">
                          <wps:wsp>
                            <wps:cNvSpPr/>
                            <wps:spPr>
                              <a:xfrm>
                                <a:off x="0" y="0"/>
                                <a:ext cx="114300" cy="16573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233.85pt;margin-top:5.4pt;height:13.05pt;width:9pt;z-index:251659264;mso-width-relative:page;mso-height-relative:page;" fillcolor="#FFFFFF" filled="t" stroked="t" coordsize="21600,21600" o:gfxdata="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vrkTh9gAAAAJAQAADwAAAAAAAAABACAAAAAiAAAAZHJzL2Rvd25yZXYu&#10;eG1sUEsBAhQAFAAAAAgAh07iQK6D6Hz7AQAAIQQAAA4AAAAAAAAAAQAgAAAAJwEAAGRycy9lMm9E&#10;b2MueG1sUEsFBgAAAAAGAAYAWQEAAJQFAAAAAA==&#10;">
                      <v:fill on="t" focussize="0,0"/>
                      <v:stroke color="#000000" joinstyle="miter"/>
                      <v:imagedata o:title=""/>
                      <o:lock v:ext="edit" aspectratio="f"/>
                    </v:rect>
                  </w:pict>
                </mc:Fallback>
              </mc:AlternateContent>
            </w:r>
            <w:r>
              <w:rPr>
                <w:rFonts w:hint="eastAsia" w:asciiTheme="minorEastAsia" w:hAnsiTheme="minorEastAsia" w:eastAsiaTheme="minorEastAsia" w:cstheme="minorEastAsia"/>
                <w:color w:val="auto"/>
                <w:sz w:val="24"/>
                <w:szCs w:val="24"/>
              </w:rPr>
              <mc:AlternateContent>
                <mc:Choice Requires="wps">
                  <w:drawing>
                    <wp:anchor distT="0" distB="0" distL="114300" distR="114300" simplePos="0" relativeHeight="251661312" behindDoc="0" locked="0" layoutInCell="1" allowOverlap="1">
                      <wp:simplePos x="0" y="0"/>
                      <wp:positionH relativeFrom="column">
                        <wp:posOffset>1941195</wp:posOffset>
                      </wp:positionH>
                      <wp:positionV relativeFrom="paragraph">
                        <wp:posOffset>68580</wp:posOffset>
                      </wp:positionV>
                      <wp:extent cx="114300" cy="165735"/>
                      <wp:effectExtent l="4445" t="4445" r="14605" b="20320"/>
                      <wp:wrapNone/>
                      <wp:docPr id="242" name="矩形 242"/>
                      <wp:cNvGraphicFramePr/>
                      <a:graphic xmlns:a="http://schemas.openxmlformats.org/drawingml/2006/main">
                        <a:graphicData uri="http://schemas.microsoft.com/office/word/2010/wordprocessingShape">
                          <wps:wsp>
                            <wps:cNvSpPr/>
                            <wps:spPr>
                              <a:xfrm>
                                <a:off x="0" y="0"/>
                                <a:ext cx="114300" cy="16573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152.85pt;margin-top:5.4pt;height:13.05pt;width:9pt;z-index:251661312;mso-width-relative:page;mso-height-relative:page;" fillcolor="#FFFFFF" filled="t" stroked="t" coordsize="21600,21600" o:gfxdata="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qlbZ3dcAAAAJAQAADwAAAAAAAAABACAAAAAiAAAAZHJzL2Rvd25yZXYu&#10;eG1sUEsBAhQAFAAAAAgAh07iQHajOgr8AQAAIQQAAA4AAAAAAAAAAQAgAAAAJgEAAGRycy9lMm9E&#10;b2MueG1sUEsFBgAAAAAGAAYAWQEAAJQFAAAAAA==&#10;">
                      <v:fill on="t" focussize="0,0"/>
                      <v:stroke color="#000000" joinstyle="miter"/>
                      <v:imagedata o:title=""/>
                      <o:lock v:ext="edit" aspectratio="f"/>
                    </v:rect>
                  </w:pict>
                </mc:Fallback>
              </mc:AlternateContent>
            </w:r>
            <w:r>
              <w:rPr>
                <w:rFonts w:hint="eastAsia" w:asciiTheme="minorEastAsia" w:hAnsiTheme="minorEastAsia" w:eastAsiaTheme="minorEastAsia" w:cstheme="minorEastAsia"/>
                <w:color w:val="auto"/>
                <w:sz w:val="24"/>
                <w:szCs w:val="24"/>
              </w:rPr>
              <mc:AlternateContent>
                <mc:Choice Requires="wps">
                  <w:drawing>
                    <wp:anchor distT="0" distB="0" distL="114300" distR="114300" simplePos="0" relativeHeight="251662336" behindDoc="0" locked="0" layoutInCell="1" allowOverlap="1">
                      <wp:simplePos x="0" y="0"/>
                      <wp:positionH relativeFrom="column">
                        <wp:posOffset>800100</wp:posOffset>
                      </wp:positionH>
                      <wp:positionV relativeFrom="paragraph">
                        <wp:posOffset>72390</wp:posOffset>
                      </wp:positionV>
                      <wp:extent cx="114300" cy="165735"/>
                      <wp:effectExtent l="4445" t="4445" r="14605" b="20320"/>
                      <wp:wrapNone/>
                      <wp:docPr id="243" name="矩形 243"/>
                      <wp:cNvGraphicFramePr/>
                      <a:graphic xmlns:a="http://schemas.openxmlformats.org/drawingml/2006/main">
                        <a:graphicData uri="http://schemas.microsoft.com/office/word/2010/wordprocessingShape">
                          <wps:wsp>
                            <wps:cNvSpPr/>
                            <wps:spPr>
                              <a:xfrm>
                                <a:off x="0" y="0"/>
                                <a:ext cx="114300" cy="16573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63pt;margin-top:5.7pt;height:13.05pt;width:9pt;z-index:251662336;mso-width-relative:page;mso-height-relative:page;" fillcolor="#FFFFFF" filled="t" stroked="t" coordsize="21600,21600" o:gfxdata="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JtZ5a9cAAAAJAQAADwAAAAAAAAABACAAAAAiAAAAZHJzL2Rvd25yZXYu&#10;eG1sUEsBAhQAFAAAAAgAh07iQD5Diyf8AQAAIQQAAA4AAAAAAAAAAQAgAAAAJgEAAGRycy9lMm9E&#10;b2MueG1sUEsFBgAAAAAGAAYAWQEAAJQFAAAAAA==&#10;">
                      <v:fill on="t" focussize="0,0"/>
                      <v:stroke color="#000000" joinstyle="miter"/>
                      <v:imagedata o:title=""/>
                      <o:lock v:ext="edit" aspectratio="f"/>
                    </v:rect>
                  </w:pict>
                </mc:Fallback>
              </mc:AlternateContent>
            </w:r>
            <w:r>
              <w:rPr>
                <w:rFonts w:hint="eastAsia" w:asciiTheme="minorEastAsia" w:hAnsiTheme="minorEastAsia" w:eastAsiaTheme="minorEastAsia" w:cstheme="minorEastAsia"/>
                <w:color w:val="auto"/>
                <w:sz w:val="24"/>
                <w:szCs w:val="24"/>
              </w:rPr>
              <w:t>客户回访：    电话回访      上门回访     满意       不满意，新处理表编号：</w:t>
            </w:r>
            <w:r>
              <w:rPr>
                <w:rFonts w:hint="eastAsia" w:asciiTheme="minorEastAsia" w:hAnsiTheme="minorEastAsia" w:eastAsiaTheme="minorEastAsia" w:cstheme="minorEastAsia"/>
                <w:color w:val="auto"/>
                <w:sz w:val="24"/>
                <w:szCs w:val="24"/>
                <w:u w:val="single"/>
              </w:rPr>
              <w:t xml:space="preserve">     </w:t>
            </w:r>
          </w:p>
          <w:p w14:paraId="20EF3E32">
            <w:pPr>
              <w:pageBreakBefore w:val="0"/>
              <w:kinsoku/>
              <w:overflowPunct/>
              <w:topLinePunct w:val="0"/>
              <w:autoSpaceDE/>
              <w:autoSpaceDN/>
              <w:bidi w:val="0"/>
              <w:spacing w:line="500" w:lineRule="exac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w:t>
            </w:r>
          </w:p>
          <w:p w14:paraId="75AE5048">
            <w:pPr>
              <w:pageBreakBefore w:val="0"/>
              <w:kinsoku/>
              <w:overflowPunct/>
              <w:topLinePunct w:val="0"/>
              <w:autoSpaceDE/>
              <w:autoSpaceDN/>
              <w:bidi w:val="0"/>
              <w:spacing w:line="500" w:lineRule="exac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客户签名：               回访人：             日期：</w:t>
            </w:r>
          </w:p>
        </w:tc>
      </w:tr>
    </w:tbl>
    <w:p w14:paraId="07EC99A4">
      <w:pPr>
        <w:pageBreakBefore w:val="0"/>
        <w:kinsoku/>
        <w:overflowPunct/>
        <w:topLinePunct w:val="0"/>
        <w:autoSpaceDE/>
        <w:autoSpaceDN/>
        <w:bidi w:val="0"/>
        <w:spacing w:line="500" w:lineRule="exac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制表：                    审核：                      批准：</w:t>
      </w:r>
    </w:p>
    <w:p w14:paraId="7AE2FCC8">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8"/>
          <w:szCs w:val="28"/>
        </w:rPr>
      </w:pPr>
    </w:p>
    <w:p w14:paraId="429E8C54">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8"/>
          <w:szCs w:val="28"/>
        </w:rPr>
      </w:pPr>
    </w:p>
    <w:p w14:paraId="71B10271">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lang w:eastAsia="zh-CN"/>
        </w:rPr>
        <w:t>异常问题</w:t>
      </w:r>
      <w:r>
        <w:rPr>
          <w:rFonts w:hint="eastAsia" w:asciiTheme="minorEastAsia" w:hAnsiTheme="minorEastAsia" w:eastAsiaTheme="minorEastAsia" w:cstheme="minorEastAsia"/>
          <w:b/>
          <w:bCs/>
          <w:color w:val="auto"/>
          <w:sz w:val="28"/>
          <w:szCs w:val="28"/>
          <w:lang w:val="en-US" w:eastAsia="zh-CN"/>
        </w:rPr>
        <w:t>/</w:t>
      </w:r>
      <w:r>
        <w:rPr>
          <w:rFonts w:hint="eastAsia" w:asciiTheme="minorEastAsia" w:hAnsiTheme="minorEastAsia" w:eastAsiaTheme="minorEastAsia" w:cstheme="minorEastAsia"/>
          <w:b/>
          <w:bCs/>
          <w:color w:val="auto"/>
          <w:sz w:val="28"/>
          <w:szCs w:val="28"/>
        </w:rPr>
        <w:t>意见（建议）统计表</w:t>
      </w:r>
    </w:p>
    <w:p w14:paraId="18BE289B">
      <w:pPr>
        <w:pageBreakBefore w:val="0"/>
        <w:kinsoku/>
        <w:overflowPunct/>
        <w:topLinePunct w:val="0"/>
        <w:autoSpaceDE/>
        <w:autoSpaceDN/>
        <w:bidi w:val="0"/>
        <w:spacing w:line="500" w:lineRule="exact"/>
        <w:ind w:firstLine="7560" w:firstLineChars="27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w:t>
      </w:r>
    </w:p>
    <w:tbl>
      <w:tblPr>
        <w:tblStyle w:val="23"/>
        <w:tblW w:w="86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2"/>
        <w:gridCol w:w="4121"/>
        <w:gridCol w:w="1153"/>
        <w:gridCol w:w="1560"/>
      </w:tblGrid>
      <w:tr w14:paraId="515CF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2" w:type="dxa"/>
            <w:tcMar>
              <w:left w:w="28" w:type="dxa"/>
              <w:right w:w="28" w:type="dxa"/>
            </w:tcMar>
            <w:vAlign w:val="center"/>
          </w:tcPr>
          <w:p w14:paraId="6AF0F20A">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物业公司</w:t>
            </w:r>
            <w:r>
              <w:rPr>
                <w:rFonts w:hint="eastAsia" w:asciiTheme="minorEastAsia" w:hAnsiTheme="minorEastAsia" w:eastAsiaTheme="minorEastAsia" w:cstheme="minorEastAsia"/>
                <w:color w:val="auto"/>
                <w:sz w:val="24"/>
                <w:szCs w:val="24"/>
              </w:rPr>
              <w:t>名称</w:t>
            </w:r>
          </w:p>
        </w:tc>
        <w:tc>
          <w:tcPr>
            <w:tcW w:w="4121" w:type="dxa"/>
            <w:tcMar>
              <w:left w:w="28" w:type="dxa"/>
              <w:right w:w="28" w:type="dxa"/>
            </w:tcMar>
            <w:vAlign w:val="center"/>
          </w:tcPr>
          <w:p w14:paraId="7700A1D1">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4"/>
                <w:szCs w:val="24"/>
              </w:rPr>
            </w:pPr>
          </w:p>
        </w:tc>
        <w:tc>
          <w:tcPr>
            <w:tcW w:w="1153" w:type="dxa"/>
            <w:tcMar>
              <w:left w:w="28" w:type="dxa"/>
              <w:right w:w="28" w:type="dxa"/>
            </w:tcMar>
            <w:vAlign w:val="center"/>
          </w:tcPr>
          <w:p w14:paraId="427AA443">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调查</w:t>
            </w:r>
            <w:r>
              <w:rPr>
                <w:rFonts w:hint="eastAsia" w:asciiTheme="minorEastAsia" w:hAnsiTheme="minorEastAsia" w:eastAsiaTheme="minorEastAsia" w:cstheme="minorEastAsia"/>
                <w:color w:val="auto"/>
                <w:sz w:val="24"/>
                <w:szCs w:val="24"/>
                <w:lang w:eastAsia="zh-CN"/>
              </w:rPr>
              <w:t>人</w:t>
            </w:r>
          </w:p>
        </w:tc>
        <w:tc>
          <w:tcPr>
            <w:tcW w:w="1560" w:type="dxa"/>
            <w:tcMar>
              <w:left w:w="28" w:type="dxa"/>
              <w:right w:w="28" w:type="dxa"/>
            </w:tcMar>
            <w:vAlign w:val="center"/>
          </w:tcPr>
          <w:p w14:paraId="65095431">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4"/>
                <w:szCs w:val="24"/>
              </w:rPr>
            </w:pPr>
          </w:p>
        </w:tc>
      </w:tr>
      <w:tr w14:paraId="294BB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2" w:type="dxa"/>
            <w:tcMar>
              <w:left w:w="28" w:type="dxa"/>
              <w:right w:w="28" w:type="dxa"/>
            </w:tcMar>
            <w:vAlign w:val="center"/>
          </w:tcPr>
          <w:p w14:paraId="788A0C66">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业主单位</w:t>
            </w:r>
            <w:r>
              <w:rPr>
                <w:rFonts w:hint="eastAsia" w:asciiTheme="minorEastAsia" w:hAnsiTheme="minorEastAsia" w:eastAsiaTheme="minorEastAsia" w:cstheme="minorEastAsia"/>
                <w:color w:val="auto"/>
                <w:sz w:val="24"/>
                <w:szCs w:val="24"/>
              </w:rPr>
              <w:t>名称</w:t>
            </w:r>
          </w:p>
        </w:tc>
        <w:tc>
          <w:tcPr>
            <w:tcW w:w="4121" w:type="dxa"/>
            <w:tcMar>
              <w:left w:w="28" w:type="dxa"/>
              <w:right w:w="28" w:type="dxa"/>
            </w:tcMar>
            <w:vAlign w:val="center"/>
          </w:tcPr>
          <w:p w14:paraId="5F5E7013">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4"/>
                <w:szCs w:val="24"/>
              </w:rPr>
            </w:pPr>
          </w:p>
        </w:tc>
        <w:tc>
          <w:tcPr>
            <w:tcW w:w="1153" w:type="dxa"/>
            <w:tcMar>
              <w:left w:w="28" w:type="dxa"/>
              <w:right w:w="28" w:type="dxa"/>
            </w:tcMar>
            <w:vAlign w:val="center"/>
          </w:tcPr>
          <w:p w14:paraId="6211D6E3">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日期</w:t>
            </w:r>
          </w:p>
        </w:tc>
        <w:tc>
          <w:tcPr>
            <w:tcW w:w="1560" w:type="dxa"/>
            <w:tcMar>
              <w:left w:w="28" w:type="dxa"/>
              <w:right w:w="28" w:type="dxa"/>
            </w:tcMar>
            <w:vAlign w:val="center"/>
          </w:tcPr>
          <w:p w14:paraId="1BE4BAD5">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4"/>
                <w:szCs w:val="24"/>
              </w:rPr>
            </w:pPr>
          </w:p>
        </w:tc>
      </w:tr>
      <w:tr w14:paraId="5C285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96" w:type="dxa"/>
            <w:gridSpan w:val="4"/>
            <w:tcMar>
              <w:left w:w="28" w:type="dxa"/>
              <w:right w:w="28" w:type="dxa"/>
            </w:tcMar>
            <w:vAlign w:val="center"/>
          </w:tcPr>
          <w:p w14:paraId="7FE14CA1">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客 户 意 见 统 计</w:t>
            </w:r>
          </w:p>
        </w:tc>
      </w:tr>
      <w:tr w14:paraId="0C287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8696" w:type="dxa"/>
            <w:gridSpan w:val="4"/>
            <w:tcMar>
              <w:left w:w="28" w:type="dxa"/>
              <w:right w:w="28" w:type="dxa"/>
            </w:tcMar>
            <w:vAlign w:val="center"/>
          </w:tcPr>
          <w:p w14:paraId="454EEFBA">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4"/>
                <w:szCs w:val="24"/>
              </w:rPr>
            </w:pPr>
          </w:p>
          <w:p w14:paraId="1A6B986D">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4"/>
                <w:szCs w:val="24"/>
              </w:rPr>
            </w:pPr>
          </w:p>
          <w:p w14:paraId="1707830D">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4"/>
                <w:szCs w:val="24"/>
              </w:rPr>
            </w:pPr>
          </w:p>
          <w:p w14:paraId="11205DE6">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4"/>
                <w:szCs w:val="24"/>
              </w:rPr>
            </w:pPr>
          </w:p>
          <w:p w14:paraId="649F48BD">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4"/>
                <w:szCs w:val="24"/>
              </w:rPr>
            </w:pPr>
          </w:p>
          <w:p w14:paraId="42FAD418">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4"/>
                <w:szCs w:val="24"/>
              </w:rPr>
            </w:pPr>
          </w:p>
          <w:p w14:paraId="53F6F2EA">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4"/>
                <w:szCs w:val="24"/>
              </w:rPr>
            </w:pPr>
          </w:p>
          <w:p w14:paraId="224D5D82">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4"/>
                <w:szCs w:val="24"/>
              </w:rPr>
            </w:pPr>
          </w:p>
          <w:p w14:paraId="3AA68073">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4"/>
                <w:szCs w:val="24"/>
              </w:rPr>
            </w:pPr>
          </w:p>
          <w:p w14:paraId="4069930E">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4"/>
                <w:szCs w:val="24"/>
              </w:rPr>
            </w:pPr>
          </w:p>
          <w:p w14:paraId="7F42AFAB">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4"/>
                <w:szCs w:val="24"/>
              </w:rPr>
            </w:pPr>
          </w:p>
          <w:p w14:paraId="559DB24E">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4"/>
                <w:szCs w:val="24"/>
              </w:rPr>
            </w:pPr>
          </w:p>
          <w:p w14:paraId="2CE2CAF1">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4"/>
                <w:szCs w:val="24"/>
              </w:rPr>
            </w:pPr>
          </w:p>
          <w:p w14:paraId="41B210F0">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4"/>
                <w:szCs w:val="24"/>
              </w:rPr>
            </w:pPr>
          </w:p>
          <w:p w14:paraId="14B7D62F">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4"/>
                <w:szCs w:val="24"/>
              </w:rPr>
            </w:pPr>
          </w:p>
          <w:p w14:paraId="284B0BAE">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4"/>
                <w:szCs w:val="24"/>
              </w:rPr>
            </w:pPr>
          </w:p>
          <w:p w14:paraId="4103C4C8">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4"/>
                <w:szCs w:val="24"/>
              </w:rPr>
            </w:pPr>
          </w:p>
          <w:p w14:paraId="364034B9">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4"/>
                <w:szCs w:val="24"/>
              </w:rPr>
            </w:pPr>
          </w:p>
          <w:p w14:paraId="5978E251">
            <w:pPr>
              <w:pageBreakBefore w:val="0"/>
              <w:kinsoku/>
              <w:overflowPunct/>
              <w:topLinePunct w:val="0"/>
              <w:autoSpaceDE/>
              <w:autoSpaceDN/>
              <w:bidi w:val="0"/>
              <w:spacing w:line="500" w:lineRule="exact"/>
              <w:jc w:val="both"/>
              <w:textAlignment w:val="auto"/>
              <w:rPr>
                <w:rFonts w:hint="eastAsia" w:asciiTheme="minorEastAsia" w:hAnsiTheme="minorEastAsia" w:eastAsiaTheme="minorEastAsia" w:cstheme="minorEastAsia"/>
                <w:color w:val="auto"/>
                <w:sz w:val="24"/>
                <w:szCs w:val="24"/>
              </w:rPr>
            </w:pPr>
          </w:p>
        </w:tc>
      </w:tr>
    </w:tbl>
    <w:p w14:paraId="64335A7A">
      <w:pPr>
        <w:pageBreakBefore w:val="0"/>
        <w:kinsoku/>
        <w:overflowPunct/>
        <w:topLinePunct w:val="0"/>
        <w:autoSpaceDE/>
        <w:autoSpaceDN/>
        <w:bidi w:val="0"/>
        <w:spacing w:line="500" w:lineRule="exac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制表：                    审核：                      批准：</w:t>
      </w:r>
    </w:p>
    <w:p w14:paraId="0844C722">
      <w:pPr>
        <w:pageBreakBefore w:val="0"/>
        <w:kinsoku/>
        <w:overflowPunct/>
        <w:topLinePunct w:val="0"/>
        <w:autoSpaceDE/>
        <w:autoSpaceDN/>
        <w:bidi w:val="0"/>
        <w:spacing w:line="500" w:lineRule="exact"/>
        <w:jc w:val="left"/>
        <w:textAlignment w:val="auto"/>
        <w:rPr>
          <w:rFonts w:hint="eastAsia" w:asciiTheme="minorEastAsia" w:hAnsiTheme="minorEastAsia" w:eastAsiaTheme="minorEastAsia" w:cstheme="minorEastAsia"/>
          <w:color w:val="auto"/>
          <w:sz w:val="28"/>
          <w:szCs w:val="28"/>
        </w:rPr>
      </w:pPr>
    </w:p>
    <w:p w14:paraId="063FB403">
      <w:pPr>
        <w:pStyle w:val="3"/>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第四章  评审程序、评审方法和评审标准</w:t>
      </w:r>
      <w:bookmarkEnd w:id="67"/>
    </w:p>
    <w:p w14:paraId="177051ED">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一、评审程序和评审方法</w:t>
      </w:r>
    </w:p>
    <w:p w14:paraId="21C4230C">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1.资格审查</w:t>
      </w:r>
    </w:p>
    <w:p w14:paraId="47C3F673">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1.1响应文件开启后，磋商小组依法对供应商的资格证明文件进行审查。</w:t>
      </w:r>
    </w:p>
    <w:p w14:paraId="25399765">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注：采购人或者采购代理机构在资格审查结束前，对供应商进行信用查询。</w:t>
      </w:r>
    </w:p>
    <w:p w14:paraId="7DDA2D95">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（1）查询渠道：“信用中国”网站(www.creditchina.gov.cn) 、中国政府采购网(www.ccgp.gov.cn)。</w:t>
      </w:r>
    </w:p>
    <w:p w14:paraId="7632E62F">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（2）信用查询截止时点：资格审查结束前。</w:t>
      </w:r>
    </w:p>
    <w:p w14:paraId="03C1F6B2">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查询记录和证据留存方式：在查询网站中直接打印查询记录，打印材料作为评审资料保存。</w:t>
      </w:r>
    </w:p>
    <w:p w14:paraId="4EB92192">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5544DE5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1.2资格审查标准为本磋商文件中载明对供应商资格要求的条件。资格审查采用合格制，凡符合磋商文件规定的供应商资格要求的响应文件均通过资格审查。</w:t>
      </w:r>
    </w:p>
    <w:p w14:paraId="17ABB02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1.3供应商有下列情形之一的，资格审查不通过，其响应文件按无效响应处理：</w:t>
      </w:r>
    </w:p>
    <w:p w14:paraId="1321CB06">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（1）不具备磋商文件中规定的资格要求的；</w:t>
      </w:r>
    </w:p>
    <w:p w14:paraId="7E89D7A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（2）响应文件未提供任一项“供应商须知前附表”资格证明文件规定的“必须提供”的文件资料的；</w:t>
      </w:r>
    </w:p>
    <w:p w14:paraId="395D40F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（3）响应文件提供的资格证明文件出现任一项不符合“供应商须知前附表”资格证明文件规定的“必须提供”的文件资料要求或者无效的。</w:t>
      </w:r>
    </w:p>
    <w:p w14:paraId="6985EF0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1.4通过资格审查的合格供应商不足3家的，不得进入符合性审查环节，采购人或者采购代理机构应当重新开展采购活动。</w:t>
      </w:r>
    </w:p>
    <w:p w14:paraId="3D0D03B6">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2.符合性审查</w:t>
      </w:r>
    </w:p>
    <w:p w14:paraId="66B6674C">
      <w:pPr>
        <w:spacing w:line="360" w:lineRule="auto"/>
        <w:ind w:firstLine="420" w:firstLineChars="200"/>
        <w:rPr>
          <w:rFonts w:hint="eastAsia" w:ascii="宋体" w:hAnsi="宋体" w:eastAsia="宋体" w:cs="宋体"/>
          <w:color w:val="auto"/>
          <w:szCs w:val="21"/>
          <w:highlight w:val="none"/>
        </w:rPr>
      </w:pPr>
      <w:bookmarkStart w:id="71" w:name="_Hlk42528882"/>
      <w:r>
        <w:rPr>
          <w:rFonts w:hint="eastAsia" w:ascii="宋体" w:hAnsi="宋体" w:eastAsia="宋体" w:cs="宋体"/>
          <w:color w:val="auto"/>
          <w:szCs w:val="21"/>
          <w:highlight w:val="none"/>
        </w:rPr>
        <w:t>2.1由磋商小组对通过资格审查的合格供应商的响应文件的竞标报价、商务、技术等实质性要求进行符合性审查，以确定其是否满足磋商文件的实质性要求。</w:t>
      </w:r>
    </w:p>
    <w:bookmarkEnd w:id="71"/>
    <w:p w14:paraId="43F4913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0D898B08">
      <w:pPr>
        <w:spacing w:line="360" w:lineRule="auto"/>
        <w:ind w:firstLine="420" w:firstLineChars="200"/>
        <w:rPr>
          <w:rFonts w:hint="eastAsia" w:ascii="宋体" w:hAnsi="宋体" w:eastAsia="宋体" w:cs="宋体"/>
          <w:color w:val="auto"/>
          <w:spacing w:val="-6"/>
          <w:szCs w:val="21"/>
          <w:highlight w:val="none"/>
        </w:rPr>
      </w:pPr>
      <w:r>
        <w:rPr>
          <w:rFonts w:hint="eastAsia" w:ascii="宋体" w:hAnsi="宋体" w:eastAsia="宋体" w:cs="宋体"/>
          <w:color w:val="auto"/>
          <w:szCs w:val="21"/>
          <w:highlight w:val="none"/>
        </w:rPr>
        <w:t>2.3磋商小组要求供应商澄清、说明或者更正响应文件应当以书面形式作出。供应商的澄清、说明或者更正应当以书面形式按照磋商小组的要求作出明确的澄清、说明或者更正，未按磋商小组的要求作出明确澄清、说明或者更正的供应商的响应文件将按照有利于采购人的原则由磋商小组进行判定。供应商的澄清、说明或者更正必须由法定代表人或者其授权代表签字或者加盖公章。由委托代理人签字的，</w:t>
      </w:r>
      <w:r>
        <w:rPr>
          <w:rFonts w:hint="eastAsia" w:ascii="宋体" w:hAnsi="宋体" w:eastAsia="宋体" w:cs="宋体"/>
          <w:bCs/>
          <w:color w:val="auto"/>
          <w:szCs w:val="21"/>
          <w:highlight w:val="none"/>
        </w:rPr>
        <w:t>若委托代理人不是响应文件中授权的委托代理人时，必须同时出示有效的法定代表人授权委托书原件</w:t>
      </w:r>
      <w:r>
        <w:rPr>
          <w:rFonts w:hint="eastAsia" w:ascii="宋体" w:hAnsi="宋体" w:eastAsia="宋体" w:cs="宋体"/>
          <w:color w:val="auto"/>
          <w:spacing w:val="-6"/>
          <w:szCs w:val="21"/>
          <w:highlight w:val="none"/>
        </w:rPr>
        <w:t>。供应商为自然人的，必须由本人签字并附身份证明。</w:t>
      </w:r>
    </w:p>
    <w:p w14:paraId="2C18043E">
      <w:pPr>
        <w:spacing w:line="360" w:lineRule="auto"/>
        <w:ind w:firstLine="396" w:firstLineChars="200"/>
        <w:rPr>
          <w:rFonts w:hint="eastAsia" w:ascii="宋体" w:hAnsi="宋体" w:eastAsia="宋体" w:cs="宋体"/>
          <w:color w:val="auto"/>
          <w:szCs w:val="21"/>
          <w:highlight w:val="none"/>
        </w:rPr>
      </w:pPr>
      <w:r>
        <w:rPr>
          <w:rFonts w:hint="eastAsia" w:ascii="宋体" w:hAnsi="宋体" w:eastAsia="宋体" w:cs="宋体"/>
          <w:color w:val="auto"/>
          <w:spacing w:val="-6"/>
          <w:szCs w:val="21"/>
          <w:highlight w:val="none"/>
        </w:rPr>
        <w:t>2.4</w:t>
      </w:r>
      <w:r>
        <w:rPr>
          <w:rFonts w:hint="eastAsia" w:ascii="宋体" w:hAnsi="宋体" w:eastAsia="宋体" w:cs="宋体"/>
          <w:color w:val="auto"/>
          <w:szCs w:val="21"/>
          <w:highlight w:val="none"/>
        </w:rPr>
        <w:t xml:space="preserve">首次响应文件报价出现前后不一致的，按照下列规定修正： </w:t>
      </w:r>
    </w:p>
    <w:p w14:paraId="5C0F71D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（1）响应文件中报价表内容与响应文件中相应内容不一致的，以报价表为准；</w:t>
      </w:r>
    </w:p>
    <w:p w14:paraId="09CC91B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（2）大写金额和小写金额不一致的，以大写金额为准；</w:t>
      </w:r>
    </w:p>
    <w:p w14:paraId="299F8F2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（3）单价金额小数点或者百分比有明显错位的，以报价表的总价为准，并修改单价；</w:t>
      </w:r>
    </w:p>
    <w:p w14:paraId="4969817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（4）总价金额与按单价汇总金额不一致的，以单价金额计算结果为准。</w:t>
      </w:r>
    </w:p>
    <w:p w14:paraId="16BFC0A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同时出现两种以上不一致的，按照以上（1）-（4）规定的顺序逐条进行修正。修正后的报价经供应商确认后产生约束力，供应商不确认的，其响应文件按无效响应处理。</w:t>
      </w:r>
    </w:p>
    <w:p w14:paraId="6E40789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2.5商务报价</w:t>
      </w:r>
      <w:r>
        <w:rPr>
          <w:rFonts w:hint="eastAsia" w:ascii="宋体" w:hAnsi="宋体" w:cs="宋体"/>
          <w:color w:val="auto"/>
          <w:szCs w:val="21"/>
          <w:highlight w:val="none"/>
          <w:lang w:eastAsia="zh-CN"/>
        </w:rPr>
        <w:t>、技术文件</w:t>
      </w:r>
      <w:r>
        <w:rPr>
          <w:rFonts w:hint="eastAsia" w:ascii="宋体" w:hAnsi="宋体" w:eastAsia="宋体" w:cs="宋体"/>
          <w:color w:val="auto"/>
          <w:szCs w:val="21"/>
          <w:highlight w:val="none"/>
        </w:rPr>
        <w:t>评审</w:t>
      </w:r>
    </w:p>
    <w:p w14:paraId="68A918F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在评审时，如发现下列情形之一的，将被视为响应文件无效处理：</w:t>
      </w:r>
    </w:p>
    <w:p w14:paraId="5316F32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（1）商务报价</w:t>
      </w:r>
      <w:r>
        <w:rPr>
          <w:rFonts w:hint="eastAsia" w:ascii="宋体" w:hAnsi="宋体" w:cs="宋体"/>
          <w:color w:val="auto"/>
          <w:szCs w:val="21"/>
          <w:highlight w:val="none"/>
          <w:lang w:eastAsia="zh-CN"/>
        </w:rPr>
        <w:t>、技术文件</w:t>
      </w:r>
      <w:r>
        <w:rPr>
          <w:rFonts w:hint="eastAsia" w:ascii="宋体" w:hAnsi="宋体" w:eastAsia="宋体" w:cs="宋体"/>
          <w:color w:val="auto"/>
          <w:szCs w:val="21"/>
          <w:highlight w:val="none"/>
        </w:rPr>
        <w:t>评审</w:t>
      </w:r>
    </w:p>
    <w:p w14:paraId="4DBA17A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1）提供响应文件正、副本数量不足；</w:t>
      </w:r>
    </w:p>
    <w:p w14:paraId="11260C1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2）响应文件未按磋商文件要求签署、盖章；</w:t>
      </w:r>
    </w:p>
    <w:p w14:paraId="4659A0A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3）委托代理人未能出具有效身份证明或者出具的身份证明与授权委托书中的信息不符； </w:t>
      </w:r>
    </w:p>
    <w:p w14:paraId="614B00F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4）提交的磋商保证金无效的或者未按照磋商文件的规定提交磋商保证金；</w:t>
      </w:r>
    </w:p>
    <w:p w14:paraId="73248D8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5）响应文件未提供任一项“供应商须知前附表” </w:t>
      </w:r>
      <w:r>
        <w:rPr>
          <w:rFonts w:hint="eastAsia" w:ascii="宋体" w:hAnsi="宋体" w:cs="宋体"/>
          <w:color w:val="auto"/>
          <w:szCs w:val="21"/>
          <w:highlight w:val="none"/>
          <w:lang w:eastAsia="zh-CN"/>
        </w:rPr>
        <w:t>文件</w:t>
      </w:r>
      <w:r>
        <w:rPr>
          <w:rFonts w:hint="eastAsia" w:ascii="宋体" w:hAnsi="宋体" w:eastAsia="宋体" w:cs="宋体"/>
          <w:color w:val="auto"/>
          <w:szCs w:val="21"/>
          <w:highlight w:val="none"/>
        </w:rPr>
        <w:t>中 “必须提供”或者“委托时必须提供”的文件资料；响应文件提供的</w:t>
      </w:r>
      <w:r>
        <w:rPr>
          <w:rFonts w:hint="eastAsia" w:ascii="宋体" w:hAnsi="宋体" w:cs="宋体"/>
          <w:color w:val="auto"/>
          <w:szCs w:val="21"/>
          <w:highlight w:val="none"/>
          <w:lang w:eastAsia="zh-CN"/>
        </w:rPr>
        <w:t>文件</w:t>
      </w:r>
      <w:r>
        <w:rPr>
          <w:rFonts w:hint="eastAsia" w:ascii="宋体" w:hAnsi="宋体" w:eastAsia="宋体" w:cs="宋体"/>
          <w:color w:val="auto"/>
          <w:szCs w:val="21"/>
          <w:highlight w:val="none"/>
        </w:rPr>
        <w:t xml:space="preserve">出现任一项不符合“供应商须知前附表” </w:t>
      </w:r>
      <w:r>
        <w:rPr>
          <w:rFonts w:hint="eastAsia" w:ascii="宋体" w:hAnsi="宋体" w:cs="宋体"/>
          <w:color w:val="auto"/>
          <w:szCs w:val="21"/>
          <w:highlight w:val="none"/>
          <w:lang w:eastAsia="zh-CN"/>
        </w:rPr>
        <w:t>文件</w:t>
      </w:r>
      <w:r>
        <w:rPr>
          <w:rFonts w:hint="eastAsia" w:ascii="宋体" w:hAnsi="宋体" w:eastAsia="宋体" w:cs="宋体"/>
          <w:color w:val="auto"/>
          <w:szCs w:val="21"/>
          <w:highlight w:val="none"/>
        </w:rPr>
        <w:t>中 “必须提供”或者“委托时必须提供”文件资料要求的规定或者提供的</w:t>
      </w:r>
      <w:r>
        <w:rPr>
          <w:rFonts w:hint="eastAsia" w:ascii="宋体" w:hAnsi="宋体" w:cs="宋体"/>
          <w:color w:val="auto"/>
          <w:szCs w:val="21"/>
          <w:highlight w:val="none"/>
          <w:lang w:eastAsia="zh-CN"/>
        </w:rPr>
        <w:t>文件</w:t>
      </w:r>
      <w:r>
        <w:rPr>
          <w:rFonts w:hint="eastAsia" w:ascii="宋体" w:hAnsi="宋体" w:eastAsia="宋体" w:cs="宋体"/>
          <w:color w:val="auto"/>
          <w:szCs w:val="21"/>
          <w:highlight w:val="none"/>
        </w:rPr>
        <w:t>无效。</w:t>
      </w:r>
    </w:p>
    <w:p w14:paraId="1264144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6）商务条款中标“▲”的条款发生负偏离的或者允许负偏离的条款数超过“供应商须知前附表”规定项数的或者标明实质性的要求发生负偏离；</w:t>
      </w:r>
    </w:p>
    <w:p w14:paraId="583017C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7）未对竞标有效期作出响应或者响应文件承诺的竞标有效期不满足磋商文件要求；</w:t>
      </w:r>
    </w:p>
    <w:p w14:paraId="67CBAB2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8）响应文件的实质性内容未使用中文表述、使用计量单位不符合磋商文件要求；</w:t>
      </w:r>
    </w:p>
    <w:p w14:paraId="455D50F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9）响应文件中的文件资料因填写不齐全或者内容虚假或者出现其他情形而导致被磋商小组认定无效；</w:t>
      </w:r>
    </w:p>
    <w:p w14:paraId="6D7B6DE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10）响应文件含有采购人不能接受的附加条件；</w:t>
      </w:r>
    </w:p>
    <w:p w14:paraId="7F9D5FF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11）属于“供应商须知正文”第7.5条情形；</w:t>
      </w:r>
    </w:p>
    <w:p w14:paraId="02ED8D6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12）明显不满足磋商文件要求的技术规格、安全、质量标准，或者与磋商文件中标“▲”的技术需求或者标明实质性的要求发生负偏离；</w:t>
      </w:r>
    </w:p>
    <w:p w14:paraId="7EF4EED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13）技术需求允许负偏离的条款数超过“供应商须知前附表”规定项数；</w:t>
      </w:r>
    </w:p>
    <w:p w14:paraId="1CD734E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14）虚假竞标，或者出现其他情形而导致被磋商小组认定无效；</w:t>
      </w:r>
    </w:p>
    <w:p w14:paraId="09B24AB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15）竞标技术方案不明确，磋商文件未允许但响应文件中存在一个或者一个以上备选（替代）竞标方案；</w:t>
      </w:r>
    </w:p>
    <w:p w14:paraId="1AA2C14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16）未响应磋商文件实质性要求；</w:t>
      </w:r>
    </w:p>
    <w:p w14:paraId="39849B8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17）法律、法规和磋商文件规定的其他无效情形。</w:t>
      </w:r>
    </w:p>
    <w:p w14:paraId="6E3C0DC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（2）报价评审</w:t>
      </w:r>
    </w:p>
    <w:p w14:paraId="5C9ED29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 响应文件未提供“供应商须知前附表” </w:t>
      </w:r>
      <w:r>
        <w:rPr>
          <w:rFonts w:hint="eastAsia" w:ascii="宋体" w:hAnsi="宋体" w:cs="宋体"/>
          <w:color w:val="auto"/>
          <w:szCs w:val="21"/>
          <w:highlight w:val="none"/>
          <w:lang w:eastAsia="zh-CN"/>
        </w:rPr>
        <w:t>商务报价文件</w:t>
      </w:r>
      <w:r>
        <w:rPr>
          <w:rFonts w:hint="eastAsia" w:ascii="宋体" w:hAnsi="宋体" w:eastAsia="宋体" w:cs="宋体"/>
          <w:color w:val="auto"/>
          <w:szCs w:val="21"/>
          <w:highlight w:val="none"/>
        </w:rPr>
        <w:t>中规定的“竞标报价表”；</w:t>
      </w:r>
    </w:p>
    <w:p w14:paraId="58F0350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2）未采用人民币报价或者未按照磋商文件标明的币种报价；</w:t>
      </w:r>
    </w:p>
    <w:p w14:paraId="5719408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供应商未就所竞标分标进行报价或者存在漏项报价；供应商未就所竞标分标的单项内容作唯一报价；供应商未就所竞标分标的全部内容作唯一总价报价；供应商响应文件中存在有选择、有条件报价的（磋商文件允许有备选方案或者其他约定的除外）；</w:t>
      </w:r>
    </w:p>
    <w:p w14:paraId="72C4F9C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4）竞标报价（包含首次报价、最后报价）超过所竞标分标规定的采购预算金额或者最高限价的（如本项目公布了最高限价）；</w:t>
      </w:r>
      <w:bookmarkStart w:id="72" w:name="_Hlk42596405"/>
      <w:r>
        <w:rPr>
          <w:rFonts w:hint="eastAsia" w:ascii="宋体" w:hAnsi="宋体" w:eastAsia="宋体" w:cs="宋体"/>
          <w:color w:val="auto"/>
          <w:szCs w:val="21"/>
          <w:highlight w:val="none"/>
        </w:rPr>
        <w:t>竞标报价（包含首次报价、最后报价）</w:t>
      </w:r>
      <w:bookmarkEnd w:id="72"/>
      <w:bookmarkStart w:id="73" w:name="_Hlk42596276"/>
      <w:r>
        <w:rPr>
          <w:rFonts w:hint="eastAsia" w:ascii="宋体" w:hAnsi="宋体" w:eastAsia="宋体" w:cs="宋体"/>
          <w:color w:val="auto"/>
          <w:szCs w:val="21"/>
          <w:highlight w:val="none"/>
        </w:rPr>
        <w:t>超过磋商文件分项采购预算金额或者最高限价的</w:t>
      </w:r>
      <w:bookmarkEnd w:id="73"/>
      <w:r>
        <w:rPr>
          <w:rFonts w:hint="eastAsia" w:ascii="宋体" w:hAnsi="宋体" w:eastAsia="宋体" w:cs="宋体"/>
          <w:color w:val="auto"/>
          <w:szCs w:val="21"/>
          <w:highlight w:val="none"/>
        </w:rPr>
        <w:t>（如本项目公布了最高限价）；</w:t>
      </w:r>
    </w:p>
    <w:p w14:paraId="7390F6D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修正后的报价，供应商不确认的；或者经供应商确认修正后的竞标报价（包含首次报价、最后报价）超过所竞标分标规定的采购预算金额或者最高限价（如本项目公布了最高限价）；或者经供应商确认修正后竞标报价（包含首次报价、最后报价）超过磋商文件分项采购预算金额或者最高限价的（如本项目公布了最高限价）。</w:t>
      </w:r>
    </w:p>
    <w:p w14:paraId="4F871DD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2.6磋商小组对响应文件进行评审，未实质性响应磋商文件的响应文件按无效处理，由磋商小组告知有关供应商。磋商小组从符合磋商文件规定的相应资格条件的供应商名单中确定不少于3家的供应商参加磋商。</w:t>
      </w:r>
    </w:p>
    <w:p w14:paraId="7BC0DCE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2.7通过符合性审查的合格供应商不足3家的，不得进入磋商环节，采购人或者采购代理机构应当重新开展采购活动。</w:t>
      </w:r>
    </w:p>
    <w:p w14:paraId="42B5C8D5">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3.磋商</w:t>
      </w:r>
    </w:p>
    <w:p w14:paraId="6BF2FD0F">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3.磋商的程序</w:t>
      </w:r>
    </w:p>
    <w:p w14:paraId="600D65F3">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3.1磋商小组按照“供应商须知前附表”</w:t>
      </w:r>
      <w:r>
        <w:rPr>
          <w:rFonts w:hint="eastAsia" w:ascii="宋体" w:hAnsi="宋体" w:eastAsia="宋体" w:cs="宋体"/>
          <w:color w:val="auto"/>
          <w:szCs w:val="21"/>
          <w:highlight w:val="none"/>
        </w:rPr>
        <w:t xml:space="preserve"> </w:t>
      </w:r>
      <w:r>
        <w:rPr>
          <w:rFonts w:hint="eastAsia" w:ascii="宋体" w:hAnsi="宋体" w:eastAsia="宋体" w:cs="宋体"/>
          <w:color w:val="auto"/>
          <w:kern w:val="0"/>
          <w:szCs w:val="21"/>
          <w:highlight w:val="none"/>
        </w:rPr>
        <w:t>确定的</w:t>
      </w:r>
      <w:r>
        <w:rPr>
          <w:rFonts w:hint="eastAsia" w:ascii="宋体" w:hAnsi="宋体" w:eastAsia="宋体" w:cs="宋体"/>
          <w:color w:val="auto"/>
          <w:szCs w:val="21"/>
          <w:highlight w:val="none"/>
        </w:rPr>
        <w:t>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70C112B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3B47B4E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3.3对磋商文件作出的实质性变动是磋商文件的有效组成部分，由磋商小组及时以书面形式同时通知所有参加磋商的供应商。</w:t>
      </w:r>
    </w:p>
    <w:p w14:paraId="0C76771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3.4供应商必须按照磋商文件的变动情况和磋商小组的要求重新提交响应文件，并由其法定代表人或者授权代表签字或者加盖公章。由委托代理人签字的，</w:t>
      </w:r>
      <w:r>
        <w:rPr>
          <w:rFonts w:hint="eastAsia" w:ascii="宋体" w:hAnsi="宋体" w:eastAsia="宋体" w:cs="宋体"/>
          <w:bCs/>
          <w:color w:val="auto"/>
          <w:szCs w:val="21"/>
          <w:highlight w:val="none"/>
        </w:rPr>
        <w:t>若委托代理人不是响应文件中授权的委托代理人时，必须同时出示有效的法定代表人授权委托书原件</w:t>
      </w:r>
      <w:r>
        <w:rPr>
          <w:rFonts w:hint="eastAsia" w:ascii="宋体" w:hAnsi="宋体" w:eastAsia="宋体" w:cs="宋体"/>
          <w:color w:val="auto"/>
          <w:szCs w:val="21"/>
          <w:highlight w:val="none"/>
        </w:rPr>
        <w:t>。供应商为自然人的，必须由本人签字并附身份证明。参加磋商的供应商未在规定时间内重新提交响应文件的，视同</w:t>
      </w:r>
      <w:bookmarkStart w:id="74" w:name="_Hlk55814495"/>
      <w:r>
        <w:rPr>
          <w:rFonts w:hint="eastAsia" w:ascii="宋体" w:hAnsi="宋体" w:eastAsia="宋体" w:cs="宋体"/>
          <w:color w:val="auto"/>
          <w:szCs w:val="21"/>
          <w:highlight w:val="none"/>
        </w:rPr>
        <w:t>退出磋商</w:t>
      </w:r>
      <w:bookmarkEnd w:id="74"/>
      <w:r>
        <w:rPr>
          <w:rFonts w:hint="eastAsia" w:ascii="宋体" w:hAnsi="宋体" w:eastAsia="宋体" w:cs="宋体"/>
          <w:color w:val="auto"/>
          <w:szCs w:val="21"/>
          <w:highlight w:val="none"/>
        </w:rPr>
        <w:t>，其响应文件作无效处理。</w:t>
      </w:r>
    </w:p>
    <w:p w14:paraId="3763BC5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3.5磋商中，</w:t>
      </w:r>
      <w:r>
        <w:rPr>
          <w:rFonts w:hint="eastAsia" w:ascii="宋体" w:hAnsi="宋体" w:eastAsia="宋体" w:cs="宋体"/>
          <w:color w:val="auto"/>
          <w:spacing w:val="-6"/>
          <w:szCs w:val="21"/>
          <w:highlight w:val="none"/>
        </w:rPr>
        <w:t>磋商的任何一方不得透露与磋商有关的其他供应商的技术资料、价格和其他信息。</w:t>
      </w:r>
    </w:p>
    <w:p w14:paraId="0B06EDE5">
      <w:pPr>
        <w:widowControl/>
        <w:tabs>
          <w:tab w:val="left" w:pos="540"/>
        </w:tabs>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3.6采购代理机构对磋商过程和重要磋商内容进行记录，磋商双方在记录上签字确认。</w:t>
      </w:r>
    </w:p>
    <w:p w14:paraId="240964FB">
      <w:pPr>
        <w:widowControl/>
        <w:tabs>
          <w:tab w:val="left" w:pos="540"/>
        </w:tabs>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3.7磋商过程中重新提交的响应文件，供应商可以在开启前补充、修改。</w:t>
      </w:r>
    </w:p>
    <w:p w14:paraId="12DCFFD6">
      <w:pPr>
        <w:widowControl/>
        <w:tabs>
          <w:tab w:val="left" w:pos="540"/>
        </w:tabs>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3.8根据《财政部关于政府采购竞争性磋商采购方式管理暂行办法有关问题的补充通知》（财库〔2015〕124号）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6D7EC559">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3.9对磋商过程提交的响应文件进行有效性、完整性和响应程度审查，通过审查的合格供应商不足3家的，除本章第3.8条的情形外，采购人或者采购代理机构应当重新开展采购活动。</w:t>
      </w:r>
    </w:p>
    <w:p w14:paraId="1C536447">
      <w:pPr>
        <w:spacing w:line="360" w:lineRule="auto"/>
        <w:ind w:firstLine="482" w:firstLineChars="200"/>
        <w:rPr>
          <w:rFonts w:hint="eastAsia" w:ascii="宋体" w:hAnsi="宋体" w:eastAsia="宋体" w:cs="宋体"/>
          <w:color w:val="auto"/>
          <w:szCs w:val="21"/>
          <w:highlight w:val="none"/>
        </w:rPr>
      </w:pPr>
      <w:r>
        <w:rPr>
          <w:rFonts w:hint="eastAsia" w:ascii="宋体" w:hAnsi="宋体" w:eastAsia="宋体" w:cs="宋体"/>
          <w:b/>
          <w:bCs/>
          <w:color w:val="auto"/>
          <w:sz w:val="24"/>
          <w:highlight w:val="none"/>
        </w:rPr>
        <w:t>4. 最后报价</w:t>
      </w:r>
    </w:p>
    <w:p w14:paraId="4573885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4.1磋商文件能够详细列明采购标的的技术、服务要求的，磋商结束后，由磋商小组要求所有继续参加磋商的供应商在规定时间内密封提交最后报价，提交最后报价的供应商不得少于3家，除本章第4.3条外，否则必须重新采购。</w:t>
      </w:r>
    </w:p>
    <w:p w14:paraId="793B40D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密封提交最后报价。</w:t>
      </w:r>
    </w:p>
    <w:p w14:paraId="28719DA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4.3 最后报价是供应商响应文件的有效组成部分。符合《政府采购竞争性磋商采购方式管理暂行办法》（财库〔2014〕214号）第三条第四项“市场竞争不充分的科研项目，以及需要扶持的科技成果转化项目”和本章第3.8条情形的，提交最后报价的供应商可以为2家。</w:t>
      </w:r>
    </w:p>
    <w:p w14:paraId="71CC7E1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4.4已经提交响应文件的供应商，在提交最后报价之前，可以根据磋商情况退出磋商，退出磋商的供应商的响应文件按无效响应处理。采购人、采购代理机构将退还退出磋商的供应商的保证金。</w:t>
      </w:r>
    </w:p>
    <w:p w14:paraId="77A23FD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4.5供应商未在规定时间内提交最后报价的，视为退出磋商，其响应文件作无效处理。</w:t>
      </w:r>
    </w:p>
    <w:p w14:paraId="178DE75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4.6磋商小组收齐某一分标最后报价后统一开启，磋商小组对最后报价进行有效性、完整性和响应程度的审查。</w:t>
      </w:r>
    </w:p>
    <w:p w14:paraId="0968078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4.7响应文件最后报价出现前后不一致的，按照本章第2.4条的规定修正。 </w:t>
      </w:r>
    </w:p>
    <w:p w14:paraId="511CA80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4.8修正后的报价出现下列情形的，按无效响应处理：</w:t>
      </w:r>
    </w:p>
    <w:p w14:paraId="6A14B1A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（1）供应商不确认的；</w:t>
      </w:r>
    </w:p>
    <w:p w14:paraId="2619612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（2）经供应商确认修正后的竞标报价（包含首次报价、最后报价）超过所竞标分标规定的采购预算金额或者最高限价的（如本项目公布了最高限价）；</w:t>
      </w:r>
    </w:p>
    <w:p w14:paraId="2CC843D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（3）经供应商确认修正后的竞标报价（包含首次报价、最后报价）超过分项采购预算金额或者最高限价的（如本项目公布了最高限价）。</w:t>
      </w:r>
    </w:p>
    <w:p w14:paraId="3482AB8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4.9经供应商确认修正后的最后报价作为评审及签订合同的依据。</w:t>
      </w:r>
    </w:p>
    <w:p w14:paraId="6DF32F4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4.10最后报价结束后，磋商小组不得再与供应商进行任何形式的商谈。</w:t>
      </w:r>
    </w:p>
    <w:p w14:paraId="6E8A61E5">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5.比较与评价</w:t>
      </w:r>
    </w:p>
    <w:p w14:paraId="5F0D5EE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5.1评审方法：综合评分法。</w:t>
      </w:r>
    </w:p>
    <w:p w14:paraId="32E780B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5.2经磋商确定最终采购需求和提交最后报价的供应商后，由磋商小组采用综合评分法对提交最后报价的供应商的响应文件和最后报价进行综合评分。</w:t>
      </w:r>
    </w:p>
    <w:p w14:paraId="071C826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5.3评审时，磋商小组各成员应当独立对每个有效响应的文件进行评价、打分，然后汇总每个供应商每项评分因素的得分。</w:t>
      </w:r>
    </w:p>
    <w:p w14:paraId="53F7137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（1）磋商小组按照磋商文件中规定的评审标准计算各供应商的报价得分。项目评审过程中，不得去掉最后报价中的最高报价和最低报价。</w:t>
      </w:r>
    </w:p>
    <w:p w14:paraId="379EBC4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（2）各供应商的得分为磋商小组所有成员的有效评分的算术平均数。</w:t>
      </w:r>
    </w:p>
    <w:p w14:paraId="6D750BE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5.4评审价为供应商的最后报价进行政策性扣除后的价格，评审价只是作为评审时使用。最终成交供应商的成交金额等于最后报价（如有修正，以确认修正后的最后报价为准）。</w:t>
      </w:r>
    </w:p>
    <w:p w14:paraId="17BDC431">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5.5由磋商小组根据综合评分情况，按照评审得分由高到低顺序推荐3名以上成交候选供应商，并编写评</w:t>
      </w:r>
      <w:r>
        <w:rPr>
          <w:rFonts w:hint="eastAsia" w:ascii="宋体" w:hAnsi="宋体" w:eastAsia="宋体" w:cs="宋体"/>
          <w:color w:val="auto"/>
          <w:kern w:val="0"/>
          <w:szCs w:val="21"/>
          <w:highlight w:val="none"/>
        </w:rPr>
        <w:t>审报告。符合本章第4.3条情形的，可以推荐2家成交候选供应商。评审得分相同的，按照最后报价由低到高的顺序推荐。评审得分且最后报价相同的，按照技术指标优劣顺序推荐。</w:t>
      </w:r>
    </w:p>
    <w:p w14:paraId="1DE6FCB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5.6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2A8A8DD3">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二、评审标准</w:t>
      </w:r>
    </w:p>
    <w:p w14:paraId="71DA8598">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6.评审依据：磋商小组将以磋商响应文件为评审依据，对供应商的报价、技术、商务等方面内容按百分制打分。（计分方法按四舍五入取至百分位）</w:t>
      </w:r>
    </w:p>
    <w:tbl>
      <w:tblPr>
        <w:tblStyle w:val="23"/>
        <w:tblW w:w="90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304"/>
        <w:gridCol w:w="6288"/>
        <w:gridCol w:w="851"/>
      </w:tblGrid>
      <w:tr w14:paraId="0EB3F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47" w:type="dxa"/>
            <w:noWrap w:val="0"/>
            <w:vAlign w:val="center"/>
          </w:tcPr>
          <w:p w14:paraId="34524E73">
            <w:pPr>
              <w:widowControl/>
              <w:spacing w:line="360" w:lineRule="auto"/>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序号</w:t>
            </w:r>
          </w:p>
        </w:tc>
        <w:tc>
          <w:tcPr>
            <w:tcW w:w="1304" w:type="dxa"/>
            <w:noWrap w:val="0"/>
            <w:vAlign w:val="center"/>
          </w:tcPr>
          <w:p w14:paraId="6FEF6EE5">
            <w:pPr>
              <w:widowControl/>
              <w:spacing w:line="360" w:lineRule="auto"/>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评审因素</w:t>
            </w:r>
          </w:p>
        </w:tc>
        <w:tc>
          <w:tcPr>
            <w:tcW w:w="6288" w:type="dxa"/>
            <w:noWrap w:val="0"/>
            <w:vAlign w:val="center"/>
          </w:tcPr>
          <w:p w14:paraId="6B5CF3F5">
            <w:pPr>
              <w:widowControl/>
              <w:spacing w:line="360" w:lineRule="auto"/>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评审因素具体内容</w:t>
            </w:r>
          </w:p>
        </w:tc>
        <w:tc>
          <w:tcPr>
            <w:tcW w:w="851" w:type="dxa"/>
            <w:noWrap w:val="0"/>
            <w:vAlign w:val="center"/>
          </w:tcPr>
          <w:p w14:paraId="56285DEC">
            <w:pPr>
              <w:widowControl/>
              <w:spacing w:line="360" w:lineRule="auto"/>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分值</w:t>
            </w:r>
          </w:p>
        </w:tc>
      </w:tr>
      <w:tr w14:paraId="5EF2C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47" w:type="dxa"/>
            <w:noWrap w:val="0"/>
            <w:vAlign w:val="center"/>
          </w:tcPr>
          <w:p w14:paraId="5FD4DACD">
            <w:pPr>
              <w:widowControl/>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w:t>
            </w:r>
          </w:p>
        </w:tc>
        <w:tc>
          <w:tcPr>
            <w:tcW w:w="1304" w:type="dxa"/>
            <w:noWrap w:val="0"/>
            <w:vAlign w:val="center"/>
          </w:tcPr>
          <w:p w14:paraId="642B4F73">
            <w:pPr>
              <w:widowControl/>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价格分</w:t>
            </w:r>
          </w:p>
        </w:tc>
        <w:tc>
          <w:tcPr>
            <w:tcW w:w="6288" w:type="dxa"/>
            <w:noWrap w:val="0"/>
            <w:vAlign w:val="top"/>
          </w:tcPr>
          <w:p w14:paraId="4C41493D">
            <w:pPr>
              <w:keepNext w:val="0"/>
              <w:keepLines w:val="0"/>
              <w:pageBreakBefore w:val="0"/>
              <w:kinsoku/>
              <w:wordWrap/>
              <w:overflowPunct/>
              <w:topLinePunct w:val="0"/>
              <w:autoSpaceDE/>
              <w:autoSpaceDN/>
              <w:bidi w:val="0"/>
              <w:snapToGrid/>
              <w:spacing w:line="360" w:lineRule="auto"/>
              <w:ind w:firstLine="420" w:firstLineChars="200"/>
              <w:rPr>
                <w:rFonts w:hint="eastAsia"/>
                <w:color w:val="auto"/>
                <w:sz w:val="21"/>
                <w:szCs w:val="21"/>
                <w:highlight w:val="none"/>
              </w:rPr>
            </w:pPr>
            <w:r>
              <w:rPr>
                <w:rFonts w:hint="eastAsia"/>
                <w:color w:val="auto"/>
                <w:sz w:val="21"/>
                <w:szCs w:val="21"/>
                <w:highlight w:val="none"/>
              </w:rPr>
              <w:t>评标基准价</w:t>
            </w:r>
            <w:r>
              <w:rPr>
                <w:color w:val="auto"/>
                <w:sz w:val="21"/>
                <w:szCs w:val="21"/>
                <w:highlight w:val="none"/>
              </w:rPr>
              <w:t>的确定方法</w:t>
            </w:r>
            <w:r>
              <w:rPr>
                <w:rFonts w:hint="eastAsia"/>
                <w:color w:val="auto"/>
                <w:sz w:val="21"/>
                <w:szCs w:val="21"/>
                <w:highlight w:val="none"/>
                <w:lang w:eastAsia="zh-CN"/>
              </w:rPr>
              <w:t>：</w:t>
            </w:r>
            <w:r>
              <w:rPr>
                <w:rFonts w:hint="default"/>
                <w:color w:val="auto"/>
                <w:sz w:val="21"/>
                <w:szCs w:val="21"/>
                <w:highlight w:val="none"/>
              </w:rPr>
              <w:t>采用低价优先法计算，即满足磋商文件要求且最后报价最低的供应商的价格为磋商基准价，其价格分为满分</w:t>
            </w:r>
            <w:r>
              <w:rPr>
                <w:rFonts w:hint="eastAsia"/>
                <w:color w:val="auto"/>
                <w:sz w:val="21"/>
                <w:szCs w:val="21"/>
                <w:highlight w:val="none"/>
              </w:rPr>
              <w:t>。</w:t>
            </w:r>
          </w:p>
          <w:p w14:paraId="26D6CB71">
            <w:pPr>
              <w:pStyle w:val="15"/>
              <w:spacing w:line="360" w:lineRule="auto"/>
              <w:ind w:firstLine="420" w:firstLineChars="200"/>
              <w:rPr>
                <w:rFonts w:hint="eastAsia" w:hAnsi="宋体" w:cs="宋体"/>
                <w:bCs/>
                <w:color w:val="auto"/>
                <w:kern w:val="2"/>
                <w:sz w:val="21"/>
                <w:highlight w:val="none"/>
              </w:rPr>
            </w:pPr>
            <w:r>
              <w:rPr>
                <w:rFonts w:hint="eastAsia"/>
                <w:color w:val="auto"/>
                <w:sz w:val="21"/>
                <w:szCs w:val="21"/>
                <w:highlight w:val="none"/>
              </w:rPr>
              <w:t>价格分统一按照下列公式计算：磋商报价得分=（评审基准价/磋商报价）×价格分满分分值。</w:t>
            </w:r>
          </w:p>
        </w:tc>
        <w:tc>
          <w:tcPr>
            <w:tcW w:w="851" w:type="dxa"/>
            <w:noWrap w:val="0"/>
            <w:vAlign w:val="center"/>
          </w:tcPr>
          <w:p w14:paraId="0D7BE407">
            <w:pPr>
              <w:widowControl/>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满分10</w:t>
            </w:r>
            <w:r>
              <w:rPr>
                <w:rFonts w:hint="eastAsia" w:ascii="宋体" w:hAnsi="宋体" w:cs="宋体"/>
                <w:color w:val="auto"/>
                <w:kern w:val="0"/>
                <w:szCs w:val="21"/>
                <w:highlight w:val="none"/>
              </w:rPr>
              <w:t>分</w:t>
            </w:r>
          </w:p>
        </w:tc>
      </w:tr>
      <w:tr w14:paraId="69A30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47" w:type="dxa"/>
            <w:noWrap w:val="0"/>
            <w:vAlign w:val="center"/>
          </w:tcPr>
          <w:p w14:paraId="4DE9210E">
            <w:pPr>
              <w:widowControl/>
              <w:spacing w:line="360" w:lineRule="auto"/>
              <w:jc w:val="center"/>
              <w:rPr>
                <w:rFonts w:hint="eastAsia" w:ascii="宋体" w:hAnsi="宋体" w:cs="宋体"/>
                <w:color w:val="auto"/>
                <w:kern w:val="0"/>
                <w:szCs w:val="21"/>
                <w:highlight w:val="none"/>
              </w:rPr>
            </w:pPr>
            <w:r>
              <w:rPr>
                <w:rFonts w:hint="eastAsia" w:ascii="宋体" w:hAnsi="宋体" w:cs="宋体"/>
                <w:bCs/>
                <w:color w:val="auto"/>
                <w:kern w:val="0"/>
                <w:szCs w:val="21"/>
                <w:highlight w:val="none"/>
              </w:rPr>
              <w:t>2</w:t>
            </w:r>
          </w:p>
        </w:tc>
        <w:tc>
          <w:tcPr>
            <w:tcW w:w="8443" w:type="dxa"/>
            <w:gridSpan w:val="3"/>
            <w:noWrap w:val="0"/>
            <w:vAlign w:val="center"/>
          </w:tcPr>
          <w:p w14:paraId="4E08D448">
            <w:pPr>
              <w:widowControl/>
              <w:spacing w:line="360" w:lineRule="auto"/>
              <w:jc w:val="center"/>
              <w:rPr>
                <w:rFonts w:hint="eastAsia" w:ascii="宋体" w:hAnsi="宋体" w:cs="宋体"/>
                <w:color w:val="auto"/>
                <w:kern w:val="0"/>
                <w:szCs w:val="21"/>
                <w:highlight w:val="none"/>
              </w:rPr>
            </w:pPr>
            <w:r>
              <w:rPr>
                <w:rFonts w:hint="eastAsia" w:ascii="宋体" w:hAnsi="宋体" w:cs="宋体"/>
                <w:bCs/>
                <w:color w:val="auto"/>
                <w:kern w:val="0"/>
                <w:szCs w:val="21"/>
                <w:highlight w:val="none"/>
              </w:rPr>
              <w:t>技术分（满分</w:t>
            </w:r>
            <w:r>
              <w:rPr>
                <w:rFonts w:hint="eastAsia" w:ascii="宋体" w:hAnsi="宋体" w:cs="宋体"/>
                <w:bCs/>
                <w:color w:val="auto"/>
                <w:kern w:val="0"/>
                <w:szCs w:val="21"/>
                <w:highlight w:val="none"/>
                <w:lang w:val="en-US" w:eastAsia="zh-CN"/>
              </w:rPr>
              <w:t>85</w:t>
            </w:r>
            <w:r>
              <w:rPr>
                <w:rFonts w:hint="eastAsia" w:ascii="宋体" w:hAnsi="宋体" w:cs="宋体"/>
                <w:bCs/>
                <w:color w:val="auto"/>
                <w:kern w:val="0"/>
                <w:szCs w:val="21"/>
                <w:highlight w:val="none"/>
              </w:rPr>
              <w:t>分）</w:t>
            </w:r>
            <w:r>
              <w:rPr>
                <w:rFonts w:hint="eastAsia" w:ascii="宋体" w:hAnsi="宋体" w:cs="宋体"/>
                <w:color w:val="auto"/>
                <w:kern w:val="0"/>
                <w:szCs w:val="21"/>
                <w:highlight w:val="none"/>
              </w:rPr>
              <w:t>（</w:t>
            </w:r>
            <w:r>
              <w:rPr>
                <w:rFonts w:hint="eastAsia" w:ascii="宋体" w:hAnsi="宋体" w:cs="宋体"/>
                <w:bCs/>
                <w:color w:val="auto"/>
                <w:kern w:val="0"/>
                <w:szCs w:val="21"/>
                <w:highlight w:val="none"/>
              </w:rPr>
              <w:t>由</w:t>
            </w:r>
            <w:r>
              <w:rPr>
                <w:rFonts w:hint="eastAsia" w:ascii="宋体" w:hAnsi="宋体" w:cs="宋体"/>
                <w:bCs/>
                <w:color w:val="auto"/>
                <w:kern w:val="0"/>
                <w:szCs w:val="21"/>
                <w:highlight w:val="none"/>
                <w:lang w:eastAsia="zh-CN"/>
              </w:rPr>
              <w:t>磋商小组成员</w:t>
            </w:r>
            <w:r>
              <w:rPr>
                <w:rFonts w:hint="eastAsia" w:ascii="宋体" w:hAnsi="宋体" w:cs="宋体"/>
                <w:bCs/>
                <w:color w:val="auto"/>
                <w:kern w:val="0"/>
                <w:szCs w:val="21"/>
                <w:highlight w:val="none"/>
              </w:rPr>
              <w:t>根据以下标准进行独立评审并独立打分</w:t>
            </w:r>
            <w:r>
              <w:rPr>
                <w:rFonts w:hint="eastAsia" w:ascii="宋体" w:hAnsi="宋体" w:cs="宋体"/>
                <w:color w:val="auto"/>
                <w:kern w:val="0"/>
                <w:szCs w:val="21"/>
                <w:highlight w:val="none"/>
              </w:rPr>
              <w:t>）</w:t>
            </w:r>
          </w:p>
        </w:tc>
      </w:tr>
      <w:tr w14:paraId="195A6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647" w:type="dxa"/>
            <w:noWrap w:val="0"/>
            <w:vAlign w:val="center"/>
          </w:tcPr>
          <w:p w14:paraId="50D8DDEB">
            <w:pPr>
              <w:adjustRightInd w:val="0"/>
              <w:spacing w:line="360" w:lineRule="auto"/>
              <w:ind w:left="-105" w:leftChars="-50" w:right="-105" w:rightChars="-50"/>
              <w:jc w:val="center"/>
              <w:textAlignment w:val="baseline"/>
              <w:rPr>
                <w:rFonts w:hint="default" w:ascii="宋体" w:hAnsi="宋体" w:eastAsia="宋体" w:cs="宋体"/>
                <w:bCs/>
                <w:color w:val="auto"/>
                <w:kern w:val="0"/>
                <w:szCs w:val="21"/>
                <w:highlight w:val="none"/>
                <w:lang w:val="en-US" w:eastAsia="zh-CN"/>
              </w:rPr>
            </w:pPr>
            <w:r>
              <w:rPr>
                <w:rFonts w:hint="eastAsia" w:ascii="宋体" w:hAnsi="宋体" w:cs="宋体"/>
                <w:bCs/>
                <w:color w:val="auto"/>
                <w:kern w:val="0"/>
                <w:szCs w:val="21"/>
                <w:highlight w:val="none"/>
                <w:lang w:val="en-US" w:eastAsia="zh-CN"/>
              </w:rPr>
              <w:t>2.1</w:t>
            </w:r>
          </w:p>
        </w:tc>
        <w:tc>
          <w:tcPr>
            <w:tcW w:w="1304" w:type="dxa"/>
            <w:noWrap w:val="0"/>
            <w:vAlign w:val="center"/>
          </w:tcPr>
          <w:p w14:paraId="02610558">
            <w:pPr>
              <w:autoSpaceDE w:val="0"/>
              <w:autoSpaceDN w:val="0"/>
              <w:spacing w:line="360" w:lineRule="auto"/>
              <w:jc w:val="center"/>
              <w:rPr>
                <w:rFonts w:hint="eastAsia" w:ascii="Times New Roman" w:hAnsi="Times New Roman" w:eastAsia="宋体" w:cs="Times New Roman"/>
                <w:bCs/>
                <w:color w:val="auto"/>
                <w:szCs w:val="21"/>
                <w:highlight w:val="none"/>
                <w:lang w:eastAsia="zh-CN"/>
              </w:rPr>
            </w:pPr>
            <w:r>
              <w:rPr>
                <w:rFonts w:hint="eastAsia" w:ascii="Times New Roman" w:hAnsi="Times New Roman" w:eastAsia="宋体" w:cs="Times New Roman"/>
                <w:bCs/>
                <w:color w:val="auto"/>
                <w:szCs w:val="21"/>
                <w:highlight w:val="none"/>
                <w:lang w:eastAsia="zh-CN"/>
              </w:rPr>
              <w:t>服务方案</w:t>
            </w:r>
          </w:p>
        </w:tc>
        <w:tc>
          <w:tcPr>
            <w:tcW w:w="6288" w:type="dxa"/>
            <w:noWrap w:val="0"/>
            <w:vAlign w:val="center"/>
          </w:tcPr>
          <w:p w14:paraId="38538811">
            <w:pPr>
              <w:autoSpaceDE w:val="0"/>
              <w:autoSpaceDN w:val="0"/>
              <w:spacing w:line="360" w:lineRule="auto"/>
              <w:jc w:val="left"/>
              <w:rPr>
                <w:rFonts w:hint="eastAsia"/>
                <w:b/>
                <w:bCs/>
                <w:color w:val="auto"/>
                <w:highlight w:val="none"/>
                <w:lang w:eastAsia="zh-CN"/>
              </w:rPr>
            </w:pPr>
            <w:bookmarkStart w:id="75" w:name="OLE_LINK1"/>
            <w:r>
              <w:rPr>
                <w:rFonts w:hint="eastAsia"/>
                <w:b/>
                <w:bCs/>
                <w:color w:val="auto"/>
                <w:highlight w:val="none"/>
                <w:lang w:eastAsia="zh-CN"/>
              </w:rPr>
              <w:t>（1）实施方案分（</w:t>
            </w:r>
            <w:r>
              <w:rPr>
                <w:rFonts w:hint="eastAsia"/>
                <w:b/>
                <w:bCs/>
                <w:color w:val="auto"/>
                <w:highlight w:val="none"/>
                <w:lang w:val="en-US" w:eastAsia="zh-CN"/>
              </w:rPr>
              <w:t>20分</w:t>
            </w:r>
            <w:r>
              <w:rPr>
                <w:rFonts w:hint="eastAsia"/>
                <w:b/>
                <w:bCs/>
                <w:color w:val="auto"/>
                <w:highlight w:val="none"/>
                <w:lang w:eastAsia="zh-CN"/>
              </w:rPr>
              <w:t>）：</w:t>
            </w:r>
          </w:p>
          <w:p w14:paraId="0C66A82A">
            <w:pPr>
              <w:autoSpaceDE w:val="0"/>
              <w:autoSpaceDN w:val="0"/>
              <w:spacing w:line="360" w:lineRule="auto"/>
              <w:ind w:firstLine="420" w:firstLineChars="200"/>
              <w:jc w:val="left"/>
              <w:rPr>
                <w:rFonts w:hint="eastAsia"/>
                <w:color w:val="auto"/>
                <w:highlight w:val="none"/>
                <w:lang w:eastAsia="zh-CN"/>
              </w:rPr>
            </w:pPr>
            <w:r>
              <w:rPr>
                <w:rFonts w:hint="eastAsia"/>
                <w:color w:val="auto"/>
                <w:highlight w:val="none"/>
                <w:lang w:eastAsia="zh-CN"/>
              </w:rPr>
              <w:t>由磋商小组成员在打分前</w:t>
            </w:r>
            <w:r>
              <w:rPr>
                <w:rFonts w:hint="eastAsia"/>
                <w:color w:val="auto"/>
                <w:highlight w:val="none"/>
                <w:lang w:val="zh-CN" w:eastAsia="zh-CN"/>
              </w:rPr>
              <w:t>根据各响应文件中的</w:t>
            </w:r>
            <w:r>
              <w:rPr>
                <w:rFonts w:hint="eastAsia"/>
                <w:color w:val="auto"/>
                <w:highlight w:val="none"/>
                <w:lang w:eastAsia="zh-CN"/>
              </w:rPr>
              <w:t>服务方案，就工作服务方案、服务标准的完整性、合理性、科学性、先进性等方面在相应档次内独立打分。</w:t>
            </w:r>
          </w:p>
          <w:p w14:paraId="67A9CBF3">
            <w:pPr>
              <w:autoSpaceDE w:val="0"/>
              <w:autoSpaceDN w:val="0"/>
              <w:spacing w:line="360" w:lineRule="auto"/>
              <w:ind w:firstLine="420" w:firstLineChars="200"/>
              <w:jc w:val="left"/>
              <w:rPr>
                <w:rFonts w:hint="eastAsia"/>
                <w:color w:val="auto"/>
                <w:highlight w:val="none"/>
                <w:lang w:eastAsia="zh-CN"/>
              </w:rPr>
            </w:pPr>
            <w:r>
              <w:rPr>
                <w:rFonts w:hint="eastAsia"/>
                <w:color w:val="auto"/>
                <w:highlight w:val="none"/>
                <w:lang w:eastAsia="zh-CN"/>
              </w:rPr>
              <w:t>差（</w:t>
            </w:r>
            <w:r>
              <w:rPr>
                <w:rFonts w:hint="eastAsia"/>
                <w:color w:val="auto"/>
                <w:highlight w:val="none"/>
                <w:lang w:val="en-US" w:eastAsia="zh-CN"/>
              </w:rPr>
              <w:t>5</w:t>
            </w:r>
            <w:r>
              <w:rPr>
                <w:rFonts w:hint="eastAsia"/>
                <w:color w:val="auto"/>
                <w:highlight w:val="none"/>
                <w:lang w:eastAsia="zh-CN"/>
              </w:rPr>
              <w:t>分）：提供了服务实施方案，对基本的服务内容有描述，方案总体一般。</w:t>
            </w:r>
          </w:p>
          <w:p w14:paraId="342A1102">
            <w:pPr>
              <w:autoSpaceDE w:val="0"/>
              <w:autoSpaceDN w:val="0"/>
              <w:spacing w:line="360" w:lineRule="auto"/>
              <w:ind w:firstLine="420" w:firstLineChars="200"/>
              <w:jc w:val="left"/>
              <w:rPr>
                <w:rFonts w:hint="eastAsia"/>
                <w:color w:val="auto"/>
                <w:highlight w:val="none"/>
                <w:lang w:eastAsia="zh-CN"/>
              </w:rPr>
            </w:pPr>
            <w:r>
              <w:rPr>
                <w:rFonts w:hint="eastAsia"/>
                <w:color w:val="auto"/>
                <w:highlight w:val="none"/>
                <w:lang w:eastAsia="zh-CN"/>
              </w:rPr>
              <w:t>中（</w:t>
            </w:r>
            <w:r>
              <w:rPr>
                <w:rFonts w:hint="eastAsia"/>
                <w:color w:val="auto"/>
                <w:highlight w:val="none"/>
                <w:lang w:val="en-US" w:eastAsia="zh-CN"/>
              </w:rPr>
              <w:t>10</w:t>
            </w:r>
            <w:r>
              <w:rPr>
                <w:rFonts w:hint="eastAsia"/>
                <w:color w:val="auto"/>
                <w:highlight w:val="none"/>
                <w:lang w:eastAsia="zh-CN"/>
              </w:rPr>
              <w:t xml:space="preserve">分）：服务实施方案完整，对服务工作的重点、难点有基本了解。 </w:t>
            </w:r>
          </w:p>
          <w:p w14:paraId="7A5BDB1B">
            <w:pPr>
              <w:autoSpaceDE w:val="0"/>
              <w:autoSpaceDN w:val="0"/>
              <w:spacing w:line="360" w:lineRule="auto"/>
              <w:ind w:firstLine="420" w:firstLineChars="200"/>
              <w:jc w:val="left"/>
              <w:rPr>
                <w:rFonts w:hint="eastAsia"/>
                <w:color w:val="auto"/>
                <w:highlight w:val="none"/>
                <w:lang w:eastAsia="zh-CN"/>
              </w:rPr>
            </w:pPr>
            <w:r>
              <w:rPr>
                <w:rFonts w:hint="eastAsia"/>
                <w:color w:val="auto"/>
                <w:highlight w:val="none"/>
                <w:lang w:eastAsia="zh-CN"/>
              </w:rPr>
              <w:t>良（</w:t>
            </w:r>
            <w:r>
              <w:rPr>
                <w:rFonts w:hint="eastAsia"/>
                <w:color w:val="auto"/>
                <w:highlight w:val="none"/>
                <w:lang w:val="en-US" w:eastAsia="zh-CN"/>
              </w:rPr>
              <w:t>15分</w:t>
            </w:r>
            <w:r>
              <w:rPr>
                <w:rFonts w:hint="eastAsia"/>
                <w:color w:val="auto"/>
                <w:highlight w:val="none"/>
                <w:lang w:eastAsia="zh-CN"/>
              </w:rPr>
              <w:t>）：服务实施方案完整，对服务工作的重点、难点了解到位，对项目实施管理有丰富的经验和方案管理，对项目开展有良好的帮助。</w:t>
            </w:r>
          </w:p>
          <w:p w14:paraId="7A75C0F3">
            <w:pPr>
              <w:autoSpaceDE w:val="0"/>
              <w:autoSpaceDN w:val="0"/>
              <w:spacing w:line="360" w:lineRule="auto"/>
              <w:ind w:firstLine="420" w:firstLineChars="200"/>
              <w:jc w:val="left"/>
              <w:rPr>
                <w:rFonts w:hint="eastAsia"/>
                <w:color w:val="auto"/>
                <w:highlight w:val="none"/>
                <w:lang w:eastAsia="zh-CN"/>
              </w:rPr>
            </w:pPr>
            <w:r>
              <w:rPr>
                <w:rFonts w:hint="eastAsia"/>
                <w:color w:val="auto"/>
                <w:highlight w:val="none"/>
                <w:lang w:eastAsia="zh-CN"/>
              </w:rPr>
              <w:t>优（</w:t>
            </w:r>
            <w:r>
              <w:rPr>
                <w:rFonts w:hint="eastAsia"/>
                <w:color w:val="auto"/>
                <w:highlight w:val="none"/>
                <w:lang w:val="en-US" w:eastAsia="zh-CN"/>
              </w:rPr>
              <w:t>20分</w:t>
            </w:r>
            <w:r>
              <w:rPr>
                <w:rFonts w:hint="eastAsia"/>
                <w:color w:val="auto"/>
                <w:highlight w:val="none"/>
                <w:lang w:eastAsia="zh-CN"/>
              </w:rPr>
              <w:t>）：服务实施方案完整详细，对服务工作的重点、难点有充分了解，对项目管理有独到的见解，针对本项目提出了对用户有帮助的合理化建议，方案可行性强。</w:t>
            </w:r>
          </w:p>
          <w:p w14:paraId="5B0C6DED">
            <w:pPr>
              <w:autoSpaceDE w:val="0"/>
              <w:autoSpaceDN w:val="0"/>
              <w:spacing w:line="360" w:lineRule="auto"/>
              <w:jc w:val="left"/>
              <w:rPr>
                <w:rFonts w:hint="eastAsia"/>
                <w:b/>
                <w:bCs/>
                <w:color w:val="auto"/>
                <w:highlight w:val="none"/>
                <w:lang w:eastAsia="zh-CN"/>
              </w:rPr>
            </w:pPr>
            <w:r>
              <w:rPr>
                <w:rFonts w:hint="eastAsia"/>
                <w:b/>
                <w:bCs/>
                <w:color w:val="auto"/>
                <w:highlight w:val="none"/>
                <w:lang w:eastAsia="zh-CN"/>
              </w:rPr>
              <w:t>（</w:t>
            </w:r>
            <w:r>
              <w:rPr>
                <w:rFonts w:hint="eastAsia"/>
                <w:b/>
                <w:bCs/>
                <w:color w:val="auto"/>
                <w:highlight w:val="none"/>
                <w:lang w:val="en-US" w:eastAsia="zh-CN"/>
              </w:rPr>
              <w:t>2</w:t>
            </w:r>
            <w:r>
              <w:rPr>
                <w:rFonts w:hint="eastAsia"/>
                <w:b/>
                <w:bCs/>
                <w:color w:val="auto"/>
                <w:highlight w:val="none"/>
                <w:lang w:eastAsia="zh-CN"/>
              </w:rPr>
              <w:t>）人员配备方案分（满分</w:t>
            </w:r>
            <w:r>
              <w:rPr>
                <w:rFonts w:hint="eastAsia"/>
                <w:b/>
                <w:bCs/>
                <w:color w:val="auto"/>
                <w:highlight w:val="none"/>
                <w:lang w:val="en-US" w:eastAsia="zh-CN"/>
              </w:rPr>
              <w:t>18分</w:t>
            </w:r>
            <w:r>
              <w:rPr>
                <w:rFonts w:hint="eastAsia"/>
                <w:b/>
                <w:bCs/>
                <w:color w:val="auto"/>
                <w:highlight w:val="none"/>
                <w:lang w:eastAsia="zh-CN"/>
              </w:rPr>
              <w:t>）</w:t>
            </w:r>
          </w:p>
          <w:p w14:paraId="79E0FD2D">
            <w:pPr>
              <w:autoSpaceDE w:val="0"/>
              <w:autoSpaceDN w:val="0"/>
              <w:spacing w:line="360" w:lineRule="auto"/>
              <w:ind w:firstLine="420" w:firstLineChars="200"/>
              <w:jc w:val="left"/>
              <w:rPr>
                <w:rFonts w:hint="eastAsia"/>
                <w:color w:val="auto"/>
                <w:highlight w:val="none"/>
                <w:lang w:eastAsia="zh-CN"/>
              </w:rPr>
            </w:pPr>
            <w:r>
              <w:rPr>
                <w:rFonts w:hint="eastAsia"/>
                <w:color w:val="auto"/>
                <w:highlight w:val="none"/>
                <w:lang w:eastAsia="zh-CN"/>
              </w:rPr>
              <w:t>由磋商小组成员在打分前</w:t>
            </w:r>
            <w:r>
              <w:rPr>
                <w:rFonts w:hint="eastAsia"/>
                <w:color w:val="auto"/>
                <w:highlight w:val="none"/>
                <w:lang w:val="zh-CN" w:eastAsia="zh-CN"/>
              </w:rPr>
              <w:t>根据各响应文件中的</w:t>
            </w:r>
            <w:r>
              <w:rPr>
                <w:rFonts w:hint="eastAsia"/>
                <w:color w:val="auto"/>
                <w:highlight w:val="none"/>
                <w:lang w:eastAsia="zh-CN"/>
              </w:rPr>
              <w:t>人员配备的合理性、科学性，</w:t>
            </w:r>
            <w:r>
              <w:rPr>
                <w:rFonts w:hint="eastAsia"/>
                <w:color w:val="auto"/>
                <w:highlight w:val="none"/>
                <w:lang w:val="zh-CN" w:eastAsia="zh-CN"/>
              </w:rPr>
              <w:t>管理人员等</w:t>
            </w:r>
            <w:r>
              <w:rPr>
                <w:rFonts w:hint="eastAsia"/>
                <w:color w:val="auto"/>
                <w:highlight w:val="none"/>
                <w:lang w:eastAsia="zh-CN"/>
              </w:rPr>
              <w:t>方面在相应档次内独立打分。</w:t>
            </w:r>
          </w:p>
          <w:p w14:paraId="715FAD11">
            <w:pPr>
              <w:autoSpaceDE w:val="0"/>
              <w:autoSpaceDN w:val="0"/>
              <w:spacing w:line="360" w:lineRule="auto"/>
              <w:ind w:firstLine="420" w:firstLineChars="200"/>
              <w:jc w:val="left"/>
              <w:rPr>
                <w:rFonts w:hint="eastAsia"/>
                <w:color w:val="auto"/>
                <w:highlight w:val="none"/>
                <w:lang w:eastAsia="zh-CN"/>
              </w:rPr>
            </w:pPr>
            <w:r>
              <w:rPr>
                <w:rFonts w:hint="eastAsia"/>
                <w:color w:val="auto"/>
                <w:highlight w:val="none"/>
                <w:lang w:eastAsia="zh-CN"/>
              </w:rPr>
              <w:t>差（</w:t>
            </w:r>
            <w:r>
              <w:rPr>
                <w:rFonts w:hint="eastAsia"/>
                <w:color w:val="auto"/>
                <w:highlight w:val="none"/>
                <w:lang w:val="en-US" w:eastAsia="zh-CN"/>
              </w:rPr>
              <w:t>4</w:t>
            </w:r>
            <w:r>
              <w:rPr>
                <w:rFonts w:hint="eastAsia"/>
                <w:color w:val="auto"/>
                <w:highlight w:val="none"/>
                <w:lang w:eastAsia="zh-CN"/>
              </w:rPr>
              <w:t>分）：拟投入的</w:t>
            </w:r>
            <w:r>
              <w:rPr>
                <w:rFonts w:hint="eastAsia"/>
                <w:color w:val="auto"/>
                <w:highlight w:val="none"/>
                <w:lang w:val="en-GB" w:eastAsia="zh-CN"/>
              </w:rPr>
              <w:t>后勤管理、安保、绿化、食堂等服务人员</w:t>
            </w:r>
            <w:r>
              <w:rPr>
                <w:rFonts w:hint="eastAsia"/>
                <w:color w:val="auto"/>
                <w:highlight w:val="none"/>
                <w:lang w:eastAsia="zh-CN"/>
              </w:rPr>
              <w:t>配备</w:t>
            </w:r>
            <w:r>
              <w:rPr>
                <w:rFonts w:hint="eastAsia"/>
                <w:color w:val="auto"/>
                <w:highlight w:val="none"/>
                <w:lang w:val="en-GB" w:eastAsia="zh-CN"/>
              </w:rPr>
              <w:t>一般的，</w:t>
            </w:r>
            <w:r>
              <w:rPr>
                <w:rFonts w:hint="eastAsia"/>
                <w:color w:val="auto"/>
                <w:highlight w:val="none"/>
                <w:lang w:eastAsia="zh-CN"/>
              </w:rPr>
              <w:t>基本满足项目需求；</w:t>
            </w:r>
          </w:p>
          <w:p w14:paraId="4AD3DF9C">
            <w:pPr>
              <w:autoSpaceDE w:val="0"/>
              <w:autoSpaceDN w:val="0"/>
              <w:spacing w:line="360" w:lineRule="auto"/>
              <w:ind w:firstLine="420" w:firstLineChars="200"/>
              <w:jc w:val="left"/>
              <w:rPr>
                <w:rFonts w:hint="eastAsia"/>
                <w:color w:val="auto"/>
                <w:highlight w:val="none"/>
                <w:lang w:eastAsia="zh-CN"/>
              </w:rPr>
            </w:pPr>
            <w:r>
              <w:rPr>
                <w:rFonts w:hint="eastAsia"/>
                <w:color w:val="auto"/>
                <w:highlight w:val="none"/>
                <w:lang w:eastAsia="zh-CN"/>
              </w:rPr>
              <w:t>中（</w:t>
            </w:r>
            <w:r>
              <w:rPr>
                <w:rFonts w:hint="eastAsia"/>
                <w:color w:val="auto"/>
                <w:highlight w:val="none"/>
                <w:lang w:val="en-US" w:eastAsia="zh-CN"/>
              </w:rPr>
              <w:t>9</w:t>
            </w:r>
            <w:r>
              <w:rPr>
                <w:rFonts w:hint="eastAsia"/>
                <w:color w:val="auto"/>
                <w:highlight w:val="none"/>
                <w:lang w:eastAsia="zh-CN"/>
              </w:rPr>
              <w:t>分）：拟投入的</w:t>
            </w:r>
            <w:r>
              <w:rPr>
                <w:rFonts w:hint="eastAsia"/>
                <w:color w:val="auto"/>
                <w:highlight w:val="none"/>
                <w:lang w:val="en-GB" w:eastAsia="zh-CN"/>
              </w:rPr>
              <w:t>后勤管理、安保、绿化、厨房等服务人员基本配备</w:t>
            </w:r>
            <w:r>
              <w:rPr>
                <w:rFonts w:hint="eastAsia"/>
                <w:color w:val="auto"/>
                <w:highlight w:val="none"/>
                <w:lang w:eastAsia="zh-CN"/>
              </w:rPr>
              <w:t>，能顺利实施安保</w:t>
            </w:r>
            <w:r>
              <w:rPr>
                <w:rFonts w:hint="eastAsia"/>
                <w:color w:val="auto"/>
                <w:highlight w:val="none"/>
                <w:lang w:val="en-US" w:eastAsia="zh-CN"/>
              </w:rPr>
              <w:t>维护等服务</w:t>
            </w:r>
            <w:r>
              <w:rPr>
                <w:rFonts w:hint="eastAsia"/>
                <w:color w:val="auto"/>
                <w:highlight w:val="none"/>
                <w:lang w:eastAsia="zh-CN"/>
              </w:rPr>
              <w:t>；</w:t>
            </w:r>
          </w:p>
          <w:p w14:paraId="61C1D0B0">
            <w:pPr>
              <w:autoSpaceDE w:val="0"/>
              <w:autoSpaceDN w:val="0"/>
              <w:spacing w:line="360" w:lineRule="auto"/>
              <w:ind w:firstLine="420" w:firstLineChars="200"/>
              <w:jc w:val="left"/>
              <w:rPr>
                <w:rFonts w:hint="eastAsia"/>
                <w:color w:val="auto"/>
                <w:highlight w:val="none"/>
                <w:lang w:eastAsia="zh-CN"/>
              </w:rPr>
            </w:pPr>
            <w:r>
              <w:rPr>
                <w:rFonts w:hint="eastAsia"/>
                <w:color w:val="auto"/>
                <w:highlight w:val="none"/>
                <w:lang w:eastAsia="zh-CN"/>
              </w:rPr>
              <w:t>良（</w:t>
            </w:r>
            <w:r>
              <w:rPr>
                <w:rFonts w:hint="eastAsia"/>
                <w:color w:val="auto"/>
                <w:highlight w:val="none"/>
                <w:lang w:val="en-US" w:eastAsia="zh-CN"/>
              </w:rPr>
              <w:t>14分</w:t>
            </w:r>
            <w:r>
              <w:rPr>
                <w:rFonts w:hint="eastAsia"/>
                <w:color w:val="auto"/>
                <w:highlight w:val="none"/>
                <w:lang w:eastAsia="zh-CN"/>
              </w:rPr>
              <w:t>）：拟投入的</w:t>
            </w:r>
            <w:r>
              <w:rPr>
                <w:rFonts w:hint="eastAsia"/>
                <w:color w:val="auto"/>
                <w:highlight w:val="none"/>
                <w:lang w:val="en-GB" w:eastAsia="zh-CN"/>
              </w:rPr>
              <w:t>后勤管理、安保、绿化、厨房等服务人员配</w:t>
            </w:r>
            <w:r>
              <w:rPr>
                <w:rFonts w:hint="eastAsia"/>
                <w:color w:val="auto"/>
                <w:highlight w:val="none"/>
                <w:lang w:eastAsia="zh-CN"/>
              </w:rPr>
              <w:t>备</w:t>
            </w:r>
            <w:r>
              <w:rPr>
                <w:rFonts w:hint="eastAsia"/>
                <w:color w:val="auto"/>
                <w:highlight w:val="none"/>
                <w:lang w:val="en-GB" w:eastAsia="zh-CN"/>
              </w:rPr>
              <w:t>完善，</w:t>
            </w:r>
            <w:r>
              <w:rPr>
                <w:rFonts w:hint="eastAsia"/>
                <w:color w:val="auto"/>
                <w:highlight w:val="none"/>
                <w:lang w:eastAsia="zh-CN"/>
              </w:rPr>
              <w:t>有人员管理</w:t>
            </w:r>
            <w:r>
              <w:rPr>
                <w:rFonts w:hint="eastAsia"/>
                <w:color w:val="auto"/>
                <w:highlight w:val="none"/>
                <w:lang w:val="en-GB" w:eastAsia="zh-CN"/>
              </w:rPr>
              <w:t>制度等，</w:t>
            </w:r>
            <w:r>
              <w:rPr>
                <w:rFonts w:hint="eastAsia"/>
                <w:color w:val="auto"/>
                <w:highlight w:val="none"/>
                <w:lang w:eastAsia="zh-CN"/>
              </w:rPr>
              <w:t>能很好开展</w:t>
            </w:r>
            <w:r>
              <w:rPr>
                <w:rFonts w:hint="eastAsia"/>
                <w:color w:val="auto"/>
                <w:highlight w:val="none"/>
                <w:lang w:val="en-US" w:eastAsia="zh-CN"/>
              </w:rPr>
              <w:t>服务工作</w:t>
            </w:r>
            <w:r>
              <w:rPr>
                <w:rFonts w:hint="eastAsia"/>
                <w:color w:val="auto"/>
                <w:highlight w:val="none"/>
                <w:lang w:eastAsia="zh-CN"/>
              </w:rPr>
              <w:t>。</w:t>
            </w:r>
          </w:p>
          <w:p w14:paraId="0AC3BA7F">
            <w:pPr>
              <w:autoSpaceDE w:val="0"/>
              <w:autoSpaceDN w:val="0"/>
              <w:spacing w:line="360" w:lineRule="auto"/>
              <w:ind w:firstLine="420" w:firstLineChars="200"/>
              <w:jc w:val="left"/>
              <w:rPr>
                <w:rFonts w:hint="eastAsia"/>
                <w:color w:val="auto"/>
                <w:highlight w:val="none"/>
                <w:lang w:eastAsia="zh-CN"/>
              </w:rPr>
            </w:pPr>
            <w:r>
              <w:rPr>
                <w:rFonts w:hint="eastAsia"/>
                <w:color w:val="auto"/>
                <w:highlight w:val="none"/>
                <w:lang w:eastAsia="zh-CN"/>
              </w:rPr>
              <w:t>优（</w:t>
            </w:r>
            <w:r>
              <w:rPr>
                <w:rFonts w:hint="eastAsia"/>
                <w:color w:val="auto"/>
                <w:highlight w:val="none"/>
                <w:lang w:val="en-US" w:eastAsia="zh-CN"/>
              </w:rPr>
              <w:t>18分</w:t>
            </w:r>
            <w:r>
              <w:rPr>
                <w:rFonts w:hint="eastAsia"/>
                <w:color w:val="auto"/>
                <w:highlight w:val="none"/>
                <w:lang w:eastAsia="zh-CN"/>
              </w:rPr>
              <w:t>）拟投入的</w:t>
            </w:r>
            <w:r>
              <w:rPr>
                <w:rFonts w:hint="eastAsia"/>
                <w:color w:val="auto"/>
                <w:highlight w:val="none"/>
                <w:lang w:val="en-GB" w:eastAsia="zh-CN"/>
              </w:rPr>
              <w:t>后勤管理、安保、绿化、厨房等服务人员</w:t>
            </w:r>
            <w:r>
              <w:rPr>
                <w:rFonts w:hint="eastAsia"/>
                <w:color w:val="auto"/>
                <w:highlight w:val="none"/>
                <w:lang w:eastAsia="zh-CN"/>
              </w:rPr>
              <w:t>配备</w:t>
            </w:r>
            <w:r>
              <w:rPr>
                <w:rFonts w:hint="eastAsia"/>
                <w:color w:val="auto"/>
                <w:highlight w:val="none"/>
                <w:lang w:val="en-GB" w:eastAsia="zh-CN"/>
              </w:rPr>
              <w:t>完善，具有详细的</w:t>
            </w:r>
            <w:r>
              <w:rPr>
                <w:rFonts w:hint="eastAsia"/>
                <w:color w:val="auto"/>
                <w:highlight w:val="none"/>
                <w:lang w:eastAsia="zh-CN"/>
              </w:rPr>
              <w:t>人员管理</w:t>
            </w:r>
            <w:r>
              <w:rPr>
                <w:rFonts w:hint="eastAsia"/>
                <w:color w:val="auto"/>
                <w:highlight w:val="none"/>
                <w:lang w:val="en-GB" w:eastAsia="zh-CN"/>
              </w:rPr>
              <w:t>制度等，</w:t>
            </w:r>
            <w:r>
              <w:rPr>
                <w:rFonts w:hint="eastAsia"/>
                <w:color w:val="auto"/>
                <w:highlight w:val="none"/>
                <w:lang w:eastAsia="zh-CN"/>
              </w:rPr>
              <w:t>能更好开展</w:t>
            </w:r>
            <w:r>
              <w:rPr>
                <w:rFonts w:hint="eastAsia"/>
                <w:color w:val="auto"/>
                <w:highlight w:val="none"/>
                <w:lang w:val="en-US" w:eastAsia="zh-CN"/>
              </w:rPr>
              <w:t>服务工作。</w:t>
            </w:r>
          </w:p>
          <w:p w14:paraId="6B9FFA25">
            <w:pPr>
              <w:autoSpaceDE w:val="0"/>
              <w:autoSpaceDN w:val="0"/>
              <w:spacing w:line="360" w:lineRule="auto"/>
              <w:jc w:val="left"/>
              <w:rPr>
                <w:rFonts w:hint="eastAsia"/>
                <w:b/>
                <w:bCs/>
                <w:color w:val="auto"/>
                <w:highlight w:val="none"/>
                <w:lang w:eastAsia="zh-CN"/>
              </w:rPr>
            </w:pPr>
            <w:r>
              <w:rPr>
                <w:rFonts w:hint="eastAsia"/>
                <w:b/>
                <w:bCs/>
                <w:color w:val="auto"/>
                <w:highlight w:val="none"/>
                <w:lang w:eastAsia="zh-CN"/>
              </w:rPr>
              <w:t>（</w:t>
            </w:r>
            <w:r>
              <w:rPr>
                <w:rFonts w:hint="eastAsia"/>
                <w:b/>
                <w:bCs/>
                <w:color w:val="auto"/>
                <w:highlight w:val="none"/>
                <w:lang w:val="en-US" w:eastAsia="zh-CN"/>
              </w:rPr>
              <w:t>3）</w:t>
            </w:r>
            <w:r>
              <w:rPr>
                <w:rFonts w:hint="eastAsia"/>
                <w:b/>
                <w:bCs/>
                <w:color w:val="auto"/>
                <w:highlight w:val="none"/>
                <w:lang w:eastAsia="zh-CN"/>
              </w:rPr>
              <w:t>管理规章制度、管理方式分（满分</w:t>
            </w:r>
            <w:r>
              <w:rPr>
                <w:rFonts w:hint="eastAsia"/>
                <w:b/>
                <w:bCs/>
                <w:color w:val="auto"/>
                <w:highlight w:val="none"/>
                <w:lang w:val="en-US" w:eastAsia="zh-CN"/>
              </w:rPr>
              <w:t>18分</w:t>
            </w:r>
            <w:r>
              <w:rPr>
                <w:rFonts w:hint="eastAsia"/>
                <w:b/>
                <w:bCs/>
                <w:color w:val="auto"/>
                <w:highlight w:val="none"/>
                <w:lang w:eastAsia="zh-CN"/>
              </w:rPr>
              <w:t>）</w:t>
            </w:r>
          </w:p>
          <w:p w14:paraId="57F4AD9D">
            <w:pPr>
              <w:autoSpaceDE w:val="0"/>
              <w:autoSpaceDN w:val="0"/>
              <w:spacing w:line="360" w:lineRule="auto"/>
              <w:ind w:firstLine="420" w:firstLineChars="200"/>
              <w:jc w:val="left"/>
              <w:rPr>
                <w:rFonts w:hint="eastAsia"/>
                <w:color w:val="auto"/>
                <w:highlight w:val="none"/>
                <w:lang w:eastAsia="zh-CN"/>
              </w:rPr>
            </w:pPr>
            <w:r>
              <w:rPr>
                <w:rFonts w:hint="eastAsia"/>
                <w:color w:val="auto"/>
                <w:highlight w:val="none"/>
                <w:lang w:eastAsia="zh-CN"/>
              </w:rPr>
              <w:t>由磋商小组成员在打分前</w:t>
            </w:r>
            <w:r>
              <w:rPr>
                <w:rFonts w:hint="eastAsia"/>
                <w:color w:val="auto"/>
                <w:highlight w:val="none"/>
                <w:lang w:val="zh-CN" w:eastAsia="zh-CN"/>
              </w:rPr>
              <w:t>根据各响应文件中的</w:t>
            </w:r>
            <w:r>
              <w:rPr>
                <w:rFonts w:hint="eastAsia"/>
                <w:color w:val="auto"/>
                <w:highlight w:val="none"/>
                <w:lang w:eastAsia="zh-CN"/>
              </w:rPr>
              <w:t>管理规章制度和档案的建立与管理、拟采取的管理方式、操作规程等内容的合理性、科学性、先进性、周密性、人性化管理、可行性等方面在相应档次内独立打分。</w:t>
            </w:r>
          </w:p>
          <w:p w14:paraId="206D67E3">
            <w:pPr>
              <w:autoSpaceDE w:val="0"/>
              <w:autoSpaceDN w:val="0"/>
              <w:spacing w:line="360" w:lineRule="auto"/>
              <w:ind w:firstLine="420" w:firstLineChars="200"/>
              <w:jc w:val="left"/>
              <w:rPr>
                <w:rFonts w:hint="eastAsia"/>
                <w:color w:val="auto"/>
                <w:highlight w:val="none"/>
                <w:lang w:val="en-GB" w:eastAsia="zh-CN"/>
              </w:rPr>
            </w:pPr>
            <w:r>
              <w:rPr>
                <w:rFonts w:hint="eastAsia"/>
                <w:color w:val="auto"/>
                <w:highlight w:val="none"/>
                <w:lang w:eastAsia="zh-CN"/>
              </w:rPr>
              <w:t>差（</w:t>
            </w:r>
            <w:r>
              <w:rPr>
                <w:rFonts w:hint="eastAsia"/>
                <w:color w:val="auto"/>
                <w:highlight w:val="none"/>
                <w:lang w:val="en-US" w:eastAsia="zh-CN"/>
              </w:rPr>
              <w:t>4</w:t>
            </w:r>
            <w:r>
              <w:rPr>
                <w:rFonts w:hint="eastAsia"/>
                <w:color w:val="auto"/>
                <w:highlight w:val="none"/>
                <w:lang w:eastAsia="zh-CN"/>
              </w:rPr>
              <w:t>分）：管理规章制度、管理</w:t>
            </w:r>
            <w:r>
              <w:rPr>
                <w:rFonts w:hint="eastAsia"/>
                <w:color w:val="auto"/>
                <w:highlight w:val="none"/>
                <w:lang w:val="en-GB" w:eastAsia="zh-CN"/>
              </w:rPr>
              <w:t>方式一般的，各项管理工作可行性差；</w:t>
            </w:r>
          </w:p>
          <w:p w14:paraId="6432B727">
            <w:pPr>
              <w:autoSpaceDE w:val="0"/>
              <w:autoSpaceDN w:val="0"/>
              <w:spacing w:line="360" w:lineRule="auto"/>
              <w:ind w:firstLine="420" w:firstLineChars="200"/>
              <w:jc w:val="left"/>
              <w:rPr>
                <w:rFonts w:hint="eastAsia"/>
                <w:color w:val="auto"/>
                <w:highlight w:val="none"/>
                <w:lang w:val="en-GB" w:eastAsia="zh-CN"/>
              </w:rPr>
            </w:pPr>
            <w:r>
              <w:rPr>
                <w:rFonts w:hint="eastAsia"/>
                <w:color w:val="auto"/>
                <w:highlight w:val="none"/>
                <w:lang w:val="en-GB" w:eastAsia="zh-CN"/>
              </w:rPr>
              <w:t>中（</w:t>
            </w:r>
            <w:r>
              <w:rPr>
                <w:rFonts w:hint="eastAsia"/>
                <w:color w:val="auto"/>
                <w:highlight w:val="none"/>
                <w:lang w:val="en-US" w:eastAsia="zh-CN"/>
              </w:rPr>
              <w:t>9</w:t>
            </w:r>
            <w:r>
              <w:rPr>
                <w:rFonts w:hint="eastAsia"/>
                <w:color w:val="auto"/>
                <w:highlight w:val="none"/>
                <w:lang w:val="en-GB" w:eastAsia="zh-CN"/>
              </w:rPr>
              <w:t>分）：管理规章制度、管理方式较完善，提供简单的岗后培训计划，提高</w:t>
            </w:r>
            <w:r>
              <w:rPr>
                <w:rFonts w:hint="eastAsia"/>
                <w:color w:val="auto"/>
                <w:highlight w:val="none"/>
                <w:lang w:val="en-US" w:eastAsia="zh-CN"/>
              </w:rPr>
              <w:t>服务</w:t>
            </w:r>
            <w:r>
              <w:rPr>
                <w:rFonts w:hint="eastAsia"/>
                <w:color w:val="auto"/>
                <w:highlight w:val="none"/>
                <w:lang w:val="en-GB" w:eastAsia="zh-CN"/>
              </w:rPr>
              <w:t>人员综合素质，能有效管理各人员的服务工作；</w:t>
            </w:r>
          </w:p>
          <w:p w14:paraId="06838736">
            <w:pPr>
              <w:autoSpaceDE w:val="0"/>
              <w:autoSpaceDN w:val="0"/>
              <w:spacing w:line="360" w:lineRule="auto"/>
              <w:ind w:firstLine="420" w:firstLineChars="200"/>
              <w:jc w:val="left"/>
              <w:rPr>
                <w:rFonts w:hint="eastAsia"/>
                <w:color w:val="auto"/>
                <w:highlight w:val="none"/>
                <w:lang w:eastAsia="zh-CN"/>
              </w:rPr>
            </w:pPr>
            <w:r>
              <w:rPr>
                <w:rFonts w:hint="eastAsia"/>
                <w:color w:val="auto"/>
                <w:highlight w:val="none"/>
                <w:lang w:eastAsia="zh-CN"/>
              </w:rPr>
              <w:t>良（</w:t>
            </w:r>
            <w:r>
              <w:rPr>
                <w:rFonts w:hint="eastAsia"/>
                <w:color w:val="auto"/>
                <w:highlight w:val="none"/>
                <w:lang w:val="en-US" w:eastAsia="zh-CN"/>
              </w:rPr>
              <w:t>14分</w:t>
            </w:r>
            <w:r>
              <w:rPr>
                <w:rFonts w:hint="eastAsia"/>
                <w:color w:val="auto"/>
                <w:highlight w:val="none"/>
                <w:lang w:eastAsia="zh-CN"/>
              </w:rPr>
              <w:t>）：管理规章制度、管理方式</w:t>
            </w:r>
            <w:r>
              <w:rPr>
                <w:rFonts w:hint="eastAsia"/>
                <w:color w:val="auto"/>
                <w:highlight w:val="none"/>
                <w:lang w:val="en-GB" w:eastAsia="zh-CN"/>
              </w:rPr>
              <w:t>完善，提供完整的岗后培训计划，提高</w:t>
            </w:r>
            <w:r>
              <w:rPr>
                <w:rFonts w:hint="eastAsia"/>
                <w:color w:val="auto"/>
                <w:highlight w:val="none"/>
                <w:lang w:val="en-US" w:eastAsia="zh-CN"/>
              </w:rPr>
              <w:t>服务</w:t>
            </w:r>
            <w:r>
              <w:rPr>
                <w:rFonts w:hint="eastAsia"/>
                <w:color w:val="auto"/>
                <w:highlight w:val="none"/>
                <w:lang w:val="en-GB" w:eastAsia="zh-CN"/>
              </w:rPr>
              <w:t>人员综合素质，且各工种（岗位）有完整操作流程或规范</w:t>
            </w:r>
            <w:r>
              <w:rPr>
                <w:rFonts w:hint="eastAsia"/>
                <w:color w:val="auto"/>
                <w:highlight w:val="none"/>
                <w:lang w:eastAsia="zh-CN"/>
              </w:rPr>
              <w:t>。</w:t>
            </w:r>
          </w:p>
          <w:p w14:paraId="529549B5">
            <w:pPr>
              <w:autoSpaceDE w:val="0"/>
              <w:autoSpaceDN w:val="0"/>
              <w:spacing w:line="360" w:lineRule="auto"/>
              <w:ind w:firstLine="420" w:firstLineChars="200"/>
              <w:jc w:val="left"/>
              <w:rPr>
                <w:rFonts w:hint="eastAsia"/>
                <w:color w:val="auto"/>
                <w:highlight w:val="none"/>
                <w:lang w:eastAsia="zh-CN"/>
              </w:rPr>
            </w:pPr>
            <w:r>
              <w:rPr>
                <w:rFonts w:hint="eastAsia"/>
                <w:color w:val="auto"/>
                <w:highlight w:val="none"/>
                <w:lang w:eastAsia="zh-CN"/>
              </w:rPr>
              <w:t>优（</w:t>
            </w:r>
            <w:r>
              <w:rPr>
                <w:rFonts w:hint="eastAsia"/>
                <w:color w:val="auto"/>
                <w:highlight w:val="none"/>
                <w:lang w:val="en-US" w:eastAsia="zh-CN"/>
              </w:rPr>
              <w:t>18分</w:t>
            </w:r>
            <w:r>
              <w:rPr>
                <w:rFonts w:hint="eastAsia"/>
                <w:color w:val="auto"/>
                <w:highlight w:val="none"/>
                <w:lang w:eastAsia="zh-CN"/>
              </w:rPr>
              <w:t>）：管理规章制度、管理方式</w:t>
            </w:r>
            <w:r>
              <w:rPr>
                <w:rFonts w:hint="eastAsia"/>
                <w:color w:val="auto"/>
                <w:highlight w:val="none"/>
                <w:lang w:val="en-GB" w:eastAsia="zh-CN"/>
              </w:rPr>
              <w:t>完善到位，提供详细完好的岗后培训计划，提高</w:t>
            </w:r>
            <w:r>
              <w:rPr>
                <w:rFonts w:hint="eastAsia"/>
                <w:color w:val="auto"/>
                <w:highlight w:val="none"/>
                <w:lang w:val="en-US" w:eastAsia="zh-CN"/>
              </w:rPr>
              <w:t>服务</w:t>
            </w:r>
            <w:r>
              <w:rPr>
                <w:rFonts w:hint="eastAsia"/>
                <w:color w:val="auto"/>
                <w:highlight w:val="none"/>
                <w:lang w:val="en-GB" w:eastAsia="zh-CN"/>
              </w:rPr>
              <w:t>人员综合素质和职业技能，且各工种（岗位）有详细的操作流程或规范</w:t>
            </w:r>
            <w:r>
              <w:rPr>
                <w:rFonts w:hint="eastAsia"/>
                <w:color w:val="auto"/>
                <w:highlight w:val="none"/>
                <w:lang w:eastAsia="zh-CN"/>
              </w:rPr>
              <w:t>。</w:t>
            </w:r>
          </w:p>
          <w:p w14:paraId="15D79373">
            <w:pPr>
              <w:numPr>
                <w:ilvl w:val="0"/>
                <w:numId w:val="6"/>
              </w:numPr>
              <w:autoSpaceDE w:val="0"/>
              <w:autoSpaceDN w:val="0"/>
              <w:spacing w:line="360" w:lineRule="auto"/>
              <w:jc w:val="left"/>
              <w:rPr>
                <w:rFonts w:hint="eastAsia"/>
                <w:b/>
                <w:bCs/>
                <w:color w:val="auto"/>
                <w:highlight w:val="none"/>
                <w:lang w:eastAsia="zh-CN"/>
              </w:rPr>
            </w:pPr>
            <w:r>
              <w:rPr>
                <w:rFonts w:hint="eastAsia"/>
                <w:b/>
                <w:bCs/>
                <w:color w:val="auto"/>
                <w:highlight w:val="none"/>
                <w:lang w:eastAsia="zh-CN"/>
              </w:rPr>
              <w:t>应急方案分（满分</w:t>
            </w:r>
            <w:r>
              <w:rPr>
                <w:rFonts w:hint="eastAsia"/>
                <w:b/>
                <w:bCs/>
                <w:color w:val="auto"/>
                <w:highlight w:val="none"/>
                <w:lang w:val="en-US" w:eastAsia="zh-CN"/>
              </w:rPr>
              <w:t>18分</w:t>
            </w:r>
            <w:r>
              <w:rPr>
                <w:rFonts w:hint="eastAsia"/>
                <w:b/>
                <w:bCs/>
                <w:color w:val="auto"/>
                <w:highlight w:val="none"/>
                <w:lang w:eastAsia="zh-CN"/>
              </w:rPr>
              <w:t>）</w:t>
            </w:r>
          </w:p>
          <w:p w14:paraId="17C3E546">
            <w:pPr>
              <w:autoSpaceDE w:val="0"/>
              <w:autoSpaceDN w:val="0"/>
              <w:spacing w:line="360" w:lineRule="auto"/>
              <w:ind w:firstLine="420" w:firstLineChars="200"/>
              <w:jc w:val="left"/>
              <w:rPr>
                <w:rFonts w:hint="eastAsia"/>
                <w:color w:val="auto"/>
                <w:highlight w:val="none"/>
                <w:lang w:eastAsia="zh-CN"/>
              </w:rPr>
            </w:pPr>
            <w:r>
              <w:rPr>
                <w:rFonts w:hint="eastAsia"/>
                <w:color w:val="auto"/>
                <w:highlight w:val="none"/>
                <w:lang w:eastAsia="zh-CN"/>
              </w:rPr>
              <w:t>由磋商小组成员在打分前</w:t>
            </w:r>
            <w:r>
              <w:rPr>
                <w:rFonts w:hint="eastAsia"/>
                <w:color w:val="auto"/>
                <w:highlight w:val="none"/>
                <w:lang w:val="zh-CN" w:eastAsia="zh-CN"/>
              </w:rPr>
              <w:t>根据各响应文件中的</w:t>
            </w:r>
            <w:r>
              <w:rPr>
                <w:rFonts w:hint="eastAsia"/>
                <w:color w:val="auto"/>
                <w:highlight w:val="none"/>
                <w:lang w:eastAsia="zh-CN"/>
              </w:rPr>
              <w:t>应急处置方案（如防火、防水、防疫等）预案等内容的合理性、科学性、先进性、周密性、人性化管理、可行性等方面在相应档次内独立打分。</w:t>
            </w:r>
          </w:p>
          <w:p w14:paraId="4022917C">
            <w:pPr>
              <w:spacing w:line="400" w:lineRule="exact"/>
              <w:ind w:firstLine="420"/>
              <w:rPr>
                <w:rFonts w:hint="eastAsia" w:ascii="宋体" w:hAnsi="宋体" w:cs="宋体"/>
                <w:color w:val="auto"/>
                <w:szCs w:val="21"/>
                <w:highlight w:val="none"/>
              </w:rPr>
            </w:pPr>
            <w:r>
              <w:rPr>
                <w:rFonts w:hint="eastAsia" w:ascii="宋体" w:hAnsi="宋体" w:cs="宋体"/>
                <w:color w:val="auto"/>
                <w:szCs w:val="21"/>
                <w:highlight w:val="none"/>
                <w:lang w:eastAsia="zh-CN"/>
              </w:rPr>
              <w:t>差</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分）：</w:t>
            </w:r>
            <w:r>
              <w:rPr>
                <w:rFonts w:hint="eastAsia" w:ascii="宋体" w:hAnsi="宋体" w:cs="Courier New"/>
                <w:bCs/>
                <w:color w:val="auto"/>
                <w:sz w:val="21"/>
                <w:szCs w:val="21"/>
                <w:highlight w:val="none"/>
              </w:rPr>
              <w:t>应急机制（突发事件的应急方案、工作人员突然离职的应急措施</w:t>
            </w:r>
            <w:r>
              <w:rPr>
                <w:rFonts w:hint="eastAsia" w:ascii="宋体" w:hAnsi="宋体" w:cs="Courier New"/>
                <w:bCs/>
                <w:color w:val="auto"/>
                <w:sz w:val="21"/>
                <w:szCs w:val="21"/>
                <w:highlight w:val="none"/>
                <w:lang w:eastAsia="zh-CN"/>
              </w:rPr>
              <w:t>等</w:t>
            </w:r>
            <w:r>
              <w:rPr>
                <w:rFonts w:hint="eastAsia" w:ascii="宋体" w:hAnsi="宋体" w:cs="Courier New"/>
                <w:bCs/>
                <w:color w:val="auto"/>
                <w:sz w:val="21"/>
                <w:szCs w:val="21"/>
                <w:highlight w:val="none"/>
              </w:rPr>
              <w:t>其他应急措施）</w:t>
            </w:r>
            <w:r>
              <w:rPr>
                <w:rFonts w:hint="eastAsia" w:ascii="宋体" w:hAnsi="宋体" w:cs="宋体"/>
                <w:color w:val="auto"/>
                <w:szCs w:val="21"/>
                <w:highlight w:val="none"/>
              </w:rPr>
              <w:t>方案</w:t>
            </w:r>
            <w:r>
              <w:rPr>
                <w:rFonts w:hint="eastAsia" w:ascii="宋体" w:hAnsi="宋体" w:cs="宋体"/>
                <w:color w:val="auto"/>
                <w:szCs w:val="21"/>
                <w:highlight w:val="none"/>
                <w:lang w:eastAsia="zh-CN"/>
              </w:rPr>
              <w:t>简单，</w:t>
            </w:r>
            <w:r>
              <w:rPr>
                <w:rFonts w:hint="eastAsia" w:ascii="宋体" w:hAnsi="宋体" w:cs="宋体"/>
                <w:color w:val="auto"/>
                <w:szCs w:val="21"/>
                <w:highlight w:val="none"/>
              </w:rPr>
              <w:t xml:space="preserve">不能合理科学的安排人员、设备，不能高效高质的应对突发事件。  </w:t>
            </w:r>
          </w:p>
          <w:p w14:paraId="544ACD97">
            <w:pPr>
              <w:spacing w:line="400" w:lineRule="exact"/>
              <w:ind w:firstLine="420"/>
              <w:rPr>
                <w:rFonts w:hint="eastAsia" w:ascii="宋体" w:hAnsi="宋体" w:cs="宋体"/>
                <w:color w:val="auto"/>
                <w:szCs w:val="21"/>
                <w:highlight w:val="none"/>
              </w:rPr>
            </w:pPr>
            <w:r>
              <w:rPr>
                <w:rFonts w:hint="eastAsia" w:ascii="宋体" w:hAnsi="宋体" w:cs="宋体"/>
                <w:color w:val="auto"/>
                <w:szCs w:val="21"/>
                <w:highlight w:val="none"/>
                <w:lang w:eastAsia="zh-CN"/>
              </w:rPr>
              <w:t>中</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分）：</w:t>
            </w:r>
            <w:r>
              <w:rPr>
                <w:rFonts w:hint="eastAsia" w:ascii="宋体" w:hAnsi="宋体" w:cs="Courier New"/>
                <w:bCs/>
                <w:color w:val="auto"/>
                <w:sz w:val="21"/>
                <w:szCs w:val="21"/>
                <w:highlight w:val="none"/>
              </w:rPr>
              <w:t>应急机制（突发事件的应急方案、工作人员突然离职的应急措施</w:t>
            </w:r>
            <w:r>
              <w:rPr>
                <w:rFonts w:hint="eastAsia" w:ascii="宋体" w:hAnsi="宋体" w:cs="Courier New"/>
                <w:bCs/>
                <w:color w:val="auto"/>
                <w:sz w:val="21"/>
                <w:szCs w:val="21"/>
                <w:highlight w:val="none"/>
                <w:lang w:eastAsia="zh-CN"/>
              </w:rPr>
              <w:t>等</w:t>
            </w:r>
            <w:r>
              <w:rPr>
                <w:rFonts w:hint="eastAsia" w:ascii="宋体" w:hAnsi="宋体" w:cs="Courier New"/>
                <w:bCs/>
                <w:color w:val="auto"/>
                <w:sz w:val="21"/>
                <w:szCs w:val="21"/>
                <w:highlight w:val="none"/>
              </w:rPr>
              <w:t>其他应急措施）</w:t>
            </w:r>
            <w:r>
              <w:rPr>
                <w:rFonts w:hint="eastAsia" w:ascii="宋体" w:hAnsi="宋体" w:cs="宋体"/>
                <w:color w:val="auto"/>
                <w:szCs w:val="21"/>
                <w:highlight w:val="none"/>
              </w:rPr>
              <w:t>方案</w:t>
            </w:r>
            <w:r>
              <w:rPr>
                <w:rFonts w:hint="eastAsia" w:ascii="宋体" w:hAnsi="宋体" w:cs="宋体"/>
                <w:color w:val="auto"/>
                <w:szCs w:val="21"/>
                <w:highlight w:val="none"/>
                <w:lang w:eastAsia="zh-CN"/>
              </w:rPr>
              <w:t>基本完整，</w:t>
            </w:r>
            <w:r>
              <w:rPr>
                <w:rFonts w:hint="eastAsia" w:ascii="宋体" w:hAnsi="宋体" w:cs="宋体"/>
                <w:color w:val="auto"/>
                <w:szCs w:val="21"/>
                <w:highlight w:val="none"/>
              </w:rPr>
              <w:t>能较合理科学的安排人员、设备，</w:t>
            </w:r>
            <w:r>
              <w:rPr>
                <w:rFonts w:hint="eastAsia" w:ascii="宋体" w:hAnsi="宋体" w:cs="宋体"/>
                <w:color w:val="auto"/>
                <w:szCs w:val="21"/>
                <w:highlight w:val="none"/>
                <w:lang w:eastAsia="zh-CN"/>
              </w:rPr>
              <w:t>基本能</w:t>
            </w:r>
            <w:r>
              <w:rPr>
                <w:rFonts w:hint="eastAsia" w:ascii="宋体" w:hAnsi="宋体" w:cs="宋体"/>
                <w:color w:val="auto"/>
                <w:szCs w:val="21"/>
                <w:highlight w:val="none"/>
              </w:rPr>
              <w:t>应对突发事件</w:t>
            </w:r>
            <w:r>
              <w:rPr>
                <w:rFonts w:hint="eastAsia"/>
                <w:color w:val="auto"/>
                <w:highlight w:val="none"/>
                <w:lang w:eastAsia="zh-CN"/>
              </w:rPr>
              <w:t>（如防火、防水、防疫等）</w:t>
            </w:r>
            <w:r>
              <w:rPr>
                <w:rFonts w:hint="eastAsia" w:ascii="宋体" w:hAnsi="宋体" w:cs="宋体"/>
                <w:color w:val="auto"/>
                <w:szCs w:val="21"/>
                <w:highlight w:val="none"/>
              </w:rPr>
              <w:t>。</w:t>
            </w:r>
          </w:p>
          <w:p w14:paraId="1283F577">
            <w:pPr>
              <w:spacing w:line="400" w:lineRule="exact"/>
              <w:ind w:firstLine="420"/>
              <w:rPr>
                <w:rFonts w:hint="eastAsia" w:ascii="宋体" w:hAnsi="宋体" w:cs="宋体"/>
                <w:color w:val="auto"/>
                <w:szCs w:val="21"/>
                <w:highlight w:val="none"/>
              </w:rPr>
            </w:pPr>
            <w:r>
              <w:rPr>
                <w:rFonts w:hint="eastAsia" w:ascii="宋体" w:hAnsi="宋体" w:cs="宋体"/>
                <w:color w:val="auto"/>
                <w:szCs w:val="21"/>
                <w:highlight w:val="none"/>
                <w:lang w:eastAsia="zh-CN"/>
              </w:rPr>
              <w:t>良</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14分</w:t>
            </w:r>
            <w:r>
              <w:rPr>
                <w:rFonts w:hint="eastAsia" w:ascii="宋体" w:hAnsi="宋体" w:cs="宋体"/>
                <w:color w:val="auto"/>
                <w:szCs w:val="21"/>
                <w:highlight w:val="none"/>
              </w:rPr>
              <w:t>）：</w:t>
            </w:r>
            <w:r>
              <w:rPr>
                <w:rFonts w:hint="eastAsia" w:ascii="宋体" w:hAnsi="宋体" w:cs="Courier New"/>
                <w:bCs/>
                <w:color w:val="auto"/>
                <w:sz w:val="21"/>
                <w:szCs w:val="21"/>
                <w:highlight w:val="none"/>
              </w:rPr>
              <w:t>应急机制（突发事件的应急方案、工作人员突然离职的应急措施</w:t>
            </w:r>
            <w:r>
              <w:rPr>
                <w:rFonts w:hint="eastAsia" w:ascii="宋体" w:hAnsi="宋体" w:cs="Courier New"/>
                <w:bCs/>
                <w:color w:val="auto"/>
                <w:sz w:val="21"/>
                <w:szCs w:val="21"/>
                <w:highlight w:val="none"/>
                <w:lang w:eastAsia="zh-CN"/>
              </w:rPr>
              <w:t>等</w:t>
            </w:r>
            <w:r>
              <w:rPr>
                <w:rFonts w:hint="eastAsia" w:ascii="宋体" w:hAnsi="宋体" w:cs="Courier New"/>
                <w:bCs/>
                <w:color w:val="auto"/>
                <w:sz w:val="21"/>
                <w:szCs w:val="21"/>
                <w:highlight w:val="none"/>
              </w:rPr>
              <w:t>其他应急措施）</w:t>
            </w:r>
            <w:r>
              <w:rPr>
                <w:rFonts w:hint="eastAsia" w:ascii="宋体" w:hAnsi="宋体" w:cs="宋体"/>
                <w:color w:val="auto"/>
                <w:szCs w:val="21"/>
                <w:highlight w:val="none"/>
              </w:rPr>
              <w:t>方案</w:t>
            </w:r>
            <w:r>
              <w:rPr>
                <w:rFonts w:hint="eastAsia" w:ascii="宋体" w:hAnsi="宋体" w:cs="宋体"/>
                <w:color w:val="auto"/>
                <w:szCs w:val="21"/>
                <w:highlight w:val="none"/>
                <w:lang w:eastAsia="zh-CN"/>
              </w:rPr>
              <w:t>完整，</w:t>
            </w:r>
            <w:r>
              <w:rPr>
                <w:rFonts w:hint="eastAsia" w:ascii="宋体" w:hAnsi="宋体" w:cs="宋体"/>
                <w:color w:val="auto"/>
                <w:szCs w:val="21"/>
                <w:highlight w:val="none"/>
              </w:rPr>
              <w:t>能较合理科学的安排人员、设备，能较高效高质的应对突发事件</w:t>
            </w:r>
            <w:r>
              <w:rPr>
                <w:rFonts w:hint="eastAsia"/>
                <w:color w:val="auto"/>
                <w:highlight w:val="none"/>
                <w:lang w:eastAsia="zh-CN"/>
              </w:rPr>
              <w:t>（如防火、防水、防疫等）</w:t>
            </w:r>
            <w:r>
              <w:rPr>
                <w:rFonts w:hint="eastAsia" w:ascii="宋体" w:hAnsi="宋体" w:cs="宋体"/>
                <w:color w:val="auto"/>
                <w:szCs w:val="21"/>
                <w:highlight w:val="none"/>
                <w:lang w:eastAsia="zh-CN"/>
              </w:rPr>
              <w:t>和</w:t>
            </w:r>
            <w:r>
              <w:rPr>
                <w:rFonts w:hint="eastAsia" w:ascii="宋体" w:hAnsi="宋体" w:cs="宋体"/>
                <w:color w:val="auto"/>
                <w:szCs w:val="21"/>
                <w:highlight w:val="none"/>
              </w:rPr>
              <w:t>结合所属区域的实际情况作出有针对性的方案。</w:t>
            </w:r>
          </w:p>
          <w:p w14:paraId="487BB580">
            <w:pPr>
              <w:spacing w:line="400" w:lineRule="exact"/>
              <w:ind w:firstLine="420"/>
              <w:rPr>
                <w:rFonts w:hint="eastAsia" w:ascii="宋体" w:hAnsi="宋体" w:cs="宋体"/>
                <w:bCs/>
                <w:color w:val="auto"/>
                <w:szCs w:val="21"/>
                <w:highlight w:val="none"/>
              </w:rPr>
            </w:pPr>
            <w:r>
              <w:rPr>
                <w:rFonts w:hint="eastAsia" w:ascii="宋体" w:hAnsi="宋体" w:cs="Courier New"/>
                <w:bCs/>
                <w:color w:val="auto"/>
                <w:sz w:val="21"/>
                <w:szCs w:val="21"/>
                <w:highlight w:val="none"/>
                <w:lang w:eastAsia="zh-CN"/>
              </w:rPr>
              <w:t>优（</w:t>
            </w:r>
            <w:r>
              <w:rPr>
                <w:rFonts w:hint="eastAsia" w:ascii="宋体" w:hAnsi="宋体" w:cs="Courier New"/>
                <w:bCs/>
                <w:color w:val="auto"/>
                <w:sz w:val="21"/>
                <w:szCs w:val="21"/>
                <w:highlight w:val="none"/>
                <w:lang w:val="en-US" w:eastAsia="zh-CN"/>
              </w:rPr>
              <w:t>18分</w:t>
            </w:r>
            <w:r>
              <w:rPr>
                <w:rFonts w:hint="eastAsia" w:ascii="宋体" w:hAnsi="宋体" w:cs="Courier New"/>
                <w:bCs/>
                <w:color w:val="auto"/>
                <w:sz w:val="21"/>
                <w:szCs w:val="21"/>
                <w:highlight w:val="none"/>
                <w:lang w:eastAsia="zh-CN"/>
              </w:rPr>
              <w:t>）：</w:t>
            </w:r>
            <w:r>
              <w:rPr>
                <w:rFonts w:hint="eastAsia" w:ascii="宋体" w:hAnsi="宋体" w:cs="Courier New"/>
                <w:bCs/>
                <w:color w:val="auto"/>
                <w:sz w:val="21"/>
                <w:szCs w:val="21"/>
                <w:highlight w:val="none"/>
              </w:rPr>
              <w:t>应急机制（突发事件的应急方案、工作人员突然离职的应急措施</w:t>
            </w:r>
            <w:r>
              <w:rPr>
                <w:rFonts w:hint="eastAsia" w:ascii="宋体" w:hAnsi="宋体" w:cs="Courier New"/>
                <w:bCs/>
                <w:color w:val="auto"/>
                <w:sz w:val="21"/>
                <w:szCs w:val="21"/>
                <w:highlight w:val="none"/>
                <w:lang w:eastAsia="zh-CN"/>
              </w:rPr>
              <w:t>等</w:t>
            </w:r>
            <w:r>
              <w:rPr>
                <w:rFonts w:hint="eastAsia" w:ascii="宋体" w:hAnsi="宋体" w:cs="Courier New"/>
                <w:bCs/>
                <w:color w:val="auto"/>
                <w:sz w:val="21"/>
                <w:szCs w:val="21"/>
                <w:highlight w:val="none"/>
              </w:rPr>
              <w:t>其他应急措施）</w:t>
            </w:r>
            <w:r>
              <w:rPr>
                <w:rFonts w:hint="eastAsia" w:ascii="宋体" w:hAnsi="宋体" w:cs="宋体"/>
                <w:color w:val="auto"/>
                <w:szCs w:val="21"/>
                <w:highlight w:val="none"/>
              </w:rPr>
              <w:t>方案</w:t>
            </w:r>
            <w:r>
              <w:rPr>
                <w:rFonts w:hint="eastAsia" w:ascii="宋体" w:hAnsi="宋体" w:cs="宋体"/>
                <w:color w:val="auto"/>
                <w:szCs w:val="21"/>
                <w:highlight w:val="none"/>
                <w:lang w:eastAsia="zh-CN"/>
              </w:rPr>
              <w:t>全面完整，</w:t>
            </w:r>
            <w:r>
              <w:rPr>
                <w:rFonts w:hint="eastAsia" w:ascii="宋体" w:hAnsi="宋体" w:cs="宋体"/>
                <w:color w:val="auto"/>
                <w:szCs w:val="21"/>
                <w:highlight w:val="none"/>
              </w:rPr>
              <w:t>能合理科学的安排人员、设备，能高效高质的应对突发事件</w:t>
            </w:r>
            <w:r>
              <w:rPr>
                <w:rFonts w:hint="eastAsia"/>
                <w:color w:val="auto"/>
                <w:highlight w:val="none"/>
                <w:lang w:eastAsia="zh-CN"/>
              </w:rPr>
              <w:t>（如防火、防水、防疫等）</w:t>
            </w:r>
            <w:r>
              <w:rPr>
                <w:rFonts w:hint="eastAsia" w:ascii="宋体" w:hAnsi="宋体" w:cs="宋体"/>
                <w:color w:val="auto"/>
                <w:szCs w:val="21"/>
                <w:highlight w:val="none"/>
              </w:rPr>
              <w:t>，能结合所属区域的实际情况作出有针对性的方案。</w:t>
            </w:r>
          </w:p>
          <w:p w14:paraId="0843C942">
            <w:pPr>
              <w:numPr>
                <w:ilvl w:val="0"/>
                <w:numId w:val="0"/>
              </w:numPr>
              <w:autoSpaceDE w:val="0"/>
              <w:autoSpaceDN w:val="0"/>
              <w:spacing w:line="360" w:lineRule="auto"/>
              <w:jc w:val="left"/>
              <w:rPr>
                <w:rFonts w:hint="eastAsia"/>
                <w:b/>
                <w:bCs/>
                <w:color w:val="auto"/>
                <w:highlight w:val="none"/>
                <w:lang w:eastAsia="zh-CN"/>
              </w:rPr>
            </w:pPr>
            <w:r>
              <w:rPr>
                <w:rFonts w:hint="eastAsia"/>
                <w:b/>
                <w:bCs/>
                <w:color w:val="auto"/>
                <w:highlight w:val="none"/>
                <w:lang w:eastAsia="zh-CN"/>
              </w:rPr>
              <w:t>（</w:t>
            </w:r>
            <w:r>
              <w:rPr>
                <w:rFonts w:hint="eastAsia"/>
                <w:b/>
                <w:bCs/>
                <w:color w:val="auto"/>
                <w:highlight w:val="none"/>
                <w:lang w:val="en-US" w:eastAsia="zh-CN"/>
              </w:rPr>
              <w:t>5</w:t>
            </w:r>
            <w:r>
              <w:rPr>
                <w:rFonts w:hint="eastAsia"/>
                <w:b/>
                <w:bCs/>
                <w:color w:val="auto"/>
                <w:highlight w:val="none"/>
                <w:lang w:eastAsia="zh-CN"/>
              </w:rPr>
              <w:t>）服装和装备分（满分</w:t>
            </w:r>
            <w:r>
              <w:rPr>
                <w:rFonts w:hint="eastAsia"/>
                <w:b/>
                <w:bCs/>
                <w:color w:val="auto"/>
                <w:highlight w:val="none"/>
                <w:lang w:val="en-US" w:eastAsia="zh-CN"/>
              </w:rPr>
              <w:t>11</w:t>
            </w:r>
            <w:r>
              <w:rPr>
                <w:rFonts w:hint="eastAsia"/>
                <w:b/>
                <w:bCs/>
                <w:color w:val="auto"/>
                <w:highlight w:val="none"/>
                <w:lang w:eastAsia="zh-CN"/>
              </w:rPr>
              <w:t>分）</w:t>
            </w:r>
          </w:p>
          <w:p w14:paraId="7CEC6AEF">
            <w:pPr>
              <w:autoSpaceDE w:val="0"/>
              <w:autoSpaceDN w:val="0"/>
              <w:spacing w:line="360" w:lineRule="auto"/>
              <w:ind w:firstLine="420" w:firstLineChars="200"/>
              <w:jc w:val="left"/>
              <w:rPr>
                <w:rFonts w:hint="eastAsia"/>
                <w:color w:val="auto"/>
                <w:highlight w:val="none"/>
                <w:lang w:eastAsia="zh-CN"/>
              </w:rPr>
            </w:pPr>
            <w:r>
              <w:rPr>
                <w:rFonts w:hint="eastAsia"/>
                <w:color w:val="auto"/>
                <w:highlight w:val="none"/>
                <w:lang w:eastAsia="zh-CN"/>
              </w:rPr>
              <w:t>由磋商小组成员在打分前</w:t>
            </w:r>
            <w:r>
              <w:rPr>
                <w:rFonts w:hint="eastAsia"/>
                <w:color w:val="auto"/>
                <w:highlight w:val="none"/>
                <w:lang w:val="zh-CN" w:eastAsia="zh-CN"/>
              </w:rPr>
              <w:t>根据各</w:t>
            </w:r>
            <w:r>
              <w:rPr>
                <w:rFonts w:hint="eastAsia"/>
                <w:color w:val="auto"/>
                <w:highlight w:val="none"/>
                <w:lang w:eastAsia="zh-CN"/>
              </w:rPr>
              <w:t>响应人投入的服务装备的优劣度（包含通讯、照明、安全防范装备、消毒器械、口罩、体温计及办公用品等）在相应档次内独立打分。</w:t>
            </w:r>
          </w:p>
          <w:p w14:paraId="5E05DE43">
            <w:pPr>
              <w:autoSpaceDE w:val="0"/>
              <w:autoSpaceDN w:val="0"/>
              <w:spacing w:line="360" w:lineRule="auto"/>
              <w:ind w:firstLine="420" w:firstLineChars="200"/>
              <w:jc w:val="left"/>
              <w:rPr>
                <w:rFonts w:hint="eastAsia"/>
                <w:color w:val="auto"/>
                <w:highlight w:val="none"/>
                <w:lang w:eastAsia="zh-CN"/>
              </w:rPr>
            </w:pPr>
            <w:r>
              <w:rPr>
                <w:rFonts w:hint="eastAsia"/>
                <w:color w:val="auto"/>
                <w:highlight w:val="none"/>
                <w:lang w:eastAsia="zh-CN"/>
              </w:rPr>
              <w:t>差（</w:t>
            </w:r>
            <w:r>
              <w:rPr>
                <w:rFonts w:hint="eastAsia"/>
                <w:color w:val="auto"/>
                <w:highlight w:val="none"/>
                <w:lang w:val="en-US" w:eastAsia="zh-CN"/>
              </w:rPr>
              <w:t>1</w:t>
            </w:r>
            <w:r>
              <w:rPr>
                <w:rFonts w:hint="eastAsia"/>
                <w:color w:val="auto"/>
                <w:highlight w:val="none"/>
                <w:lang w:eastAsia="zh-CN"/>
              </w:rPr>
              <w:t>分）：投入的服务装备简单，配备物资装备一般。</w:t>
            </w:r>
          </w:p>
          <w:p w14:paraId="12D5B98C">
            <w:pPr>
              <w:autoSpaceDE w:val="0"/>
              <w:autoSpaceDN w:val="0"/>
              <w:spacing w:line="360" w:lineRule="auto"/>
              <w:ind w:firstLine="420" w:firstLineChars="200"/>
              <w:jc w:val="left"/>
              <w:rPr>
                <w:rFonts w:hint="eastAsia"/>
                <w:color w:val="auto"/>
                <w:highlight w:val="none"/>
                <w:lang w:eastAsia="zh-CN"/>
              </w:rPr>
            </w:pPr>
            <w:r>
              <w:rPr>
                <w:rFonts w:hint="eastAsia"/>
                <w:color w:val="auto"/>
                <w:highlight w:val="none"/>
                <w:lang w:eastAsia="zh-CN"/>
              </w:rPr>
              <w:t>中（</w:t>
            </w:r>
            <w:r>
              <w:rPr>
                <w:rFonts w:hint="eastAsia"/>
                <w:color w:val="auto"/>
                <w:highlight w:val="none"/>
                <w:lang w:val="en-US" w:eastAsia="zh-CN"/>
              </w:rPr>
              <w:t>4</w:t>
            </w:r>
            <w:r>
              <w:rPr>
                <w:rFonts w:hint="eastAsia"/>
                <w:color w:val="auto"/>
                <w:highlight w:val="none"/>
                <w:lang w:eastAsia="zh-CN"/>
              </w:rPr>
              <w:t>分）：投入的服务装备齐全，配备物资装备较好，保持人员形象和专业能力。</w:t>
            </w:r>
          </w:p>
          <w:p w14:paraId="24349D22">
            <w:pPr>
              <w:autoSpaceDE w:val="0"/>
              <w:autoSpaceDN w:val="0"/>
              <w:spacing w:line="360" w:lineRule="auto"/>
              <w:ind w:firstLine="420" w:firstLineChars="200"/>
              <w:jc w:val="left"/>
              <w:rPr>
                <w:rFonts w:hint="eastAsia"/>
                <w:color w:val="auto"/>
                <w:highlight w:val="none"/>
                <w:lang w:eastAsia="zh-CN"/>
              </w:rPr>
            </w:pPr>
            <w:r>
              <w:rPr>
                <w:rFonts w:hint="eastAsia"/>
                <w:color w:val="auto"/>
                <w:highlight w:val="none"/>
                <w:lang w:eastAsia="zh-CN"/>
              </w:rPr>
              <w:t>良（</w:t>
            </w:r>
            <w:r>
              <w:rPr>
                <w:rFonts w:hint="eastAsia"/>
                <w:color w:val="auto"/>
                <w:highlight w:val="none"/>
                <w:lang w:val="en-US" w:eastAsia="zh-CN"/>
              </w:rPr>
              <w:t>8分</w:t>
            </w:r>
            <w:r>
              <w:rPr>
                <w:rFonts w:hint="eastAsia"/>
                <w:color w:val="auto"/>
                <w:highlight w:val="none"/>
                <w:lang w:eastAsia="zh-CN"/>
              </w:rPr>
              <w:t>）：投入的服务装备齐全，配备物资装备完好，能有效提高人员形象和专业能力，有效应付突发事件等。</w:t>
            </w:r>
          </w:p>
          <w:p w14:paraId="49057D40">
            <w:pPr>
              <w:autoSpaceDE w:val="0"/>
              <w:autoSpaceDN w:val="0"/>
              <w:spacing w:line="360" w:lineRule="auto"/>
              <w:ind w:firstLine="420" w:firstLineChars="200"/>
              <w:jc w:val="left"/>
              <w:rPr>
                <w:rFonts w:hint="eastAsia"/>
                <w:color w:val="auto"/>
                <w:highlight w:val="none"/>
                <w:lang w:eastAsia="zh-CN"/>
              </w:rPr>
            </w:pPr>
            <w:r>
              <w:rPr>
                <w:rFonts w:hint="eastAsia"/>
                <w:color w:val="auto"/>
                <w:highlight w:val="none"/>
                <w:lang w:eastAsia="zh-CN"/>
              </w:rPr>
              <w:t>优（</w:t>
            </w:r>
            <w:r>
              <w:rPr>
                <w:rFonts w:hint="eastAsia"/>
                <w:color w:val="auto"/>
                <w:highlight w:val="none"/>
                <w:lang w:val="en-US" w:eastAsia="zh-CN"/>
              </w:rPr>
              <w:t>11分</w:t>
            </w:r>
            <w:r>
              <w:rPr>
                <w:rFonts w:hint="eastAsia"/>
                <w:color w:val="auto"/>
                <w:highlight w:val="none"/>
                <w:lang w:eastAsia="zh-CN"/>
              </w:rPr>
              <w:t>）：投入的服务装备齐全，配备物资装全面且良好，对服装和装备定期检查更新，随时保持服务人员形象和专业能力，有效应付突发事件等。</w:t>
            </w:r>
            <w:bookmarkEnd w:id="75"/>
          </w:p>
        </w:tc>
        <w:tc>
          <w:tcPr>
            <w:tcW w:w="851" w:type="dxa"/>
            <w:noWrap w:val="0"/>
            <w:vAlign w:val="center"/>
          </w:tcPr>
          <w:p w14:paraId="055BB4C2">
            <w:pPr>
              <w:spacing w:line="360" w:lineRule="auto"/>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eastAsia="zh-CN"/>
              </w:rPr>
              <w:t>满分</w:t>
            </w:r>
            <w:r>
              <w:rPr>
                <w:rFonts w:hint="eastAsia" w:ascii="宋体" w:hAnsi="宋体" w:cs="宋体"/>
                <w:color w:val="auto"/>
                <w:kern w:val="0"/>
                <w:szCs w:val="21"/>
                <w:highlight w:val="none"/>
                <w:lang w:val="en-US" w:eastAsia="zh-CN"/>
              </w:rPr>
              <w:t>80分</w:t>
            </w:r>
          </w:p>
        </w:tc>
      </w:tr>
      <w:tr w14:paraId="46F8F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647" w:type="dxa"/>
            <w:noWrap w:val="0"/>
            <w:vAlign w:val="center"/>
          </w:tcPr>
          <w:p w14:paraId="649F2B64">
            <w:pPr>
              <w:adjustRightInd w:val="0"/>
              <w:spacing w:line="360" w:lineRule="auto"/>
              <w:ind w:left="-105" w:leftChars="-50" w:right="-105" w:rightChars="-50"/>
              <w:jc w:val="center"/>
              <w:textAlignment w:val="baseline"/>
              <w:rPr>
                <w:rFonts w:hint="default" w:ascii="宋体" w:hAnsi="宋体" w:cs="宋体"/>
                <w:bCs/>
                <w:color w:val="auto"/>
                <w:kern w:val="0"/>
                <w:szCs w:val="21"/>
                <w:highlight w:val="none"/>
                <w:lang w:val="en-US" w:eastAsia="zh-CN"/>
              </w:rPr>
            </w:pPr>
            <w:r>
              <w:rPr>
                <w:rFonts w:hint="eastAsia" w:ascii="宋体" w:hAnsi="宋体" w:cs="宋体"/>
                <w:bCs/>
                <w:color w:val="auto"/>
                <w:kern w:val="0"/>
                <w:szCs w:val="21"/>
                <w:highlight w:val="none"/>
                <w:lang w:val="en-US" w:eastAsia="zh-CN"/>
              </w:rPr>
              <w:t>3</w:t>
            </w:r>
          </w:p>
        </w:tc>
        <w:tc>
          <w:tcPr>
            <w:tcW w:w="1304" w:type="dxa"/>
            <w:noWrap w:val="0"/>
            <w:vAlign w:val="center"/>
          </w:tcPr>
          <w:p w14:paraId="53F47CC2">
            <w:pPr>
              <w:autoSpaceDE w:val="0"/>
              <w:autoSpaceDN w:val="0"/>
              <w:spacing w:line="360" w:lineRule="auto"/>
              <w:jc w:val="center"/>
              <w:rPr>
                <w:rFonts w:hint="eastAsia" w:ascii="Times New Roman" w:hAnsi="Times New Roman" w:eastAsia="宋体" w:cs="Times New Roman"/>
                <w:bCs/>
                <w:color w:val="auto"/>
                <w:szCs w:val="21"/>
                <w:highlight w:val="none"/>
                <w:lang w:eastAsia="zh-CN"/>
              </w:rPr>
            </w:pPr>
            <w:r>
              <w:rPr>
                <w:rFonts w:hint="eastAsia" w:cs="Times New Roman"/>
                <w:bCs/>
                <w:color w:val="auto"/>
                <w:szCs w:val="21"/>
                <w:highlight w:val="none"/>
                <w:lang w:eastAsia="zh-CN"/>
              </w:rPr>
              <w:t>业绩得分</w:t>
            </w:r>
          </w:p>
        </w:tc>
        <w:tc>
          <w:tcPr>
            <w:tcW w:w="6288" w:type="dxa"/>
            <w:noWrap w:val="0"/>
            <w:vAlign w:val="center"/>
          </w:tcPr>
          <w:p w14:paraId="48FA33CA">
            <w:pPr>
              <w:autoSpaceDE w:val="0"/>
              <w:autoSpaceDN w:val="0"/>
              <w:spacing w:line="360" w:lineRule="auto"/>
              <w:ind w:firstLine="420" w:firstLineChars="200"/>
              <w:jc w:val="left"/>
              <w:rPr>
                <w:rFonts w:hint="default"/>
                <w:color w:val="auto"/>
                <w:highlight w:val="none"/>
                <w:lang w:val="en-US" w:eastAsia="zh-CN"/>
              </w:rPr>
            </w:pPr>
            <w:r>
              <w:rPr>
                <w:rFonts w:hint="eastAsia"/>
                <w:color w:val="auto"/>
                <w:highlight w:val="none"/>
                <w:lang w:eastAsia="zh-CN"/>
              </w:rPr>
              <w:t>在响应截止时间前</w:t>
            </w:r>
            <w:r>
              <w:rPr>
                <w:rFonts w:hint="eastAsia"/>
                <w:color w:val="auto"/>
                <w:highlight w:val="none"/>
                <w:lang w:val="en-US" w:eastAsia="zh-CN"/>
              </w:rPr>
              <w:t>3年内供应商完成过类似物业服务项目的，每个业绩得1分，满分5分。（必须提供服务合同和履约验收合格证明复印件，否则不予计分）</w:t>
            </w:r>
          </w:p>
        </w:tc>
        <w:tc>
          <w:tcPr>
            <w:tcW w:w="851" w:type="dxa"/>
            <w:noWrap w:val="0"/>
            <w:vAlign w:val="center"/>
          </w:tcPr>
          <w:p w14:paraId="0423F15D">
            <w:pPr>
              <w:spacing w:line="360" w:lineRule="auto"/>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满分5分</w:t>
            </w:r>
          </w:p>
        </w:tc>
      </w:tr>
      <w:tr w14:paraId="1E4D0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239" w:type="dxa"/>
            <w:gridSpan w:val="3"/>
            <w:noWrap w:val="0"/>
            <w:vAlign w:val="top"/>
          </w:tcPr>
          <w:p w14:paraId="75F43188">
            <w:pPr>
              <w:pStyle w:val="15"/>
              <w:spacing w:line="360" w:lineRule="auto"/>
              <w:ind w:firstLine="420" w:firstLineChars="200"/>
              <w:rPr>
                <w:rFonts w:hint="default" w:hAnsi="宋体" w:eastAsia="宋体" w:cs="宋体"/>
                <w:bCs/>
                <w:color w:val="auto"/>
                <w:kern w:val="2"/>
                <w:sz w:val="21"/>
                <w:highlight w:val="none"/>
                <w:lang w:val="en-US" w:eastAsia="zh-CN"/>
              </w:rPr>
            </w:pPr>
            <w:r>
              <w:rPr>
                <w:rFonts w:hint="eastAsia" w:hAnsi="宋体" w:cs="宋体"/>
                <w:bCs/>
                <w:color w:val="auto"/>
                <w:kern w:val="2"/>
                <w:sz w:val="21"/>
                <w:highlight w:val="none"/>
              </w:rPr>
              <w:t>总得分＝1＋2</w:t>
            </w:r>
            <w:r>
              <w:rPr>
                <w:rFonts w:hint="eastAsia" w:hAnsi="宋体" w:cs="宋体"/>
                <w:bCs/>
                <w:color w:val="auto"/>
                <w:kern w:val="2"/>
                <w:sz w:val="21"/>
                <w:highlight w:val="none"/>
                <w:lang w:val="en-US" w:eastAsia="zh-CN"/>
              </w:rPr>
              <w:t>+3</w:t>
            </w:r>
          </w:p>
        </w:tc>
        <w:tc>
          <w:tcPr>
            <w:tcW w:w="851" w:type="dxa"/>
            <w:noWrap w:val="0"/>
            <w:vAlign w:val="center"/>
          </w:tcPr>
          <w:p w14:paraId="35BFF871">
            <w:pPr>
              <w:widowControl/>
              <w:spacing w:line="360" w:lineRule="auto"/>
              <w:jc w:val="center"/>
              <w:rPr>
                <w:rFonts w:hint="eastAsia" w:ascii="宋体" w:hAnsi="宋体" w:cs="宋体"/>
                <w:color w:val="auto"/>
                <w:kern w:val="0"/>
                <w:szCs w:val="21"/>
                <w:highlight w:val="none"/>
              </w:rPr>
            </w:pPr>
          </w:p>
        </w:tc>
      </w:tr>
    </w:tbl>
    <w:p w14:paraId="615AEAE7">
      <w:pPr>
        <w:numPr>
          <w:ilvl w:val="0"/>
          <w:numId w:val="0"/>
        </w:numPr>
        <w:spacing w:line="360" w:lineRule="auto"/>
        <w:ind w:left="409" w:leftChars="0"/>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eastAsia="zh-CN"/>
        </w:rPr>
        <w:t>三、评标报告</w:t>
      </w:r>
    </w:p>
    <w:p w14:paraId="5315EF8D">
      <w:pPr>
        <w:numPr>
          <w:ilvl w:val="0"/>
          <w:numId w:val="0"/>
        </w:num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1.成交标准</w:t>
      </w:r>
    </w:p>
    <w:p w14:paraId="15982C63">
      <w:pPr>
        <w:spacing w:line="360" w:lineRule="auto"/>
        <w:ind w:firstLine="420" w:firstLineChars="200"/>
        <w:rPr>
          <w:rFonts w:hint="eastAsia" w:ascii="宋体" w:hAnsi="宋体" w:cs="宋体"/>
          <w:color w:val="auto"/>
          <w:sz w:val="24"/>
          <w:highlight w:val="none"/>
        </w:rPr>
      </w:pPr>
      <w:r>
        <w:rPr>
          <w:rFonts w:hint="eastAsia" w:ascii="宋体" w:hAnsi="宋体"/>
          <w:bCs/>
          <w:color w:val="auto"/>
          <w:szCs w:val="21"/>
          <w:highlight w:val="none"/>
        </w:rPr>
        <w:t>由磋商小组根据综合评分情况，按照评审得分由高到低顺序推荐3名以上成交候选供应商</w:t>
      </w:r>
      <w:r>
        <w:rPr>
          <w:rFonts w:hint="eastAsia" w:ascii="宋体" w:hAnsi="宋体" w:cs="宋体"/>
          <w:color w:val="auto"/>
          <w:highlight w:val="none"/>
        </w:rPr>
        <w:t>,并在线编写电子评审报告</w:t>
      </w:r>
      <w:r>
        <w:rPr>
          <w:rFonts w:hint="eastAsia" w:ascii="宋体" w:hAnsi="宋体"/>
          <w:bCs/>
          <w:color w:val="auto"/>
          <w:szCs w:val="21"/>
          <w:highlight w:val="none"/>
        </w:rPr>
        <w:t>。评审得分相同的，按照最后报价（不计算价格折扣）由低到高的顺序推荐。评审得分且最后报价（不计算价格折扣）相同的，按照技术指标优劣顺序推荐（按技术得分由高到低排序，技术得分相同的按照服务需求偏离分由高到低排序）。评审得分、最后报价（不计算价格折扣）、技术得分、服务需求偏离分均相同的，由磋商小组随机抽取推荐。</w:t>
      </w:r>
    </w:p>
    <w:p w14:paraId="605D9078">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2.评标争议事项处理</w:t>
      </w:r>
    </w:p>
    <w:p w14:paraId="60841ED9">
      <w:pPr>
        <w:pStyle w:val="33"/>
        <w:spacing w:before="0"/>
        <w:ind w:firstLine="420"/>
        <w:rPr>
          <w:rFonts w:hint="eastAsia" w:ascii="宋体" w:hAnsi="宋体" w:cs="宋体"/>
          <w:color w:val="auto"/>
          <w:kern w:val="2"/>
          <w:sz w:val="21"/>
          <w:szCs w:val="24"/>
          <w:highlight w:val="none"/>
        </w:rPr>
      </w:pPr>
      <w:r>
        <w:rPr>
          <w:rFonts w:hint="eastAsia" w:ascii="宋体" w:hAnsi="宋体" w:cs="宋体"/>
          <w:color w:val="auto"/>
          <w:kern w:val="2"/>
          <w:sz w:val="21"/>
          <w:szCs w:val="24"/>
          <w:highlight w:val="none"/>
        </w:rPr>
        <w:t>磋商小组成员对需要共同认定的事项存在争议的，应当按照少数服从多数的原则作出结论。持不同意见的磋商小组成员应当在评标报告上签署不同意见及理由，否则视为同意评标报告。</w:t>
      </w:r>
    </w:p>
    <w:p w14:paraId="64143B4F">
      <w:pPr>
        <w:pStyle w:val="3"/>
        <w:spacing w:before="0" w:after="0" w:line="360" w:lineRule="auto"/>
        <w:ind w:firstLine="482" w:firstLineChars="200"/>
        <w:jc w:val="both"/>
        <w:rPr>
          <w:rFonts w:hint="eastAsia" w:ascii="宋体" w:hAnsi="宋体" w:eastAsia="宋体" w:cs="宋体"/>
          <w:b/>
          <w:bCs/>
          <w:color w:val="auto"/>
          <w:sz w:val="24"/>
          <w:highlight w:val="none"/>
          <w:lang w:val="en-US" w:eastAsia="zh-CN" w:bidi="hi-IN"/>
        </w:rPr>
      </w:pPr>
      <w:bookmarkStart w:id="76" w:name="_Toc80886940"/>
      <w:bookmarkStart w:id="77" w:name="_Toc80205936"/>
      <w:r>
        <w:rPr>
          <w:rFonts w:hint="eastAsia" w:ascii="宋体" w:hAnsi="宋体" w:eastAsia="宋体" w:cs="宋体"/>
          <w:b/>
          <w:bCs/>
          <w:color w:val="auto"/>
          <w:sz w:val="24"/>
          <w:highlight w:val="none"/>
          <w:lang w:val="en-US" w:eastAsia="zh-CN" w:bidi="hi-IN"/>
        </w:rPr>
        <w:t>四、 评审过程的保密与录像</w:t>
      </w:r>
      <w:bookmarkEnd w:id="76"/>
      <w:bookmarkEnd w:id="77"/>
    </w:p>
    <w:p w14:paraId="7A31A7C8">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1.保密。</w:t>
      </w:r>
    </w:p>
    <w:p w14:paraId="35FC56B5">
      <w:pPr>
        <w:widowControl/>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评审活动在严格保密的情况下进行。评审过程中凡是与采购响应文件评审和比较、中标成交供应商推荐等评审有关的情况，以及涉及国家秘密和商业秘密等信息，评审委员会成员、采购人和采购机构工作人员、相关监督人员等与评审有关的人员应当予以保密。</w:t>
      </w:r>
    </w:p>
    <w:p w14:paraId="1507224C">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2.录音录像。</w:t>
      </w:r>
    </w:p>
    <w:p w14:paraId="22E43D08">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采购代理机构对评审工作现场及操作屏幕进行全过程录音录像，录音录像资料作为采购项目文件随其他文件一并存档。</w:t>
      </w:r>
    </w:p>
    <w:p w14:paraId="1EBD190C">
      <w:pPr>
        <w:spacing w:line="360" w:lineRule="auto"/>
        <w:ind w:firstLine="420" w:firstLineChars="200"/>
        <w:rPr>
          <w:rFonts w:hint="eastAsia" w:ascii="宋体" w:hAnsi="宋体" w:eastAsia="宋体" w:cs="宋体"/>
          <w:color w:val="auto"/>
          <w:highlight w:val="none"/>
        </w:rPr>
      </w:pPr>
    </w:p>
    <w:p w14:paraId="059AC276">
      <w:pPr>
        <w:spacing w:line="360" w:lineRule="auto"/>
        <w:ind w:firstLine="420" w:firstLineChars="200"/>
        <w:rPr>
          <w:rFonts w:hint="eastAsia" w:ascii="宋体" w:hAnsi="宋体" w:eastAsia="宋体" w:cs="宋体"/>
          <w:color w:val="auto"/>
          <w:highlight w:val="none"/>
        </w:rPr>
      </w:pPr>
    </w:p>
    <w:p w14:paraId="48A240E5">
      <w:pPr>
        <w:pStyle w:val="3"/>
        <w:spacing w:line="360" w:lineRule="auto"/>
        <w:rPr>
          <w:rFonts w:hint="eastAsia" w:ascii="宋体" w:hAnsi="宋体" w:eastAsia="宋体" w:cs="宋体"/>
          <w:color w:val="auto"/>
          <w:highlight w:val="none"/>
        </w:rPr>
      </w:pPr>
    </w:p>
    <w:p w14:paraId="4013F2F6">
      <w:pPr>
        <w:pStyle w:val="3"/>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br w:type="page"/>
      </w:r>
      <w:bookmarkStart w:id="78" w:name="_Toc44229897"/>
      <w:r>
        <w:rPr>
          <w:rFonts w:hint="eastAsia" w:ascii="宋体" w:hAnsi="宋体" w:eastAsia="宋体" w:cs="宋体"/>
          <w:color w:val="auto"/>
          <w:highlight w:val="none"/>
        </w:rPr>
        <w:t>第五章 响应文件格式</w:t>
      </w:r>
      <w:bookmarkEnd w:id="78"/>
    </w:p>
    <w:p w14:paraId="1233FEF4">
      <w:pPr>
        <w:spacing w:line="360" w:lineRule="auto"/>
        <w:rPr>
          <w:rFonts w:hint="eastAsia" w:ascii="宋体" w:hAnsi="宋体" w:eastAsia="宋体" w:cs="宋体"/>
          <w:b/>
          <w:color w:val="auto"/>
          <w:sz w:val="32"/>
          <w:szCs w:val="32"/>
          <w:highlight w:val="none"/>
        </w:rPr>
      </w:pPr>
    </w:p>
    <w:p w14:paraId="5CB5DC63">
      <w:pPr>
        <w:snapToGrid w:val="0"/>
        <w:spacing w:before="50" w:after="50" w:line="360" w:lineRule="auto"/>
        <w:outlineLvl w:val="1"/>
        <w:rPr>
          <w:rFonts w:hint="eastAsia" w:ascii="宋体" w:hAnsi="宋体" w:eastAsia="宋体" w:cs="宋体"/>
          <w:b/>
          <w:bCs/>
          <w:color w:val="auto"/>
          <w:sz w:val="24"/>
          <w:highlight w:val="none"/>
        </w:rPr>
      </w:pPr>
    </w:p>
    <w:p w14:paraId="1A06EF2E">
      <w:pPr>
        <w:snapToGrid w:val="0"/>
        <w:spacing w:before="50" w:after="50" w:line="360" w:lineRule="auto"/>
        <w:outlineLvl w:val="1"/>
        <w:rPr>
          <w:rFonts w:hint="eastAsia" w:ascii="宋体" w:hAnsi="宋体" w:eastAsia="宋体" w:cs="宋体"/>
          <w:b/>
          <w:bCs/>
          <w:color w:val="auto"/>
          <w:sz w:val="32"/>
          <w:szCs w:val="32"/>
          <w:highlight w:val="none"/>
        </w:rPr>
      </w:pPr>
      <w:bookmarkStart w:id="79" w:name="_Toc44229898"/>
      <w:r>
        <w:rPr>
          <w:rFonts w:hint="eastAsia" w:ascii="宋体" w:hAnsi="宋体" w:eastAsia="宋体" w:cs="宋体"/>
          <w:b/>
          <w:color w:val="auto"/>
          <w:sz w:val="32"/>
          <w:szCs w:val="32"/>
          <w:highlight w:val="none"/>
        </w:rPr>
        <w:t>（</w:t>
      </w:r>
      <w:bookmarkStart w:id="80" w:name="_Toc35611515"/>
      <w:bookmarkStart w:id="81" w:name="_Toc35611437"/>
      <w:r>
        <w:rPr>
          <w:rFonts w:hint="eastAsia" w:ascii="宋体" w:hAnsi="宋体" w:eastAsia="宋体" w:cs="宋体"/>
          <w:b/>
          <w:bCs/>
          <w:color w:val="auto"/>
          <w:sz w:val="32"/>
          <w:szCs w:val="32"/>
          <w:highlight w:val="none"/>
        </w:rPr>
        <w:t>响应文件外层包装封面格式</w:t>
      </w:r>
      <w:bookmarkEnd w:id="80"/>
      <w:bookmarkEnd w:id="81"/>
      <w:r>
        <w:rPr>
          <w:rFonts w:hint="eastAsia" w:ascii="宋体" w:hAnsi="宋体" w:eastAsia="宋体" w:cs="宋体"/>
          <w:b/>
          <w:color w:val="auto"/>
          <w:sz w:val="32"/>
          <w:szCs w:val="32"/>
          <w:highlight w:val="none"/>
        </w:rPr>
        <w:t xml:space="preserve"> ）</w:t>
      </w:r>
      <w:bookmarkEnd w:id="79"/>
    </w:p>
    <w:p w14:paraId="4A5C3E00">
      <w:pPr>
        <w:snapToGrid w:val="0"/>
        <w:spacing w:before="156" w:beforeLines="50" w:after="50" w:line="360" w:lineRule="auto"/>
        <w:rPr>
          <w:rFonts w:hint="eastAsia" w:ascii="宋体" w:hAnsi="宋体" w:eastAsia="宋体" w:cs="宋体"/>
          <w:color w:val="auto"/>
          <w:sz w:val="24"/>
          <w:szCs w:val="20"/>
          <w:highlight w:val="none"/>
        </w:rPr>
      </w:pPr>
    </w:p>
    <w:p w14:paraId="5CED9EC2">
      <w:pPr>
        <w:snapToGrid w:val="0"/>
        <w:spacing w:before="156" w:beforeLines="50" w:after="50" w:line="360" w:lineRule="auto"/>
        <w:jc w:val="center"/>
        <w:rPr>
          <w:rFonts w:hint="eastAsia" w:ascii="宋体" w:hAnsi="宋体" w:eastAsia="宋体" w:cs="宋体"/>
          <w:bCs/>
          <w:color w:val="auto"/>
          <w:sz w:val="22"/>
          <w:szCs w:val="18"/>
          <w:highlight w:val="none"/>
        </w:rPr>
      </w:pPr>
    </w:p>
    <w:p w14:paraId="04A5A0D4">
      <w:pPr>
        <w:snapToGrid w:val="0"/>
        <w:spacing w:before="156" w:beforeLines="50" w:after="50" w:line="360" w:lineRule="auto"/>
        <w:jc w:val="center"/>
        <w:rPr>
          <w:rFonts w:hint="eastAsia" w:ascii="宋体" w:hAnsi="宋体" w:eastAsia="宋体" w:cs="宋体"/>
          <w:bCs/>
          <w:color w:val="auto"/>
          <w:sz w:val="40"/>
          <w:szCs w:val="40"/>
          <w:highlight w:val="none"/>
        </w:rPr>
      </w:pPr>
      <w:r>
        <w:rPr>
          <w:rFonts w:hint="eastAsia" w:ascii="宋体" w:hAnsi="宋体" w:eastAsia="宋体" w:cs="宋体"/>
          <w:bCs/>
          <w:color w:val="auto"/>
          <w:sz w:val="40"/>
          <w:szCs w:val="40"/>
          <w:highlight w:val="none"/>
        </w:rPr>
        <w:t>响  应  文  件</w:t>
      </w:r>
    </w:p>
    <w:p w14:paraId="02D734C0">
      <w:pPr>
        <w:snapToGrid w:val="0"/>
        <w:spacing w:before="156" w:beforeLines="50" w:after="50" w:line="360" w:lineRule="auto"/>
        <w:rPr>
          <w:rFonts w:hint="eastAsia" w:ascii="宋体" w:hAnsi="宋体" w:eastAsia="宋体" w:cs="宋体"/>
          <w:bCs/>
          <w:color w:val="auto"/>
          <w:sz w:val="22"/>
          <w:szCs w:val="18"/>
          <w:highlight w:val="none"/>
        </w:rPr>
      </w:pPr>
    </w:p>
    <w:p w14:paraId="554DE458">
      <w:pPr>
        <w:snapToGrid w:val="0"/>
        <w:spacing w:before="156" w:beforeLines="50" w:after="50" w:line="360" w:lineRule="auto"/>
        <w:rPr>
          <w:rFonts w:hint="eastAsia" w:ascii="宋体" w:hAnsi="宋体" w:eastAsia="宋体" w:cs="宋体"/>
          <w:bCs/>
          <w:color w:val="auto"/>
          <w:sz w:val="22"/>
          <w:szCs w:val="18"/>
          <w:highlight w:val="none"/>
        </w:rPr>
      </w:pPr>
    </w:p>
    <w:p w14:paraId="62F75B10">
      <w:pPr>
        <w:snapToGrid w:val="0"/>
        <w:spacing w:before="156" w:beforeLines="50" w:after="50" w:line="360" w:lineRule="auto"/>
        <w:ind w:firstLine="560" w:firstLineChars="2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项目名称：</w:t>
      </w:r>
    </w:p>
    <w:p w14:paraId="7AEED436">
      <w:pPr>
        <w:snapToGrid w:val="0"/>
        <w:spacing w:before="156" w:beforeLines="50" w:after="50" w:line="360" w:lineRule="auto"/>
        <w:ind w:firstLine="420" w:firstLineChars="150"/>
        <w:rPr>
          <w:rFonts w:hint="eastAsia" w:ascii="宋体" w:hAnsi="宋体" w:eastAsia="宋体" w:cs="宋体"/>
          <w:bCs/>
          <w:color w:val="auto"/>
          <w:sz w:val="28"/>
          <w:szCs w:val="28"/>
          <w:highlight w:val="none"/>
        </w:rPr>
      </w:pPr>
    </w:p>
    <w:p w14:paraId="52CB8A93">
      <w:pPr>
        <w:snapToGrid w:val="0"/>
        <w:spacing w:before="156" w:beforeLines="50" w:after="50" w:line="360" w:lineRule="auto"/>
        <w:ind w:firstLine="560" w:firstLineChars="2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项目编号：</w:t>
      </w:r>
    </w:p>
    <w:p w14:paraId="1CD9A34A">
      <w:pPr>
        <w:snapToGrid w:val="0"/>
        <w:spacing w:before="156" w:beforeLines="50" w:after="50" w:line="360" w:lineRule="auto"/>
        <w:ind w:firstLine="420" w:firstLineChars="150"/>
        <w:rPr>
          <w:rFonts w:hint="eastAsia" w:ascii="宋体" w:hAnsi="宋体" w:eastAsia="宋体" w:cs="宋体"/>
          <w:bCs/>
          <w:color w:val="auto"/>
          <w:sz w:val="28"/>
          <w:szCs w:val="28"/>
          <w:highlight w:val="none"/>
        </w:rPr>
      </w:pPr>
    </w:p>
    <w:p w14:paraId="048D35AC">
      <w:pPr>
        <w:snapToGrid w:val="0"/>
        <w:spacing w:before="156" w:beforeLines="50" w:after="50" w:line="360" w:lineRule="auto"/>
        <w:ind w:firstLine="560" w:firstLineChars="2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所竞分标（如有则填写，无分标时填写“无”或者留空）：</w:t>
      </w:r>
    </w:p>
    <w:p w14:paraId="387D8AFC">
      <w:pPr>
        <w:snapToGrid w:val="0"/>
        <w:spacing w:before="156" w:beforeLines="50" w:after="50" w:line="360" w:lineRule="auto"/>
        <w:rPr>
          <w:rFonts w:hint="eastAsia" w:ascii="宋体" w:hAnsi="宋体" w:eastAsia="宋体" w:cs="宋体"/>
          <w:bCs/>
          <w:color w:val="auto"/>
          <w:sz w:val="28"/>
          <w:szCs w:val="28"/>
          <w:highlight w:val="none"/>
        </w:rPr>
      </w:pPr>
    </w:p>
    <w:p w14:paraId="3A236A0D">
      <w:pPr>
        <w:snapToGrid w:val="0"/>
        <w:spacing w:before="156" w:beforeLines="50" w:after="50" w:line="360" w:lineRule="auto"/>
        <w:ind w:firstLine="560" w:firstLineChars="2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供应商名称：</w:t>
      </w:r>
    </w:p>
    <w:p w14:paraId="6E2AD772">
      <w:pPr>
        <w:snapToGrid w:val="0"/>
        <w:spacing w:before="156" w:beforeLines="50" w:after="50" w:line="360" w:lineRule="auto"/>
        <w:ind w:firstLine="420" w:firstLineChars="150"/>
        <w:jc w:val="center"/>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首次响应文件提交截止时间前不得启封</w:t>
      </w:r>
    </w:p>
    <w:p w14:paraId="2C9FD5CC">
      <w:pPr>
        <w:snapToGrid w:val="0"/>
        <w:spacing w:before="156" w:beforeLines="50" w:after="50" w:line="360" w:lineRule="auto"/>
        <w:ind w:firstLine="645"/>
        <w:jc w:val="center"/>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年    月    日</w:t>
      </w:r>
    </w:p>
    <w:p w14:paraId="41301431">
      <w:pPr>
        <w:spacing w:line="360" w:lineRule="auto"/>
        <w:rPr>
          <w:rFonts w:hint="eastAsia" w:ascii="宋体" w:hAnsi="宋体" w:eastAsia="宋体" w:cs="宋体"/>
          <w:bCs/>
          <w:color w:val="auto"/>
          <w:sz w:val="32"/>
          <w:szCs w:val="32"/>
          <w:highlight w:val="none"/>
        </w:rPr>
      </w:pPr>
      <w:r>
        <w:rPr>
          <w:rFonts w:hint="eastAsia" w:ascii="宋体" w:hAnsi="宋体" w:eastAsia="宋体" w:cs="宋体"/>
          <w:bCs/>
          <w:color w:val="auto"/>
          <w:sz w:val="24"/>
          <w:highlight w:val="none"/>
        </w:rPr>
        <w:br w:type="page"/>
      </w:r>
      <w:r>
        <w:rPr>
          <w:rFonts w:hint="eastAsia" w:ascii="宋体" w:hAnsi="宋体" w:eastAsia="宋体" w:cs="宋体"/>
          <w:b/>
          <w:bCs/>
          <w:color w:val="auto"/>
          <w:sz w:val="32"/>
          <w:szCs w:val="32"/>
          <w:highlight w:val="none"/>
        </w:rPr>
        <w:t>（响应文件封面格式）</w:t>
      </w:r>
    </w:p>
    <w:p w14:paraId="0254A0CF">
      <w:pPr>
        <w:spacing w:line="360" w:lineRule="auto"/>
        <w:jc w:val="center"/>
        <w:rPr>
          <w:rFonts w:hint="eastAsia" w:ascii="宋体" w:hAnsi="宋体" w:eastAsia="宋体" w:cs="宋体"/>
          <w:bCs/>
          <w:color w:val="auto"/>
          <w:sz w:val="24"/>
          <w:highlight w:val="none"/>
        </w:rPr>
      </w:pPr>
    </w:p>
    <w:p w14:paraId="28F726EC">
      <w:pPr>
        <w:spacing w:line="360" w:lineRule="auto"/>
        <w:jc w:val="center"/>
        <w:rPr>
          <w:rFonts w:hint="eastAsia" w:ascii="宋体" w:hAnsi="宋体" w:eastAsia="宋体" w:cs="宋体"/>
          <w:bCs/>
          <w:color w:val="auto"/>
          <w:sz w:val="24"/>
          <w:highlight w:val="none"/>
        </w:rPr>
      </w:pPr>
    </w:p>
    <w:p w14:paraId="08F26825">
      <w:pPr>
        <w:spacing w:line="360" w:lineRule="auto"/>
        <w:jc w:val="center"/>
        <w:rPr>
          <w:rFonts w:hint="eastAsia" w:ascii="宋体" w:hAnsi="宋体" w:eastAsia="宋体" w:cs="宋体"/>
          <w:bCs/>
          <w:color w:val="auto"/>
          <w:sz w:val="24"/>
          <w:highlight w:val="none"/>
        </w:rPr>
      </w:pPr>
    </w:p>
    <w:p w14:paraId="7DF3ED0C">
      <w:pPr>
        <w:spacing w:line="360" w:lineRule="auto"/>
        <w:jc w:val="center"/>
        <w:rPr>
          <w:rFonts w:hint="eastAsia" w:ascii="宋体" w:hAnsi="宋体" w:eastAsia="宋体" w:cs="宋体"/>
          <w:bCs/>
          <w:color w:val="auto"/>
          <w:sz w:val="44"/>
          <w:szCs w:val="44"/>
          <w:highlight w:val="none"/>
        </w:rPr>
      </w:pPr>
    </w:p>
    <w:p w14:paraId="2FDC2ABC">
      <w:pPr>
        <w:spacing w:line="360" w:lineRule="auto"/>
        <w:jc w:val="center"/>
        <w:rPr>
          <w:rFonts w:hint="eastAsia" w:ascii="宋体" w:hAnsi="宋体" w:eastAsia="宋体" w:cs="宋体"/>
          <w:bCs/>
          <w:color w:val="auto"/>
          <w:sz w:val="44"/>
          <w:szCs w:val="44"/>
          <w:highlight w:val="none"/>
        </w:rPr>
      </w:pPr>
    </w:p>
    <w:p w14:paraId="5DE94444">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Cs/>
          <w:color w:val="auto"/>
          <w:sz w:val="44"/>
          <w:szCs w:val="44"/>
          <w:highlight w:val="none"/>
        </w:rPr>
        <w:t>响  应  文  件</w:t>
      </w:r>
      <w:r>
        <w:rPr>
          <w:rFonts w:hint="eastAsia" w:ascii="宋体" w:hAnsi="宋体" w:eastAsia="宋体" w:cs="宋体"/>
          <w:b/>
          <w:color w:val="auto"/>
          <w:sz w:val="32"/>
          <w:szCs w:val="32"/>
          <w:highlight w:val="none"/>
        </w:rPr>
        <w:t xml:space="preserve"> </w:t>
      </w:r>
      <w:r>
        <w:rPr>
          <w:rFonts w:hint="eastAsia" w:ascii="宋体" w:hAnsi="宋体" w:eastAsia="宋体" w:cs="宋体"/>
          <w:color w:val="auto"/>
          <w:szCs w:val="21"/>
          <w:highlight w:val="none"/>
        </w:rPr>
        <w:t>(封面)</w:t>
      </w:r>
    </w:p>
    <w:p w14:paraId="6BF75029">
      <w:pPr>
        <w:spacing w:line="360" w:lineRule="auto"/>
        <w:jc w:val="center"/>
        <w:rPr>
          <w:rFonts w:hint="eastAsia" w:ascii="宋体" w:hAnsi="宋体" w:eastAsia="宋体" w:cs="宋体"/>
          <w:color w:val="auto"/>
          <w:szCs w:val="21"/>
          <w:highlight w:val="none"/>
        </w:rPr>
      </w:pPr>
    </w:p>
    <w:p w14:paraId="66727A3B">
      <w:pPr>
        <w:spacing w:line="360" w:lineRule="auto"/>
        <w:jc w:val="center"/>
        <w:rPr>
          <w:rFonts w:hint="eastAsia" w:ascii="宋体" w:hAnsi="宋体" w:eastAsia="宋体" w:cs="宋体"/>
          <w:color w:val="auto"/>
          <w:szCs w:val="21"/>
          <w:highlight w:val="none"/>
        </w:rPr>
      </w:pPr>
    </w:p>
    <w:p w14:paraId="45753580">
      <w:pPr>
        <w:spacing w:line="360" w:lineRule="auto"/>
        <w:jc w:val="center"/>
        <w:rPr>
          <w:rFonts w:hint="eastAsia" w:ascii="宋体" w:hAnsi="宋体" w:eastAsia="宋体" w:cs="宋体"/>
          <w:color w:val="auto"/>
          <w:szCs w:val="21"/>
          <w:highlight w:val="none"/>
        </w:rPr>
      </w:pPr>
    </w:p>
    <w:p w14:paraId="4AD9BA91">
      <w:pPr>
        <w:spacing w:line="360" w:lineRule="auto"/>
        <w:jc w:val="center"/>
        <w:rPr>
          <w:rFonts w:hint="eastAsia" w:ascii="宋体" w:hAnsi="宋体" w:eastAsia="宋体" w:cs="宋体"/>
          <w:color w:val="auto"/>
          <w:szCs w:val="21"/>
          <w:highlight w:val="none"/>
        </w:rPr>
      </w:pPr>
    </w:p>
    <w:p w14:paraId="73B0DC1D">
      <w:pPr>
        <w:spacing w:line="360" w:lineRule="auto"/>
        <w:jc w:val="left"/>
        <w:rPr>
          <w:rFonts w:hint="eastAsia" w:ascii="宋体" w:hAnsi="宋体" w:eastAsia="宋体" w:cs="宋体"/>
          <w:color w:val="auto"/>
          <w:sz w:val="28"/>
          <w:szCs w:val="28"/>
          <w:highlight w:val="none"/>
        </w:rPr>
      </w:pPr>
    </w:p>
    <w:p w14:paraId="05035184">
      <w:pPr>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项目编号：</w:t>
      </w:r>
    </w:p>
    <w:p w14:paraId="48839387">
      <w:pPr>
        <w:spacing w:line="360" w:lineRule="auto"/>
        <w:ind w:firstLine="560" w:firstLineChars="200"/>
        <w:jc w:val="left"/>
        <w:rPr>
          <w:rFonts w:hint="eastAsia" w:ascii="宋体" w:hAnsi="宋体" w:eastAsia="宋体" w:cs="宋体"/>
          <w:color w:val="auto"/>
          <w:sz w:val="28"/>
          <w:szCs w:val="28"/>
          <w:highlight w:val="none"/>
          <w:u w:val="single"/>
        </w:rPr>
      </w:pPr>
    </w:p>
    <w:p w14:paraId="6B0BD539">
      <w:pPr>
        <w:tabs>
          <w:tab w:val="left" w:pos="3240"/>
        </w:tabs>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项目名称：</w:t>
      </w:r>
    </w:p>
    <w:p w14:paraId="6A864103">
      <w:pPr>
        <w:tabs>
          <w:tab w:val="left" w:pos="3240"/>
        </w:tabs>
        <w:spacing w:line="360" w:lineRule="auto"/>
        <w:ind w:firstLine="560" w:firstLineChars="200"/>
        <w:jc w:val="left"/>
        <w:rPr>
          <w:rFonts w:hint="eastAsia" w:ascii="宋体" w:hAnsi="宋体" w:eastAsia="宋体" w:cs="宋体"/>
          <w:color w:val="auto"/>
          <w:sz w:val="28"/>
          <w:szCs w:val="28"/>
          <w:highlight w:val="none"/>
          <w:u w:val="single"/>
        </w:rPr>
      </w:pPr>
    </w:p>
    <w:p w14:paraId="654E4D7D">
      <w:pPr>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所竞分标</w:t>
      </w:r>
      <w:r>
        <w:rPr>
          <w:rFonts w:hint="eastAsia" w:ascii="宋体" w:hAnsi="宋体" w:eastAsia="宋体" w:cs="宋体"/>
          <w:bCs/>
          <w:color w:val="auto"/>
          <w:sz w:val="28"/>
          <w:szCs w:val="28"/>
          <w:highlight w:val="none"/>
        </w:rPr>
        <w:t>（如有则填写，无分标时填写“无”或者留空）</w:t>
      </w:r>
      <w:r>
        <w:rPr>
          <w:rFonts w:hint="eastAsia" w:ascii="宋体" w:hAnsi="宋体" w:eastAsia="宋体" w:cs="宋体"/>
          <w:color w:val="auto"/>
          <w:sz w:val="28"/>
          <w:szCs w:val="28"/>
          <w:highlight w:val="none"/>
        </w:rPr>
        <w:t>：</w:t>
      </w:r>
    </w:p>
    <w:p w14:paraId="597249DC">
      <w:pPr>
        <w:spacing w:line="360" w:lineRule="auto"/>
        <w:ind w:firstLine="560" w:firstLineChars="200"/>
        <w:jc w:val="left"/>
        <w:rPr>
          <w:rFonts w:hint="eastAsia" w:ascii="宋体" w:hAnsi="宋体" w:eastAsia="宋体" w:cs="宋体"/>
          <w:color w:val="auto"/>
          <w:sz w:val="28"/>
          <w:szCs w:val="28"/>
          <w:highlight w:val="none"/>
          <w:u w:val="single"/>
        </w:rPr>
      </w:pPr>
    </w:p>
    <w:p w14:paraId="0EAC3A1A">
      <w:pPr>
        <w:spacing w:line="360" w:lineRule="auto"/>
        <w:ind w:firstLine="560" w:firstLineChars="200"/>
        <w:jc w:val="left"/>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供应商名称：</w:t>
      </w:r>
    </w:p>
    <w:p w14:paraId="69B7A535">
      <w:pPr>
        <w:snapToGrid w:val="0"/>
        <w:spacing w:before="156" w:beforeLines="50" w:after="50" w:line="360" w:lineRule="auto"/>
        <w:rPr>
          <w:rFonts w:hint="eastAsia" w:ascii="宋体" w:hAnsi="宋体" w:eastAsia="宋体" w:cs="宋体"/>
          <w:color w:val="auto"/>
          <w:sz w:val="28"/>
          <w:szCs w:val="28"/>
          <w:highlight w:val="none"/>
        </w:rPr>
      </w:pPr>
    </w:p>
    <w:p w14:paraId="55B84B56">
      <w:pPr>
        <w:snapToGrid w:val="0"/>
        <w:spacing w:before="156" w:beforeLines="50" w:after="50" w:line="360" w:lineRule="auto"/>
        <w:rPr>
          <w:rFonts w:hint="eastAsia" w:ascii="宋体" w:hAnsi="宋体" w:eastAsia="宋体" w:cs="宋体"/>
          <w:color w:val="auto"/>
          <w:sz w:val="28"/>
          <w:szCs w:val="28"/>
          <w:highlight w:val="none"/>
        </w:rPr>
      </w:pPr>
    </w:p>
    <w:p w14:paraId="03D7BCFF">
      <w:pPr>
        <w:snapToGrid w:val="0"/>
        <w:spacing w:before="156" w:beforeLines="50" w:after="50" w:line="360" w:lineRule="auto"/>
        <w:rPr>
          <w:rFonts w:hint="eastAsia" w:ascii="宋体" w:hAnsi="宋体" w:eastAsia="宋体" w:cs="宋体"/>
          <w:color w:val="auto"/>
          <w:sz w:val="28"/>
          <w:szCs w:val="28"/>
          <w:highlight w:val="none"/>
        </w:rPr>
      </w:pPr>
    </w:p>
    <w:p w14:paraId="36032B1E">
      <w:pPr>
        <w:snapToGrid w:val="0"/>
        <w:spacing w:before="156" w:beforeLines="50" w:after="50"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年    月    日</w:t>
      </w:r>
    </w:p>
    <w:p w14:paraId="7C4CE2E9">
      <w:pPr>
        <w:snapToGrid w:val="0"/>
        <w:spacing w:before="156" w:beforeLines="50" w:after="50" w:line="360" w:lineRule="auto"/>
        <w:jc w:val="center"/>
        <w:rPr>
          <w:rFonts w:hint="eastAsia" w:ascii="宋体" w:hAnsi="宋体" w:eastAsia="宋体" w:cs="宋体"/>
          <w:bCs/>
          <w:color w:val="auto"/>
          <w:sz w:val="32"/>
          <w:szCs w:val="32"/>
          <w:highlight w:val="none"/>
        </w:rPr>
      </w:pPr>
      <w:r>
        <w:rPr>
          <w:rFonts w:hint="eastAsia" w:ascii="宋体" w:hAnsi="宋体" w:eastAsia="宋体" w:cs="宋体"/>
          <w:color w:val="auto"/>
          <w:sz w:val="32"/>
          <w:szCs w:val="32"/>
          <w:highlight w:val="none"/>
        </w:rPr>
        <w:br w:type="page"/>
      </w:r>
    </w:p>
    <w:p w14:paraId="0FDC6549">
      <w:pPr>
        <w:snapToGrid w:val="0"/>
        <w:spacing w:before="156" w:beforeLines="50" w:after="50" w:line="360" w:lineRule="auto"/>
        <w:outlineLvl w:val="1"/>
        <w:rPr>
          <w:rFonts w:hint="eastAsia" w:ascii="宋体" w:hAnsi="宋体" w:eastAsia="宋体" w:cs="宋体"/>
          <w:b/>
          <w:bCs/>
          <w:color w:val="auto"/>
          <w:sz w:val="32"/>
          <w:szCs w:val="32"/>
          <w:highlight w:val="none"/>
        </w:rPr>
      </w:pPr>
      <w:bookmarkStart w:id="82" w:name="_Toc31728084"/>
      <w:bookmarkStart w:id="83" w:name="_Toc35611438"/>
      <w:bookmarkStart w:id="84" w:name="_Toc35611516"/>
      <w:bookmarkStart w:id="85" w:name="_Toc31723070"/>
      <w:bookmarkStart w:id="86" w:name="_Toc44229899"/>
      <w:r>
        <w:rPr>
          <w:rFonts w:hint="eastAsia" w:ascii="宋体" w:hAnsi="宋体" w:eastAsia="宋体" w:cs="宋体"/>
          <w:b/>
          <w:bCs/>
          <w:color w:val="auto"/>
          <w:sz w:val="32"/>
          <w:szCs w:val="32"/>
          <w:highlight w:val="none"/>
        </w:rPr>
        <w:t>一、资格证明文件格式</w:t>
      </w:r>
      <w:bookmarkEnd w:id="82"/>
      <w:bookmarkEnd w:id="83"/>
      <w:bookmarkEnd w:id="84"/>
      <w:bookmarkEnd w:id="85"/>
      <w:bookmarkEnd w:id="86"/>
    </w:p>
    <w:p w14:paraId="2D775804">
      <w:pPr>
        <w:snapToGrid w:val="0"/>
        <w:spacing w:before="156" w:beforeLines="50" w:after="50" w:line="360" w:lineRule="auto"/>
        <w:jc w:val="left"/>
        <w:rPr>
          <w:rFonts w:hint="eastAsia" w:ascii="宋体" w:hAnsi="宋体" w:eastAsia="宋体" w:cs="宋体"/>
          <w:b/>
          <w:color w:val="auto"/>
          <w:sz w:val="24"/>
          <w:highlight w:val="none"/>
        </w:rPr>
      </w:pPr>
      <w:r>
        <w:rPr>
          <w:rFonts w:hint="eastAsia" w:ascii="宋体" w:hAnsi="宋体" w:eastAsia="宋体" w:cs="宋体"/>
          <w:b/>
          <w:color w:val="auto"/>
          <w:sz w:val="32"/>
          <w:szCs w:val="32"/>
          <w:highlight w:val="none"/>
        </w:rPr>
        <w:t>1.资格证明文件封面格式：</w:t>
      </w:r>
      <w:r>
        <w:rPr>
          <w:rFonts w:hint="eastAsia" w:ascii="宋体" w:hAnsi="宋体" w:eastAsia="宋体" w:cs="宋体"/>
          <w:b/>
          <w:color w:val="auto"/>
          <w:sz w:val="24"/>
          <w:highlight w:val="none"/>
        </w:rPr>
        <w:t xml:space="preserve"> </w:t>
      </w:r>
    </w:p>
    <w:p w14:paraId="4267E9DB">
      <w:pPr>
        <w:snapToGrid w:val="0"/>
        <w:spacing w:before="156" w:beforeLines="50" w:after="50" w:line="360" w:lineRule="auto"/>
        <w:rPr>
          <w:rFonts w:hint="eastAsia" w:ascii="宋体" w:hAnsi="宋体" w:eastAsia="宋体" w:cs="宋体"/>
          <w:bCs/>
          <w:color w:val="auto"/>
          <w:sz w:val="32"/>
          <w:szCs w:val="20"/>
          <w:highlight w:val="none"/>
        </w:rPr>
      </w:pPr>
      <w:r>
        <w:rPr>
          <w:rFonts w:hint="eastAsia" w:ascii="宋体" w:hAnsi="宋体" w:eastAsia="宋体" w:cs="宋体"/>
          <w:color w:val="auto"/>
          <w:sz w:val="24"/>
          <w:highlight w:val="none"/>
        </w:rPr>
        <w:t xml:space="preserve">                                                    </w:t>
      </w:r>
      <w:r>
        <w:rPr>
          <w:rFonts w:hint="eastAsia" w:ascii="宋体" w:hAnsi="宋体" w:eastAsia="宋体" w:cs="宋体"/>
          <w:bCs/>
          <w:color w:val="auto"/>
          <w:highlight w:val="none"/>
        </w:rPr>
        <w:t>正本/副本</w:t>
      </w:r>
    </w:p>
    <w:p w14:paraId="04229010">
      <w:pPr>
        <w:snapToGrid w:val="0"/>
        <w:spacing w:before="156" w:beforeLines="50" w:after="50" w:line="360" w:lineRule="auto"/>
        <w:rPr>
          <w:rFonts w:hint="eastAsia" w:ascii="宋体" w:hAnsi="宋体" w:eastAsia="宋体" w:cs="宋体"/>
          <w:color w:val="auto"/>
          <w:sz w:val="24"/>
          <w:szCs w:val="20"/>
          <w:highlight w:val="none"/>
        </w:rPr>
      </w:pPr>
    </w:p>
    <w:p w14:paraId="5A253B65">
      <w:pPr>
        <w:snapToGrid w:val="0"/>
        <w:spacing w:before="156" w:beforeLines="50" w:after="50" w:line="360" w:lineRule="auto"/>
        <w:rPr>
          <w:rFonts w:hint="eastAsia" w:ascii="宋体" w:hAnsi="宋体" w:eastAsia="宋体" w:cs="宋体"/>
          <w:color w:val="auto"/>
          <w:sz w:val="24"/>
          <w:szCs w:val="20"/>
          <w:highlight w:val="none"/>
        </w:rPr>
      </w:pPr>
    </w:p>
    <w:p w14:paraId="028F25E9">
      <w:pPr>
        <w:snapToGrid w:val="0"/>
        <w:spacing w:before="156" w:beforeLines="50" w:after="50" w:line="360" w:lineRule="auto"/>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资  格  证  明  文  件</w:t>
      </w:r>
    </w:p>
    <w:p w14:paraId="21421E3B">
      <w:pPr>
        <w:snapToGrid w:val="0"/>
        <w:spacing w:before="156" w:beforeLines="50" w:after="50" w:line="360" w:lineRule="auto"/>
        <w:rPr>
          <w:rFonts w:hint="eastAsia" w:ascii="宋体" w:hAnsi="宋体" w:eastAsia="宋体" w:cs="宋体"/>
          <w:bCs/>
          <w:color w:val="auto"/>
          <w:sz w:val="24"/>
          <w:szCs w:val="20"/>
          <w:highlight w:val="none"/>
        </w:rPr>
      </w:pPr>
    </w:p>
    <w:p w14:paraId="1A4DF303">
      <w:pPr>
        <w:snapToGrid w:val="0"/>
        <w:spacing w:before="156" w:beforeLines="50" w:after="50" w:line="360" w:lineRule="auto"/>
        <w:rPr>
          <w:rFonts w:hint="eastAsia" w:ascii="宋体" w:hAnsi="宋体" w:eastAsia="宋体" w:cs="宋体"/>
          <w:bCs/>
          <w:color w:val="auto"/>
          <w:sz w:val="24"/>
          <w:szCs w:val="20"/>
          <w:highlight w:val="none"/>
        </w:rPr>
      </w:pPr>
    </w:p>
    <w:p w14:paraId="09D0501A">
      <w:pPr>
        <w:snapToGrid w:val="0"/>
        <w:spacing w:before="156" w:beforeLines="50" w:after="50" w:line="360" w:lineRule="auto"/>
        <w:rPr>
          <w:rFonts w:hint="eastAsia" w:ascii="宋体" w:hAnsi="宋体" w:eastAsia="宋体" w:cs="宋体"/>
          <w:bCs/>
          <w:color w:val="auto"/>
          <w:sz w:val="24"/>
          <w:szCs w:val="20"/>
          <w:highlight w:val="none"/>
        </w:rPr>
      </w:pPr>
    </w:p>
    <w:p w14:paraId="01F4349F">
      <w:pPr>
        <w:snapToGrid w:val="0"/>
        <w:spacing w:before="156" w:beforeLines="50" w:after="50" w:line="360" w:lineRule="auto"/>
        <w:rPr>
          <w:rFonts w:hint="eastAsia" w:ascii="宋体" w:hAnsi="宋体" w:eastAsia="宋体" w:cs="宋体"/>
          <w:bCs/>
          <w:color w:val="auto"/>
          <w:sz w:val="24"/>
          <w:szCs w:val="20"/>
          <w:highlight w:val="none"/>
        </w:rPr>
      </w:pPr>
    </w:p>
    <w:p w14:paraId="17852558">
      <w:pPr>
        <w:snapToGrid w:val="0"/>
        <w:spacing w:before="156" w:beforeLines="50" w:after="50" w:line="360" w:lineRule="auto"/>
        <w:ind w:firstLine="560" w:firstLineChars="2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项目名称：</w:t>
      </w:r>
    </w:p>
    <w:p w14:paraId="07DB4858">
      <w:pPr>
        <w:snapToGrid w:val="0"/>
        <w:spacing w:before="156" w:beforeLines="50" w:after="50" w:line="360" w:lineRule="auto"/>
        <w:ind w:firstLine="630" w:firstLineChars="225"/>
        <w:rPr>
          <w:rFonts w:hint="eastAsia" w:ascii="宋体" w:hAnsi="宋体" w:eastAsia="宋体" w:cs="宋体"/>
          <w:bCs/>
          <w:color w:val="auto"/>
          <w:sz w:val="28"/>
          <w:szCs w:val="28"/>
          <w:highlight w:val="none"/>
        </w:rPr>
      </w:pPr>
    </w:p>
    <w:p w14:paraId="4982DC93">
      <w:pPr>
        <w:snapToGrid w:val="0"/>
        <w:spacing w:before="156" w:beforeLines="50" w:after="50" w:line="360" w:lineRule="auto"/>
        <w:ind w:firstLine="630" w:firstLineChars="225"/>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项目编号：</w:t>
      </w:r>
    </w:p>
    <w:p w14:paraId="4CEE7D99">
      <w:pPr>
        <w:snapToGrid w:val="0"/>
        <w:spacing w:before="156" w:beforeLines="50" w:after="50" w:line="360" w:lineRule="auto"/>
        <w:ind w:firstLine="630" w:firstLineChars="225"/>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 xml:space="preserve"> </w:t>
      </w:r>
    </w:p>
    <w:p w14:paraId="0C39BA01">
      <w:pPr>
        <w:snapToGrid w:val="0"/>
        <w:spacing w:before="156" w:beforeLines="50" w:after="50" w:line="360" w:lineRule="auto"/>
        <w:ind w:firstLine="630" w:firstLineChars="225"/>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所竞分标（如有则填写，无分标时填写“无”或者留空）：</w:t>
      </w:r>
    </w:p>
    <w:p w14:paraId="1B9E501A">
      <w:pPr>
        <w:snapToGrid w:val="0"/>
        <w:spacing w:before="156" w:beforeLines="50" w:after="50" w:line="360" w:lineRule="auto"/>
        <w:ind w:firstLine="630" w:firstLineChars="225"/>
        <w:rPr>
          <w:rFonts w:hint="eastAsia" w:ascii="宋体" w:hAnsi="宋体" w:eastAsia="宋体" w:cs="宋体"/>
          <w:bCs/>
          <w:color w:val="auto"/>
          <w:sz w:val="28"/>
          <w:szCs w:val="28"/>
          <w:highlight w:val="none"/>
        </w:rPr>
      </w:pPr>
    </w:p>
    <w:p w14:paraId="3533F6ED">
      <w:pPr>
        <w:pStyle w:val="7"/>
        <w:snapToGrid w:val="0"/>
        <w:spacing w:before="50" w:after="50" w:line="360" w:lineRule="auto"/>
        <w:ind w:firstLine="630" w:firstLineChars="225"/>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供应商名称：</w:t>
      </w:r>
    </w:p>
    <w:p w14:paraId="755FBB90">
      <w:pPr>
        <w:pStyle w:val="7"/>
        <w:snapToGrid w:val="0"/>
        <w:spacing w:before="50" w:after="50" w:line="360" w:lineRule="auto"/>
        <w:ind w:firstLine="1280" w:firstLineChars="400"/>
        <w:rPr>
          <w:rFonts w:hint="eastAsia" w:ascii="宋体" w:hAnsi="宋体" w:eastAsia="宋体" w:cs="宋体"/>
          <w:bCs/>
          <w:color w:val="auto"/>
          <w:sz w:val="32"/>
          <w:szCs w:val="32"/>
          <w:highlight w:val="none"/>
        </w:rPr>
      </w:pPr>
    </w:p>
    <w:p w14:paraId="478E137F">
      <w:pPr>
        <w:snapToGrid w:val="0"/>
        <w:spacing w:before="156" w:beforeLines="50" w:after="50"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年    月    日</w:t>
      </w:r>
    </w:p>
    <w:p w14:paraId="3706D436">
      <w:pPr>
        <w:snapToGrid w:val="0"/>
        <w:spacing w:before="156" w:beforeLines="50" w:after="50" w:line="360" w:lineRule="auto"/>
        <w:ind w:left="142"/>
        <w:jc w:val="left"/>
        <w:rPr>
          <w:rFonts w:hint="eastAsia" w:ascii="宋体" w:hAnsi="宋体" w:eastAsia="宋体" w:cs="宋体"/>
          <w:b/>
          <w:bCs/>
          <w:color w:val="auto"/>
          <w:sz w:val="32"/>
          <w:szCs w:val="32"/>
          <w:highlight w:val="none"/>
        </w:rPr>
      </w:pPr>
      <w:r>
        <w:rPr>
          <w:rFonts w:hint="eastAsia" w:ascii="宋体" w:hAnsi="宋体" w:eastAsia="宋体" w:cs="宋体"/>
          <w:color w:val="auto"/>
          <w:sz w:val="24"/>
          <w:highlight w:val="none"/>
        </w:rPr>
        <w:br w:type="page"/>
      </w:r>
      <w:r>
        <w:rPr>
          <w:rFonts w:hint="eastAsia" w:ascii="宋体" w:hAnsi="宋体" w:eastAsia="宋体" w:cs="宋体"/>
          <w:b/>
          <w:bCs/>
          <w:color w:val="auto"/>
          <w:sz w:val="32"/>
          <w:szCs w:val="32"/>
          <w:highlight w:val="none"/>
        </w:rPr>
        <w:t>2.资格证明文件目录</w:t>
      </w:r>
    </w:p>
    <w:p w14:paraId="6B83A959">
      <w:pPr>
        <w:snapToGrid w:val="0"/>
        <w:spacing w:before="156" w:beforeLines="50" w:after="50" w:line="360" w:lineRule="auto"/>
        <w:ind w:firstLine="645"/>
        <w:rPr>
          <w:rFonts w:hint="eastAsia" w:ascii="宋体" w:hAnsi="宋体" w:eastAsia="宋体" w:cs="宋体"/>
          <w:color w:val="auto"/>
          <w:sz w:val="28"/>
          <w:szCs w:val="28"/>
          <w:highlight w:val="none"/>
        </w:rPr>
        <w:sectPr>
          <w:footerReference r:id="rId6" w:type="first"/>
          <w:headerReference r:id="rId4" w:type="default"/>
          <w:footerReference r:id="rId5" w:type="default"/>
          <w:pgSz w:w="11906" w:h="16838"/>
          <w:pgMar w:top="1440" w:right="1279" w:bottom="1440" w:left="1387" w:header="851" w:footer="992" w:gutter="0"/>
          <w:pgNumType w:start="1"/>
          <w:cols w:space="720" w:num="1"/>
          <w:formProt w:val="1"/>
          <w:titlePg/>
          <w:docGrid w:type="lines" w:linePitch="312" w:charSpace="0"/>
        </w:sectPr>
      </w:pPr>
      <w:r>
        <w:rPr>
          <w:rFonts w:hint="eastAsia" w:ascii="宋体" w:hAnsi="宋体" w:eastAsia="宋体" w:cs="宋体"/>
          <w:color w:val="auto"/>
          <w:sz w:val="28"/>
          <w:szCs w:val="28"/>
          <w:highlight w:val="none"/>
        </w:rPr>
        <w:t>根据磋商文件规定及供应商提供的材料自行编写目录（部分格式后附）。</w:t>
      </w:r>
    </w:p>
    <w:p w14:paraId="69426D92">
      <w:pPr>
        <w:pStyle w:val="31"/>
        <w:spacing w:line="360" w:lineRule="auto"/>
        <w:rPr>
          <w:rFonts w:hint="eastAsia" w:ascii="宋体" w:hAnsi="宋体" w:eastAsia="宋体" w:cs="Times New Roman"/>
          <w:b/>
          <w:color w:val="000000" w:themeColor="text1"/>
          <w:spacing w:val="0"/>
          <w:kern w:val="2"/>
          <w:sz w:val="24"/>
          <w:szCs w:val="24"/>
          <w:highlight w:val="none"/>
          <w:lang w:val="en-US" w:eastAsia="zh-CN" w:bidi="ar-SA"/>
          <w14:textFill>
            <w14:solidFill>
              <w14:schemeClr w14:val="tx1"/>
            </w14:solidFill>
          </w14:textFill>
        </w:rPr>
      </w:pPr>
      <w:r>
        <w:rPr>
          <w:rFonts w:hint="eastAsia" w:ascii="宋体" w:hAnsi="宋体" w:cs="Times New Roman"/>
          <w:b/>
          <w:color w:val="000000" w:themeColor="text1"/>
          <w:spacing w:val="0"/>
          <w:kern w:val="2"/>
          <w:sz w:val="24"/>
          <w:szCs w:val="24"/>
          <w:highlight w:val="none"/>
          <w:lang w:val="en-US" w:eastAsia="zh-CN" w:bidi="ar-SA"/>
          <w14:textFill>
            <w14:solidFill>
              <w14:schemeClr w14:val="tx1"/>
            </w14:solidFill>
          </w14:textFill>
        </w:rPr>
        <w:t>1</w:t>
      </w:r>
      <w:r>
        <w:rPr>
          <w:rFonts w:hint="eastAsia" w:ascii="宋体" w:hAnsi="宋体" w:eastAsia="宋体" w:cs="Times New Roman"/>
          <w:b/>
          <w:color w:val="000000" w:themeColor="text1"/>
          <w:spacing w:val="0"/>
          <w:kern w:val="2"/>
          <w:sz w:val="24"/>
          <w:szCs w:val="24"/>
          <w:highlight w:val="none"/>
          <w:lang w:val="en-US" w:eastAsia="zh-CN" w:bidi="ar-SA"/>
          <w14:textFill>
            <w14:solidFill>
              <w14:schemeClr w14:val="tx1"/>
            </w14:solidFill>
          </w14:textFill>
        </w:rPr>
        <w:t>、崇左市政府采购供应商信用承诺函；（格式）</w:t>
      </w:r>
    </w:p>
    <w:p w14:paraId="3BB9E178">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2"/>
          <w:szCs w:val="22"/>
          <w:u w:val="single"/>
          <w:lang w:val="en-US" w:eastAsia="zh-CN"/>
          <w14:textFill>
            <w14:solidFill>
              <w14:schemeClr w14:val="tx1"/>
            </w14:solidFill>
          </w14:textFill>
        </w:rPr>
      </w:pPr>
      <w:r>
        <w:rPr>
          <w:rFonts w:hint="eastAsia" w:ascii="宋体" w:hAnsi="宋体" w:eastAsia="宋体" w:cs="宋体"/>
          <w:color w:val="000000" w:themeColor="text1"/>
          <w:kern w:val="0"/>
          <w:sz w:val="22"/>
          <w:szCs w:val="22"/>
          <w:lang w:val="en-US" w:eastAsia="zh-CN" w:bidi="ar"/>
          <w14:textFill>
            <w14:solidFill>
              <w14:schemeClr w14:val="tx1"/>
            </w14:solidFill>
          </w14:textFill>
        </w:rPr>
        <w:t>致</w:t>
      </w:r>
      <w:r>
        <w:rPr>
          <w:rFonts w:hint="eastAsia" w:ascii="宋体" w:hAnsi="宋体" w:eastAsia="宋体" w:cs="宋体"/>
          <w:color w:val="000000" w:themeColor="text1"/>
          <w:kern w:val="0"/>
          <w:sz w:val="22"/>
          <w:szCs w:val="22"/>
          <w:u w:val="single"/>
          <w:lang w:val="en-US" w:eastAsia="zh-CN" w:bidi="ar"/>
          <w14:textFill>
            <w14:solidFill>
              <w14:schemeClr w14:val="tx1"/>
            </w14:solidFill>
          </w14:textFill>
        </w:rPr>
        <w:t>（采购代理机构名称）</w:t>
      </w:r>
      <w:r>
        <w:rPr>
          <w:rFonts w:hint="eastAsia" w:ascii="宋体" w:hAnsi="宋体" w:eastAsia="宋体" w:cs="宋体"/>
          <w:color w:val="000000" w:themeColor="text1"/>
          <w:kern w:val="0"/>
          <w:sz w:val="22"/>
          <w:szCs w:val="22"/>
          <w:u w:val="none"/>
          <w:lang w:val="en-US" w:eastAsia="zh-CN" w:bidi="ar"/>
          <w14:textFill>
            <w14:solidFill>
              <w14:schemeClr w14:val="tx1"/>
            </w14:solidFill>
          </w14:textFill>
        </w:rPr>
        <w:t>:</w:t>
      </w:r>
    </w:p>
    <w:p w14:paraId="2E6F4C36">
      <w:pPr>
        <w:keepNext w:val="0"/>
        <w:keepLines w:val="0"/>
        <w:pageBreakBefore w:val="0"/>
        <w:widowControl/>
        <w:suppressLineNumbers w:val="0"/>
        <w:kinsoku/>
        <w:wordWrap/>
        <w:overflowPunct/>
        <w:topLinePunct w:val="0"/>
        <w:autoSpaceDE/>
        <w:autoSpaceDN/>
        <w:bidi w:val="0"/>
        <w:adjustRightInd/>
        <w:snapToGrid/>
        <w:spacing w:line="440" w:lineRule="exact"/>
        <w:ind w:firstLine="440" w:firstLineChars="200"/>
        <w:jc w:val="both"/>
        <w:textAlignment w:val="auto"/>
        <w:rPr>
          <w:rFonts w:hint="eastAsia" w:ascii="宋体" w:hAnsi="宋体" w:eastAsia="宋体" w:cs="宋体"/>
          <w:color w:val="000000" w:themeColor="text1"/>
          <w:spacing w:val="-6"/>
          <w:sz w:val="22"/>
          <w:szCs w:val="22"/>
          <w14:textFill>
            <w14:solidFill>
              <w14:schemeClr w14:val="tx1"/>
            </w14:solidFill>
          </w14:textFill>
        </w:rPr>
      </w:pPr>
      <w:r>
        <w:rPr>
          <w:rFonts w:hint="eastAsia" w:ascii="宋体" w:hAnsi="宋体" w:eastAsia="宋体" w:cs="宋体"/>
          <w:color w:val="000000" w:themeColor="text1"/>
          <w:kern w:val="0"/>
          <w:sz w:val="22"/>
          <w:szCs w:val="22"/>
          <w:lang w:val="en-US" w:eastAsia="zh-CN" w:bidi="ar"/>
          <w14:textFill>
            <w14:solidFill>
              <w14:schemeClr w14:val="tx1"/>
            </w14:solidFill>
          </w14:textFill>
        </w:rPr>
        <w:t>我方自愿参加</w:t>
      </w:r>
      <w:r>
        <w:rPr>
          <w:rFonts w:hint="eastAsia" w:ascii="宋体" w:hAnsi="宋体" w:eastAsia="宋体" w:cs="宋体"/>
          <w:color w:val="000000" w:themeColor="text1"/>
          <w:kern w:val="0"/>
          <w:sz w:val="22"/>
          <w:szCs w:val="22"/>
          <w:u w:val="single"/>
          <w:lang w:val="en-US" w:eastAsia="zh-CN" w:bidi="ar"/>
          <w14:textFill>
            <w14:solidFill>
              <w14:schemeClr w14:val="tx1"/>
            </w14:solidFill>
          </w14:textFill>
        </w:rPr>
        <w:t xml:space="preserve"> （项目名称） 项目（项目编号：         ）</w:t>
      </w:r>
      <w:r>
        <w:rPr>
          <w:rFonts w:hint="eastAsia" w:ascii="宋体" w:hAnsi="宋体" w:eastAsia="宋体" w:cs="宋体"/>
          <w:color w:val="000000" w:themeColor="text1"/>
          <w:kern w:val="0"/>
          <w:sz w:val="22"/>
          <w:szCs w:val="22"/>
          <w:lang w:val="en-US" w:eastAsia="zh-CN" w:bidi="ar"/>
          <w14:textFill>
            <w14:solidFill>
              <w14:schemeClr w14:val="tx1"/>
            </w14:solidFill>
          </w14:textFill>
        </w:rPr>
        <w:t>的政府采购活动，严格遵守《中华人民共和国政府采购法》及相关法律法规，依法诚信经营，无条件遵守本次政府采购活动的各项规定，并郑重承诺</w:t>
      </w:r>
      <w:r>
        <w:rPr>
          <w:rFonts w:hint="eastAsia" w:ascii="宋体" w:hAnsi="宋体" w:eastAsia="宋体" w:cs="宋体"/>
          <w:color w:val="000000" w:themeColor="text1"/>
          <w:spacing w:val="-6"/>
          <w:kern w:val="0"/>
          <w:sz w:val="22"/>
          <w:szCs w:val="22"/>
          <w:lang w:val="en-US" w:eastAsia="zh-CN" w:bidi="ar"/>
          <w14:textFill>
            <w14:solidFill>
              <w14:schemeClr w14:val="tx1"/>
            </w14:solidFill>
          </w14:textFill>
        </w:rPr>
        <w:t xml:space="preserve">： </w:t>
      </w:r>
    </w:p>
    <w:p w14:paraId="6D7BD424">
      <w:pPr>
        <w:keepNext w:val="0"/>
        <w:keepLines w:val="0"/>
        <w:pageBreakBefore w:val="0"/>
        <w:widowControl/>
        <w:suppressLineNumbers w:val="0"/>
        <w:kinsoku/>
        <w:wordWrap/>
        <w:overflowPunct/>
        <w:topLinePunct w:val="0"/>
        <w:autoSpaceDE/>
        <w:autoSpaceDN/>
        <w:bidi w:val="0"/>
        <w:adjustRightInd/>
        <w:snapToGrid/>
        <w:spacing w:line="440" w:lineRule="exact"/>
        <w:ind w:firstLine="440" w:firstLineChars="200"/>
        <w:jc w:val="both"/>
        <w:textAlignment w:val="auto"/>
        <w:rPr>
          <w:rFonts w:hint="eastAsia" w:ascii="宋体" w:hAnsi="宋体" w:eastAsia="宋体" w:cs="宋体"/>
          <w:color w:val="000000" w:themeColor="text1"/>
          <w:kern w:val="0"/>
          <w:sz w:val="22"/>
          <w:szCs w:val="22"/>
          <w:lang w:val="en-US" w:eastAsia="zh-CN" w:bidi="ar"/>
          <w14:textFill>
            <w14:solidFill>
              <w14:schemeClr w14:val="tx1"/>
            </w14:solidFill>
          </w14:textFill>
        </w:rPr>
      </w:pPr>
      <w:r>
        <w:rPr>
          <w:rFonts w:hint="eastAsia" w:ascii="宋体" w:hAnsi="宋体" w:eastAsia="宋体" w:cs="宋体"/>
          <w:color w:val="000000" w:themeColor="text1"/>
          <w:kern w:val="0"/>
          <w:sz w:val="22"/>
          <w:szCs w:val="22"/>
          <w:lang w:val="en-US" w:eastAsia="zh-CN" w:bidi="ar"/>
          <w14:textFill>
            <w14:solidFill>
              <w14:schemeClr w14:val="tx1"/>
            </w14:solidFill>
          </w14:textFill>
        </w:rPr>
        <w:t>1.我方</w:t>
      </w:r>
      <w:r>
        <w:rPr>
          <w:rFonts w:hint="eastAsia" w:ascii="宋体" w:hAnsi="宋体" w:eastAsia="宋体" w:cs="宋体"/>
          <w:color w:val="000000" w:themeColor="text1"/>
          <w:spacing w:val="6"/>
          <w:sz w:val="22"/>
          <w:szCs w:val="22"/>
          <w:lang w:val="en-US" w:eastAsia="zh-CN"/>
          <w14:textFill>
            <w14:solidFill>
              <w14:schemeClr w14:val="tx1"/>
            </w14:solidFill>
          </w14:textFill>
        </w:rPr>
        <w:t>具有独立承担民事责任的能力或我方属于银行、保险、石油石化、电力、电信等有行业特殊情况的法人的分支机构在参加本次政府采购活动前已取得总公司的授权。</w:t>
      </w:r>
    </w:p>
    <w:p w14:paraId="7EB9D762">
      <w:pPr>
        <w:keepNext w:val="0"/>
        <w:keepLines w:val="0"/>
        <w:pageBreakBefore w:val="0"/>
        <w:widowControl/>
        <w:suppressLineNumbers w:val="0"/>
        <w:kinsoku/>
        <w:wordWrap/>
        <w:overflowPunct/>
        <w:topLinePunct w:val="0"/>
        <w:autoSpaceDE/>
        <w:autoSpaceDN/>
        <w:bidi w:val="0"/>
        <w:adjustRightInd/>
        <w:snapToGrid/>
        <w:spacing w:line="440" w:lineRule="exact"/>
        <w:ind w:firstLine="440" w:firstLineChars="200"/>
        <w:jc w:val="both"/>
        <w:textAlignment w:val="auto"/>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val="en-US" w:eastAsia="zh-CN" w:bidi="ar"/>
          <w14:textFill>
            <w14:solidFill>
              <w14:schemeClr w14:val="tx1"/>
            </w14:solidFill>
          </w14:textFill>
        </w:rPr>
        <w:t xml:space="preserve">2.我方具有符合采购文件资格要求的财务状况报告。 </w:t>
      </w:r>
    </w:p>
    <w:p w14:paraId="4E959560">
      <w:pPr>
        <w:keepNext w:val="0"/>
        <w:keepLines w:val="0"/>
        <w:pageBreakBefore w:val="0"/>
        <w:widowControl/>
        <w:suppressLineNumbers w:val="0"/>
        <w:kinsoku/>
        <w:wordWrap/>
        <w:overflowPunct/>
        <w:topLinePunct w:val="0"/>
        <w:autoSpaceDE/>
        <w:autoSpaceDN/>
        <w:bidi w:val="0"/>
        <w:adjustRightInd/>
        <w:snapToGrid/>
        <w:spacing w:line="440" w:lineRule="exact"/>
        <w:ind w:firstLine="416" w:firstLineChars="200"/>
        <w:jc w:val="both"/>
        <w:textAlignment w:val="auto"/>
        <w:rPr>
          <w:rFonts w:hint="eastAsia" w:ascii="宋体" w:hAnsi="宋体" w:eastAsia="宋体" w:cs="宋体"/>
          <w:color w:val="000000" w:themeColor="text1"/>
          <w:spacing w:val="-17"/>
          <w:sz w:val="22"/>
          <w:szCs w:val="22"/>
          <w14:textFill>
            <w14:solidFill>
              <w14:schemeClr w14:val="tx1"/>
            </w14:solidFill>
          </w14:textFill>
        </w:rPr>
      </w:pPr>
      <w:r>
        <w:rPr>
          <w:rFonts w:hint="eastAsia" w:ascii="宋体" w:hAnsi="宋体" w:eastAsia="宋体" w:cs="宋体"/>
          <w:color w:val="000000" w:themeColor="text1"/>
          <w:spacing w:val="-6"/>
          <w:kern w:val="0"/>
          <w:sz w:val="22"/>
          <w:szCs w:val="22"/>
          <w:lang w:val="en-US" w:eastAsia="zh-CN" w:bidi="ar"/>
          <w14:textFill>
            <w14:solidFill>
              <w14:schemeClr w14:val="tx1"/>
            </w14:solidFill>
          </w14:textFill>
        </w:rPr>
        <w:t>3.我方具有符合采购文件资格要求的依法缴纳税收和社会保障资金的良好记录。</w:t>
      </w:r>
      <w:r>
        <w:rPr>
          <w:rFonts w:hint="eastAsia" w:ascii="宋体" w:hAnsi="宋体" w:eastAsia="宋体" w:cs="宋体"/>
          <w:color w:val="000000" w:themeColor="text1"/>
          <w:spacing w:val="-17"/>
          <w:kern w:val="0"/>
          <w:sz w:val="22"/>
          <w:szCs w:val="22"/>
          <w:lang w:val="en-US" w:eastAsia="zh-CN" w:bidi="ar"/>
          <w14:textFill>
            <w14:solidFill>
              <w14:schemeClr w14:val="tx1"/>
            </w14:solidFill>
          </w14:textFill>
        </w:rPr>
        <w:t xml:space="preserve"> </w:t>
      </w:r>
    </w:p>
    <w:p w14:paraId="015894BE">
      <w:pPr>
        <w:keepNext w:val="0"/>
        <w:keepLines w:val="0"/>
        <w:pageBreakBefore w:val="0"/>
        <w:widowControl/>
        <w:suppressLineNumbers w:val="0"/>
        <w:kinsoku/>
        <w:wordWrap/>
        <w:overflowPunct/>
        <w:topLinePunct w:val="0"/>
        <w:autoSpaceDE/>
        <w:autoSpaceDN/>
        <w:bidi w:val="0"/>
        <w:adjustRightInd/>
        <w:snapToGrid/>
        <w:spacing w:line="440" w:lineRule="exact"/>
        <w:ind w:firstLine="440" w:firstLineChars="200"/>
        <w:jc w:val="both"/>
        <w:textAlignment w:val="auto"/>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val="en-US" w:eastAsia="zh-CN" w:bidi="ar"/>
          <w14:textFill>
            <w14:solidFill>
              <w14:schemeClr w14:val="tx1"/>
            </w14:solidFill>
          </w14:textFill>
        </w:rPr>
        <w:t xml:space="preserve">4.我方具有符合采购文件资格要求履行合同所必需的设备和专业技术能力。 </w:t>
      </w:r>
    </w:p>
    <w:p w14:paraId="6E407A53">
      <w:pPr>
        <w:keepNext w:val="0"/>
        <w:keepLines w:val="0"/>
        <w:pageBreakBefore w:val="0"/>
        <w:widowControl/>
        <w:suppressLineNumbers w:val="0"/>
        <w:kinsoku/>
        <w:wordWrap/>
        <w:overflowPunct/>
        <w:topLinePunct w:val="0"/>
        <w:autoSpaceDE/>
        <w:autoSpaceDN/>
        <w:bidi w:val="0"/>
        <w:adjustRightInd/>
        <w:snapToGrid/>
        <w:spacing w:line="440" w:lineRule="exact"/>
        <w:ind w:firstLine="440" w:firstLineChars="200"/>
        <w:jc w:val="both"/>
        <w:textAlignment w:val="auto"/>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val="en-US" w:eastAsia="zh-CN" w:bidi="ar"/>
          <w14:textFill>
            <w14:solidFill>
              <w14:schemeClr w14:val="tx1"/>
            </w14:solidFill>
          </w14:textFill>
        </w:rPr>
        <w:t xml:space="preserve">5.我方参加政府采购活动前3年内在经营活动中没有重大违法记录。 </w:t>
      </w:r>
    </w:p>
    <w:p w14:paraId="594C6BB9">
      <w:pPr>
        <w:keepNext w:val="0"/>
        <w:keepLines w:val="0"/>
        <w:pageBreakBefore w:val="0"/>
        <w:widowControl/>
        <w:suppressLineNumbers w:val="0"/>
        <w:kinsoku/>
        <w:wordWrap/>
        <w:overflowPunct/>
        <w:topLinePunct w:val="0"/>
        <w:autoSpaceDE/>
        <w:autoSpaceDN/>
        <w:bidi w:val="0"/>
        <w:adjustRightInd/>
        <w:snapToGrid/>
        <w:spacing w:line="440" w:lineRule="exact"/>
        <w:ind w:firstLine="440" w:firstLineChars="200"/>
        <w:jc w:val="both"/>
        <w:textAlignment w:val="auto"/>
        <w:rPr>
          <w:rFonts w:hint="eastAsia" w:ascii="宋体" w:hAnsi="宋体" w:eastAsia="宋体" w:cs="宋体"/>
          <w:color w:val="000000" w:themeColor="text1"/>
          <w:kern w:val="0"/>
          <w:sz w:val="22"/>
          <w:szCs w:val="22"/>
          <w:lang w:val="en-US" w:eastAsia="zh-CN" w:bidi="ar"/>
          <w14:textFill>
            <w14:solidFill>
              <w14:schemeClr w14:val="tx1"/>
            </w14:solidFill>
          </w14:textFill>
        </w:rPr>
      </w:pPr>
      <w:r>
        <w:rPr>
          <w:rFonts w:hint="eastAsia" w:ascii="宋体" w:hAnsi="宋体" w:eastAsia="宋体" w:cs="宋体"/>
          <w:color w:val="000000" w:themeColor="text1"/>
          <w:kern w:val="0"/>
          <w:sz w:val="22"/>
          <w:szCs w:val="22"/>
          <w:lang w:val="en-US" w:eastAsia="zh-CN" w:bidi="ar"/>
          <w14:textFill>
            <w14:solidFill>
              <w14:schemeClr w14:val="tx1"/>
            </w14:solidFill>
          </w14:textFill>
        </w:rPr>
        <w:t>我方对以上承诺内容的真实性负责。如有虚假，将依法承担相应责任。</w:t>
      </w:r>
    </w:p>
    <w:p w14:paraId="05C98EC9">
      <w:pPr>
        <w:keepNext w:val="0"/>
        <w:keepLines w:val="0"/>
        <w:pageBreakBefore w:val="0"/>
        <w:widowControl/>
        <w:suppressLineNumbers w:val="0"/>
        <w:kinsoku/>
        <w:wordWrap/>
        <w:overflowPunct/>
        <w:topLinePunct w:val="0"/>
        <w:autoSpaceDE/>
        <w:autoSpaceDN/>
        <w:bidi w:val="0"/>
        <w:adjustRightInd/>
        <w:snapToGrid/>
        <w:spacing w:line="440" w:lineRule="exact"/>
        <w:ind w:firstLine="440" w:firstLineChars="200"/>
        <w:jc w:val="both"/>
        <w:textAlignment w:val="auto"/>
        <w:rPr>
          <w:rFonts w:hint="eastAsia" w:ascii="宋体" w:hAnsi="宋体" w:eastAsia="宋体" w:cs="宋体"/>
          <w:color w:val="000000" w:themeColor="text1"/>
          <w:kern w:val="0"/>
          <w:sz w:val="22"/>
          <w:szCs w:val="22"/>
          <w:lang w:val="en-US" w:eastAsia="zh-CN" w:bidi="ar"/>
          <w14:textFill>
            <w14:solidFill>
              <w14:schemeClr w14:val="tx1"/>
            </w14:solidFill>
          </w14:textFill>
        </w:rPr>
      </w:pPr>
    </w:p>
    <w:p w14:paraId="320C17C9">
      <w:pPr>
        <w:keepNext w:val="0"/>
        <w:keepLines w:val="0"/>
        <w:pageBreakBefore w:val="0"/>
        <w:widowControl/>
        <w:suppressLineNumbers w:val="0"/>
        <w:kinsoku/>
        <w:wordWrap/>
        <w:overflowPunct/>
        <w:topLinePunct w:val="0"/>
        <w:autoSpaceDE/>
        <w:autoSpaceDN/>
        <w:bidi w:val="0"/>
        <w:adjustRightInd/>
        <w:snapToGrid/>
        <w:spacing w:line="440" w:lineRule="exact"/>
        <w:ind w:firstLine="440" w:firstLineChars="200"/>
        <w:jc w:val="both"/>
        <w:textAlignment w:val="auto"/>
        <w:rPr>
          <w:rFonts w:hint="eastAsia" w:ascii="宋体" w:hAnsi="宋体" w:eastAsia="宋体" w:cs="宋体"/>
          <w:color w:val="000000" w:themeColor="text1"/>
          <w:kern w:val="0"/>
          <w:sz w:val="22"/>
          <w:szCs w:val="22"/>
          <w:lang w:val="en-US" w:eastAsia="zh-CN" w:bidi="ar"/>
          <w14:textFill>
            <w14:solidFill>
              <w14:schemeClr w14:val="tx1"/>
            </w14:solidFill>
          </w14:textFill>
        </w:rPr>
      </w:pPr>
    </w:p>
    <w:p w14:paraId="58F000D5">
      <w:pPr>
        <w:keepNext w:val="0"/>
        <w:keepLines w:val="0"/>
        <w:pageBreakBefore w:val="0"/>
        <w:widowControl/>
        <w:suppressLineNumbers w:val="0"/>
        <w:kinsoku/>
        <w:wordWrap/>
        <w:overflowPunct/>
        <w:topLinePunct w:val="0"/>
        <w:autoSpaceDE/>
        <w:autoSpaceDN/>
        <w:bidi w:val="0"/>
        <w:adjustRightInd/>
        <w:snapToGrid/>
        <w:spacing w:line="440" w:lineRule="exact"/>
        <w:ind w:firstLine="3300" w:firstLineChars="1500"/>
        <w:jc w:val="left"/>
        <w:textAlignment w:val="auto"/>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val="en-US" w:eastAsia="zh-CN" w:bidi="ar"/>
          <w14:textFill>
            <w14:solidFill>
              <w14:schemeClr w14:val="tx1"/>
            </w14:solidFill>
          </w14:textFill>
        </w:rPr>
        <w:t xml:space="preserve">供应商名称（盖章）： </w:t>
      </w:r>
    </w:p>
    <w:p w14:paraId="286B8F34">
      <w:pPr>
        <w:keepNext w:val="0"/>
        <w:keepLines w:val="0"/>
        <w:pageBreakBefore w:val="0"/>
        <w:tabs>
          <w:tab w:val="left" w:pos="7560"/>
        </w:tabs>
        <w:kinsoku/>
        <w:wordWrap/>
        <w:overflowPunct/>
        <w:topLinePunct w:val="0"/>
        <w:autoSpaceDE/>
        <w:autoSpaceDN/>
        <w:bidi w:val="0"/>
        <w:adjustRightInd/>
        <w:snapToGrid/>
        <w:spacing w:line="440" w:lineRule="exact"/>
        <w:ind w:firstLine="3300" w:firstLineChars="1500"/>
        <w:jc w:val="left"/>
        <w:textAlignment w:val="auto"/>
        <w:rPr>
          <w:rFonts w:hint="eastAsia" w:ascii="宋体" w:hAnsi="宋体" w:eastAsia="宋体" w:cs="宋体"/>
          <w:color w:val="000000" w:themeColor="text1"/>
          <w:kern w:val="0"/>
          <w:sz w:val="22"/>
          <w:szCs w:val="22"/>
          <w:lang w:val="en-US" w:eastAsia="zh-CN" w:bidi="ar"/>
          <w14:textFill>
            <w14:solidFill>
              <w14:schemeClr w14:val="tx1"/>
            </w14:solidFill>
          </w14:textFill>
        </w:rPr>
      </w:pPr>
      <w:r>
        <w:rPr>
          <w:rFonts w:hint="eastAsia" w:ascii="宋体" w:hAnsi="宋体" w:eastAsia="宋体" w:cs="宋体"/>
          <w:color w:val="000000" w:themeColor="text1"/>
          <w:kern w:val="0"/>
          <w:sz w:val="22"/>
          <w:szCs w:val="22"/>
          <w:lang w:val="en-US" w:eastAsia="zh-CN" w:bidi="ar"/>
          <w14:textFill>
            <w14:solidFill>
              <w14:schemeClr w14:val="tx1"/>
            </w14:solidFill>
          </w14:textFill>
        </w:rPr>
        <w:t>日期：</w:t>
      </w:r>
    </w:p>
    <w:p w14:paraId="053E0F10">
      <w:pPr>
        <w:pStyle w:val="21"/>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560" w:lineRule="exact"/>
        <w:ind w:right="0" w:rightChars="0"/>
        <w:jc w:val="both"/>
        <w:textAlignment w:val="auto"/>
        <w:rPr>
          <w:rFonts w:hint="eastAsia" w:ascii="宋体" w:hAnsi="宋体" w:eastAsia="宋体" w:cs="宋体"/>
          <w:color w:val="000000" w:themeColor="text1"/>
          <w:kern w:val="0"/>
          <w:sz w:val="22"/>
          <w:szCs w:val="22"/>
          <w:lang w:val="en-US" w:eastAsia="zh-CN" w:bidi="ar"/>
          <w14:textFill>
            <w14:solidFill>
              <w14:schemeClr w14:val="tx1"/>
            </w14:solidFill>
          </w14:textFill>
        </w:rPr>
      </w:pPr>
    </w:p>
    <w:p w14:paraId="7C66BBC3">
      <w:pPr>
        <w:pStyle w:val="21"/>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400" w:lineRule="exact"/>
        <w:ind w:right="0" w:rightChars="0"/>
        <w:jc w:val="both"/>
        <w:textAlignment w:val="auto"/>
        <w:rPr>
          <w:rFonts w:hint="eastAsia"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eastAsia="宋体" w:cs="宋体"/>
          <w:color w:val="000000" w:themeColor="text1"/>
          <w:kern w:val="0"/>
          <w:sz w:val="22"/>
          <w:szCs w:val="22"/>
          <w:lang w:val="en-US" w:eastAsia="zh-CN" w:bidi="ar"/>
          <w14:textFill>
            <w14:solidFill>
              <w14:schemeClr w14:val="tx1"/>
            </w14:solidFill>
          </w14:textFill>
        </w:rPr>
        <w:t>注：1.</w:t>
      </w:r>
      <w:r>
        <w:rPr>
          <w:rFonts w:hint="eastAsia" w:ascii="宋体" w:hAnsi="宋体" w:eastAsia="宋体" w:cs="宋体"/>
          <w:i w:val="0"/>
          <w:iCs w:val="0"/>
          <w:caps w:val="0"/>
          <w:color w:val="000000" w:themeColor="text1"/>
          <w:spacing w:val="0"/>
          <w:sz w:val="22"/>
          <w:szCs w:val="22"/>
          <w:lang w:val="en-US" w:eastAsia="zh-CN"/>
          <w14:textFill>
            <w14:solidFill>
              <w14:schemeClr w14:val="tx1"/>
            </w14:solidFill>
          </w14:textFill>
        </w:rPr>
        <w:t>参与政府采购活动的供应商可按第1点的内容：“</w:t>
      </w:r>
      <w:r>
        <w:rPr>
          <w:rFonts w:hint="eastAsia" w:ascii="宋体" w:hAnsi="宋体" w:eastAsia="宋体" w:cs="宋体"/>
          <w:color w:val="000000" w:themeColor="text1"/>
          <w:kern w:val="0"/>
          <w:sz w:val="22"/>
          <w:szCs w:val="22"/>
          <w:lang w:val="en-US" w:eastAsia="zh-CN" w:bidi="ar"/>
          <w14:textFill>
            <w14:solidFill>
              <w14:schemeClr w14:val="tx1"/>
            </w14:solidFill>
          </w14:textFill>
        </w:rPr>
        <w:t>我方</w:t>
      </w:r>
      <w:r>
        <w:rPr>
          <w:rFonts w:hint="eastAsia" w:ascii="宋体" w:hAnsi="宋体" w:eastAsia="宋体" w:cs="宋体"/>
          <w:color w:val="000000" w:themeColor="text1"/>
          <w:spacing w:val="6"/>
          <w:sz w:val="22"/>
          <w:szCs w:val="22"/>
          <w:lang w:val="en-US" w:eastAsia="zh-CN"/>
          <w14:textFill>
            <w14:solidFill>
              <w14:schemeClr w14:val="tx1"/>
            </w14:solidFill>
          </w14:textFill>
        </w:rPr>
        <w:t>具有独立承担民事责任的能力或我方属于银行、保险、石油石化、电力、电信等有行业特殊情况的法人的分支机构在参加本次政府采购活动前已取得总公司的授权。”进行承诺，也可以根据自身的真实情况选择以下2种方式进行承诺：一是“</w:t>
      </w:r>
      <w:r>
        <w:rPr>
          <w:rFonts w:hint="eastAsia" w:ascii="宋体" w:hAnsi="宋体" w:eastAsia="宋体" w:cs="宋体"/>
          <w:color w:val="000000" w:themeColor="text1"/>
          <w:kern w:val="0"/>
          <w:sz w:val="22"/>
          <w:szCs w:val="22"/>
          <w:lang w:val="en-US" w:eastAsia="zh-CN" w:bidi="ar"/>
          <w14:textFill>
            <w14:solidFill>
              <w14:schemeClr w14:val="tx1"/>
            </w14:solidFill>
          </w14:textFill>
        </w:rPr>
        <w:t>我方</w:t>
      </w:r>
      <w:r>
        <w:rPr>
          <w:rFonts w:hint="eastAsia" w:ascii="宋体" w:hAnsi="宋体" w:eastAsia="宋体" w:cs="宋体"/>
          <w:color w:val="000000" w:themeColor="text1"/>
          <w:spacing w:val="6"/>
          <w:sz w:val="22"/>
          <w:szCs w:val="22"/>
          <w:lang w:val="en-US" w:eastAsia="zh-CN"/>
          <w14:textFill>
            <w14:solidFill>
              <w14:schemeClr w14:val="tx1"/>
            </w14:solidFill>
          </w14:textFill>
        </w:rPr>
        <w:t>具有独立承担民事责任的能力”进行承诺；二是“我方属于银行、保险、石油石化、电力、电信等有行业特殊情况的法人的分支机构在参加本次政府采购活动前已取得总公司的授权”进行承诺。参加政府采购活动的供应商</w:t>
      </w:r>
      <w:r>
        <w:rPr>
          <w:rFonts w:hint="eastAsia" w:ascii="宋体" w:hAnsi="宋体" w:eastAsia="宋体" w:cs="宋体"/>
          <w:b w:val="0"/>
          <w:bCs w:val="0"/>
          <w:color w:val="000000" w:themeColor="text1"/>
          <w:spacing w:val="6"/>
          <w:sz w:val="22"/>
          <w:szCs w:val="22"/>
          <w:u w:val="none"/>
          <w:lang w:val="en-US" w:eastAsia="zh-CN"/>
          <w14:textFill>
            <w14:solidFill>
              <w14:schemeClr w14:val="tx1"/>
            </w14:solidFill>
          </w14:textFill>
        </w:rPr>
        <w:t>只要第1点承诺的内容包含有：具有独立承担民事责任的能力、在参加本次政府采购活动前已取得总公司的授权等内容的即为有效的承诺。</w:t>
      </w:r>
      <w:r>
        <w:rPr>
          <w:rFonts w:hint="eastAsia" w:ascii="宋体" w:hAnsi="宋体" w:eastAsia="宋体" w:cs="宋体"/>
          <w:color w:val="000000" w:themeColor="text1"/>
          <w:spacing w:val="6"/>
          <w:sz w:val="22"/>
          <w:szCs w:val="22"/>
          <w:lang w:val="en-US" w:eastAsia="zh-CN"/>
          <w14:textFill>
            <w14:solidFill>
              <w14:schemeClr w14:val="tx1"/>
            </w14:solidFill>
          </w14:textFill>
        </w:rPr>
        <w:t>2.第1点所指的行业特殊情况使用了“等”字表示列举未尽，即行业特殊情况包含但不限于银行、保险、石油石化、电力、电信。</w:t>
      </w:r>
    </w:p>
    <w:p w14:paraId="43DC0CDA">
      <w:pPr>
        <w:numPr>
          <w:ilvl w:val="0"/>
          <w:numId w:val="0"/>
        </w:numPr>
        <w:snapToGrid w:val="0"/>
        <w:spacing w:beforeLines="50" w:after="50"/>
        <w:ind w:leftChars="0"/>
        <w:jc w:val="left"/>
        <w:rPr>
          <w:rFonts w:hint="eastAsia" w:ascii="宋体" w:hAnsi="宋体" w:eastAsia="宋体" w:cs="宋体"/>
          <w:b/>
          <w:color w:val="000000" w:themeColor="text1"/>
          <w:sz w:val="22"/>
          <w:szCs w:val="22"/>
          <w14:textFill>
            <w14:solidFill>
              <w14:schemeClr w14:val="tx1"/>
            </w14:solidFill>
          </w14:textFill>
        </w:rPr>
      </w:pPr>
    </w:p>
    <w:p w14:paraId="75374767">
      <w:pPr>
        <w:pStyle w:val="10"/>
        <w:rPr>
          <w:rFonts w:hint="eastAsia"/>
          <w:color w:val="000000" w:themeColor="text1"/>
          <w14:textFill>
            <w14:solidFill>
              <w14:schemeClr w14:val="tx1"/>
            </w14:solidFill>
          </w14:textFill>
        </w:rPr>
      </w:pPr>
    </w:p>
    <w:p w14:paraId="0B5BA05C">
      <w:pPr>
        <w:snapToGrid w:val="0"/>
        <w:spacing w:before="156" w:beforeLines="50" w:after="50" w:line="360" w:lineRule="auto"/>
        <w:ind w:firstLine="645"/>
        <w:rPr>
          <w:rFonts w:hint="eastAsia" w:ascii="宋体" w:hAnsi="宋体" w:eastAsia="宋体" w:cs="宋体"/>
          <w:color w:val="auto"/>
          <w:sz w:val="28"/>
          <w:szCs w:val="28"/>
          <w:highlight w:val="none"/>
        </w:rPr>
        <w:sectPr>
          <w:pgSz w:w="11906" w:h="16838"/>
          <w:pgMar w:top="1440" w:right="1279" w:bottom="1440" w:left="1387" w:header="851" w:footer="992" w:gutter="0"/>
          <w:cols w:space="720" w:num="1"/>
          <w:formProt w:val="1"/>
          <w:titlePg/>
          <w:docGrid w:type="lines" w:linePitch="312" w:charSpace="0"/>
        </w:sectPr>
      </w:pPr>
    </w:p>
    <w:p w14:paraId="29FF91C7">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供应商直接控股、管理关系信息表</w:t>
      </w:r>
    </w:p>
    <w:p w14:paraId="2AA084D4">
      <w:pPr>
        <w:snapToGrid w:val="0"/>
        <w:spacing w:before="156" w:beforeLines="50" w:after="50" w:line="360" w:lineRule="auto"/>
        <w:jc w:val="center"/>
        <w:rPr>
          <w:rFonts w:hint="eastAsia" w:ascii="宋体" w:hAnsi="宋体" w:eastAsia="宋体" w:cs="宋体"/>
          <w:b/>
          <w:color w:val="auto"/>
          <w:sz w:val="24"/>
          <w:highlight w:val="none"/>
        </w:rPr>
      </w:pPr>
    </w:p>
    <w:p w14:paraId="37EF4526">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供应商直接控股股东信息表</w:t>
      </w:r>
    </w:p>
    <w:p w14:paraId="6B19EA68">
      <w:pPr>
        <w:snapToGrid w:val="0"/>
        <w:spacing w:before="50" w:after="156" w:afterLines="50" w:line="360" w:lineRule="auto"/>
        <w:jc w:val="center"/>
        <w:rPr>
          <w:rFonts w:hint="eastAsia" w:ascii="宋体" w:hAnsi="宋体" w:eastAsia="宋体" w:cs="宋体"/>
          <w:b/>
          <w:color w:val="auto"/>
          <w:sz w:val="21"/>
          <w:szCs w:val="21"/>
          <w:highlight w:val="none"/>
        </w:rPr>
      </w:pPr>
    </w:p>
    <w:tbl>
      <w:tblPr>
        <w:tblStyle w:val="23"/>
        <w:tblW w:w="10147" w:type="dxa"/>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14:paraId="32F6F7B3">
        <w:tblPrEx>
          <w:shd w:val="clear" w:color="auto" w:fill="FBFBFB"/>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354CA67">
            <w:pPr>
              <w:widowControl/>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序号</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C621718">
            <w:pPr>
              <w:widowControl/>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F399864">
            <w:pPr>
              <w:widowControl/>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D747F74">
            <w:pPr>
              <w:widowControl/>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8E2DEF9">
            <w:pPr>
              <w:widowControl/>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备注</w:t>
            </w:r>
          </w:p>
        </w:tc>
      </w:tr>
      <w:tr w14:paraId="0335218B">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489EFAB">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2CC5659">
            <w:pPr>
              <w:widowControl/>
              <w:spacing w:line="360" w:lineRule="auto"/>
              <w:jc w:val="center"/>
              <w:rPr>
                <w:rFonts w:hint="eastAsia" w:ascii="宋体" w:hAnsi="宋体" w:eastAsia="宋体" w:cs="宋体"/>
                <w:color w:val="auto"/>
                <w:kern w:val="0"/>
                <w:sz w:val="21"/>
                <w:szCs w:val="21"/>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296B2BD">
            <w:pPr>
              <w:widowControl/>
              <w:spacing w:line="360" w:lineRule="auto"/>
              <w:jc w:val="center"/>
              <w:rPr>
                <w:rFonts w:hint="eastAsia" w:ascii="宋体" w:hAnsi="宋体" w:eastAsia="宋体" w:cs="宋体"/>
                <w:color w:val="auto"/>
                <w:kern w:val="0"/>
                <w:sz w:val="21"/>
                <w:szCs w:val="21"/>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3F1A04E">
            <w:pPr>
              <w:widowControl/>
              <w:spacing w:line="360" w:lineRule="auto"/>
              <w:jc w:val="center"/>
              <w:rPr>
                <w:rFonts w:hint="eastAsia" w:ascii="宋体" w:hAnsi="宋体" w:eastAsia="宋体" w:cs="宋体"/>
                <w:color w:val="auto"/>
                <w:kern w:val="0"/>
                <w:sz w:val="21"/>
                <w:szCs w:val="21"/>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D5ABF6D">
            <w:pPr>
              <w:widowControl/>
              <w:spacing w:line="360" w:lineRule="auto"/>
              <w:jc w:val="center"/>
              <w:rPr>
                <w:rFonts w:hint="eastAsia" w:ascii="宋体" w:hAnsi="宋体" w:eastAsia="宋体" w:cs="宋体"/>
                <w:color w:val="auto"/>
                <w:kern w:val="0"/>
                <w:sz w:val="21"/>
                <w:szCs w:val="21"/>
                <w:highlight w:val="none"/>
              </w:rPr>
            </w:pPr>
          </w:p>
        </w:tc>
      </w:tr>
      <w:tr w14:paraId="49EAD40B">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D2219BE">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DFB378F">
            <w:pPr>
              <w:widowControl/>
              <w:spacing w:line="360" w:lineRule="auto"/>
              <w:jc w:val="center"/>
              <w:rPr>
                <w:rFonts w:hint="eastAsia" w:ascii="宋体" w:hAnsi="宋体" w:eastAsia="宋体" w:cs="宋体"/>
                <w:color w:val="auto"/>
                <w:kern w:val="0"/>
                <w:sz w:val="21"/>
                <w:szCs w:val="21"/>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A01075C">
            <w:pPr>
              <w:widowControl/>
              <w:spacing w:line="360" w:lineRule="auto"/>
              <w:jc w:val="center"/>
              <w:rPr>
                <w:rFonts w:hint="eastAsia" w:ascii="宋体" w:hAnsi="宋体" w:eastAsia="宋体" w:cs="宋体"/>
                <w:color w:val="auto"/>
                <w:kern w:val="0"/>
                <w:sz w:val="21"/>
                <w:szCs w:val="21"/>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C281085">
            <w:pPr>
              <w:widowControl/>
              <w:spacing w:line="360" w:lineRule="auto"/>
              <w:jc w:val="center"/>
              <w:rPr>
                <w:rFonts w:hint="eastAsia" w:ascii="宋体" w:hAnsi="宋体" w:eastAsia="宋体" w:cs="宋体"/>
                <w:color w:val="auto"/>
                <w:kern w:val="0"/>
                <w:sz w:val="21"/>
                <w:szCs w:val="21"/>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028D2FD">
            <w:pPr>
              <w:widowControl/>
              <w:spacing w:line="360" w:lineRule="auto"/>
              <w:jc w:val="center"/>
              <w:rPr>
                <w:rFonts w:hint="eastAsia" w:ascii="宋体" w:hAnsi="宋体" w:eastAsia="宋体" w:cs="宋体"/>
                <w:color w:val="auto"/>
                <w:kern w:val="0"/>
                <w:sz w:val="21"/>
                <w:szCs w:val="21"/>
                <w:highlight w:val="none"/>
              </w:rPr>
            </w:pPr>
          </w:p>
        </w:tc>
      </w:tr>
      <w:tr w14:paraId="669A10EB">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19BCA93">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861580C">
            <w:pPr>
              <w:widowControl/>
              <w:spacing w:line="360" w:lineRule="auto"/>
              <w:jc w:val="center"/>
              <w:rPr>
                <w:rFonts w:hint="eastAsia" w:ascii="宋体" w:hAnsi="宋体" w:eastAsia="宋体" w:cs="宋体"/>
                <w:color w:val="auto"/>
                <w:kern w:val="0"/>
                <w:sz w:val="21"/>
                <w:szCs w:val="21"/>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C890F3E">
            <w:pPr>
              <w:widowControl/>
              <w:spacing w:line="360" w:lineRule="auto"/>
              <w:jc w:val="center"/>
              <w:rPr>
                <w:rFonts w:hint="eastAsia" w:ascii="宋体" w:hAnsi="宋体" w:eastAsia="宋体" w:cs="宋体"/>
                <w:color w:val="auto"/>
                <w:kern w:val="0"/>
                <w:sz w:val="21"/>
                <w:szCs w:val="21"/>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BE062B8">
            <w:pPr>
              <w:widowControl/>
              <w:spacing w:line="360" w:lineRule="auto"/>
              <w:jc w:val="center"/>
              <w:rPr>
                <w:rFonts w:hint="eastAsia" w:ascii="宋体" w:hAnsi="宋体" w:eastAsia="宋体" w:cs="宋体"/>
                <w:color w:val="auto"/>
                <w:kern w:val="0"/>
                <w:sz w:val="21"/>
                <w:szCs w:val="21"/>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AB8946F">
            <w:pPr>
              <w:widowControl/>
              <w:spacing w:line="360" w:lineRule="auto"/>
              <w:jc w:val="center"/>
              <w:rPr>
                <w:rFonts w:hint="eastAsia" w:ascii="宋体" w:hAnsi="宋体" w:eastAsia="宋体" w:cs="宋体"/>
                <w:color w:val="auto"/>
                <w:kern w:val="0"/>
                <w:sz w:val="21"/>
                <w:szCs w:val="21"/>
                <w:highlight w:val="none"/>
              </w:rPr>
            </w:pPr>
          </w:p>
        </w:tc>
      </w:tr>
    </w:tbl>
    <w:p w14:paraId="2E510201">
      <w:pPr>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p>
    <w:p w14:paraId="56A62E56">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2E4957E7">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2.本表所指的控股关系仅限于直接控股关系，不包括间接的控股关系。公司实际控制人与公司之间的关系不属于本表所指的直接控股关系。</w:t>
      </w:r>
    </w:p>
    <w:p w14:paraId="14D3F97D">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3.供应商不存在直接控股股东的，则填“无”。</w:t>
      </w:r>
    </w:p>
    <w:p w14:paraId="15B0C4E0">
      <w:pPr>
        <w:snapToGrid w:val="0"/>
        <w:spacing w:line="360" w:lineRule="auto"/>
        <w:jc w:val="left"/>
        <w:rPr>
          <w:rFonts w:hint="eastAsia" w:ascii="宋体" w:hAnsi="宋体" w:eastAsia="宋体" w:cs="宋体"/>
          <w:color w:val="auto"/>
          <w:sz w:val="21"/>
          <w:szCs w:val="21"/>
          <w:highlight w:val="none"/>
        </w:rPr>
      </w:pPr>
    </w:p>
    <w:p w14:paraId="39647E4E">
      <w:pPr>
        <w:snapToGrid w:val="0"/>
        <w:spacing w:line="360" w:lineRule="auto"/>
        <w:jc w:val="left"/>
        <w:rPr>
          <w:rFonts w:hint="eastAsia" w:ascii="宋体" w:hAnsi="宋体" w:eastAsia="宋体" w:cs="宋体"/>
          <w:color w:val="auto"/>
          <w:sz w:val="21"/>
          <w:szCs w:val="21"/>
          <w:highlight w:val="none"/>
        </w:rPr>
      </w:pPr>
    </w:p>
    <w:p w14:paraId="71ACD516">
      <w:pPr>
        <w:snapToGrid w:val="0"/>
        <w:spacing w:line="360" w:lineRule="auto"/>
        <w:jc w:val="left"/>
        <w:rPr>
          <w:rFonts w:hint="eastAsia" w:ascii="宋体" w:hAnsi="宋体" w:eastAsia="宋体" w:cs="宋体"/>
          <w:color w:val="auto"/>
          <w:sz w:val="21"/>
          <w:szCs w:val="21"/>
          <w:highlight w:val="none"/>
        </w:rPr>
      </w:pPr>
    </w:p>
    <w:p w14:paraId="59BA28DE">
      <w:pPr>
        <w:snapToGrid w:val="0"/>
        <w:spacing w:before="156" w:beforeLines="50" w:line="360" w:lineRule="auto"/>
        <w:ind w:right="480" w:firstLine="1680" w:firstLineChars="8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法定代表人或者委托代理人签字：</w:t>
      </w:r>
      <w:r>
        <w:rPr>
          <w:rFonts w:hint="eastAsia" w:ascii="宋体" w:hAnsi="宋体" w:eastAsia="宋体" w:cs="宋体"/>
          <w:color w:val="auto"/>
          <w:sz w:val="21"/>
          <w:szCs w:val="21"/>
          <w:highlight w:val="none"/>
          <w:u w:val="single"/>
        </w:rPr>
        <w:t xml:space="preserve">                </w:t>
      </w:r>
    </w:p>
    <w:p w14:paraId="2451BD9B">
      <w:pPr>
        <w:snapToGrid w:val="0"/>
        <w:spacing w:before="156" w:beforeLines="50" w:after="50" w:line="360" w:lineRule="auto"/>
        <w:ind w:right="480" w:firstLine="2625" w:firstLineChars="125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供应商（盖公章 ）：</w:t>
      </w:r>
      <w:r>
        <w:rPr>
          <w:rFonts w:hint="eastAsia" w:ascii="宋体" w:hAnsi="宋体" w:eastAsia="宋体" w:cs="宋体"/>
          <w:color w:val="auto"/>
          <w:sz w:val="21"/>
          <w:szCs w:val="21"/>
          <w:highlight w:val="none"/>
          <w:u w:val="single"/>
        </w:rPr>
        <w:t xml:space="preserve">                              </w:t>
      </w:r>
    </w:p>
    <w:p w14:paraId="558BCF0E">
      <w:pPr>
        <w:snapToGrid w:val="0"/>
        <w:spacing w:before="156" w:beforeLines="50" w:after="50" w:line="360" w:lineRule="auto"/>
        <w:ind w:right="480" w:firstLine="4620" w:firstLineChars="2200"/>
        <w:rPr>
          <w:rFonts w:hint="eastAsia" w:ascii="宋体" w:hAnsi="宋体" w:eastAsia="宋体" w:cs="宋体"/>
          <w:color w:val="auto"/>
          <w:sz w:val="22"/>
          <w:szCs w:val="22"/>
          <w:highlight w:val="none"/>
        </w:rPr>
      </w:pPr>
      <w:r>
        <w:rPr>
          <w:rFonts w:hint="eastAsia" w:ascii="宋体" w:hAnsi="宋体" w:eastAsia="宋体" w:cs="宋体"/>
          <w:color w:val="auto"/>
          <w:sz w:val="21"/>
          <w:szCs w:val="21"/>
          <w:highlight w:val="none"/>
        </w:rPr>
        <w:t>年    月    日</w:t>
      </w:r>
    </w:p>
    <w:p w14:paraId="41E766AA">
      <w:pPr>
        <w:snapToGrid w:val="0"/>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p>
    <w:p w14:paraId="00502572">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供应商直接管理关系信息表</w:t>
      </w:r>
    </w:p>
    <w:p w14:paraId="7F0338BD">
      <w:pPr>
        <w:snapToGrid w:val="0"/>
        <w:spacing w:line="360" w:lineRule="auto"/>
        <w:jc w:val="center"/>
        <w:rPr>
          <w:rFonts w:hint="eastAsia" w:ascii="宋体" w:hAnsi="宋体" w:eastAsia="宋体" w:cs="宋体"/>
          <w:b/>
          <w:color w:val="auto"/>
          <w:sz w:val="21"/>
          <w:szCs w:val="21"/>
          <w:highlight w:val="none"/>
        </w:rPr>
      </w:pPr>
    </w:p>
    <w:tbl>
      <w:tblPr>
        <w:tblStyle w:val="23"/>
        <w:tblW w:w="9652" w:type="dxa"/>
        <w:jc w:val="center"/>
        <w:shd w:val="clear" w:color="auto" w:fill="FBFBFB"/>
        <w:tblLayout w:type="fixed"/>
        <w:tblCellMar>
          <w:top w:w="0" w:type="dxa"/>
          <w:left w:w="0" w:type="dxa"/>
          <w:bottom w:w="0" w:type="dxa"/>
          <w:right w:w="0" w:type="dxa"/>
        </w:tblCellMar>
      </w:tblPr>
      <w:tblGrid>
        <w:gridCol w:w="808"/>
        <w:gridCol w:w="3600"/>
        <w:gridCol w:w="3555"/>
        <w:gridCol w:w="1689"/>
      </w:tblGrid>
      <w:tr w14:paraId="004C78ED">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E0ED0C4">
            <w:pPr>
              <w:widowControl/>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序号</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7AF5A4B">
            <w:pPr>
              <w:widowControl/>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C0651E9">
            <w:pPr>
              <w:widowControl/>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7EDC629">
            <w:pPr>
              <w:widowControl/>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备注</w:t>
            </w:r>
          </w:p>
        </w:tc>
      </w:tr>
      <w:tr w14:paraId="41DD6948">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BED1C50">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24F1ECA">
            <w:pPr>
              <w:widowControl/>
              <w:spacing w:line="360" w:lineRule="auto"/>
              <w:jc w:val="center"/>
              <w:rPr>
                <w:rFonts w:hint="eastAsia" w:ascii="宋体" w:hAnsi="宋体" w:eastAsia="宋体" w:cs="宋体"/>
                <w:color w:val="auto"/>
                <w:kern w:val="0"/>
                <w:sz w:val="21"/>
                <w:szCs w:val="21"/>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F47CFE8">
            <w:pPr>
              <w:widowControl/>
              <w:spacing w:line="360" w:lineRule="auto"/>
              <w:jc w:val="center"/>
              <w:rPr>
                <w:rFonts w:hint="eastAsia" w:ascii="宋体" w:hAnsi="宋体" w:eastAsia="宋体" w:cs="宋体"/>
                <w:color w:val="auto"/>
                <w:kern w:val="0"/>
                <w:sz w:val="21"/>
                <w:szCs w:val="21"/>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FE84505">
            <w:pPr>
              <w:widowControl/>
              <w:spacing w:line="360" w:lineRule="auto"/>
              <w:jc w:val="center"/>
              <w:rPr>
                <w:rFonts w:hint="eastAsia" w:ascii="宋体" w:hAnsi="宋体" w:eastAsia="宋体" w:cs="宋体"/>
                <w:color w:val="auto"/>
                <w:kern w:val="0"/>
                <w:sz w:val="21"/>
                <w:szCs w:val="21"/>
                <w:highlight w:val="none"/>
              </w:rPr>
            </w:pPr>
          </w:p>
        </w:tc>
      </w:tr>
      <w:tr w14:paraId="0D748182">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ABE00C1">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3BE964B">
            <w:pPr>
              <w:widowControl/>
              <w:spacing w:line="360" w:lineRule="auto"/>
              <w:jc w:val="center"/>
              <w:rPr>
                <w:rFonts w:hint="eastAsia" w:ascii="宋体" w:hAnsi="宋体" w:eastAsia="宋体" w:cs="宋体"/>
                <w:color w:val="auto"/>
                <w:kern w:val="0"/>
                <w:sz w:val="21"/>
                <w:szCs w:val="21"/>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48BA62E">
            <w:pPr>
              <w:widowControl/>
              <w:spacing w:line="360" w:lineRule="auto"/>
              <w:jc w:val="center"/>
              <w:rPr>
                <w:rFonts w:hint="eastAsia" w:ascii="宋体" w:hAnsi="宋体" w:eastAsia="宋体" w:cs="宋体"/>
                <w:color w:val="auto"/>
                <w:kern w:val="0"/>
                <w:sz w:val="21"/>
                <w:szCs w:val="21"/>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331ACDA">
            <w:pPr>
              <w:widowControl/>
              <w:spacing w:line="360" w:lineRule="auto"/>
              <w:jc w:val="center"/>
              <w:rPr>
                <w:rFonts w:hint="eastAsia" w:ascii="宋体" w:hAnsi="宋体" w:eastAsia="宋体" w:cs="宋体"/>
                <w:color w:val="auto"/>
                <w:kern w:val="0"/>
                <w:sz w:val="21"/>
                <w:szCs w:val="21"/>
                <w:highlight w:val="none"/>
              </w:rPr>
            </w:pPr>
          </w:p>
        </w:tc>
      </w:tr>
      <w:tr w14:paraId="7E35018B">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1E458D8">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F8BF447">
            <w:pPr>
              <w:widowControl/>
              <w:spacing w:line="360" w:lineRule="auto"/>
              <w:jc w:val="center"/>
              <w:rPr>
                <w:rFonts w:hint="eastAsia" w:ascii="宋体" w:hAnsi="宋体" w:eastAsia="宋体" w:cs="宋体"/>
                <w:color w:val="auto"/>
                <w:kern w:val="0"/>
                <w:sz w:val="21"/>
                <w:szCs w:val="21"/>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1F527C9">
            <w:pPr>
              <w:widowControl/>
              <w:spacing w:line="360" w:lineRule="auto"/>
              <w:jc w:val="center"/>
              <w:rPr>
                <w:rFonts w:hint="eastAsia" w:ascii="宋体" w:hAnsi="宋体" w:eastAsia="宋体" w:cs="宋体"/>
                <w:color w:val="auto"/>
                <w:kern w:val="0"/>
                <w:sz w:val="21"/>
                <w:szCs w:val="21"/>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18403FB">
            <w:pPr>
              <w:widowControl/>
              <w:spacing w:line="360" w:lineRule="auto"/>
              <w:jc w:val="center"/>
              <w:rPr>
                <w:rFonts w:hint="eastAsia" w:ascii="宋体" w:hAnsi="宋体" w:eastAsia="宋体" w:cs="宋体"/>
                <w:color w:val="auto"/>
                <w:kern w:val="0"/>
                <w:sz w:val="21"/>
                <w:szCs w:val="21"/>
                <w:highlight w:val="none"/>
              </w:rPr>
            </w:pPr>
          </w:p>
        </w:tc>
      </w:tr>
    </w:tbl>
    <w:p w14:paraId="4215549C">
      <w:pPr>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p>
    <w:p w14:paraId="1C213748">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1.管理关系：是指不具有出资持股关系的其他单位之间存在的管理与被管理关系，如一些上下级关系的事业单位和团体组织。</w:t>
      </w:r>
    </w:p>
    <w:p w14:paraId="250E8734">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pacing w:val="-6"/>
          <w:sz w:val="21"/>
          <w:szCs w:val="21"/>
          <w:highlight w:val="none"/>
        </w:rPr>
        <w:t>本表所指的管理关系仅限于直接管理关系，不包括间接的管理关系。</w:t>
      </w:r>
    </w:p>
    <w:p w14:paraId="4379F4DC">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3.供应商不存在直接管理关系的，则填“无”。</w:t>
      </w:r>
    </w:p>
    <w:p w14:paraId="6275E5A6">
      <w:pPr>
        <w:snapToGrid w:val="0"/>
        <w:spacing w:line="360" w:lineRule="auto"/>
        <w:jc w:val="left"/>
        <w:rPr>
          <w:rFonts w:hint="eastAsia" w:ascii="宋体" w:hAnsi="宋体" w:eastAsia="宋体" w:cs="宋体"/>
          <w:color w:val="auto"/>
          <w:sz w:val="21"/>
          <w:szCs w:val="21"/>
          <w:highlight w:val="none"/>
        </w:rPr>
      </w:pPr>
    </w:p>
    <w:p w14:paraId="1CAD0188">
      <w:pPr>
        <w:snapToGrid w:val="0"/>
        <w:spacing w:line="360" w:lineRule="auto"/>
        <w:jc w:val="left"/>
        <w:rPr>
          <w:rFonts w:hint="eastAsia" w:ascii="宋体" w:hAnsi="宋体" w:eastAsia="宋体" w:cs="宋体"/>
          <w:color w:val="auto"/>
          <w:sz w:val="21"/>
          <w:szCs w:val="21"/>
          <w:highlight w:val="none"/>
        </w:rPr>
      </w:pPr>
    </w:p>
    <w:p w14:paraId="01040282">
      <w:pPr>
        <w:snapToGrid w:val="0"/>
        <w:spacing w:line="360" w:lineRule="auto"/>
        <w:jc w:val="left"/>
        <w:rPr>
          <w:rFonts w:hint="eastAsia" w:ascii="宋体" w:hAnsi="宋体" w:eastAsia="宋体" w:cs="宋体"/>
          <w:color w:val="auto"/>
          <w:sz w:val="21"/>
          <w:szCs w:val="21"/>
          <w:highlight w:val="none"/>
        </w:rPr>
      </w:pPr>
    </w:p>
    <w:p w14:paraId="0BAFAC00">
      <w:pPr>
        <w:snapToGrid w:val="0"/>
        <w:spacing w:line="360" w:lineRule="auto"/>
        <w:jc w:val="left"/>
        <w:rPr>
          <w:rFonts w:hint="eastAsia" w:ascii="宋体" w:hAnsi="宋体" w:eastAsia="宋体" w:cs="宋体"/>
          <w:color w:val="auto"/>
          <w:sz w:val="21"/>
          <w:szCs w:val="21"/>
          <w:highlight w:val="none"/>
        </w:rPr>
      </w:pPr>
    </w:p>
    <w:p w14:paraId="13920F82">
      <w:pPr>
        <w:snapToGrid w:val="0"/>
        <w:spacing w:line="360" w:lineRule="auto"/>
        <w:jc w:val="left"/>
        <w:rPr>
          <w:rFonts w:hint="eastAsia" w:ascii="宋体" w:hAnsi="宋体" w:eastAsia="宋体" w:cs="宋体"/>
          <w:color w:val="auto"/>
          <w:sz w:val="21"/>
          <w:szCs w:val="21"/>
          <w:highlight w:val="none"/>
        </w:rPr>
      </w:pPr>
    </w:p>
    <w:p w14:paraId="3325BB17">
      <w:pPr>
        <w:snapToGrid w:val="0"/>
        <w:spacing w:line="360" w:lineRule="auto"/>
        <w:jc w:val="left"/>
        <w:rPr>
          <w:rFonts w:hint="eastAsia" w:ascii="宋体" w:hAnsi="宋体" w:eastAsia="宋体" w:cs="宋体"/>
          <w:color w:val="auto"/>
          <w:sz w:val="21"/>
          <w:szCs w:val="21"/>
          <w:highlight w:val="none"/>
        </w:rPr>
      </w:pPr>
    </w:p>
    <w:p w14:paraId="4D3BDCB7">
      <w:pPr>
        <w:snapToGrid w:val="0"/>
        <w:spacing w:before="156" w:beforeLines="50" w:line="360" w:lineRule="auto"/>
        <w:ind w:right="480" w:firstLine="1890" w:firstLineChars="9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法定代表人或者委托代理人签字：</w:t>
      </w:r>
      <w:r>
        <w:rPr>
          <w:rFonts w:hint="eastAsia" w:ascii="宋体" w:hAnsi="宋体" w:eastAsia="宋体" w:cs="宋体"/>
          <w:color w:val="auto"/>
          <w:sz w:val="21"/>
          <w:szCs w:val="21"/>
          <w:highlight w:val="none"/>
          <w:u w:val="single"/>
        </w:rPr>
        <w:t xml:space="preserve">               </w:t>
      </w:r>
    </w:p>
    <w:p w14:paraId="6979BC5E">
      <w:pPr>
        <w:snapToGrid w:val="0"/>
        <w:spacing w:before="156" w:beforeLines="50" w:after="50" w:line="360" w:lineRule="auto"/>
        <w:ind w:right="480" w:firstLine="2940" w:firstLineChars="1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供应商（盖公章）：</w:t>
      </w:r>
      <w:r>
        <w:rPr>
          <w:rFonts w:hint="eastAsia" w:ascii="宋体" w:hAnsi="宋体" w:eastAsia="宋体" w:cs="宋体"/>
          <w:color w:val="auto"/>
          <w:sz w:val="21"/>
          <w:szCs w:val="21"/>
          <w:highlight w:val="none"/>
          <w:u w:val="single"/>
        </w:rPr>
        <w:t xml:space="preserve">                </w:t>
      </w:r>
    </w:p>
    <w:p w14:paraId="16A43AB4">
      <w:pPr>
        <w:snapToGrid w:val="0"/>
        <w:spacing w:before="156" w:beforeLines="50" w:after="50" w:line="360" w:lineRule="auto"/>
        <w:ind w:right="480" w:firstLine="210" w:firstLineChars="100"/>
        <w:jc w:val="center"/>
        <w:rPr>
          <w:rFonts w:hint="eastAsia" w:ascii="宋体" w:hAnsi="宋体" w:eastAsia="宋体" w:cs="宋体"/>
          <w:color w:val="auto"/>
          <w:sz w:val="22"/>
          <w:szCs w:val="22"/>
          <w:highlight w:val="none"/>
        </w:rPr>
      </w:pPr>
      <w:r>
        <w:rPr>
          <w:rFonts w:hint="eastAsia" w:ascii="宋体" w:hAnsi="宋体" w:eastAsia="宋体" w:cs="宋体"/>
          <w:color w:val="auto"/>
          <w:sz w:val="21"/>
          <w:szCs w:val="21"/>
          <w:highlight w:val="none"/>
        </w:rPr>
        <w:t xml:space="preserve">                                        年    月    日</w:t>
      </w:r>
    </w:p>
    <w:p w14:paraId="22E38BA2">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color w:val="auto"/>
          <w:sz w:val="22"/>
          <w:szCs w:val="22"/>
          <w:highlight w:val="none"/>
        </w:rPr>
        <w:br w:type="page"/>
      </w:r>
      <w:r>
        <w:rPr>
          <w:rFonts w:hint="eastAsia" w:ascii="宋体" w:hAnsi="宋体" w:eastAsia="宋体" w:cs="宋体"/>
          <w:b/>
          <w:color w:val="auto"/>
          <w:sz w:val="32"/>
          <w:szCs w:val="32"/>
          <w:highlight w:val="none"/>
        </w:rPr>
        <w:t>竞标声明</w:t>
      </w:r>
    </w:p>
    <w:p w14:paraId="7FA4E790">
      <w:pPr>
        <w:spacing w:line="360" w:lineRule="auto"/>
        <w:jc w:val="center"/>
        <w:rPr>
          <w:rFonts w:hint="eastAsia" w:ascii="宋体" w:hAnsi="宋体" w:eastAsia="宋体" w:cs="宋体"/>
          <w:color w:val="auto"/>
          <w:sz w:val="24"/>
          <w:szCs w:val="20"/>
          <w:highlight w:val="none"/>
        </w:rPr>
      </w:pPr>
    </w:p>
    <w:p w14:paraId="32DA1078">
      <w:pPr>
        <w:spacing w:before="156" w:beforeLines="50" w:after="50" w:line="360" w:lineRule="auto"/>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致：</w:t>
      </w:r>
      <w:r>
        <w:rPr>
          <w:rFonts w:hint="eastAsia" w:ascii="宋体" w:hAnsi="宋体" w:eastAsia="宋体" w:cs="宋体"/>
          <w:color w:val="auto"/>
          <w:sz w:val="21"/>
          <w:szCs w:val="21"/>
          <w:highlight w:val="none"/>
          <w:u w:val="single"/>
        </w:rPr>
        <w:t>（采购代理机构名称）</w:t>
      </w:r>
      <w:r>
        <w:rPr>
          <w:rFonts w:hint="eastAsia" w:ascii="宋体" w:hAnsi="宋体" w:eastAsia="宋体" w:cs="宋体"/>
          <w:color w:val="auto"/>
          <w:sz w:val="21"/>
          <w:szCs w:val="21"/>
          <w:highlight w:val="none"/>
        </w:rPr>
        <w:t>：</w:t>
      </w:r>
    </w:p>
    <w:p w14:paraId="40071028">
      <w:pPr>
        <w:spacing w:before="156" w:beforeLines="50" w:after="5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（供应商名称）</w:t>
      </w:r>
      <w:r>
        <w:rPr>
          <w:rFonts w:hint="eastAsia" w:ascii="宋体" w:hAnsi="宋体" w:eastAsia="宋体" w:cs="宋体"/>
          <w:color w:val="auto"/>
          <w:sz w:val="21"/>
          <w:szCs w:val="21"/>
          <w:highlight w:val="none"/>
        </w:rPr>
        <w:t>系中华人民共和国合法供应商，经营地址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62758637">
      <w:pPr>
        <w:spacing w:before="156" w:beforeLines="5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我方愿意参加贵方组织的</w:t>
      </w:r>
      <w:r>
        <w:rPr>
          <w:rFonts w:hint="eastAsia" w:ascii="宋体" w:hAnsi="宋体" w:eastAsia="宋体" w:cs="宋体"/>
          <w:color w:val="auto"/>
          <w:sz w:val="21"/>
          <w:szCs w:val="21"/>
          <w:highlight w:val="none"/>
          <w:u w:val="single"/>
        </w:rPr>
        <w:t>（项目名称）</w:t>
      </w:r>
      <w:r>
        <w:rPr>
          <w:rFonts w:hint="eastAsia" w:ascii="宋体" w:hAnsi="宋体" w:eastAsia="宋体" w:cs="宋体"/>
          <w:color w:val="auto"/>
          <w:sz w:val="21"/>
          <w:szCs w:val="21"/>
          <w:highlight w:val="none"/>
        </w:rPr>
        <w:t>项目的竞标，为便于贵方公正、择优地确定成交供应商及其竞标产品和服务，我方就本次竞标有关事项郑重声明如下：</w:t>
      </w:r>
    </w:p>
    <w:p w14:paraId="1B3B532F">
      <w:pPr>
        <w:spacing w:before="156" w:beforeLines="5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1.我方向贵方提交的所有响应文件、资料都是准确的和真实的。</w:t>
      </w:r>
    </w:p>
    <w:p w14:paraId="56913366">
      <w:pPr>
        <w:spacing w:before="156" w:beforeLines="5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259A8A88">
      <w:pPr>
        <w:spacing w:before="156" w:beforeLines="5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3.在此，我方宣布同意如下：</w:t>
      </w:r>
    </w:p>
    <w:p w14:paraId="2EAC2B68">
      <w:pPr>
        <w:spacing w:before="156" w:beforeLines="5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（1）将按磋商文件的约定履行合同责任和义务；</w:t>
      </w:r>
    </w:p>
    <w:p w14:paraId="7356E969">
      <w:pPr>
        <w:spacing w:before="156" w:beforeLines="5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（2）已详细审查全部磋商文件，包括澄清或者更正公告（如有）；</w:t>
      </w:r>
    </w:p>
    <w:p w14:paraId="68B625CC">
      <w:pPr>
        <w:spacing w:before="156" w:beforeLines="5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（3）同意提供按照贵方可能要求的与磋商有关的一切数据或者资料；</w:t>
      </w:r>
    </w:p>
    <w:p w14:paraId="027C8175">
      <w:pPr>
        <w:spacing w:before="156" w:beforeLines="5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（4）响应磋商文件规定的竞标有效期。</w:t>
      </w:r>
    </w:p>
    <w:p w14:paraId="600712BA">
      <w:pPr>
        <w:spacing w:before="156" w:beforeLines="5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4.我方承诺符合《中华人民共和国政府采购法》第二十二条规定：</w:t>
      </w:r>
    </w:p>
    <w:p w14:paraId="752600B2">
      <w:pPr>
        <w:spacing w:before="156" w:beforeLines="5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（1）具有独立承担民事责任的能力；</w:t>
      </w:r>
    </w:p>
    <w:p w14:paraId="5B966B82">
      <w:pPr>
        <w:spacing w:before="156" w:beforeLines="5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（2）具有良好的商业信誉和健全的财务会计制度；</w:t>
      </w:r>
    </w:p>
    <w:p w14:paraId="17D2B78E">
      <w:pPr>
        <w:spacing w:before="156" w:beforeLines="5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（3）具有履行合同所必需的设备和专业技术能力；</w:t>
      </w:r>
    </w:p>
    <w:p w14:paraId="165FAD71">
      <w:pPr>
        <w:spacing w:before="156" w:beforeLines="5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（4）有依法缴纳税收和社会保障资金的良好记录；</w:t>
      </w:r>
    </w:p>
    <w:p w14:paraId="2C9073CC">
      <w:pPr>
        <w:spacing w:before="156" w:beforeLines="5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（5）参加政府采购活动前三年内，在经营活动中没有重大违法记录；</w:t>
      </w:r>
    </w:p>
    <w:p w14:paraId="2CCCF0D6">
      <w:pPr>
        <w:spacing w:before="156" w:beforeLines="5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（6）法律、行政法规规定的其他条件。</w:t>
      </w:r>
    </w:p>
    <w:p w14:paraId="27237DBB">
      <w:pPr>
        <w:spacing w:before="156" w:beforeLines="5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60E2ED18">
      <w:pPr>
        <w:spacing w:before="156" w:beforeLines="5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6.根据《中华人民共和国政府采购法实施条例》第五十条要求对</w:t>
      </w:r>
      <w:r>
        <w:rPr>
          <w:rFonts w:hint="eastAsia" w:ascii="宋体" w:hAnsi="宋体" w:cs="宋体"/>
          <w:color w:val="auto"/>
          <w:sz w:val="21"/>
          <w:szCs w:val="21"/>
          <w:highlight w:val="none"/>
          <w:lang w:eastAsia="zh-CN"/>
        </w:rPr>
        <w:t>采购合同</w:t>
      </w:r>
      <w:r>
        <w:rPr>
          <w:rFonts w:hint="eastAsia" w:ascii="宋体" w:hAnsi="宋体" w:eastAsia="宋体" w:cs="宋体"/>
          <w:color w:val="auto"/>
          <w:sz w:val="21"/>
          <w:szCs w:val="21"/>
          <w:highlight w:val="none"/>
        </w:rPr>
        <w:t>进行公告，但</w:t>
      </w:r>
      <w:r>
        <w:rPr>
          <w:rFonts w:hint="eastAsia" w:ascii="宋体" w:hAnsi="宋体" w:cs="宋体"/>
          <w:color w:val="auto"/>
          <w:sz w:val="21"/>
          <w:szCs w:val="21"/>
          <w:highlight w:val="none"/>
          <w:lang w:eastAsia="zh-CN"/>
        </w:rPr>
        <w:t>采购合同</w:t>
      </w:r>
      <w:r>
        <w:rPr>
          <w:rFonts w:hint="eastAsia" w:ascii="宋体" w:hAnsi="宋体" w:eastAsia="宋体" w:cs="宋体"/>
          <w:color w:val="auto"/>
          <w:sz w:val="21"/>
          <w:szCs w:val="21"/>
          <w:highlight w:val="none"/>
        </w:rPr>
        <w:t>中涉及国家秘密、商业秘密的内容除外。我方就对本次响应文件进行注明如下：（两项内容中必须选择一项）</w:t>
      </w:r>
    </w:p>
    <w:p w14:paraId="7B0FB7F9">
      <w:pPr>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□我方本次响应文件</w:t>
      </w:r>
      <w:r>
        <w:rPr>
          <w:rFonts w:hint="eastAsia" w:ascii="宋体" w:hAnsi="宋体" w:eastAsia="宋体" w:cs="宋体"/>
          <w:color w:val="auto"/>
          <w:kern w:val="0"/>
          <w:sz w:val="21"/>
          <w:szCs w:val="21"/>
          <w:highlight w:val="none"/>
        </w:rPr>
        <w:t>内容中</w:t>
      </w:r>
      <w:r>
        <w:rPr>
          <w:rFonts w:hint="eastAsia" w:ascii="宋体" w:hAnsi="宋体" w:eastAsia="宋体" w:cs="宋体"/>
          <w:color w:val="auto"/>
          <w:sz w:val="21"/>
          <w:szCs w:val="21"/>
          <w:highlight w:val="none"/>
        </w:rPr>
        <w:t>未</w:t>
      </w:r>
      <w:r>
        <w:rPr>
          <w:rFonts w:hint="eastAsia" w:ascii="宋体" w:hAnsi="宋体" w:eastAsia="宋体" w:cs="宋体"/>
          <w:color w:val="auto"/>
          <w:kern w:val="0"/>
          <w:sz w:val="21"/>
          <w:szCs w:val="21"/>
          <w:highlight w:val="none"/>
        </w:rPr>
        <w:t>涉及商业秘密；</w:t>
      </w:r>
    </w:p>
    <w:p w14:paraId="4E08F320">
      <w:pPr>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□我方本次响应文件</w:t>
      </w:r>
      <w:r>
        <w:rPr>
          <w:rFonts w:hint="eastAsia" w:ascii="宋体" w:hAnsi="宋体" w:eastAsia="宋体" w:cs="宋体"/>
          <w:color w:val="auto"/>
          <w:kern w:val="0"/>
          <w:sz w:val="21"/>
          <w:szCs w:val="21"/>
          <w:highlight w:val="none"/>
        </w:rPr>
        <w:t>涉及商业秘密的内容有：</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38CE9BF4">
      <w:pPr>
        <w:pStyle w:val="15"/>
        <w:spacing w:line="360" w:lineRule="auto"/>
        <w:ind w:firstLine="420" w:firstLineChars="200"/>
        <w:contextualSpacing/>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7.与本磋商有关的一切正式往来信函请寄：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邮政编号：</w:t>
      </w:r>
      <w:r>
        <w:rPr>
          <w:rFonts w:hint="eastAsia" w:ascii="宋体" w:hAnsi="宋体" w:eastAsia="宋体" w:cs="宋体"/>
          <w:color w:val="auto"/>
          <w:sz w:val="21"/>
          <w:szCs w:val="21"/>
          <w:highlight w:val="none"/>
          <w:u w:val="single"/>
        </w:rPr>
        <w:t xml:space="preserve">        </w:t>
      </w:r>
    </w:p>
    <w:p w14:paraId="19EFD1BD">
      <w:pPr>
        <w:pStyle w:val="15"/>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电话/传真：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电子函件：</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1BD91893">
      <w:pPr>
        <w:pStyle w:val="14"/>
        <w:tabs>
          <w:tab w:val="left" w:pos="939"/>
        </w:tabs>
        <w:spacing w:line="360" w:lineRule="auto"/>
        <w:ind w:left="141" w:leftChars="67"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帐号：</w:t>
      </w:r>
      <w:r>
        <w:rPr>
          <w:rFonts w:hint="eastAsia" w:ascii="宋体" w:hAnsi="宋体" w:eastAsia="宋体" w:cs="宋体"/>
          <w:color w:val="auto"/>
          <w:sz w:val="21"/>
          <w:szCs w:val="21"/>
          <w:highlight w:val="none"/>
          <w:u w:val="single"/>
        </w:rPr>
        <w:t xml:space="preserve">                               </w:t>
      </w:r>
    </w:p>
    <w:p w14:paraId="181A36C5">
      <w:pPr>
        <w:pStyle w:val="14"/>
        <w:tabs>
          <w:tab w:val="left" w:pos="939"/>
        </w:tabs>
        <w:spacing w:line="360" w:lineRule="auto"/>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8.以上事项如有虚假或者隐瞒，我方愿意承担一切后果，并不再寻求任何旨在减轻或者免除法律责任的辩解。</w:t>
      </w:r>
    </w:p>
    <w:p w14:paraId="0BA73ED5">
      <w:pPr>
        <w:pStyle w:val="14"/>
        <w:tabs>
          <w:tab w:val="left" w:pos="939"/>
        </w:tabs>
        <w:spacing w:line="360" w:lineRule="auto"/>
        <w:ind w:left="141" w:leftChars="67"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特此承诺。</w:t>
      </w:r>
    </w:p>
    <w:p w14:paraId="5D34E35E">
      <w:pPr>
        <w:pStyle w:val="14"/>
        <w:tabs>
          <w:tab w:val="left" w:pos="939"/>
        </w:tabs>
        <w:spacing w:line="360" w:lineRule="auto"/>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注：如为联合体竞标，盖章处须加盖联合体各方公章并由联合体各方法定代表人签署，否则其响应文件按无效响应处理。</w:t>
      </w:r>
    </w:p>
    <w:p w14:paraId="2FA908EA">
      <w:pPr>
        <w:spacing w:line="360" w:lineRule="auto"/>
        <w:ind w:firstLine="3780" w:firstLineChars="18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法定代表人（签字）：</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4D6512F5">
      <w:pPr>
        <w:spacing w:line="360" w:lineRule="auto"/>
        <w:ind w:firstLine="3780" w:firstLineChars="18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供应商（盖公章）：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3FA461BE">
      <w:pPr>
        <w:snapToGrid w:val="0"/>
        <w:spacing w:before="156" w:beforeLines="50" w:after="50" w:line="360" w:lineRule="auto"/>
        <w:ind w:right="480" w:firstLine="210" w:firstLineChars="10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年    月    日</w:t>
      </w:r>
    </w:p>
    <w:p w14:paraId="7455212B">
      <w:pPr>
        <w:pStyle w:val="2"/>
        <w:spacing w:before="146" w:line="500" w:lineRule="exact"/>
        <w:ind w:right="142"/>
        <w:jc w:val="center"/>
        <w:rPr>
          <w:b w:val="0"/>
          <w:bCs w:val="0"/>
          <w:color w:val="auto"/>
          <w:highlight w:val="none"/>
        </w:rPr>
      </w:pPr>
      <w:r>
        <w:rPr>
          <w:rFonts w:hint="eastAsia" w:ascii="宋体" w:hAnsi="宋体" w:eastAsia="宋体" w:cs="宋体"/>
          <w:color w:val="auto"/>
          <w:sz w:val="21"/>
          <w:szCs w:val="21"/>
          <w:highlight w:val="none"/>
        </w:rPr>
        <w:br w:type="page"/>
      </w:r>
      <w:r>
        <w:rPr>
          <w:color w:val="auto"/>
          <w:highlight w:val="none"/>
        </w:rPr>
        <w:t>中小企业声明函（</w:t>
      </w:r>
      <w:r>
        <w:rPr>
          <w:rFonts w:hint="eastAsia" w:cs="宋体"/>
          <w:color w:val="auto"/>
          <w:highlight w:val="none"/>
        </w:rPr>
        <w:t>服务</w:t>
      </w:r>
      <w:r>
        <w:rPr>
          <w:color w:val="auto"/>
          <w:highlight w:val="none"/>
        </w:rPr>
        <w:t>）</w:t>
      </w:r>
    </w:p>
    <w:p w14:paraId="75000375">
      <w:pPr>
        <w:pStyle w:val="10"/>
        <w:spacing w:line="500" w:lineRule="exact"/>
        <w:ind w:right="142" w:firstLine="617" w:firstLineChars="294"/>
        <w:rPr>
          <w:rFonts w:ascii="宋体" w:hAnsi="宋体"/>
          <w:color w:val="auto"/>
          <w:szCs w:val="21"/>
          <w:highlight w:val="none"/>
        </w:rPr>
      </w:pPr>
      <w:r>
        <w:rPr>
          <w:rFonts w:ascii="宋体" w:hAnsi="宋体"/>
          <w:color w:val="auto"/>
          <w:szCs w:val="21"/>
          <w:highlight w:val="none"/>
        </w:rPr>
        <w:t>本公司（联合体）郑重声明，根据《政府采购促进中小企业发展管理办法》（财库﹝2020﹞46号）的规定，本公司（联合体）参加</w:t>
      </w:r>
      <w:r>
        <w:rPr>
          <w:rFonts w:ascii="宋体" w:hAnsi="宋体"/>
          <w:color w:val="auto"/>
          <w:szCs w:val="21"/>
          <w:highlight w:val="none"/>
          <w:u w:val="single"/>
        </w:rPr>
        <w:t>（单位名称）</w:t>
      </w:r>
      <w:r>
        <w:rPr>
          <w:rFonts w:ascii="宋体" w:hAnsi="宋体"/>
          <w:color w:val="auto"/>
          <w:szCs w:val="21"/>
          <w:highlight w:val="none"/>
        </w:rPr>
        <w:t>的</w:t>
      </w:r>
      <w:r>
        <w:rPr>
          <w:rFonts w:ascii="宋体" w:hAnsi="宋体"/>
          <w:color w:val="auto"/>
          <w:szCs w:val="21"/>
          <w:highlight w:val="none"/>
          <w:u w:val="single"/>
        </w:rPr>
        <w:t>（项目名称）</w:t>
      </w:r>
      <w:r>
        <w:rPr>
          <w:rFonts w:ascii="宋体" w:hAnsi="宋体"/>
          <w:color w:val="auto"/>
          <w:szCs w:val="21"/>
          <w:highlight w:val="none"/>
        </w:rPr>
        <w:t>采购活动，</w:t>
      </w:r>
      <w:r>
        <w:rPr>
          <w:rFonts w:hint="eastAsia" w:ascii="宋体" w:hAnsi="宋体"/>
          <w:color w:val="auto"/>
          <w:szCs w:val="21"/>
          <w:highlight w:val="none"/>
        </w:rPr>
        <w:t>服务全部由符合政策要求的中小企业承接。相关企业（含联合体中的中小企业、签订分包意向协议的中小企业）的具体情况如下：</w:t>
      </w:r>
    </w:p>
    <w:p w14:paraId="614ADEA6">
      <w:pPr>
        <w:tabs>
          <w:tab w:val="left" w:pos="1384"/>
          <w:tab w:val="left" w:pos="4562"/>
          <w:tab w:val="left" w:pos="6803"/>
        </w:tabs>
        <w:spacing w:before="13" w:line="500" w:lineRule="exact"/>
        <w:ind w:right="142" w:firstLine="676" w:firstLineChars="322"/>
        <w:rPr>
          <w:rFonts w:ascii="宋体" w:hAnsi="宋体"/>
          <w:color w:val="auto"/>
          <w:szCs w:val="21"/>
          <w:highlight w:val="none"/>
        </w:rPr>
      </w:pPr>
      <w:r>
        <w:rPr>
          <w:rFonts w:ascii="宋体" w:hAnsi="宋体"/>
          <w:color w:val="auto"/>
          <w:szCs w:val="21"/>
          <w:highlight w:val="none"/>
        </w:rPr>
        <w:t>1.</w:t>
      </w:r>
      <w:r>
        <w:rPr>
          <w:rFonts w:ascii="宋体" w:hAnsi="宋体"/>
          <w:color w:val="auto"/>
          <w:szCs w:val="21"/>
          <w:highlight w:val="none"/>
          <w:u w:val="single"/>
        </w:rPr>
        <w:t>（标的名称）</w:t>
      </w:r>
      <w:r>
        <w:rPr>
          <w:rFonts w:ascii="宋体" w:hAnsi="宋体"/>
          <w:color w:val="auto"/>
          <w:szCs w:val="21"/>
          <w:highlight w:val="none"/>
        </w:rPr>
        <w:t>，属于</w:t>
      </w:r>
      <w:r>
        <w:rPr>
          <w:rFonts w:ascii="宋体" w:hAnsi="宋体"/>
          <w:color w:val="auto"/>
          <w:szCs w:val="21"/>
          <w:highlight w:val="none"/>
          <w:u w:val="single"/>
        </w:rPr>
        <w:t>（采购文件中明确的所属</w:t>
      </w:r>
      <w:r>
        <w:rPr>
          <w:rFonts w:hint="eastAsia" w:ascii="宋体" w:hAnsi="宋体"/>
          <w:color w:val="auto"/>
          <w:szCs w:val="21"/>
          <w:highlight w:val="none"/>
          <w:u w:val="single"/>
        </w:rPr>
        <w:t>行</w:t>
      </w:r>
      <w:r>
        <w:rPr>
          <w:rFonts w:ascii="宋体" w:hAnsi="宋体"/>
          <w:color w:val="auto"/>
          <w:szCs w:val="21"/>
          <w:highlight w:val="none"/>
          <w:u w:val="single"/>
        </w:rPr>
        <w:t>业）</w:t>
      </w:r>
      <w:r>
        <w:rPr>
          <w:rFonts w:ascii="宋体" w:hAnsi="宋体"/>
          <w:color w:val="auto"/>
          <w:szCs w:val="21"/>
          <w:highlight w:val="none"/>
        </w:rPr>
        <w:t>；</w:t>
      </w:r>
      <w:r>
        <w:rPr>
          <w:rFonts w:hint="eastAsia" w:ascii="宋体" w:hAnsi="宋体"/>
          <w:color w:val="auto"/>
          <w:szCs w:val="21"/>
          <w:highlight w:val="none"/>
        </w:rPr>
        <w:t>承接企业为</w:t>
      </w:r>
      <w:r>
        <w:rPr>
          <w:rFonts w:hint="eastAsia" w:ascii="宋体" w:hAnsi="宋体"/>
          <w:color w:val="auto"/>
          <w:szCs w:val="21"/>
          <w:highlight w:val="none"/>
          <w:u w:val="single"/>
        </w:rPr>
        <w:t>（企业名称）</w:t>
      </w:r>
      <w:r>
        <w:rPr>
          <w:rFonts w:hint="eastAsia" w:ascii="宋体" w:hAnsi="宋体"/>
          <w:color w:val="auto"/>
          <w:szCs w:val="21"/>
          <w:highlight w:val="none"/>
        </w:rPr>
        <w:t>，从业人员</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人，营业收入为</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万元，资产总额为</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万元</w:t>
      </w:r>
      <w:r>
        <w:rPr>
          <w:rFonts w:ascii="宋体" w:hAnsi="宋体"/>
          <w:color w:val="auto"/>
          <w:szCs w:val="21"/>
          <w:highlight w:val="none"/>
        </w:rPr>
        <w:t>，属于</w:t>
      </w:r>
      <w:r>
        <w:rPr>
          <w:rFonts w:ascii="宋体" w:hAnsi="宋体"/>
          <w:color w:val="auto"/>
          <w:szCs w:val="21"/>
          <w:highlight w:val="none"/>
          <w:u w:val="single"/>
        </w:rPr>
        <w:t>（中型企业、</w:t>
      </w:r>
      <w:r>
        <w:rPr>
          <w:rFonts w:hint="eastAsia" w:ascii="宋体" w:hAnsi="宋体"/>
          <w:color w:val="auto"/>
          <w:szCs w:val="21"/>
          <w:highlight w:val="none"/>
          <w:u w:val="single"/>
        </w:rPr>
        <w:t>小型企业、微型企业）</w:t>
      </w:r>
      <w:r>
        <w:rPr>
          <w:rFonts w:hint="eastAsia" w:ascii="宋体" w:hAnsi="宋体"/>
          <w:color w:val="auto"/>
          <w:szCs w:val="21"/>
          <w:highlight w:val="none"/>
        </w:rPr>
        <w:t>；</w:t>
      </w:r>
    </w:p>
    <w:p w14:paraId="7DCCA1F4">
      <w:pPr>
        <w:tabs>
          <w:tab w:val="left" w:pos="1065"/>
          <w:tab w:val="left" w:pos="4262"/>
          <w:tab w:val="left" w:pos="6477"/>
        </w:tabs>
        <w:spacing w:before="20" w:line="500" w:lineRule="exact"/>
        <w:ind w:right="84" w:firstLine="676" w:firstLineChars="322"/>
        <w:rPr>
          <w:rFonts w:ascii="宋体" w:hAnsi="宋体"/>
          <w:color w:val="auto"/>
          <w:szCs w:val="21"/>
          <w:highlight w:val="none"/>
          <w:u w:val="single"/>
        </w:rPr>
      </w:pPr>
      <w:r>
        <w:rPr>
          <w:rFonts w:ascii="宋体" w:hAnsi="宋体"/>
          <w:color w:val="auto"/>
          <w:szCs w:val="21"/>
          <w:highlight w:val="none"/>
        </w:rPr>
        <w:t>2.</w:t>
      </w:r>
      <w:r>
        <w:rPr>
          <w:rFonts w:ascii="宋体" w:hAnsi="宋体"/>
          <w:color w:val="auto"/>
          <w:szCs w:val="21"/>
          <w:highlight w:val="none"/>
          <w:u w:val="single"/>
        </w:rPr>
        <w:t>（标的名称）</w:t>
      </w:r>
      <w:r>
        <w:rPr>
          <w:rFonts w:ascii="宋体" w:hAnsi="宋体"/>
          <w:color w:val="auto"/>
          <w:szCs w:val="21"/>
          <w:highlight w:val="none"/>
        </w:rPr>
        <w:t>，属于</w:t>
      </w:r>
      <w:r>
        <w:rPr>
          <w:rFonts w:ascii="宋体" w:hAnsi="宋体"/>
          <w:color w:val="auto"/>
          <w:szCs w:val="21"/>
          <w:highlight w:val="none"/>
          <w:u w:val="single"/>
        </w:rPr>
        <w:t>（采购文件中明确的所属</w:t>
      </w:r>
      <w:r>
        <w:rPr>
          <w:rFonts w:hint="eastAsia" w:ascii="宋体" w:hAnsi="宋体"/>
          <w:color w:val="auto"/>
          <w:szCs w:val="21"/>
          <w:highlight w:val="none"/>
          <w:u w:val="single"/>
        </w:rPr>
        <w:t>行业</w:t>
      </w:r>
      <w:r>
        <w:rPr>
          <w:rFonts w:ascii="宋体" w:hAnsi="宋体"/>
          <w:color w:val="auto"/>
          <w:szCs w:val="21"/>
          <w:highlight w:val="none"/>
          <w:u w:val="single"/>
        </w:rPr>
        <w:t>）</w:t>
      </w:r>
      <w:r>
        <w:rPr>
          <w:rFonts w:ascii="宋体" w:hAnsi="宋体"/>
          <w:color w:val="auto"/>
          <w:szCs w:val="21"/>
          <w:highlight w:val="none"/>
        </w:rPr>
        <w:t>；</w:t>
      </w:r>
      <w:r>
        <w:rPr>
          <w:rFonts w:hint="eastAsia" w:ascii="宋体" w:hAnsi="宋体"/>
          <w:color w:val="auto"/>
          <w:szCs w:val="21"/>
          <w:highlight w:val="none"/>
        </w:rPr>
        <w:t>承接企业为</w:t>
      </w:r>
      <w:r>
        <w:rPr>
          <w:rFonts w:hint="eastAsia" w:ascii="宋体" w:hAnsi="宋体"/>
          <w:color w:val="auto"/>
          <w:szCs w:val="21"/>
          <w:highlight w:val="none"/>
          <w:u w:val="single"/>
        </w:rPr>
        <w:t>（企业名称）</w:t>
      </w:r>
      <w:r>
        <w:rPr>
          <w:rFonts w:hint="eastAsia" w:ascii="宋体" w:hAnsi="宋体"/>
          <w:color w:val="auto"/>
          <w:szCs w:val="21"/>
          <w:highlight w:val="none"/>
        </w:rPr>
        <w:t>，从业人员</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人，营业收入为</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万元，资产总额为</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万元</w:t>
      </w:r>
      <w:r>
        <w:rPr>
          <w:rFonts w:ascii="宋体" w:hAnsi="宋体"/>
          <w:color w:val="auto"/>
          <w:szCs w:val="21"/>
          <w:highlight w:val="none"/>
        </w:rPr>
        <w:t>，属于</w:t>
      </w:r>
      <w:r>
        <w:rPr>
          <w:rFonts w:ascii="宋体" w:hAnsi="宋体"/>
          <w:color w:val="auto"/>
          <w:szCs w:val="21"/>
          <w:highlight w:val="none"/>
          <w:u w:val="single"/>
        </w:rPr>
        <w:t>（中型企业、</w:t>
      </w:r>
      <w:r>
        <w:rPr>
          <w:rFonts w:hint="eastAsia" w:ascii="宋体" w:hAnsi="宋体"/>
          <w:color w:val="auto"/>
          <w:szCs w:val="21"/>
          <w:highlight w:val="none"/>
          <w:u w:val="single"/>
        </w:rPr>
        <w:t>小型企业、微型企业）</w:t>
      </w:r>
      <w:r>
        <w:rPr>
          <w:rFonts w:hint="eastAsia" w:ascii="宋体" w:hAnsi="宋体"/>
          <w:color w:val="auto"/>
          <w:szCs w:val="21"/>
          <w:highlight w:val="none"/>
        </w:rPr>
        <w:t>；</w:t>
      </w:r>
    </w:p>
    <w:p w14:paraId="1C3AEF07">
      <w:pPr>
        <w:pStyle w:val="10"/>
        <w:spacing w:before="34" w:line="500" w:lineRule="exact"/>
        <w:ind w:right="142" w:firstLine="617" w:firstLineChars="294"/>
        <w:rPr>
          <w:rFonts w:ascii="宋体" w:hAnsi="宋体"/>
          <w:color w:val="auto"/>
          <w:szCs w:val="21"/>
          <w:highlight w:val="none"/>
        </w:rPr>
      </w:pPr>
      <w:r>
        <w:rPr>
          <w:rFonts w:ascii="宋体" w:hAnsi="宋体"/>
          <w:color w:val="auto"/>
          <w:szCs w:val="21"/>
          <w:highlight w:val="none"/>
        </w:rPr>
        <w:t xml:space="preserve">…… </w:t>
      </w:r>
    </w:p>
    <w:p w14:paraId="5240696D">
      <w:pPr>
        <w:pStyle w:val="10"/>
        <w:spacing w:before="34" w:line="500" w:lineRule="exact"/>
        <w:ind w:right="142" w:firstLine="617" w:firstLineChars="294"/>
        <w:rPr>
          <w:rFonts w:ascii="宋体" w:hAnsi="宋体"/>
          <w:color w:val="auto"/>
          <w:szCs w:val="21"/>
          <w:highlight w:val="none"/>
        </w:rPr>
      </w:pPr>
      <w:r>
        <w:rPr>
          <w:rFonts w:ascii="宋体" w:hAnsi="宋体"/>
          <w:color w:val="auto"/>
          <w:szCs w:val="21"/>
          <w:highlight w:val="none"/>
        </w:rPr>
        <w:t>以上企业，不属于大企业的分支机构，不存在控股股东为大企业的情形，也不存在与大企业的负责人为同一人的情形。</w:t>
      </w:r>
    </w:p>
    <w:p w14:paraId="6702BB59">
      <w:pPr>
        <w:pStyle w:val="10"/>
        <w:spacing w:before="25" w:line="500" w:lineRule="exact"/>
        <w:ind w:right="142" w:firstLine="617" w:firstLineChars="294"/>
        <w:rPr>
          <w:rFonts w:ascii="宋体" w:hAnsi="宋体"/>
          <w:color w:val="auto"/>
          <w:szCs w:val="21"/>
          <w:highlight w:val="none"/>
        </w:rPr>
      </w:pPr>
      <w:r>
        <w:rPr>
          <w:rFonts w:ascii="宋体" w:hAnsi="宋体"/>
          <w:color w:val="auto"/>
          <w:szCs w:val="21"/>
          <w:highlight w:val="none"/>
        </w:rPr>
        <w:t>本企业对上述声明内容的真实性负责。如有虚假，将依法承担相应责任。</w:t>
      </w:r>
    </w:p>
    <w:p w14:paraId="3CF46F2B">
      <w:pPr>
        <w:pStyle w:val="10"/>
        <w:spacing w:before="56" w:line="500" w:lineRule="exact"/>
        <w:ind w:right="1808" w:firstLine="617" w:firstLineChars="294"/>
        <w:rPr>
          <w:rFonts w:hint="eastAsia" w:ascii="宋体" w:hAnsi="宋体"/>
          <w:color w:val="auto"/>
          <w:szCs w:val="21"/>
          <w:highlight w:val="none"/>
        </w:rPr>
      </w:pPr>
    </w:p>
    <w:p w14:paraId="45B79E48">
      <w:pPr>
        <w:pStyle w:val="10"/>
        <w:spacing w:before="56" w:line="500" w:lineRule="exact"/>
        <w:ind w:right="650" w:firstLine="4922" w:firstLineChars="2344"/>
        <w:rPr>
          <w:rFonts w:ascii="宋体" w:hAnsi="宋体"/>
          <w:color w:val="auto"/>
          <w:szCs w:val="21"/>
          <w:highlight w:val="none"/>
        </w:rPr>
      </w:pPr>
      <w:r>
        <w:rPr>
          <w:rFonts w:ascii="宋体" w:hAnsi="宋体"/>
          <w:color w:val="auto"/>
          <w:szCs w:val="21"/>
          <w:highlight w:val="none"/>
        </w:rPr>
        <w:t xml:space="preserve">企业名称（章）： </w:t>
      </w:r>
    </w:p>
    <w:p w14:paraId="75480F51">
      <w:pPr>
        <w:pStyle w:val="10"/>
        <w:spacing w:before="56" w:line="500" w:lineRule="exact"/>
        <w:ind w:right="1808" w:firstLine="4922" w:firstLineChars="2344"/>
        <w:rPr>
          <w:rFonts w:ascii="宋体" w:hAnsi="宋体"/>
          <w:color w:val="auto"/>
          <w:szCs w:val="21"/>
          <w:highlight w:val="none"/>
        </w:rPr>
      </w:pPr>
      <w:r>
        <w:rPr>
          <w:rFonts w:ascii="宋体" w:hAnsi="宋体"/>
          <w:color w:val="auto"/>
          <w:szCs w:val="21"/>
          <w:highlight w:val="none"/>
        </w:rPr>
        <w:t>日 期：</w:t>
      </w:r>
    </w:p>
    <w:p w14:paraId="4A896BA3">
      <w:pPr>
        <w:spacing w:line="520" w:lineRule="exact"/>
        <w:jc w:val="left"/>
        <w:rPr>
          <w:rFonts w:hint="eastAsia" w:ascii="宋体" w:hAnsi="宋体" w:cs="仿宋_GB2312"/>
          <w:color w:val="auto"/>
          <w:szCs w:val="21"/>
          <w:highlight w:val="none"/>
        </w:rPr>
      </w:pPr>
      <w:r>
        <w:rPr>
          <w:rFonts w:hint="eastAsia" w:ascii="宋体" w:hAnsi="宋体" w:cs="仿宋_GB2312"/>
          <w:color w:val="auto"/>
          <w:szCs w:val="21"/>
          <w:highlight w:val="none"/>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14:paraId="6F244697">
      <w:pPr>
        <w:rPr>
          <w:rFonts w:hint="eastAsia"/>
          <w:color w:val="auto"/>
          <w:highlight w:val="none"/>
        </w:rPr>
      </w:pPr>
    </w:p>
    <w:p w14:paraId="7B10EA8F">
      <w:pPr>
        <w:pStyle w:val="5"/>
        <w:rPr>
          <w:rFonts w:hint="eastAsia"/>
          <w:color w:val="auto"/>
          <w:highlight w:val="none"/>
        </w:rPr>
      </w:pPr>
    </w:p>
    <w:p w14:paraId="28D20635">
      <w:pPr>
        <w:rPr>
          <w:rFonts w:hint="eastAsia"/>
          <w:color w:val="auto"/>
          <w:highlight w:val="none"/>
        </w:rPr>
      </w:pPr>
    </w:p>
    <w:p w14:paraId="796DFB4B">
      <w:pPr>
        <w:pStyle w:val="5"/>
        <w:rPr>
          <w:rFonts w:hint="eastAsia"/>
        </w:rPr>
      </w:pPr>
    </w:p>
    <w:p w14:paraId="2E573FCC">
      <w:pPr>
        <w:pStyle w:val="34"/>
        <w:shd w:val="clear" w:color="auto" w:fill="FFFFFF"/>
        <w:spacing w:before="0" w:beforeAutospacing="0" w:after="0" w:afterAutospacing="0"/>
        <w:ind w:left="1836" w:hanging="1424"/>
        <w:jc w:val="center"/>
        <w:rPr>
          <w:rFonts w:hint="eastAsia"/>
          <w:b/>
          <w:color w:val="auto"/>
          <w:sz w:val="32"/>
          <w:szCs w:val="32"/>
          <w:highlight w:val="none"/>
        </w:rPr>
      </w:pPr>
      <w:r>
        <w:rPr>
          <w:rFonts w:hint="eastAsia"/>
          <w:b/>
          <w:color w:val="auto"/>
          <w:sz w:val="32"/>
          <w:szCs w:val="32"/>
          <w:highlight w:val="none"/>
        </w:rPr>
        <w:t>残疾人福利性单位声明函</w:t>
      </w:r>
    </w:p>
    <w:p w14:paraId="0BF0C013">
      <w:pPr>
        <w:pStyle w:val="21"/>
        <w:shd w:val="clear" w:color="auto" w:fill="FFFFFF"/>
        <w:spacing w:before="0" w:beforeAutospacing="0" w:after="0" w:afterAutospacing="0" w:line="460" w:lineRule="exact"/>
        <w:ind w:firstLine="539"/>
        <w:rPr>
          <w:rFonts w:hint="eastAsia"/>
          <w:color w:val="auto"/>
          <w:highlight w:val="none"/>
        </w:rPr>
      </w:pPr>
    </w:p>
    <w:p w14:paraId="59F9AA09">
      <w:pPr>
        <w:pStyle w:val="21"/>
        <w:shd w:val="clear" w:color="auto" w:fill="FFFFFF"/>
        <w:spacing w:before="0" w:beforeAutospacing="0" w:after="0" w:afterAutospacing="0" w:line="460" w:lineRule="exact"/>
        <w:ind w:firstLine="539"/>
        <w:rPr>
          <w:color w:val="auto"/>
          <w:sz w:val="21"/>
          <w:szCs w:val="21"/>
          <w:highlight w:val="none"/>
        </w:rPr>
      </w:pPr>
      <w:r>
        <w:rPr>
          <w:color w:val="auto"/>
          <w:sz w:val="21"/>
          <w:szCs w:val="21"/>
          <w:highlight w:val="none"/>
        </w:rPr>
        <w:t>本单位郑重声明，根据《财政部 民政部 中国残疾人联合会关于促进残疾人就业政府采购政策的通知》（财库〔2017〕141号）的规定，本单位为符合条件的残疾人福利性单位，且本单位参加</w:t>
      </w:r>
      <w:r>
        <w:rPr>
          <w:color w:val="auto"/>
          <w:sz w:val="21"/>
          <w:szCs w:val="21"/>
          <w:highlight w:val="none"/>
          <w:u w:val="single"/>
        </w:rPr>
        <w:t xml:space="preserve">        </w:t>
      </w:r>
      <w:r>
        <w:rPr>
          <w:rFonts w:hint="eastAsia"/>
          <w:color w:val="auto"/>
          <w:sz w:val="21"/>
          <w:szCs w:val="21"/>
          <w:highlight w:val="none"/>
          <w:u w:val="single"/>
        </w:rPr>
        <w:t xml:space="preserve">     </w:t>
      </w:r>
      <w:r>
        <w:rPr>
          <w:color w:val="auto"/>
          <w:sz w:val="21"/>
          <w:szCs w:val="21"/>
          <w:highlight w:val="none"/>
        </w:rPr>
        <w:t>单位的</w:t>
      </w:r>
      <w:r>
        <w:rPr>
          <w:color w:val="auto"/>
          <w:sz w:val="21"/>
          <w:szCs w:val="21"/>
          <w:highlight w:val="none"/>
          <w:u w:val="single"/>
        </w:rPr>
        <w:t xml:space="preserve">      </w:t>
      </w:r>
      <w:r>
        <w:rPr>
          <w:rFonts w:hint="eastAsia"/>
          <w:color w:val="auto"/>
          <w:sz w:val="21"/>
          <w:szCs w:val="21"/>
          <w:highlight w:val="none"/>
          <w:u w:val="single"/>
        </w:rPr>
        <w:t xml:space="preserve"> </w:t>
      </w:r>
      <w:r>
        <w:rPr>
          <w:color w:val="auto"/>
          <w:sz w:val="21"/>
          <w:szCs w:val="21"/>
          <w:highlight w:val="none"/>
          <w:u w:val="single"/>
        </w:rPr>
        <w:t xml:space="preserve">     </w:t>
      </w:r>
      <w:r>
        <w:rPr>
          <w:color w:val="auto"/>
          <w:sz w:val="21"/>
          <w:szCs w:val="21"/>
          <w:highlight w:val="none"/>
        </w:rPr>
        <w:t>项目采购活动提供本单位制造的货物（由本单位承担工程/提供服务），或者提供其他残疾人福利性单位制造的货物（不包括使用非残疾人福利性单位注册商标的货物）。</w:t>
      </w:r>
    </w:p>
    <w:p w14:paraId="3377A6A8">
      <w:pPr>
        <w:pStyle w:val="21"/>
        <w:shd w:val="clear" w:color="auto" w:fill="FFFFFF"/>
        <w:spacing w:before="0" w:beforeAutospacing="0" w:after="0" w:afterAutospacing="0" w:line="460" w:lineRule="exact"/>
        <w:ind w:firstLine="539"/>
        <w:rPr>
          <w:rFonts w:hint="eastAsia"/>
          <w:color w:val="auto"/>
          <w:sz w:val="21"/>
          <w:szCs w:val="21"/>
          <w:highlight w:val="none"/>
        </w:rPr>
      </w:pPr>
      <w:r>
        <w:rPr>
          <w:color w:val="auto"/>
          <w:sz w:val="21"/>
          <w:szCs w:val="21"/>
          <w:highlight w:val="none"/>
        </w:rPr>
        <w:t>本单位对上述声明的真实性负责。如有虚假，将依法承担相应责任。</w:t>
      </w:r>
    </w:p>
    <w:p w14:paraId="26888515">
      <w:pPr>
        <w:pStyle w:val="21"/>
        <w:shd w:val="clear" w:color="auto" w:fill="FFFFFF"/>
        <w:spacing w:before="0" w:beforeAutospacing="0" w:after="0" w:afterAutospacing="0" w:line="460" w:lineRule="exact"/>
        <w:ind w:firstLine="539"/>
        <w:rPr>
          <w:rFonts w:hint="eastAsia"/>
          <w:color w:val="auto"/>
          <w:sz w:val="21"/>
          <w:szCs w:val="21"/>
          <w:highlight w:val="none"/>
        </w:rPr>
      </w:pPr>
    </w:p>
    <w:p w14:paraId="00D9788F">
      <w:pPr>
        <w:pStyle w:val="21"/>
        <w:shd w:val="clear" w:color="auto" w:fill="FFFFFF"/>
        <w:spacing w:before="0" w:beforeAutospacing="0" w:after="0" w:afterAutospacing="0" w:line="460" w:lineRule="exact"/>
        <w:ind w:firstLine="539"/>
        <w:rPr>
          <w:rFonts w:hint="eastAsia"/>
          <w:color w:val="auto"/>
          <w:sz w:val="21"/>
          <w:szCs w:val="21"/>
          <w:highlight w:val="none"/>
        </w:rPr>
      </w:pPr>
    </w:p>
    <w:p w14:paraId="0B5C8E3F">
      <w:pPr>
        <w:pStyle w:val="21"/>
        <w:shd w:val="clear" w:color="auto" w:fill="FFFFFF"/>
        <w:spacing w:before="0" w:beforeAutospacing="0" w:after="0" w:afterAutospacing="0" w:line="460" w:lineRule="exact"/>
        <w:ind w:firstLine="4320" w:firstLineChars="1800"/>
        <w:rPr>
          <w:color w:val="auto"/>
          <w:sz w:val="21"/>
          <w:szCs w:val="21"/>
          <w:highlight w:val="none"/>
        </w:rPr>
      </w:pPr>
      <w:r>
        <w:rPr>
          <w:rFonts w:hint="eastAsia" w:ascii="宋体" w:hAnsi="宋体" w:cs="宋体"/>
          <w:color w:val="auto"/>
          <w:kern w:val="0"/>
          <w:sz w:val="24"/>
          <w:szCs w:val="21"/>
          <w:highlight w:val="none"/>
        </w:rPr>
        <w:t>磋商单位</w:t>
      </w:r>
      <w:r>
        <w:rPr>
          <w:rFonts w:hint="eastAsia"/>
          <w:color w:val="auto"/>
          <w:sz w:val="21"/>
          <w:szCs w:val="21"/>
          <w:highlight w:val="none"/>
        </w:rPr>
        <w:t>（</w:t>
      </w:r>
      <w:r>
        <w:rPr>
          <w:rFonts w:hint="eastAsia"/>
          <w:color w:val="auto"/>
          <w:sz w:val="21"/>
          <w:szCs w:val="21"/>
          <w:highlight w:val="none"/>
          <w:lang w:eastAsia="zh-CN"/>
        </w:rPr>
        <w:t>盖</w:t>
      </w:r>
      <w:r>
        <w:rPr>
          <w:rFonts w:hint="eastAsia"/>
          <w:color w:val="auto"/>
          <w:sz w:val="21"/>
          <w:szCs w:val="21"/>
          <w:highlight w:val="none"/>
        </w:rPr>
        <w:t>章）</w:t>
      </w:r>
      <w:r>
        <w:rPr>
          <w:color w:val="auto"/>
          <w:sz w:val="21"/>
          <w:szCs w:val="21"/>
          <w:highlight w:val="none"/>
        </w:rPr>
        <w:t>：</w:t>
      </w:r>
    </w:p>
    <w:p w14:paraId="6B7EDA03">
      <w:pPr>
        <w:pStyle w:val="21"/>
        <w:shd w:val="clear" w:color="auto" w:fill="FFFFFF"/>
        <w:spacing w:before="0" w:beforeAutospacing="0" w:after="0" w:afterAutospacing="0" w:line="460" w:lineRule="exact"/>
        <w:ind w:firstLine="4454" w:firstLineChars="2121"/>
        <w:rPr>
          <w:color w:val="auto"/>
          <w:sz w:val="21"/>
          <w:szCs w:val="21"/>
          <w:highlight w:val="none"/>
        </w:rPr>
      </w:pPr>
      <w:r>
        <w:rPr>
          <w:color w:val="auto"/>
          <w:sz w:val="21"/>
          <w:szCs w:val="21"/>
          <w:highlight w:val="none"/>
        </w:rPr>
        <w:t>日  期：</w:t>
      </w:r>
    </w:p>
    <w:p w14:paraId="16DFE199">
      <w:pPr>
        <w:pStyle w:val="31"/>
        <w:spacing w:line="360" w:lineRule="auto"/>
        <w:rPr>
          <w:rFonts w:ascii="宋体" w:hAnsi="宋体"/>
          <w:b/>
          <w:color w:val="auto"/>
          <w:sz w:val="48"/>
          <w:szCs w:val="48"/>
          <w:highlight w:val="none"/>
        </w:rPr>
      </w:pPr>
    </w:p>
    <w:p w14:paraId="09093E7C">
      <w:pPr>
        <w:pStyle w:val="32"/>
        <w:rPr>
          <w:rFonts w:ascii="宋体" w:hAnsi="宋体"/>
          <w:b/>
          <w:color w:val="auto"/>
          <w:sz w:val="48"/>
          <w:szCs w:val="48"/>
          <w:highlight w:val="none"/>
        </w:rPr>
      </w:pPr>
    </w:p>
    <w:p w14:paraId="63CC3A38">
      <w:pPr>
        <w:pStyle w:val="31"/>
        <w:rPr>
          <w:rFonts w:ascii="宋体" w:hAnsi="宋体"/>
          <w:b/>
          <w:color w:val="auto"/>
          <w:sz w:val="48"/>
          <w:szCs w:val="48"/>
          <w:highlight w:val="none"/>
        </w:rPr>
      </w:pPr>
    </w:p>
    <w:p w14:paraId="758C2DF3">
      <w:pPr>
        <w:pStyle w:val="32"/>
        <w:rPr>
          <w:rFonts w:ascii="宋体" w:hAnsi="宋体"/>
          <w:b/>
          <w:color w:val="auto"/>
          <w:sz w:val="48"/>
          <w:szCs w:val="48"/>
          <w:highlight w:val="none"/>
        </w:rPr>
      </w:pPr>
    </w:p>
    <w:p w14:paraId="596E796F">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Theme="majorEastAsia"/>
          <w:color w:val="auto"/>
          <w:szCs w:val="21"/>
          <w:highlight w:val="none"/>
          <w:lang w:eastAsia="zh-CN"/>
        </w:rPr>
      </w:pPr>
      <w:r>
        <w:rPr>
          <w:rFonts w:hint="eastAsia" w:ascii="宋体" w:hAnsi="宋体"/>
          <w:color w:val="auto"/>
          <w:szCs w:val="21"/>
          <w:highlight w:val="none"/>
          <w:lang w:eastAsia="zh-CN"/>
        </w:rPr>
        <w:t>注：按照《财政部、司法部关于政府采购支持监狱企业发展有关问题的通知》（财库〔2014〕68号）之规定，监狱企业视同小型、微型企业，监狱企业参加政府采购活动时，应当提供由省级以上监狱管理局、戒毒管理局(含新疆生产建设兵团)出具的属于监狱企业的证明文件。按照《关于促进残疾人就业政府采购政策的通知》（财库〔2017〕141号）的规定，残疾人福利性单位视同小型、微型企业。</w:t>
      </w:r>
    </w:p>
    <w:p w14:paraId="08A6BA5A">
      <w:pPr>
        <w:pStyle w:val="31"/>
        <w:rPr>
          <w:rFonts w:ascii="宋体" w:hAnsi="宋体"/>
          <w:b/>
          <w:color w:val="auto"/>
          <w:sz w:val="48"/>
          <w:szCs w:val="48"/>
          <w:highlight w:val="none"/>
        </w:rPr>
      </w:pPr>
    </w:p>
    <w:p w14:paraId="00DCDDCB">
      <w:pPr>
        <w:pStyle w:val="32"/>
        <w:rPr>
          <w:rFonts w:ascii="宋体" w:hAnsi="宋体"/>
          <w:b/>
          <w:color w:val="auto"/>
          <w:sz w:val="48"/>
          <w:szCs w:val="48"/>
          <w:highlight w:val="none"/>
        </w:rPr>
      </w:pPr>
    </w:p>
    <w:p w14:paraId="6CDF4327">
      <w:pPr>
        <w:pStyle w:val="31"/>
        <w:rPr>
          <w:rFonts w:ascii="宋体" w:hAnsi="宋体"/>
          <w:b/>
          <w:color w:val="auto"/>
          <w:sz w:val="48"/>
          <w:szCs w:val="48"/>
          <w:highlight w:val="none"/>
        </w:rPr>
      </w:pPr>
    </w:p>
    <w:p w14:paraId="167A6286">
      <w:pPr>
        <w:pStyle w:val="32"/>
        <w:rPr>
          <w:rFonts w:ascii="宋体" w:hAnsi="宋体"/>
          <w:b/>
          <w:color w:val="auto"/>
          <w:sz w:val="48"/>
          <w:szCs w:val="48"/>
          <w:highlight w:val="none"/>
        </w:rPr>
      </w:pPr>
    </w:p>
    <w:p w14:paraId="685DE6E3">
      <w:pPr>
        <w:pStyle w:val="31"/>
        <w:rPr>
          <w:rFonts w:ascii="宋体" w:hAnsi="宋体"/>
          <w:b/>
          <w:color w:val="auto"/>
          <w:sz w:val="48"/>
          <w:szCs w:val="48"/>
          <w:highlight w:val="none"/>
        </w:rPr>
      </w:pPr>
    </w:p>
    <w:p w14:paraId="50251128">
      <w:pPr>
        <w:pStyle w:val="32"/>
      </w:pPr>
    </w:p>
    <w:p w14:paraId="1FEC1F5B">
      <w:pPr>
        <w:pStyle w:val="32"/>
        <w:rPr>
          <w:rFonts w:ascii="宋体" w:hAnsi="宋体"/>
          <w:b/>
          <w:color w:val="auto"/>
          <w:sz w:val="48"/>
          <w:szCs w:val="48"/>
          <w:highlight w:val="none"/>
        </w:rPr>
      </w:pPr>
    </w:p>
    <w:p w14:paraId="61370F76">
      <w:pPr>
        <w:pStyle w:val="31"/>
        <w:rPr>
          <w:color w:val="auto"/>
          <w:highlight w:val="none"/>
        </w:rPr>
      </w:pPr>
    </w:p>
    <w:p w14:paraId="115427CB">
      <w:pPr>
        <w:pStyle w:val="32"/>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lang w:eastAsia="zh-CN"/>
        </w:rPr>
        <w:t>附件：</w:t>
      </w:r>
    </w:p>
    <w:p w14:paraId="4E90C61B">
      <w:pPr>
        <w:pStyle w:val="31"/>
        <w:jc w:val="center"/>
        <w:rPr>
          <w:rFonts w:hint="eastAsia"/>
          <w:b/>
          <w:bCs/>
          <w:color w:val="auto"/>
          <w:sz w:val="24"/>
          <w:szCs w:val="32"/>
          <w:highlight w:val="none"/>
          <w:lang w:eastAsia="zh-CN"/>
        </w:rPr>
      </w:pPr>
      <w:r>
        <w:rPr>
          <w:rFonts w:hint="eastAsia"/>
          <w:b/>
          <w:bCs/>
          <w:color w:val="auto"/>
          <w:sz w:val="24"/>
          <w:szCs w:val="32"/>
          <w:highlight w:val="none"/>
          <w:lang w:eastAsia="zh-CN"/>
        </w:rPr>
        <w:t>关于印发中小企业划型标准规定的通知(工信部联企业〔2011〕300号)</w:t>
      </w:r>
    </w:p>
    <w:p w14:paraId="554544B4">
      <w:pPr>
        <w:pStyle w:val="32"/>
        <w:rPr>
          <w:rFonts w:hint="eastAsia"/>
          <w:color w:val="auto"/>
          <w:highlight w:val="none"/>
          <w:lang w:eastAsia="zh-CN"/>
        </w:rPr>
      </w:pPr>
    </w:p>
    <w:p w14:paraId="665ED4C5">
      <w:pPr>
        <w:pStyle w:val="31"/>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关于印发中小企业划型标准规定的通知</w:t>
      </w:r>
    </w:p>
    <w:p w14:paraId="61DC3D41">
      <w:pPr>
        <w:pStyle w:val="31"/>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工信部联企业〔2011〕300号各省、自治区、直辖市人民政府，国务院各部委、各直属机构及有关单位：</w:t>
      </w:r>
    </w:p>
    <w:p w14:paraId="7218C23F">
      <w:pPr>
        <w:pStyle w:val="31"/>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7C860639">
      <w:pPr>
        <w:pStyle w:val="31"/>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工业和信息化部　国家统计局</w:t>
      </w:r>
    </w:p>
    <w:p w14:paraId="02DFA230">
      <w:pPr>
        <w:pStyle w:val="31"/>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国家发展和改革委员会　财政部</w:t>
      </w:r>
    </w:p>
    <w:p w14:paraId="14094C3F">
      <w:pPr>
        <w:pStyle w:val="31"/>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二○一一年六月十八日中小企业划型标准规定　　一、根据《中华人民共和国中小企业促进法》和《国务院关于进一步促进中小企业发展的若干意见》(国发〔2009〕36号)，制定本规定。</w:t>
      </w:r>
    </w:p>
    <w:p w14:paraId="78BF242A">
      <w:pPr>
        <w:pStyle w:val="31"/>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二、中小企业划分为中型、小型、微型三种类型，具体标准根据企业从业人员、营业收入、资产总额等指标，结合行业特点制定。</w:t>
      </w:r>
    </w:p>
    <w:p w14:paraId="697E3124">
      <w:pPr>
        <w:pStyle w:val="31"/>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72FD261E">
      <w:pPr>
        <w:pStyle w:val="31"/>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四、各行业划型标准为：</w:t>
      </w:r>
    </w:p>
    <w:p w14:paraId="3C8E39E8">
      <w:pPr>
        <w:pStyle w:val="31"/>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（一）农、林、牧、渔业。营业收入20000万元以下的为中小微型企业。其中，营业收入500万元及以上的为中型企业，营业收入50万元及以上的为小型企业，营业收入50万元以下的为微型企业。</w:t>
      </w:r>
    </w:p>
    <w:p w14:paraId="71C2962B">
      <w:pPr>
        <w:pStyle w:val="31"/>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5FE692EA">
      <w:pPr>
        <w:pStyle w:val="31"/>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77E50327">
      <w:pPr>
        <w:pStyle w:val="31"/>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3806A420">
      <w:pPr>
        <w:pStyle w:val="31"/>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4C998CF1">
      <w:pPr>
        <w:pStyle w:val="31"/>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47DE5789">
      <w:pPr>
        <w:pStyle w:val="31"/>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3946C7F6">
      <w:pPr>
        <w:pStyle w:val="31"/>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693D6CAD">
      <w:pPr>
        <w:pStyle w:val="31"/>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805B4EF">
      <w:pPr>
        <w:pStyle w:val="31"/>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58BFB3E0">
      <w:pPr>
        <w:pStyle w:val="31"/>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620E03D3">
      <w:pPr>
        <w:pStyle w:val="31"/>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189E14E5">
      <w:pPr>
        <w:pStyle w:val="31"/>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31ED3BA4">
      <w:pPr>
        <w:pStyle w:val="31"/>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6C3DB749">
      <w:pPr>
        <w:pStyle w:val="31"/>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（十六）其他未列明行业。从业人员300人以下的为中小微型企业。其中，从业人员100人及以上的为中型企业；从业人员10人及以上的为小型企业；从业人员10人以下的为微型企业。</w:t>
      </w:r>
    </w:p>
    <w:p w14:paraId="70F9B633">
      <w:pPr>
        <w:pStyle w:val="31"/>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五、企业类型的划分以统计部门的统计数据为依据。</w:t>
      </w:r>
    </w:p>
    <w:p w14:paraId="75A7E168">
      <w:pPr>
        <w:pStyle w:val="31"/>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六、本规定适用于在中华人民共和国境内依法设立的各类所有制和各种组织形式的企业。个体工商户和本规定以外的行业，参照本规定进行划型。</w:t>
      </w:r>
    </w:p>
    <w:p w14:paraId="22F1DC0B">
      <w:pPr>
        <w:pStyle w:val="31"/>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七、本规定的中型企业标准上限即为大型企业标准的下限，国家统计部门据此制定大中小微型企业的统计分类。国务院有关部门据此进行相关数据分析，不得制定与本规定不一致的企业划型标准。</w:t>
      </w:r>
    </w:p>
    <w:p w14:paraId="5D402710">
      <w:pPr>
        <w:pStyle w:val="31"/>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八、本规定由工业和信息化部、国家统计局会同有关部门根据《国民经济行业分类》修订情况和企业发展变化情况适时修订。</w:t>
      </w:r>
    </w:p>
    <w:p w14:paraId="4EAEFD30">
      <w:pPr>
        <w:pStyle w:val="31"/>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九、本规定由工业和信息化部、国家统计局会同有关部门负责解释。</w:t>
      </w:r>
    </w:p>
    <w:p w14:paraId="6CD80BB7">
      <w:pPr>
        <w:pStyle w:val="31"/>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十、本规定自发布之日起执行，原国家经贸委、原国家计委、财政部和国家统计局2003年颁布的《中小企业标准暂行规定》同时废止。</w:t>
      </w:r>
    </w:p>
    <w:p w14:paraId="2EA2F125">
      <w:pPr>
        <w:pStyle w:val="31"/>
        <w:spacing w:line="360" w:lineRule="auto"/>
        <w:rPr>
          <w:rFonts w:hint="eastAsia" w:ascii="宋体" w:hAnsi="宋体" w:eastAsia="宋体" w:cs="宋体"/>
          <w:color w:val="auto"/>
          <w:sz w:val="21"/>
          <w:szCs w:val="21"/>
          <w:highlight w:val="none"/>
          <w:lang w:eastAsia="zh-CN"/>
        </w:rPr>
      </w:pPr>
    </w:p>
    <w:p w14:paraId="1A2F8F07">
      <w:pPr>
        <w:pStyle w:val="31"/>
        <w:spacing w:line="360" w:lineRule="auto"/>
        <w:rPr>
          <w:rFonts w:hint="eastAsia" w:ascii="宋体" w:hAnsi="宋体" w:eastAsia="宋体" w:cs="宋体"/>
          <w:color w:val="auto"/>
          <w:sz w:val="21"/>
          <w:szCs w:val="21"/>
          <w:highlight w:val="none"/>
          <w:lang w:eastAsia="zh-CN"/>
        </w:rPr>
      </w:pPr>
    </w:p>
    <w:p w14:paraId="25EEC897">
      <w:pPr>
        <w:pStyle w:val="31"/>
        <w:rPr>
          <w:color w:val="auto"/>
        </w:rPr>
      </w:pPr>
    </w:p>
    <w:p w14:paraId="53A1A5BD">
      <w:pPr>
        <w:pStyle w:val="32"/>
        <w:rPr>
          <w:color w:val="auto"/>
        </w:rPr>
      </w:pPr>
    </w:p>
    <w:p w14:paraId="7BE7C0A0">
      <w:pPr>
        <w:pStyle w:val="31"/>
        <w:rPr>
          <w:color w:val="auto"/>
        </w:rPr>
      </w:pPr>
    </w:p>
    <w:p w14:paraId="53ADC95B">
      <w:pPr>
        <w:pStyle w:val="32"/>
        <w:rPr>
          <w:color w:val="auto"/>
        </w:rPr>
      </w:pPr>
    </w:p>
    <w:p w14:paraId="4140FF26">
      <w:pPr>
        <w:pStyle w:val="31"/>
        <w:rPr>
          <w:color w:val="auto"/>
        </w:rPr>
      </w:pPr>
    </w:p>
    <w:p w14:paraId="34B52E4D">
      <w:pPr>
        <w:pStyle w:val="32"/>
        <w:rPr>
          <w:color w:val="auto"/>
        </w:rPr>
      </w:pPr>
    </w:p>
    <w:p w14:paraId="371A94A5">
      <w:pPr>
        <w:pStyle w:val="31"/>
        <w:rPr>
          <w:color w:val="auto"/>
        </w:rPr>
      </w:pPr>
    </w:p>
    <w:p w14:paraId="36A1D62F">
      <w:pPr>
        <w:pStyle w:val="32"/>
        <w:rPr>
          <w:color w:val="auto"/>
        </w:rPr>
      </w:pPr>
    </w:p>
    <w:p w14:paraId="7BB7EEA7">
      <w:pPr>
        <w:pStyle w:val="31"/>
        <w:rPr>
          <w:color w:val="auto"/>
        </w:rPr>
      </w:pPr>
    </w:p>
    <w:p w14:paraId="24CA8EC2">
      <w:pPr>
        <w:snapToGrid w:val="0"/>
        <w:spacing w:before="156" w:beforeLines="50" w:after="50" w:line="360" w:lineRule="auto"/>
        <w:ind w:right="480" w:firstLine="321" w:firstLineChars="100"/>
        <w:rPr>
          <w:rFonts w:hint="eastAsia" w:ascii="宋体" w:hAnsi="宋体" w:eastAsia="宋体" w:cs="宋体"/>
          <w:b/>
          <w:color w:val="auto"/>
          <w:sz w:val="32"/>
          <w:szCs w:val="32"/>
          <w:highlight w:val="none"/>
        </w:rPr>
      </w:pPr>
      <w:r>
        <w:rPr>
          <w:rFonts w:hint="eastAsia" w:ascii="宋体" w:hAnsi="宋体" w:eastAsia="宋体" w:cs="宋体"/>
          <w:b/>
          <w:bCs/>
          <w:color w:val="auto"/>
          <w:sz w:val="32"/>
          <w:szCs w:val="32"/>
          <w:highlight w:val="none"/>
        </w:rPr>
        <w:t>二、</w:t>
      </w:r>
      <w:r>
        <w:rPr>
          <w:rFonts w:hint="eastAsia" w:ascii="宋体" w:hAnsi="宋体" w:cs="宋体"/>
          <w:b/>
          <w:bCs/>
          <w:color w:val="auto"/>
          <w:sz w:val="32"/>
          <w:szCs w:val="32"/>
          <w:highlight w:val="none"/>
          <w:lang w:eastAsia="zh-CN"/>
        </w:rPr>
        <w:t>商务</w:t>
      </w:r>
      <w:r>
        <w:rPr>
          <w:rFonts w:hint="eastAsia" w:ascii="宋体" w:hAnsi="宋体" w:eastAsia="宋体" w:cs="宋体"/>
          <w:b/>
          <w:color w:val="auto"/>
          <w:sz w:val="32"/>
          <w:szCs w:val="32"/>
          <w:highlight w:val="none"/>
        </w:rPr>
        <w:t>报价文件</w:t>
      </w:r>
      <w:r>
        <w:rPr>
          <w:rFonts w:hint="eastAsia" w:ascii="宋体" w:hAnsi="宋体" w:cs="宋体"/>
          <w:b/>
          <w:color w:val="auto"/>
          <w:sz w:val="32"/>
          <w:szCs w:val="32"/>
          <w:highlight w:val="none"/>
          <w:lang w:eastAsia="zh-CN"/>
        </w:rPr>
        <w:t>和技术文件</w:t>
      </w:r>
      <w:r>
        <w:rPr>
          <w:rFonts w:hint="eastAsia" w:ascii="宋体" w:hAnsi="宋体" w:eastAsia="宋体" w:cs="宋体"/>
          <w:b/>
          <w:color w:val="auto"/>
          <w:sz w:val="32"/>
          <w:szCs w:val="32"/>
          <w:highlight w:val="none"/>
        </w:rPr>
        <w:t xml:space="preserve">格式 </w:t>
      </w:r>
    </w:p>
    <w:p w14:paraId="470C844D">
      <w:pPr>
        <w:snapToGrid w:val="0"/>
        <w:spacing w:before="156" w:beforeLines="50" w:after="50" w:line="360" w:lineRule="auto"/>
        <w:jc w:val="left"/>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1.封面格式</w:t>
      </w:r>
    </w:p>
    <w:p w14:paraId="25C0DCC8">
      <w:pPr>
        <w:snapToGrid w:val="0"/>
        <w:spacing w:before="156" w:beforeLines="50" w:after="50" w:line="360" w:lineRule="auto"/>
        <w:rPr>
          <w:rFonts w:hint="eastAsia" w:ascii="宋体" w:hAnsi="宋体" w:eastAsia="宋体" w:cs="宋体"/>
          <w:bCs/>
          <w:color w:val="auto"/>
          <w:sz w:val="32"/>
          <w:szCs w:val="20"/>
          <w:highlight w:val="none"/>
        </w:rPr>
      </w:pPr>
      <w:r>
        <w:rPr>
          <w:rFonts w:hint="eastAsia" w:ascii="宋体" w:hAnsi="宋体" w:eastAsia="宋体" w:cs="宋体"/>
          <w:color w:val="auto"/>
          <w:sz w:val="24"/>
          <w:highlight w:val="none"/>
        </w:rPr>
        <w:t xml:space="preserve">                                                    </w:t>
      </w:r>
      <w:r>
        <w:rPr>
          <w:rFonts w:hint="eastAsia" w:ascii="宋体" w:hAnsi="宋体" w:eastAsia="宋体" w:cs="宋体"/>
          <w:bCs/>
          <w:color w:val="auto"/>
          <w:highlight w:val="none"/>
        </w:rPr>
        <w:t>正本/副本</w:t>
      </w:r>
    </w:p>
    <w:p w14:paraId="1FFEC7F7">
      <w:pPr>
        <w:snapToGrid w:val="0"/>
        <w:spacing w:before="156" w:beforeLines="50" w:after="50" w:line="360" w:lineRule="auto"/>
        <w:rPr>
          <w:rFonts w:hint="eastAsia" w:ascii="宋体" w:hAnsi="宋体" w:eastAsia="宋体" w:cs="宋体"/>
          <w:color w:val="auto"/>
          <w:sz w:val="24"/>
          <w:szCs w:val="20"/>
          <w:highlight w:val="none"/>
        </w:rPr>
      </w:pPr>
    </w:p>
    <w:p w14:paraId="2C36A889">
      <w:pPr>
        <w:snapToGrid w:val="0"/>
        <w:spacing w:before="156" w:beforeLines="50" w:after="50" w:line="360" w:lineRule="auto"/>
        <w:rPr>
          <w:rFonts w:hint="eastAsia" w:ascii="宋体" w:hAnsi="宋体" w:eastAsia="宋体" w:cs="宋体"/>
          <w:color w:val="auto"/>
          <w:sz w:val="24"/>
          <w:szCs w:val="20"/>
          <w:highlight w:val="none"/>
        </w:rPr>
      </w:pPr>
    </w:p>
    <w:p w14:paraId="33D44717">
      <w:pPr>
        <w:snapToGrid w:val="0"/>
        <w:spacing w:before="156" w:beforeLines="50" w:after="50" w:line="360" w:lineRule="auto"/>
        <w:rPr>
          <w:rFonts w:hint="eastAsia" w:ascii="宋体" w:hAnsi="宋体" w:eastAsia="宋体" w:cs="宋体"/>
          <w:color w:val="auto"/>
          <w:sz w:val="24"/>
          <w:szCs w:val="20"/>
          <w:highlight w:val="none"/>
        </w:rPr>
      </w:pPr>
    </w:p>
    <w:p w14:paraId="46BA29C5">
      <w:pPr>
        <w:snapToGrid w:val="0"/>
        <w:spacing w:before="156" w:beforeLines="50" w:after="50" w:line="360" w:lineRule="auto"/>
        <w:jc w:val="center"/>
        <w:rPr>
          <w:rFonts w:hint="eastAsia" w:ascii="宋体" w:hAnsi="宋体" w:eastAsia="宋体" w:cs="宋体"/>
          <w:bCs/>
          <w:color w:val="auto"/>
          <w:sz w:val="40"/>
          <w:szCs w:val="40"/>
          <w:highlight w:val="none"/>
          <w:lang w:val="en-US" w:eastAsia="zh-CN"/>
        </w:rPr>
      </w:pPr>
      <w:r>
        <w:rPr>
          <w:rFonts w:hint="eastAsia" w:ascii="宋体" w:hAnsi="宋体" w:cs="宋体"/>
          <w:bCs/>
          <w:color w:val="auto"/>
          <w:sz w:val="40"/>
          <w:szCs w:val="40"/>
          <w:highlight w:val="none"/>
          <w:lang w:eastAsia="zh-CN"/>
        </w:rPr>
        <w:t>商务</w:t>
      </w:r>
      <w:r>
        <w:rPr>
          <w:rFonts w:hint="eastAsia" w:ascii="宋体" w:hAnsi="宋体" w:eastAsia="宋体" w:cs="宋体"/>
          <w:bCs/>
          <w:color w:val="auto"/>
          <w:sz w:val="40"/>
          <w:szCs w:val="40"/>
          <w:highlight w:val="none"/>
        </w:rPr>
        <w:t>报价文件</w:t>
      </w:r>
      <w:r>
        <w:rPr>
          <w:rFonts w:hint="eastAsia" w:ascii="宋体" w:hAnsi="宋体" w:cs="宋体"/>
          <w:bCs/>
          <w:color w:val="auto"/>
          <w:sz w:val="40"/>
          <w:szCs w:val="40"/>
          <w:highlight w:val="none"/>
          <w:lang w:val="en-US" w:eastAsia="zh-CN"/>
        </w:rPr>
        <w:t>/技术文件</w:t>
      </w:r>
    </w:p>
    <w:p w14:paraId="3C8E2BCA">
      <w:pPr>
        <w:snapToGrid w:val="0"/>
        <w:spacing w:before="156" w:beforeLines="50" w:after="50" w:line="360" w:lineRule="auto"/>
        <w:rPr>
          <w:rFonts w:hint="eastAsia" w:ascii="宋体" w:hAnsi="宋体" w:eastAsia="宋体" w:cs="宋体"/>
          <w:bCs/>
          <w:color w:val="auto"/>
          <w:sz w:val="22"/>
          <w:szCs w:val="18"/>
          <w:highlight w:val="none"/>
        </w:rPr>
      </w:pPr>
    </w:p>
    <w:p w14:paraId="56F5E10F">
      <w:pPr>
        <w:snapToGrid w:val="0"/>
        <w:spacing w:before="156" w:beforeLines="50" w:after="50" w:line="360" w:lineRule="auto"/>
        <w:rPr>
          <w:rFonts w:hint="eastAsia" w:ascii="宋体" w:hAnsi="宋体" w:eastAsia="宋体" w:cs="宋体"/>
          <w:bCs/>
          <w:color w:val="auto"/>
          <w:sz w:val="22"/>
          <w:szCs w:val="18"/>
          <w:highlight w:val="none"/>
        </w:rPr>
      </w:pPr>
    </w:p>
    <w:p w14:paraId="46E851FF">
      <w:pPr>
        <w:snapToGrid w:val="0"/>
        <w:spacing w:before="156" w:beforeLines="50" w:after="50" w:line="360" w:lineRule="auto"/>
        <w:rPr>
          <w:rFonts w:hint="eastAsia" w:ascii="宋体" w:hAnsi="宋体" w:eastAsia="宋体" w:cs="宋体"/>
          <w:bCs/>
          <w:color w:val="auto"/>
          <w:sz w:val="22"/>
          <w:szCs w:val="18"/>
          <w:highlight w:val="none"/>
        </w:rPr>
      </w:pPr>
    </w:p>
    <w:p w14:paraId="75726011">
      <w:pPr>
        <w:snapToGrid w:val="0"/>
        <w:spacing w:before="156" w:beforeLines="50" w:after="50" w:line="360" w:lineRule="auto"/>
        <w:ind w:firstLine="560" w:firstLineChars="2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项目名称：</w:t>
      </w:r>
    </w:p>
    <w:p w14:paraId="3F0CD70E">
      <w:pPr>
        <w:snapToGrid w:val="0"/>
        <w:spacing w:before="156" w:beforeLines="50" w:after="50" w:line="360" w:lineRule="auto"/>
        <w:ind w:firstLine="630" w:firstLineChars="225"/>
        <w:rPr>
          <w:rFonts w:hint="eastAsia" w:ascii="宋体" w:hAnsi="宋体" w:eastAsia="宋体" w:cs="宋体"/>
          <w:bCs/>
          <w:color w:val="auto"/>
          <w:sz w:val="28"/>
          <w:szCs w:val="28"/>
          <w:highlight w:val="none"/>
        </w:rPr>
      </w:pPr>
    </w:p>
    <w:p w14:paraId="7572F45C">
      <w:pPr>
        <w:snapToGrid w:val="0"/>
        <w:spacing w:before="156" w:beforeLines="50" w:after="50" w:line="360" w:lineRule="auto"/>
        <w:ind w:firstLine="560" w:firstLineChars="2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项目编号：</w:t>
      </w:r>
    </w:p>
    <w:p w14:paraId="009DD2D6">
      <w:pPr>
        <w:snapToGrid w:val="0"/>
        <w:spacing w:before="156" w:beforeLines="50" w:after="50" w:line="360" w:lineRule="auto"/>
        <w:ind w:firstLine="630" w:firstLineChars="225"/>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 xml:space="preserve"> </w:t>
      </w:r>
    </w:p>
    <w:p w14:paraId="02B75821">
      <w:pPr>
        <w:snapToGrid w:val="0"/>
        <w:spacing w:before="156" w:beforeLines="50" w:after="50" w:line="360" w:lineRule="auto"/>
        <w:ind w:firstLine="560" w:firstLineChars="2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所竞分标（如有则填写，无分标时填写“无”或者留空）：</w:t>
      </w:r>
    </w:p>
    <w:p w14:paraId="09E512B2">
      <w:pPr>
        <w:snapToGrid w:val="0"/>
        <w:spacing w:before="156" w:beforeLines="50" w:after="50" w:line="360" w:lineRule="auto"/>
        <w:ind w:firstLine="630" w:firstLineChars="225"/>
        <w:rPr>
          <w:rFonts w:hint="eastAsia" w:ascii="宋体" w:hAnsi="宋体" w:eastAsia="宋体" w:cs="宋体"/>
          <w:bCs/>
          <w:color w:val="auto"/>
          <w:sz w:val="28"/>
          <w:szCs w:val="28"/>
          <w:highlight w:val="none"/>
        </w:rPr>
      </w:pPr>
    </w:p>
    <w:p w14:paraId="3674837A">
      <w:pPr>
        <w:pStyle w:val="7"/>
        <w:snapToGrid w:val="0"/>
        <w:spacing w:before="50" w:after="50" w:line="360" w:lineRule="auto"/>
        <w:ind w:firstLine="560" w:firstLineChars="2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供应商名称：</w:t>
      </w:r>
    </w:p>
    <w:p w14:paraId="11877E6C">
      <w:pPr>
        <w:snapToGrid w:val="0"/>
        <w:spacing w:before="156" w:beforeLines="50" w:after="50" w:line="360" w:lineRule="auto"/>
        <w:jc w:val="center"/>
        <w:rPr>
          <w:rFonts w:hint="eastAsia" w:ascii="宋体" w:hAnsi="宋体" w:eastAsia="宋体" w:cs="宋体"/>
          <w:b/>
          <w:bCs/>
          <w:color w:val="auto"/>
          <w:sz w:val="24"/>
          <w:highlight w:val="none"/>
        </w:rPr>
      </w:pPr>
      <w:r>
        <w:rPr>
          <w:rFonts w:hint="eastAsia" w:ascii="宋体" w:hAnsi="宋体" w:eastAsia="宋体" w:cs="宋体"/>
          <w:color w:val="auto"/>
          <w:sz w:val="28"/>
          <w:szCs w:val="28"/>
          <w:highlight w:val="none"/>
        </w:rPr>
        <w:t>年    月    日</w:t>
      </w:r>
      <w:r>
        <w:rPr>
          <w:rFonts w:hint="eastAsia" w:ascii="宋体" w:hAnsi="宋体" w:eastAsia="宋体" w:cs="宋体"/>
          <w:color w:val="auto"/>
          <w:sz w:val="24"/>
          <w:highlight w:val="none"/>
        </w:rPr>
        <w:br w:type="page"/>
      </w:r>
      <w:r>
        <w:rPr>
          <w:rFonts w:hint="eastAsia" w:ascii="宋体" w:hAnsi="宋体" w:eastAsia="宋体" w:cs="宋体"/>
          <w:b/>
          <w:bCs/>
          <w:color w:val="auto"/>
          <w:sz w:val="32"/>
          <w:szCs w:val="32"/>
          <w:highlight w:val="none"/>
        </w:rPr>
        <w:t>2.目录</w:t>
      </w:r>
    </w:p>
    <w:p w14:paraId="06704FF8">
      <w:pPr>
        <w:snapToGrid w:val="0"/>
        <w:spacing w:before="156" w:beforeLines="50" w:after="50"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根据磋商文件规定及供应商提供的材料自行编写目录（部分格式后附）。</w:t>
      </w:r>
    </w:p>
    <w:p w14:paraId="58610DD4">
      <w:pPr>
        <w:spacing w:line="360" w:lineRule="auto"/>
        <w:rPr>
          <w:rFonts w:hint="eastAsia" w:ascii="宋体" w:hAnsi="宋体" w:eastAsia="宋体" w:cs="宋体"/>
          <w:color w:val="auto"/>
          <w:sz w:val="32"/>
          <w:szCs w:val="32"/>
          <w:highlight w:val="none"/>
        </w:rPr>
      </w:pPr>
    </w:p>
    <w:p w14:paraId="76AF8F7D">
      <w:pPr>
        <w:spacing w:line="360" w:lineRule="auto"/>
        <w:jc w:val="center"/>
        <w:rPr>
          <w:rFonts w:hint="eastAsia" w:ascii="宋体" w:hAnsi="宋体" w:eastAsia="宋体" w:cs="宋体"/>
          <w:color w:val="auto"/>
          <w:sz w:val="32"/>
          <w:szCs w:val="32"/>
          <w:highlight w:val="none"/>
        </w:rPr>
      </w:pPr>
      <w:r>
        <w:rPr>
          <w:rFonts w:hint="eastAsia" w:ascii="宋体" w:hAnsi="宋体" w:eastAsia="宋体" w:cs="宋体"/>
          <w:color w:val="auto"/>
          <w:sz w:val="44"/>
          <w:szCs w:val="44"/>
          <w:highlight w:val="none"/>
        </w:rPr>
        <w:br w:type="page"/>
      </w:r>
      <w:r>
        <w:rPr>
          <w:rFonts w:hint="eastAsia" w:ascii="宋体" w:hAnsi="宋体" w:eastAsia="宋体" w:cs="宋体"/>
          <w:color w:val="auto"/>
          <w:sz w:val="44"/>
          <w:szCs w:val="44"/>
          <w:highlight w:val="none"/>
        </w:rPr>
        <w:t>无串通竞标行为的承诺函</w:t>
      </w:r>
    </w:p>
    <w:p w14:paraId="1B4DEDA6">
      <w:pPr>
        <w:spacing w:line="360" w:lineRule="auto"/>
        <w:ind w:firstLine="640" w:firstLineChars="200"/>
        <w:rPr>
          <w:rFonts w:hint="eastAsia" w:ascii="宋体" w:hAnsi="宋体" w:eastAsia="宋体" w:cs="宋体"/>
          <w:color w:val="auto"/>
          <w:sz w:val="32"/>
          <w:szCs w:val="32"/>
          <w:highlight w:val="none"/>
        </w:rPr>
      </w:pPr>
    </w:p>
    <w:p w14:paraId="4A135022">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一、我方承诺无下列相互串通竞标的情形：</w:t>
      </w:r>
    </w:p>
    <w:p w14:paraId="54E33B2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1.不同供应商的响应文件由同一单位或者个人编制；或者不同供应商报名的IP地址一致的；</w:t>
      </w:r>
    </w:p>
    <w:p w14:paraId="1EEF840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2.不同供应商委托同一单位或者个人办理竞标事宜；</w:t>
      </w:r>
    </w:p>
    <w:p w14:paraId="5ACA671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3.不同供应商的响应文件载明的项目管理员为同一个人；</w:t>
      </w:r>
    </w:p>
    <w:p w14:paraId="12D73C2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4.不</w:t>
      </w:r>
      <w:r>
        <w:rPr>
          <w:rFonts w:hint="eastAsia" w:ascii="宋体" w:hAnsi="宋体" w:eastAsia="宋体" w:cs="宋体"/>
          <w:color w:val="auto"/>
          <w:spacing w:val="-6"/>
          <w:sz w:val="21"/>
          <w:szCs w:val="21"/>
          <w:highlight w:val="none"/>
        </w:rPr>
        <w:t>同供应商的响应文件异常一致或者竞标报价呈规律性差异；</w:t>
      </w:r>
    </w:p>
    <w:p w14:paraId="39020A2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5.不同供应商的响应文件相互混装；</w:t>
      </w:r>
    </w:p>
    <w:p w14:paraId="0F1A79C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6.不同供应商的磋商保证金从同一单位或者个人账户转出。</w:t>
      </w:r>
    </w:p>
    <w:p w14:paraId="7853A195">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二、我方承诺无下列恶意串通的情形：</w:t>
      </w:r>
    </w:p>
    <w:p w14:paraId="5342AE0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1.供应商直接或者间接从采购人或者采购代理机构处获得其他供应商的相关信息并修改其响应文件；</w:t>
      </w:r>
    </w:p>
    <w:p w14:paraId="3770F81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2.供应商按照采购人或者采购代理机构的授意撤换、修改响应文件；</w:t>
      </w:r>
    </w:p>
    <w:p w14:paraId="706797D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3.供</w:t>
      </w:r>
      <w:r>
        <w:rPr>
          <w:rFonts w:hint="eastAsia" w:ascii="宋体" w:hAnsi="宋体" w:eastAsia="宋体" w:cs="宋体"/>
          <w:color w:val="auto"/>
          <w:spacing w:val="-6"/>
          <w:sz w:val="21"/>
          <w:szCs w:val="21"/>
          <w:highlight w:val="none"/>
        </w:rPr>
        <w:t>应商之间协商报价、技术方案等响应文件的实质性内容；</w:t>
      </w:r>
    </w:p>
    <w:p w14:paraId="0F8C9FF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4.属于同一集团、协会、商会等组织成员的供应商按照该组织要求协同参加政府采购活动；</w:t>
      </w:r>
    </w:p>
    <w:p w14:paraId="61A40A9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5.供应商之间事先约定一致抬高或者压低竞标报价，或者在竞争性磋商项目中事先约定轮流以高价位或者低价位成交，或者事先约定由某一特定供应商成交，然后再参加竞标；</w:t>
      </w:r>
    </w:p>
    <w:p w14:paraId="7A7DF76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6.供应商之间商定部分供应商放弃参加政府采购活动或者放弃成交；</w:t>
      </w:r>
    </w:p>
    <w:p w14:paraId="10B4BDA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7.供应商与采购人或者采购代理机构之间、供应商相互之间，为</w:t>
      </w:r>
      <w:r>
        <w:rPr>
          <w:rFonts w:hint="eastAsia" w:ascii="宋体" w:hAnsi="宋体" w:eastAsia="宋体" w:cs="宋体"/>
          <w:color w:val="auto"/>
          <w:spacing w:val="-6"/>
          <w:sz w:val="21"/>
          <w:szCs w:val="21"/>
          <w:highlight w:val="none"/>
        </w:rPr>
        <w:t>谋求特定供应商成交或者排斥其他供应商的其他串通行为。</w:t>
      </w:r>
    </w:p>
    <w:p w14:paraId="7D3AF633">
      <w:pPr>
        <w:spacing w:line="360" w:lineRule="auto"/>
        <w:ind w:firstLine="420" w:firstLineChars="200"/>
        <w:rPr>
          <w:rFonts w:hint="eastAsia" w:ascii="宋体" w:hAnsi="宋体" w:eastAsia="宋体" w:cs="宋体"/>
          <w:color w:val="auto"/>
          <w:sz w:val="21"/>
          <w:szCs w:val="21"/>
          <w:highlight w:val="none"/>
        </w:rPr>
      </w:pPr>
    </w:p>
    <w:p w14:paraId="71BF3B8A">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以上情形一经核查属实，我方愿意承担一切后果，并不再寻求任何旨在减轻或者免除法律责任的辩解。</w:t>
      </w:r>
    </w:p>
    <w:p w14:paraId="252F95F0">
      <w:pPr>
        <w:spacing w:line="360" w:lineRule="auto"/>
        <w:rPr>
          <w:rFonts w:hint="eastAsia" w:ascii="宋体" w:hAnsi="宋体" w:eastAsia="宋体" w:cs="宋体"/>
          <w:color w:val="auto"/>
          <w:sz w:val="21"/>
          <w:szCs w:val="21"/>
          <w:highlight w:val="none"/>
        </w:rPr>
      </w:pPr>
    </w:p>
    <w:p w14:paraId="72D53787">
      <w:pPr>
        <w:spacing w:line="360" w:lineRule="auto"/>
        <w:ind w:firstLine="3150" w:firstLineChars="15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供应商（盖公章）：</w:t>
      </w:r>
    </w:p>
    <w:p w14:paraId="226225B1">
      <w:pPr>
        <w:spacing w:line="360" w:lineRule="auto"/>
        <w:ind w:firstLine="420" w:firstLineChars="20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年   月   日</w:t>
      </w:r>
    </w:p>
    <w:p w14:paraId="366B9AA3">
      <w:pPr>
        <w:spacing w:line="360" w:lineRule="auto"/>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21"/>
          <w:szCs w:val="21"/>
          <w:highlight w:val="none"/>
        </w:rPr>
        <w:br w:type="page"/>
      </w:r>
      <w:r>
        <w:rPr>
          <w:rFonts w:hint="eastAsia" w:ascii="宋体" w:hAnsi="宋体" w:eastAsia="宋体" w:cs="宋体"/>
          <w:bCs/>
          <w:color w:val="auto"/>
          <w:sz w:val="44"/>
          <w:szCs w:val="44"/>
          <w:highlight w:val="none"/>
        </w:rPr>
        <w:t>竞  标  报  价  表</w:t>
      </w:r>
    </w:p>
    <w:p w14:paraId="2C408710">
      <w:pPr>
        <w:spacing w:line="360" w:lineRule="auto"/>
        <w:jc w:val="center"/>
        <w:rPr>
          <w:rFonts w:hint="eastAsia" w:ascii="宋体" w:hAnsi="宋体" w:eastAsia="宋体" w:cs="宋体"/>
          <w:bCs/>
          <w:color w:val="auto"/>
          <w:sz w:val="32"/>
          <w:szCs w:val="32"/>
          <w:highlight w:val="none"/>
        </w:rPr>
      </w:pPr>
    </w:p>
    <w:p w14:paraId="7C0B8CB6">
      <w:pPr>
        <w:snapToGrid w:val="0"/>
        <w:spacing w:before="50" w:after="5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项目编号：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1541013D">
      <w:pPr>
        <w:snapToGrid w:val="0"/>
        <w:spacing w:before="50" w:after="50" w:line="36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分标（如有）：</w:t>
      </w:r>
      <w:r>
        <w:rPr>
          <w:rFonts w:hint="eastAsia" w:ascii="宋体" w:hAnsi="宋体" w:eastAsia="宋体" w:cs="宋体"/>
          <w:color w:val="auto"/>
          <w:sz w:val="21"/>
          <w:szCs w:val="21"/>
          <w:highlight w:val="none"/>
          <w:u w:val="single"/>
        </w:rPr>
        <w:t xml:space="preserve">                                         </w:t>
      </w:r>
    </w:p>
    <w:p w14:paraId="6847BF2F">
      <w:pPr>
        <w:snapToGrid w:val="0"/>
        <w:spacing w:before="50" w:after="5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供应商名称：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245355A0">
      <w:pPr>
        <w:snapToGrid w:val="0"/>
        <w:spacing w:before="50" w:after="5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单位：元</w:t>
      </w:r>
    </w:p>
    <w:tbl>
      <w:tblPr>
        <w:tblStyle w:val="23"/>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
        <w:gridCol w:w="2712"/>
        <w:gridCol w:w="617"/>
        <w:gridCol w:w="617"/>
        <w:gridCol w:w="2194"/>
        <w:gridCol w:w="1184"/>
        <w:gridCol w:w="1184"/>
      </w:tblGrid>
      <w:tr w14:paraId="51364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noWrap w:val="0"/>
            <w:vAlign w:val="center"/>
          </w:tcPr>
          <w:p w14:paraId="4CC9FAB3">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2712" w:type="dxa"/>
            <w:tcBorders>
              <w:top w:val="single" w:color="auto" w:sz="4" w:space="0"/>
              <w:left w:val="single" w:color="auto" w:sz="4" w:space="0"/>
              <w:bottom w:val="single" w:color="auto" w:sz="4" w:space="0"/>
              <w:right w:val="single" w:color="auto" w:sz="4" w:space="0"/>
            </w:tcBorders>
            <w:noWrap w:val="0"/>
            <w:vAlign w:val="center"/>
          </w:tcPr>
          <w:p w14:paraId="0C94BB5C">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服务名称</w:t>
            </w:r>
          </w:p>
        </w:tc>
        <w:tc>
          <w:tcPr>
            <w:tcW w:w="617" w:type="dxa"/>
            <w:tcBorders>
              <w:top w:val="single" w:color="auto" w:sz="4" w:space="0"/>
              <w:left w:val="single" w:color="auto" w:sz="4" w:space="0"/>
              <w:bottom w:val="single" w:color="auto" w:sz="4" w:space="0"/>
              <w:right w:val="single" w:color="auto" w:sz="4" w:space="0"/>
            </w:tcBorders>
            <w:noWrap w:val="0"/>
            <w:vAlign w:val="center"/>
          </w:tcPr>
          <w:p w14:paraId="2FC2B978">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617" w:type="dxa"/>
            <w:tcBorders>
              <w:top w:val="single" w:color="auto" w:sz="4" w:space="0"/>
              <w:left w:val="single" w:color="auto" w:sz="4" w:space="0"/>
              <w:bottom w:val="single" w:color="auto" w:sz="4" w:space="0"/>
              <w:right w:val="single" w:color="auto" w:sz="4" w:space="0"/>
            </w:tcBorders>
            <w:noWrap w:val="0"/>
            <w:vAlign w:val="center"/>
          </w:tcPr>
          <w:p w14:paraId="001F98D8">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w:t>
            </w:r>
          </w:p>
        </w:tc>
        <w:tc>
          <w:tcPr>
            <w:tcW w:w="2194" w:type="dxa"/>
            <w:tcBorders>
              <w:top w:val="single" w:color="auto" w:sz="4" w:space="0"/>
              <w:left w:val="single" w:color="auto" w:sz="4" w:space="0"/>
              <w:bottom w:val="single" w:color="auto" w:sz="4" w:space="0"/>
              <w:right w:val="single" w:color="auto" w:sz="4" w:space="0"/>
            </w:tcBorders>
            <w:noWrap w:val="0"/>
            <w:vAlign w:val="center"/>
          </w:tcPr>
          <w:p w14:paraId="4C8C91E8">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单价</w:t>
            </w:r>
          </w:p>
        </w:tc>
        <w:tc>
          <w:tcPr>
            <w:tcW w:w="1184" w:type="dxa"/>
            <w:tcBorders>
              <w:top w:val="single" w:color="auto" w:sz="4" w:space="0"/>
              <w:left w:val="single" w:color="auto" w:sz="4" w:space="0"/>
              <w:bottom w:val="single" w:color="auto" w:sz="4" w:space="0"/>
              <w:right w:val="single" w:color="auto" w:sz="4" w:space="0"/>
            </w:tcBorders>
            <w:noWrap w:val="0"/>
            <w:vAlign w:val="center"/>
          </w:tcPr>
          <w:p w14:paraId="6518656E">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总价</w:t>
            </w:r>
          </w:p>
        </w:tc>
        <w:tc>
          <w:tcPr>
            <w:tcW w:w="1184" w:type="dxa"/>
            <w:tcBorders>
              <w:top w:val="single" w:color="auto" w:sz="4" w:space="0"/>
              <w:left w:val="single" w:color="auto" w:sz="4" w:space="0"/>
              <w:bottom w:val="single" w:color="auto" w:sz="4" w:space="0"/>
              <w:right w:val="single" w:color="auto" w:sz="4" w:space="0"/>
            </w:tcBorders>
            <w:noWrap w:val="0"/>
            <w:vAlign w:val="center"/>
          </w:tcPr>
          <w:p w14:paraId="18F2181A">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14:paraId="02B0C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noWrap w:val="0"/>
            <w:vAlign w:val="center"/>
          </w:tcPr>
          <w:p w14:paraId="363990D4">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712" w:type="dxa"/>
            <w:tcBorders>
              <w:top w:val="single" w:color="auto" w:sz="4" w:space="0"/>
              <w:left w:val="single" w:color="auto" w:sz="4" w:space="0"/>
              <w:bottom w:val="single" w:color="auto" w:sz="4" w:space="0"/>
              <w:right w:val="single" w:color="auto" w:sz="4" w:space="0"/>
            </w:tcBorders>
            <w:noWrap w:val="0"/>
            <w:vAlign w:val="center"/>
          </w:tcPr>
          <w:p w14:paraId="26F3147B">
            <w:pPr>
              <w:spacing w:line="360" w:lineRule="auto"/>
              <w:jc w:val="center"/>
              <w:rPr>
                <w:rFonts w:hint="eastAsia" w:ascii="宋体" w:hAnsi="宋体" w:eastAsia="宋体" w:cs="宋体"/>
                <w:color w:val="auto"/>
                <w:sz w:val="21"/>
                <w:szCs w:val="21"/>
                <w:highlight w:val="none"/>
              </w:rPr>
            </w:pPr>
          </w:p>
        </w:tc>
        <w:tc>
          <w:tcPr>
            <w:tcW w:w="617" w:type="dxa"/>
            <w:tcBorders>
              <w:top w:val="single" w:color="auto" w:sz="4" w:space="0"/>
              <w:left w:val="single" w:color="auto" w:sz="4" w:space="0"/>
              <w:bottom w:val="single" w:color="auto" w:sz="4" w:space="0"/>
              <w:right w:val="single" w:color="auto" w:sz="4" w:space="0"/>
            </w:tcBorders>
            <w:noWrap w:val="0"/>
            <w:vAlign w:val="center"/>
          </w:tcPr>
          <w:p w14:paraId="2BB0B64A">
            <w:pPr>
              <w:spacing w:line="360" w:lineRule="auto"/>
              <w:jc w:val="center"/>
              <w:rPr>
                <w:rFonts w:hint="eastAsia" w:ascii="宋体" w:hAnsi="宋体" w:eastAsia="宋体" w:cs="宋体"/>
                <w:color w:val="auto"/>
                <w:sz w:val="21"/>
                <w:szCs w:val="21"/>
                <w:highlight w:val="none"/>
              </w:rPr>
            </w:pPr>
          </w:p>
        </w:tc>
        <w:tc>
          <w:tcPr>
            <w:tcW w:w="617" w:type="dxa"/>
            <w:tcBorders>
              <w:top w:val="single" w:color="auto" w:sz="4" w:space="0"/>
              <w:left w:val="single" w:color="auto" w:sz="4" w:space="0"/>
              <w:bottom w:val="single" w:color="auto" w:sz="4" w:space="0"/>
              <w:right w:val="single" w:color="auto" w:sz="4" w:space="0"/>
            </w:tcBorders>
            <w:noWrap w:val="0"/>
            <w:vAlign w:val="top"/>
          </w:tcPr>
          <w:p w14:paraId="611E951A">
            <w:pPr>
              <w:spacing w:line="360" w:lineRule="auto"/>
              <w:rPr>
                <w:rFonts w:hint="eastAsia" w:ascii="宋体" w:hAnsi="宋体" w:eastAsia="宋体" w:cs="宋体"/>
                <w:color w:val="auto"/>
                <w:sz w:val="21"/>
                <w:szCs w:val="21"/>
                <w:highlight w:val="none"/>
              </w:rPr>
            </w:pPr>
          </w:p>
        </w:tc>
        <w:tc>
          <w:tcPr>
            <w:tcW w:w="2194" w:type="dxa"/>
            <w:tcBorders>
              <w:top w:val="single" w:color="auto" w:sz="4" w:space="0"/>
              <w:left w:val="single" w:color="auto" w:sz="4" w:space="0"/>
              <w:bottom w:val="single" w:color="auto" w:sz="4" w:space="0"/>
              <w:right w:val="single" w:color="auto" w:sz="4" w:space="0"/>
            </w:tcBorders>
            <w:noWrap w:val="0"/>
            <w:vAlign w:val="top"/>
          </w:tcPr>
          <w:p w14:paraId="2E12C20E">
            <w:pPr>
              <w:spacing w:line="360" w:lineRule="auto"/>
              <w:rPr>
                <w:rFonts w:hint="eastAsia" w:ascii="宋体" w:hAnsi="宋体" w:eastAsia="宋体" w:cs="宋体"/>
                <w:color w:val="auto"/>
                <w:sz w:val="21"/>
                <w:szCs w:val="21"/>
                <w:highlight w:val="none"/>
              </w:rPr>
            </w:pPr>
          </w:p>
        </w:tc>
        <w:tc>
          <w:tcPr>
            <w:tcW w:w="1184" w:type="dxa"/>
            <w:tcBorders>
              <w:top w:val="single" w:color="auto" w:sz="4" w:space="0"/>
              <w:left w:val="single" w:color="auto" w:sz="4" w:space="0"/>
              <w:bottom w:val="single" w:color="auto" w:sz="4" w:space="0"/>
              <w:right w:val="single" w:color="auto" w:sz="4" w:space="0"/>
            </w:tcBorders>
            <w:noWrap w:val="0"/>
            <w:vAlign w:val="top"/>
          </w:tcPr>
          <w:p w14:paraId="4CDF13E0">
            <w:pPr>
              <w:spacing w:line="360" w:lineRule="auto"/>
              <w:rPr>
                <w:rFonts w:hint="eastAsia" w:ascii="宋体" w:hAnsi="宋体" w:eastAsia="宋体" w:cs="宋体"/>
                <w:color w:val="auto"/>
                <w:sz w:val="21"/>
                <w:szCs w:val="21"/>
                <w:highlight w:val="none"/>
              </w:rPr>
            </w:pPr>
          </w:p>
        </w:tc>
        <w:tc>
          <w:tcPr>
            <w:tcW w:w="1184" w:type="dxa"/>
            <w:tcBorders>
              <w:top w:val="single" w:color="auto" w:sz="4" w:space="0"/>
              <w:left w:val="single" w:color="auto" w:sz="4" w:space="0"/>
              <w:bottom w:val="single" w:color="auto" w:sz="4" w:space="0"/>
              <w:right w:val="single" w:color="auto" w:sz="4" w:space="0"/>
            </w:tcBorders>
            <w:noWrap w:val="0"/>
            <w:vAlign w:val="center"/>
          </w:tcPr>
          <w:p w14:paraId="3866EC85">
            <w:pPr>
              <w:spacing w:line="360" w:lineRule="auto"/>
              <w:rPr>
                <w:rFonts w:hint="eastAsia" w:ascii="宋体" w:hAnsi="宋体" w:eastAsia="宋体" w:cs="宋体"/>
                <w:color w:val="auto"/>
                <w:sz w:val="21"/>
                <w:szCs w:val="21"/>
                <w:highlight w:val="none"/>
              </w:rPr>
            </w:pPr>
          </w:p>
        </w:tc>
      </w:tr>
      <w:tr w14:paraId="315B4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9095" w:type="dxa"/>
            <w:gridSpan w:val="7"/>
            <w:tcBorders>
              <w:top w:val="single" w:color="auto" w:sz="4" w:space="0"/>
              <w:left w:val="single" w:color="auto" w:sz="4" w:space="0"/>
              <w:bottom w:val="single" w:color="auto" w:sz="4" w:space="0"/>
              <w:right w:val="single" w:color="auto" w:sz="4" w:space="0"/>
            </w:tcBorders>
            <w:noWrap w:val="0"/>
            <w:vAlign w:val="center"/>
          </w:tcPr>
          <w:p w14:paraId="78F0C15A">
            <w:pPr>
              <w:snapToGrid w:val="0"/>
              <w:spacing w:before="50" w:after="5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合计金额大写：人民币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tc>
      </w:tr>
    </w:tbl>
    <w:p w14:paraId="75591CF3">
      <w:pPr>
        <w:snapToGrid w:val="0"/>
        <w:spacing w:before="50" w:after="50" w:line="360" w:lineRule="auto"/>
        <w:jc w:val="left"/>
        <w:rPr>
          <w:rFonts w:hint="eastAsia" w:ascii="宋体" w:hAnsi="宋体" w:eastAsia="宋体" w:cs="宋体"/>
          <w:color w:val="auto"/>
          <w:sz w:val="21"/>
          <w:szCs w:val="21"/>
          <w:highlight w:val="none"/>
        </w:rPr>
      </w:pPr>
    </w:p>
    <w:p w14:paraId="62E711D6">
      <w:pPr>
        <w:snapToGrid w:val="0"/>
        <w:spacing w:before="50" w:after="50"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注: </w:t>
      </w:r>
    </w:p>
    <w:p w14:paraId="34761E9E">
      <w:pPr>
        <w:snapToGrid w:val="0"/>
        <w:spacing w:before="50" w:after="5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1.供应商的报价表必须加盖供应商公章并由法定代表人或者委托代理人签字，</w:t>
      </w:r>
      <w:r>
        <w:rPr>
          <w:rFonts w:hint="eastAsia" w:ascii="宋体" w:hAnsi="宋体" w:eastAsia="宋体" w:cs="宋体"/>
          <w:b/>
          <w:color w:val="auto"/>
          <w:sz w:val="21"/>
          <w:szCs w:val="21"/>
          <w:highlight w:val="none"/>
        </w:rPr>
        <w:t>否则其响应文件按无效响应处理</w:t>
      </w:r>
      <w:r>
        <w:rPr>
          <w:rFonts w:hint="eastAsia" w:ascii="宋体" w:hAnsi="宋体" w:eastAsia="宋体" w:cs="宋体"/>
          <w:color w:val="auto"/>
          <w:sz w:val="21"/>
          <w:szCs w:val="21"/>
          <w:highlight w:val="none"/>
        </w:rPr>
        <w:t>。</w:t>
      </w:r>
    </w:p>
    <w:p w14:paraId="12330549">
      <w:pPr>
        <w:snapToGrid w:val="0"/>
        <w:spacing w:before="50" w:after="50" w:line="360" w:lineRule="auto"/>
        <w:ind w:firstLine="420" w:firstLineChars="200"/>
        <w:jc w:val="left"/>
        <w:rPr>
          <w:rFonts w:hint="eastAsia" w:ascii="宋体" w:hAnsi="宋体" w:eastAsia="宋体" w:cs="宋体"/>
          <w:b/>
          <w:color w:val="auto"/>
          <w:sz w:val="21"/>
          <w:szCs w:val="21"/>
          <w:highlight w:val="none"/>
        </w:rPr>
      </w:pPr>
      <w:r>
        <w:rPr>
          <w:rFonts w:hint="eastAsia" w:ascii="宋体" w:hAnsi="宋体" w:eastAsia="宋体" w:cs="宋体"/>
          <w:bCs/>
          <w:color w:val="auto"/>
          <w:sz w:val="21"/>
          <w:szCs w:val="21"/>
          <w:highlight w:val="none"/>
        </w:rPr>
        <w:t>2.</w:t>
      </w:r>
      <w:r>
        <w:rPr>
          <w:rFonts w:hint="eastAsia" w:ascii="宋体" w:hAnsi="宋体" w:eastAsia="宋体" w:cs="宋体"/>
          <w:color w:val="auto"/>
          <w:sz w:val="21"/>
          <w:szCs w:val="21"/>
          <w:highlight w:val="none"/>
        </w:rPr>
        <w:t>报价一经涂改，应在涂改处加盖供应商公章或者由法定代表人或者委托代理人签字或者盖章</w:t>
      </w:r>
      <w:r>
        <w:rPr>
          <w:rFonts w:hint="eastAsia" w:ascii="宋体" w:hAnsi="宋体" w:eastAsia="宋体" w:cs="宋体"/>
          <w:b/>
          <w:color w:val="auto"/>
          <w:sz w:val="21"/>
          <w:szCs w:val="21"/>
          <w:highlight w:val="none"/>
        </w:rPr>
        <w:t>，否则其响应文件按无效响应处理。</w:t>
      </w:r>
    </w:p>
    <w:p w14:paraId="66C4824F">
      <w:pPr>
        <w:snapToGrid w:val="0"/>
        <w:spacing w:before="50" w:after="50" w:line="360" w:lineRule="auto"/>
        <w:ind w:firstLine="422" w:firstLineChars="200"/>
        <w:jc w:val="left"/>
        <w:rPr>
          <w:rFonts w:hint="eastAsia" w:ascii="宋体" w:hAnsi="宋体" w:eastAsia="宋体" w:cs="宋体"/>
          <w:b/>
          <w:color w:val="auto"/>
          <w:sz w:val="21"/>
          <w:szCs w:val="21"/>
          <w:highlight w:val="none"/>
        </w:rPr>
      </w:pPr>
    </w:p>
    <w:p w14:paraId="2F4AE36C">
      <w:pPr>
        <w:snapToGrid w:val="0"/>
        <w:spacing w:before="50" w:after="50" w:line="360" w:lineRule="auto"/>
        <w:ind w:right="-817" w:rightChars="-389" w:firstLine="840" w:firstLine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法定代表人或者委托代理人（签字）：                    </w:t>
      </w:r>
    </w:p>
    <w:p w14:paraId="174DAE3A">
      <w:pPr>
        <w:snapToGrid w:val="0"/>
        <w:spacing w:before="50" w:after="50" w:line="360" w:lineRule="auto"/>
        <w:ind w:right="-817" w:rightChars="-389" w:firstLine="2310" w:firstLineChars="1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供应商（盖公章）：      </w:t>
      </w:r>
    </w:p>
    <w:p w14:paraId="72F52C41">
      <w:pPr>
        <w:snapToGrid w:val="0"/>
        <w:spacing w:before="50" w:after="50" w:line="360" w:lineRule="auto"/>
        <w:ind w:right="-817" w:rightChars="-389" w:firstLine="3570" w:firstLineChars="170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日期：   年   月   日</w:t>
      </w:r>
    </w:p>
    <w:p w14:paraId="35939712">
      <w:pPr>
        <w:spacing w:before="312" w:beforeLines="100" w:after="156" w:afterLines="50" w:line="360" w:lineRule="auto"/>
        <w:ind w:left="540"/>
        <w:jc w:val="center"/>
        <w:rPr>
          <w:rFonts w:hint="eastAsia" w:ascii="宋体" w:hAnsi="宋体" w:eastAsia="宋体" w:cs="宋体"/>
          <w:color w:val="auto"/>
          <w:sz w:val="32"/>
          <w:szCs w:val="32"/>
          <w:highlight w:val="none"/>
        </w:rPr>
      </w:pPr>
      <w:r>
        <w:rPr>
          <w:rFonts w:hint="eastAsia" w:ascii="宋体" w:hAnsi="宋体" w:eastAsia="宋体" w:cs="宋体"/>
          <w:b/>
          <w:color w:val="auto"/>
          <w:sz w:val="21"/>
          <w:szCs w:val="21"/>
          <w:highlight w:val="none"/>
        </w:rPr>
        <w:br w:type="page"/>
      </w:r>
      <w:r>
        <w:rPr>
          <w:rFonts w:hint="eastAsia" w:ascii="宋体" w:hAnsi="宋体" w:eastAsia="宋体" w:cs="宋体"/>
          <w:bCs/>
          <w:color w:val="auto"/>
          <w:sz w:val="44"/>
          <w:szCs w:val="44"/>
          <w:highlight w:val="none"/>
        </w:rPr>
        <w:t>法定代表人证明书</w:t>
      </w:r>
    </w:p>
    <w:p w14:paraId="319658E5">
      <w:pPr>
        <w:spacing w:line="360" w:lineRule="auto"/>
        <w:ind w:left="540"/>
        <w:rPr>
          <w:rFonts w:hint="eastAsia" w:ascii="宋体" w:hAnsi="宋体" w:eastAsia="宋体" w:cs="宋体"/>
          <w:color w:val="auto"/>
          <w:sz w:val="32"/>
          <w:szCs w:val="32"/>
          <w:highlight w:val="none"/>
        </w:rPr>
      </w:pPr>
    </w:p>
    <w:p w14:paraId="149A1F7C">
      <w:pPr>
        <w:spacing w:line="360" w:lineRule="auto"/>
        <w:ind w:left="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供应商名称：</w:t>
      </w:r>
      <w:r>
        <w:rPr>
          <w:rFonts w:hint="eastAsia" w:ascii="宋体" w:hAnsi="宋体" w:eastAsia="宋体" w:cs="宋体"/>
          <w:color w:val="auto"/>
          <w:sz w:val="21"/>
          <w:szCs w:val="21"/>
          <w:highlight w:val="none"/>
          <w:u w:val="single"/>
        </w:rPr>
        <w:t xml:space="preserve">                                                        </w:t>
      </w:r>
    </w:p>
    <w:p w14:paraId="498EE8D9">
      <w:pPr>
        <w:spacing w:line="360" w:lineRule="auto"/>
        <w:ind w:left="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u w:val="single"/>
        </w:rPr>
        <w:t xml:space="preserve">                                                        </w:t>
      </w:r>
    </w:p>
    <w:p w14:paraId="14DDAC6E">
      <w:pPr>
        <w:spacing w:line="360" w:lineRule="auto"/>
        <w:ind w:left="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    名：</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性     别：</w:t>
      </w:r>
      <w:r>
        <w:rPr>
          <w:rFonts w:hint="eastAsia" w:ascii="宋体" w:hAnsi="宋体" w:eastAsia="宋体" w:cs="宋体"/>
          <w:color w:val="auto"/>
          <w:sz w:val="21"/>
          <w:szCs w:val="21"/>
          <w:highlight w:val="none"/>
          <w:u w:val="single"/>
        </w:rPr>
        <w:t xml:space="preserve">                </w:t>
      </w:r>
    </w:p>
    <w:p w14:paraId="7DBDFECA">
      <w:pPr>
        <w:spacing w:line="360" w:lineRule="auto"/>
        <w:ind w:left="54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年    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20C15C30">
      <w:pPr>
        <w:spacing w:line="360" w:lineRule="auto"/>
        <w:ind w:left="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身份证号码：</w:t>
      </w:r>
      <w:r>
        <w:rPr>
          <w:rFonts w:hint="eastAsia" w:ascii="宋体" w:hAnsi="宋体" w:eastAsia="宋体" w:cs="宋体"/>
          <w:color w:val="auto"/>
          <w:sz w:val="21"/>
          <w:szCs w:val="21"/>
          <w:highlight w:val="none"/>
          <w:u w:val="single"/>
        </w:rPr>
        <w:t xml:space="preserve">                                        </w:t>
      </w:r>
    </w:p>
    <w:p w14:paraId="3438EE7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系</w:t>
      </w:r>
      <w:r>
        <w:rPr>
          <w:rFonts w:hint="eastAsia" w:ascii="宋体" w:hAnsi="宋体" w:eastAsia="宋体" w:cs="宋体"/>
          <w:color w:val="auto"/>
          <w:sz w:val="21"/>
          <w:szCs w:val="21"/>
          <w:highlight w:val="none"/>
          <w:u w:val="single"/>
        </w:rPr>
        <w:t>（供应商名称）</w:t>
      </w:r>
      <w:r>
        <w:rPr>
          <w:rFonts w:hint="eastAsia" w:ascii="宋体" w:hAnsi="宋体" w:eastAsia="宋体" w:cs="宋体"/>
          <w:color w:val="auto"/>
          <w:sz w:val="21"/>
          <w:szCs w:val="21"/>
          <w:highlight w:val="none"/>
        </w:rPr>
        <w:t>的法定代表人。</w:t>
      </w:r>
    </w:p>
    <w:p w14:paraId="1CC5FF3C">
      <w:pPr>
        <w:spacing w:line="360" w:lineRule="auto"/>
        <w:ind w:left="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特此证明。</w:t>
      </w:r>
    </w:p>
    <w:p w14:paraId="2B0DB661">
      <w:pPr>
        <w:spacing w:line="360" w:lineRule="auto"/>
        <w:ind w:left="540"/>
        <w:rPr>
          <w:rFonts w:hint="eastAsia" w:ascii="宋体" w:hAnsi="宋体" w:eastAsia="宋体" w:cs="宋体"/>
          <w:color w:val="auto"/>
          <w:sz w:val="21"/>
          <w:szCs w:val="21"/>
          <w:highlight w:val="none"/>
        </w:rPr>
      </w:pPr>
    </w:p>
    <w:p w14:paraId="7A0830D6">
      <w:pPr>
        <w:spacing w:line="360" w:lineRule="auto"/>
        <w:ind w:left="540"/>
        <w:rPr>
          <w:rFonts w:hint="eastAsia" w:ascii="宋体" w:hAnsi="宋体" w:eastAsia="宋体" w:cs="宋体"/>
          <w:color w:val="auto"/>
          <w:sz w:val="21"/>
          <w:szCs w:val="21"/>
          <w:highlight w:val="none"/>
        </w:rPr>
      </w:pPr>
    </w:p>
    <w:p w14:paraId="37307DDE">
      <w:pPr>
        <w:spacing w:line="360" w:lineRule="auto"/>
        <w:ind w:left="540"/>
        <w:rPr>
          <w:rFonts w:hint="eastAsia" w:ascii="宋体" w:hAnsi="宋体" w:eastAsia="宋体" w:cs="宋体"/>
          <w:color w:val="auto"/>
          <w:sz w:val="21"/>
          <w:szCs w:val="21"/>
          <w:highlight w:val="none"/>
        </w:rPr>
      </w:pPr>
    </w:p>
    <w:p w14:paraId="294BDAFE">
      <w:pPr>
        <w:spacing w:line="360" w:lineRule="auto"/>
        <w:ind w:left="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附件：法定代表人有效身份证正反面复印件</w:t>
      </w:r>
    </w:p>
    <w:p w14:paraId="2589B944">
      <w:pPr>
        <w:spacing w:line="360" w:lineRule="auto"/>
        <w:ind w:left="540"/>
        <w:rPr>
          <w:rFonts w:hint="eastAsia" w:ascii="宋体" w:hAnsi="宋体" w:eastAsia="宋体" w:cs="宋体"/>
          <w:color w:val="auto"/>
          <w:sz w:val="21"/>
          <w:szCs w:val="21"/>
          <w:highlight w:val="none"/>
        </w:rPr>
      </w:pPr>
    </w:p>
    <w:p w14:paraId="20ABCD03">
      <w:pPr>
        <w:spacing w:line="360" w:lineRule="auto"/>
        <w:ind w:left="54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供应商（盖公章）：</w:t>
      </w:r>
      <w:r>
        <w:rPr>
          <w:rFonts w:hint="eastAsia" w:ascii="宋体" w:hAnsi="宋体" w:eastAsia="宋体" w:cs="宋体"/>
          <w:color w:val="auto"/>
          <w:sz w:val="21"/>
          <w:szCs w:val="21"/>
          <w:highlight w:val="none"/>
          <w:u w:val="single"/>
        </w:rPr>
        <w:t xml:space="preserve">               </w:t>
      </w:r>
    </w:p>
    <w:p w14:paraId="0EC0F2F1">
      <w:pPr>
        <w:snapToGrid w:val="0"/>
        <w:spacing w:before="156" w:beforeLines="50" w:after="50" w:line="360" w:lineRule="auto"/>
        <w:ind w:firstLine="3570" w:firstLineChars="17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14:paraId="2BF69B26">
      <w:pPr>
        <w:snapToGrid w:val="0"/>
        <w:spacing w:before="156" w:beforeLines="50" w:after="50" w:line="360" w:lineRule="auto"/>
        <w:jc w:val="center"/>
        <w:rPr>
          <w:rFonts w:hint="eastAsia" w:ascii="宋体" w:hAnsi="宋体" w:eastAsia="宋体" w:cs="宋体"/>
          <w:b/>
          <w:color w:val="auto"/>
          <w:sz w:val="21"/>
          <w:szCs w:val="21"/>
          <w:highlight w:val="none"/>
        </w:rPr>
      </w:pPr>
    </w:p>
    <w:p w14:paraId="4D8FBE69">
      <w:pPr>
        <w:snapToGrid w:val="0"/>
        <w:spacing w:before="156" w:beforeLines="50" w:after="50" w:line="360" w:lineRule="auto"/>
        <w:jc w:val="left"/>
        <w:rPr>
          <w:rFonts w:hint="eastAsia" w:ascii="宋体" w:hAnsi="宋体" w:eastAsia="宋体" w:cs="宋体"/>
          <w:color w:val="auto"/>
          <w:sz w:val="21"/>
          <w:szCs w:val="21"/>
          <w:highlight w:val="none"/>
        </w:rPr>
      </w:pPr>
    </w:p>
    <w:p w14:paraId="35A6A46C">
      <w:pPr>
        <w:snapToGrid w:val="0"/>
        <w:spacing w:before="156" w:beforeLines="50" w:after="50"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注：1.自然人竞标的无需提供，联合体竞标的只需牵头人出具。</w:t>
      </w:r>
    </w:p>
    <w:p w14:paraId="05022D9D">
      <w:pPr>
        <w:snapToGrid w:val="0"/>
        <w:spacing w:before="156" w:beforeLines="50" w:after="50" w:line="360" w:lineRule="auto"/>
        <w:ind w:firstLine="420" w:firstLineChars="200"/>
        <w:jc w:val="left"/>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332DD0C8">
      <w:pPr>
        <w:adjustRightInd w:val="0"/>
        <w:snapToGrid w:val="0"/>
        <w:spacing w:line="360" w:lineRule="auto"/>
        <w:jc w:val="left"/>
        <w:rPr>
          <w:rFonts w:hint="eastAsia" w:ascii="宋体" w:hAnsi="宋体" w:eastAsia="宋体" w:cs="宋体"/>
          <w:b/>
          <w:color w:val="auto"/>
          <w:szCs w:val="21"/>
          <w:highlight w:val="none"/>
        </w:rPr>
      </w:pPr>
    </w:p>
    <w:p w14:paraId="3AD79B20">
      <w:pPr>
        <w:spacing w:line="360" w:lineRule="auto"/>
        <w:jc w:val="cente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br w:type="page"/>
      </w:r>
      <w:r>
        <w:rPr>
          <w:rFonts w:hint="eastAsia" w:ascii="宋体" w:hAnsi="宋体" w:eastAsia="宋体" w:cs="宋体"/>
          <w:color w:val="auto"/>
          <w:sz w:val="44"/>
          <w:szCs w:val="44"/>
          <w:highlight w:val="none"/>
        </w:rPr>
        <w:t xml:space="preserve"> </w:t>
      </w:r>
    </w:p>
    <w:p w14:paraId="2876BED7">
      <w:pPr>
        <w:spacing w:line="360" w:lineRule="auto"/>
        <w:jc w:val="cente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法定代表人授权委托书（非联合体竞标格式）</w:t>
      </w:r>
    </w:p>
    <w:p w14:paraId="1AB3C6DA">
      <w:pPr>
        <w:spacing w:line="360" w:lineRule="auto"/>
        <w:jc w:val="cente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（如有委托时）</w:t>
      </w:r>
    </w:p>
    <w:p w14:paraId="72BD75F6">
      <w:pPr>
        <w:spacing w:line="360" w:lineRule="auto"/>
        <w:rPr>
          <w:rFonts w:hint="eastAsia" w:ascii="宋体" w:hAnsi="宋体" w:eastAsia="宋体" w:cs="宋体"/>
          <w:color w:val="auto"/>
          <w:sz w:val="32"/>
          <w:szCs w:val="32"/>
          <w:highlight w:val="none"/>
        </w:rPr>
      </w:pPr>
    </w:p>
    <w:p w14:paraId="56AF8E68">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致：</w:t>
      </w:r>
      <w:r>
        <w:rPr>
          <w:rFonts w:hint="eastAsia" w:ascii="宋体" w:hAnsi="宋体" w:eastAsia="宋体" w:cs="宋体"/>
          <w:color w:val="auto"/>
          <w:sz w:val="21"/>
          <w:szCs w:val="21"/>
          <w:highlight w:val="none"/>
          <w:u w:val="single"/>
        </w:rPr>
        <w:t>（采购人名称）</w:t>
      </w:r>
      <w:r>
        <w:rPr>
          <w:rFonts w:hint="eastAsia" w:ascii="宋体" w:hAnsi="宋体" w:eastAsia="宋体" w:cs="宋体"/>
          <w:color w:val="auto"/>
          <w:sz w:val="21"/>
          <w:szCs w:val="21"/>
          <w:highlight w:val="none"/>
        </w:rPr>
        <w:t>：</w:t>
      </w:r>
    </w:p>
    <w:p w14:paraId="57D7A4D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w:t>
      </w:r>
      <w:r>
        <w:rPr>
          <w:rFonts w:hint="eastAsia" w:ascii="宋体" w:hAnsi="宋体" w:eastAsia="宋体" w:cs="宋体"/>
          <w:color w:val="auto"/>
          <w:sz w:val="21"/>
          <w:szCs w:val="21"/>
          <w:highlight w:val="none"/>
          <w:u w:val="single"/>
        </w:rPr>
        <w:t xml:space="preserve">  （姓名）  </w:t>
      </w:r>
      <w:r>
        <w:rPr>
          <w:rFonts w:hint="eastAsia" w:ascii="宋体" w:hAnsi="宋体" w:eastAsia="宋体" w:cs="宋体"/>
          <w:color w:val="auto"/>
          <w:sz w:val="21"/>
          <w:szCs w:val="21"/>
          <w:highlight w:val="none"/>
        </w:rPr>
        <w:t>系</w:t>
      </w:r>
      <w:r>
        <w:rPr>
          <w:rFonts w:hint="eastAsia" w:ascii="宋体" w:hAnsi="宋体" w:eastAsia="宋体" w:cs="宋体"/>
          <w:color w:val="auto"/>
          <w:sz w:val="21"/>
          <w:szCs w:val="21"/>
          <w:highlight w:val="none"/>
          <w:u w:val="single"/>
        </w:rPr>
        <w:t xml:space="preserve">  （供应商名称）  </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u w:val="single"/>
        </w:rPr>
        <w:sym w:font="Wingdings 2" w:char="00A3"/>
      </w:r>
      <w:r>
        <w:rPr>
          <w:rFonts w:hint="eastAsia" w:ascii="宋体" w:hAnsi="宋体" w:eastAsia="宋体" w:cs="宋体"/>
          <w:color w:val="auto"/>
          <w:sz w:val="21"/>
          <w:szCs w:val="21"/>
          <w:highlight w:val="none"/>
          <w:u w:val="single"/>
        </w:rPr>
        <w:t>法定代表人/□负责人/□自然人本人</w:t>
      </w:r>
      <w:r>
        <w:rPr>
          <w:rFonts w:hint="eastAsia" w:ascii="宋体" w:hAnsi="宋体" w:eastAsia="宋体" w:cs="宋体"/>
          <w:color w:val="auto"/>
          <w:sz w:val="21"/>
          <w:szCs w:val="21"/>
          <w:highlight w:val="none"/>
        </w:rPr>
        <w:t>），现授权</w:t>
      </w:r>
      <w:r>
        <w:rPr>
          <w:rFonts w:hint="eastAsia" w:ascii="宋体" w:hAnsi="宋体" w:eastAsia="宋体" w:cs="宋体"/>
          <w:color w:val="auto"/>
          <w:sz w:val="21"/>
          <w:szCs w:val="21"/>
          <w:highlight w:val="none"/>
          <w:u w:val="single"/>
        </w:rPr>
        <w:t xml:space="preserve"> （姓名） </w:t>
      </w:r>
      <w:r>
        <w:rPr>
          <w:rFonts w:hint="eastAsia" w:ascii="宋体" w:hAnsi="宋体" w:eastAsia="宋体" w:cs="宋体"/>
          <w:color w:val="auto"/>
          <w:sz w:val="21"/>
          <w:szCs w:val="21"/>
          <w:highlight w:val="none"/>
        </w:rPr>
        <w:t>以我方的名义参加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项目的竞标活动，并代表我方全权办理针对上述项目的所有采购程序和环节的具体事务和签署相关文件。</w:t>
      </w:r>
    </w:p>
    <w:p w14:paraId="197D5AA6">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我方对委托代理人的签字事项负全部责任。</w:t>
      </w:r>
    </w:p>
    <w:p w14:paraId="575321F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本授权书自签署之日起生效，在撤销授权的书面通知以前，本授权书一直有效。委托代理人在授权书有效期内签署的所有文件不因授权的撤销而失效。</w:t>
      </w:r>
    </w:p>
    <w:p w14:paraId="657607B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委托代理人无转委托权，特此委托。</w:t>
      </w:r>
    </w:p>
    <w:p w14:paraId="0F723DA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附：法定代表人身份证明书及委托代理人有效身份证正反面复印件</w:t>
      </w:r>
    </w:p>
    <w:p w14:paraId="75E82D56">
      <w:pPr>
        <w:spacing w:line="360" w:lineRule="auto"/>
        <w:rPr>
          <w:rFonts w:hint="eastAsia" w:ascii="宋体" w:hAnsi="宋体" w:eastAsia="宋体" w:cs="宋体"/>
          <w:color w:val="auto"/>
          <w:sz w:val="21"/>
          <w:szCs w:val="21"/>
          <w:highlight w:val="none"/>
        </w:rPr>
      </w:pPr>
    </w:p>
    <w:p w14:paraId="44A1A73D">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委托代理人（签字）：         法定代表人（签字）：                    </w:t>
      </w:r>
    </w:p>
    <w:p w14:paraId="05E2172D">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委托代理人身份证号码：                              </w:t>
      </w:r>
    </w:p>
    <w:p w14:paraId="441EAF8E">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7591EE75">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供应商（盖公章）：                      </w:t>
      </w:r>
    </w:p>
    <w:p w14:paraId="27CEE8D3">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年    月    日</w:t>
      </w:r>
    </w:p>
    <w:p w14:paraId="379CEFF6">
      <w:pPr>
        <w:spacing w:line="360" w:lineRule="auto"/>
        <w:rPr>
          <w:rFonts w:hint="eastAsia" w:ascii="宋体" w:hAnsi="宋体" w:eastAsia="宋体" w:cs="宋体"/>
          <w:color w:val="auto"/>
          <w:sz w:val="21"/>
          <w:szCs w:val="21"/>
          <w:highlight w:val="none"/>
        </w:rPr>
      </w:pPr>
    </w:p>
    <w:p w14:paraId="0100AF73">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注：1.法定代表人和委托代理人必须在授权委托书上亲笔签名，不得使用印章、签名章或者其他电子制版签名代替；</w:t>
      </w:r>
    </w:p>
    <w:p w14:paraId="4EE116D6">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3D18732A">
      <w:pPr>
        <w:spacing w:line="360" w:lineRule="auto"/>
        <w:jc w:val="center"/>
        <w:rPr>
          <w:rFonts w:hint="eastAsia" w:ascii="宋体" w:hAnsi="宋体" w:eastAsia="宋体" w:cs="宋体"/>
          <w:bCs/>
          <w:color w:val="auto"/>
          <w:sz w:val="36"/>
          <w:szCs w:val="36"/>
          <w:highlight w:val="none"/>
        </w:rPr>
      </w:pPr>
      <w:r>
        <w:rPr>
          <w:rFonts w:hint="eastAsia" w:ascii="宋体" w:hAnsi="宋体" w:eastAsia="宋体" w:cs="宋体"/>
          <w:color w:val="auto"/>
          <w:sz w:val="21"/>
          <w:szCs w:val="21"/>
          <w:highlight w:val="none"/>
        </w:rPr>
        <w:br w:type="page"/>
      </w:r>
      <w:r>
        <w:rPr>
          <w:rFonts w:hint="eastAsia" w:ascii="宋体" w:hAnsi="宋体" w:eastAsia="宋体" w:cs="宋体"/>
          <w:bCs/>
          <w:color w:val="auto"/>
          <w:sz w:val="36"/>
          <w:szCs w:val="36"/>
          <w:highlight w:val="none"/>
        </w:rPr>
        <w:t>商务条款偏离表格式</w:t>
      </w:r>
    </w:p>
    <w:p w14:paraId="1D1F7CF3">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Cs/>
          <w:color w:val="auto"/>
          <w:sz w:val="36"/>
          <w:szCs w:val="36"/>
          <w:highlight w:val="none"/>
        </w:rPr>
        <w:t>(注：按采购需求具体条款修改)</w:t>
      </w:r>
    </w:p>
    <w:p w14:paraId="1259A4DD">
      <w:pPr>
        <w:snapToGrid w:val="0"/>
        <w:spacing w:before="50" w:line="360" w:lineRule="auto"/>
        <w:jc w:val="left"/>
        <w:rPr>
          <w:rFonts w:hint="eastAsia" w:ascii="宋体" w:hAnsi="宋体" w:eastAsia="宋体" w:cs="宋体"/>
          <w:color w:val="auto"/>
          <w:sz w:val="24"/>
          <w:highlight w:val="none"/>
        </w:rPr>
      </w:pPr>
    </w:p>
    <w:p w14:paraId="1E224420">
      <w:pPr>
        <w:pStyle w:val="15"/>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所竞分标：</w:t>
      </w:r>
      <w:r>
        <w:rPr>
          <w:rFonts w:hint="eastAsia" w:ascii="宋体" w:hAnsi="宋体" w:eastAsia="宋体" w:cs="宋体"/>
          <w:color w:val="auto"/>
          <w:sz w:val="21"/>
          <w:szCs w:val="21"/>
          <w:highlight w:val="none"/>
          <w:u w:val="single"/>
        </w:rPr>
        <w:t xml:space="preserve">              </w:t>
      </w:r>
    </w:p>
    <w:p w14:paraId="74DC1C6A">
      <w:pPr>
        <w:snapToGrid w:val="0"/>
        <w:spacing w:before="50" w:line="360" w:lineRule="auto"/>
        <w:jc w:val="left"/>
        <w:rPr>
          <w:rFonts w:hint="eastAsia" w:ascii="宋体" w:hAnsi="宋体" w:eastAsia="宋体" w:cs="宋体"/>
          <w:color w:val="auto"/>
          <w:sz w:val="21"/>
          <w:szCs w:val="21"/>
          <w:highlight w:val="none"/>
          <w:u w:val="single"/>
        </w:rPr>
      </w:pPr>
    </w:p>
    <w:tbl>
      <w:tblPr>
        <w:tblStyle w:val="23"/>
        <w:tblpPr w:leftFromText="180" w:rightFromText="180" w:vertAnchor="text" w:horzAnchor="margin" w:tblpY="-9"/>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78"/>
        <w:gridCol w:w="2668"/>
        <w:gridCol w:w="2350"/>
        <w:gridCol w:w="2112"/>
      </w:tblGrid>
      <w:tr w14:paraId="58AAB3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178" w:type="dxa"/>
            <w:tcBorders>
              <w:top w:val="single" w:color="auto" w:sz="4" w:space="0"/>
              <w:left w:val="single" w:color="auto" w:sz="4" w:space="0"/>
              <w:bottom w:val="single" w:color="auto" w:sz="4" w:space="0"/>
              <w:right w:val="single" w:color="auto" w:sz="4" w:space="0"/>
            </w:tcBorders>
            <w:noWrap w:val="0"/>
            <w:vAlign w:val="center"/>
          </w:tcPr>
          <w:p w14:paraId="4ED3F2BF">
            <w:pPr>
              <w:snapToGrid w:val="0"/>
              <w:spacing w:before="156" w:beforeLines="5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w:t>
            </w:r>
          </w:p>
        </w:tc>
        <w:tc>
          <w:tcPr>
            <w:tcW w:w="2668" w:type="dxa"/>
            <w:tcBorders>
              <w:top w:val="single" w:color="auto" w:sz="4" w:space="0"/>
              <w:left w:val="single" w:color="auto" w:sz="4" w:space="0"/>
              <w:bottom w:val="single" w:color="auto" w:sz="4" w:space="0"/>
              <w:right w:val="single" w:color="auto" w:sz="4" w:space="0"/>
            </w:tcBorders>
            <w:noWrap w:val="0"/>
            <w:vAlign w:val="center"/>
          </w:tcPr>
          <w:p w14:paraId="34F84620">
            <w:pPr>
              <w:snapToGrid w:val="0"/>
              <w:spacing w:before="156" w:beforeLines="5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磋商文件商务条款要求</w:t>
            </w:r>
          </w:p>
        </w:tc>
        <w:tc>
          <w:tcPr>
            <w:tcW w:w="2350" w:type="dxa"/>
            <w:tcBorders>
              <w:top w:val="single" w:color="auto" w:sz="4" w:space="0"/>
              <w:left w:val="single" w:color="auto" w:sz="4" w:space="0"/>
              <w:bottom w:val="single" w:color="auto" w:sz="4" w:space="0"/>
              <w:right w:val="single" w:color="auto" w:sz="4" w:space="0"/>
            </w:tcBorders>
            <w:noWrap w:val="0"/>
            <w:vAlign w:val="center"/>
          </w:tcPr>
          <w:p w14:paraId="22878134">
            <w:pPr>
              <w:snapToGrid w:val="0"/>
              <w:spacing w:before="156" w:beforeLines="5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供应商的承诺</w:t>
            </w:r>
          </w:p>
        </w:tc>
        <w:tc>
          <w:tcPr>
            <w:tcW w:w="2112" w:type="dxa"/>
            <w:tcBorders>
              <w:top w:val="single" w:color="auto" w:sz="4" w:space="0"/>
              <w:left w:val="single" w:color="auto" w:sz="4" w:space="0"/>
              <w:bottom w:val="single" w:color="auto" w:sz="4" w:space="0"/>
              <w:right w:val="single" w:color="auto" w:sz="4" w:space="0"/>
            </w:tcBorders>
            <w:noWrap w:val="0"/>
            <w:vAlign w:val="center"/>
          </w:tcPr>
          <w:p w14:paraId="449FE077">
            <w:pPr>
              <w:snapToGrid w:val="0"/>
              <w:spacing w:before="156" w:beforeLines="5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偏离说明</w:t>
            </w:r>
          </w:p>
        </w:tc>
      </w:tr>
      <w:tr w14:paraId="528091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2178" w:type="dxa"/>
            <w:tcBorders>
              <w:top w:val="single" w:color="auto" w:sz="4" w:space="0"/>
              <w:left w:val="single" w:color="auto" w:sz="4" w:space="0"/>
              <w:bottom w:val="single" w:color="auto" w:sz="4" w:space="0"/>
              <w:right w:val="single" w:color="auto" w:sz="4" w:space="0"/>
            </w:tcBorders>
            <w:noWrap w:val="0"/>
            <w:vAlign w:val="center"/>
          </w:tcPr>
          <w:p w14:paraId="43D599C5">
            <w:pPr>
              <w:snapToGrid w:val="0"/>
              <w:spacing w:before="156" w:beforeLines="50" w:line="360" w:lineRule="auto"/>
              <w:jc w:val="center"/>
              <w:rPr>
                <w:rFonts w:hint="eastAsia" w:ascii="宋体" w:hAnsi="宋体" w:eastAsia="宋体" w:cs="宋体"/>
                <w:color w:val="auto"/>
                <w:sz w:val="21"/>
                <w:szCs w:val="21"/>
                <w:highlight w:val="none"/>
              </w:rPr>
            </w:pPr>
          </w:p>
        </w:tc>
        <w:tc>
          <w:tcPr>
            <w:tcW w:w="2668" w:type="dxa"/>
            <w:tcBorders>
              <w:top w:val="single" w:color="auto" w:sz="4" w:space="0"/>
              <w:left w:val="single" w:color="auto" w:sz="4" w:space="0"/>
              <w:bottom w:val="single" w:color="auto" w:sz="4" w:space="0"/>
              <w:right w:val="single" w:color="auto" w:sz="4" w:space="0"/>
            </w:tcBorders>
            <w:noWrap w:val="0"/>
            <w:vAlign w:val="center"/>
          </w:tcPr>
          <w:p w14:paraId="5D9A2D60">
            <w:pPr>
              <w:snapToGrid w:val="0"/>
              <w:spacing w:before="156" w:beforeLines="50" w:line="360" w:lineRule="auto"/>
              <w:jc w:val="center"/>
              <w:rPr>
                <w:rFonts w:hint="eastAsia" w:ascii="宋体" w:hAnsi="宋体" w:eastAsia="宋体" w:cs="宋体"/>
                <w:color w:val="auto"/>
                <w:sz w:val="21"/>
                <w:szCs w:val="21"/>
                <w:highlight w:val="none"/>
              </w:rPr>
            </w:pPr>
          </w:p>
        </w:tc>
        <w:tc>
          <w:tcPr>
            <w:tcW w:w="2350" w:type="dxa"/>
            <w:tcBorders>
              <w:top w:val="single" w:color="auto" w:sz="4" w:space="0"/>
              <w:left w:val="single" w:color="auto" w:sz="4" w:space="0"/>
              <w:bottom w:val="single" w:color="auto" w:sz="4" w:space="0"/>
              <w:right w:val="single" w:color="auto" w:sz="4" w:space="0"/>
            </w:tcBorders>
            <w:noWrap w:val="0"/>
            <w:vAlign w:val="center"/>
          </w:tcPr>
          <w:p w14:paraId="255A03A0">
            <w:pPr>
              <w:snapToGrid w:val="0"/>
              <w:spacing w:before="156" w:beforeLines="50" w:line="360" w:lineRule="auto"/>
              <w:jc w:val="center"/>
              <w:rPr>
                <w:rFonts w:hint="eastAsia" w:ascii="宋体" w:hAnsi="宋体" w:eastAsia="宋体" w:cs="宋体"/>
                <w:color w:val="auto"/>
                <w:sz w:val="21"/>
                <w:szCs w:val="21"/>
                <w:highlight w:val="none"/>
              </w:rPr>
            </w:pPr>
          </w:p>
        </w:tc>
        <w:tc>
          <w:tcPr>
            <w:tcW w:w="2112" w:type="dxa"/>
            <w:tcBorders>
              <w:top w:val="single" w:color="auto" w:sz="4" w:space="0"/>
              <w:left w:val="single" w:color="auto" w:sz="4" w:space="0"/>
              <w:bottom w:val="single" w:color="auto" w:sz="4" w:space="0"/>
              <w:right w:val="single" w:color="auto" w:sz="4" w:space="0"/>
            </w:tcBorders>
            <w:noWrap w:val="0"/>
            <w:vAlign w:val="center"/>
          </w:tcPr>
          <w:p w14:paraId="7207938A">
            <w:pPr>
              <w:snapToGrid w:val="0"/>
              <w:spacing w:before="156" w:beforeLines="50" w:line="360" w:lineRule="auto"/>
              <w:jc w:val="center"/>
              <w:rPr>
                <w:rFonts w:hint="eastAsia" w:ascii="宋体" w:hAnsi="宋体" w:eastAsia="宋体" w:cs="宋体"/>
                <w:color w:val="auto"/>
                <w:sz w:val="21"/>
                <w:szCs w:val="21"/>
                <w:highlight w:val="none"/>
              </w:rPr>
            </w:pPr>
          </w:p>
        </w:tc>
      </w:tr>
      <w:tr w14:paraId="3A4CDE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2178" w:type="dxa"/>
            <w:tcBorders>
              <w:top w:val="single" w:color="auto" w:sz="4" w:space="0"/>
              <w:left w:val="single" w:color="auto" w:sz="4" w:space="0"/>
              <w:bottom w:val="single" w:color="auto" w:sz="4" w:space="0"/>
              <w:right w:val="single" w:color="auto" w:sz="4" w:space="0"/>
            </w:tcBorders>
            <w:noWrap w:val="0"/>
            <w:vAlign w:val="center"/>
          </w:tcPr>
          <w:p w14:paraId="1F70F736">
            <w:pPr>
              <w:snapToGrid w:val="0"/>
              <w:spacing w:before="156" w:beforeLines="50" w:line="360" w:lineRule="auto"/>
              <w:jc w:val="center"/>
              <w:rPr>
                <w:rFonts w:hint="eastAsia" w:ascii="宋体" w:hAnsi="宋体" w:eastAsia="宋体" w:cs="宋体"/>
                <w:color w:val="auto"/>
                <w:sz w:val="21"/>
                <w:szCs w:val="21"/>
                <w:highlight w:val="none"/>
              </w:rPr>
            </w:pPr>
          </w:p>
        </w:tc>
        <w:tc>
          <w:tcPr>
            <w:tcW w:w="2668" w:type="dxa"/>
            <w:tcBorders>
              <w:top w:val="single" w:color="auto" w:sz="4" w:space="0"/>
              <w:left w:val="single" w:color="auto" w:sz="4" w:space="0"/>
              <w:bottom w:val="single" w:color="auto" w:sz="4" w:space="0"/>
              <w:right w:val="single" w:color="auto" w:sz="4" w:space="0"/>
            </w:tcBorders>
            <w:noWrap w:val="0"/>
            <w:vAlign w:val="center"/>
          </w:tcPr>
          <w:p w14:paraId="7C9214A5">
            <w:pPr>
              <w:snapToGrid w:val="0"/>
              <w:spacing w:before="156" w:beforeLines="50" w:line="360" w:lineRule="auto"/>
              <w:jc w:val="center"/>
              <w:rPr>
                <w:rFonts w:hint="eastAsia" w:ascii="宋体" w:hAnsi="宋体" w:eastAsia="宋体" w:cs="宋体"/>
                <w:color w:val="auto"/>
                <w:sz w:val="21"/>
                <w:szCs w:val="21"/>
                <w:highlight w:val="none"/>
              </w:rPr>
            </w:pPr>
          </w:p>
        </w:tc>
        <w:tc>
          <w:tcPr>
            <w:tcW w:w="2350" w:type="dxa"/>
            <w:tcBorders>
              <w:top w:val="single" w:color="auto" w:sz="4" w:space="0"/>
              <w:left w:val="single" w:color="auto" w:sz="4" w:space="0"/>
              <w:bottom w:val="single" w:color="auto" w:sz="4" w:space="0"/>
              <w:right w:val="single" w:color="auto" w:sz="4" w:space="0"/>
            </w:tcBorders>
            <w:noWrap w:val="0"/>
            <w:vAlign w:val="center"/>
          </w:tcPr>
          <w:p w14:paraId="06D98161">
            <w:pPr>
              <w:snapToGrid w:val="0"/>
              <w:spacing w:before="156" w:beforeLines="50" w:line="360" w:lineRule="auto"/>
              <w:ind w:left="43"/>
              <w:jc w:val="center"/>
              <w:rPr>
                <w:rFonts w:hint="eastAsia" w:ascii="宋体" w:hAnsi="宋体" w:eastAsia="宋体" w:cs="宋体"/>
                <w:color w:val="auto"/>
                <w:sz w:val="21"/>
                <w:szCs w:val="21"/>
                <w:highlight w:val="none"/>
              </w:rPr>
            </w:pPr>
          </w:p>
        </w:tc>
        <w:tc>
          <w:tcPr>
            <w:tcW w:w="2112" w:type="dxa"/>
            <w:tcBorders>
              <w:top w:val="single" w:color="auto" w:sz="4" w:space="0"/>
              <w:left w:val="single" w:color="auto" w:sz="4" w:space="0"/>
              <w:bottom w:val="single" w:color="auto" w:sz="4" w:space="0"/>
              <w:right w:val="single" w:color="auto" w:sz="4" w:space="0"/>
            </w:tcBorders>
            <w:noWrap w:val="0"/>
            <w:vAlign w:val="center"/>
          </w:tcPr>
          <w:p w14:paraId="49991C26">
            <w:pPr>
              <w:snapToGrid w:val="0"/>
              <w:spacing w:before="156" w:beforeLines="50" w:line="360" w:lineRule="auto"/>
              <w:ind w:left="43"/>
              <w:jc w:val="center"/>
              <w:rPr>
                <w:rFonts w:hint="eastAsia" w:ascii="宋体" w:hAnsi="宋体" w:eastAsia="宋体" w:cs="宋体"/>
                <w:color w:val="auto"/>
                <w:sz w:val="21"/>
                <w:szCs w:val="21"/>
                <w:highlight w:val="none"/>
              </w:rPr>
            </w:pPr>
          </w:p>
        </w:tc>
      </w:tr>
      <w:tr w14:paraId="356825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2178" w:type="dxa"/>
            <w:tcBorders>
              <w:top w:val="single" w:color="auto" w:sz="4" w:space="0"/>
              <w:left w:val="single" w:color="auto" w:sz="4" w:space="0"/>
              <w:bottom w:val="single" w:color="auto" w:sz="4" w:space="0"/>
              <w:right w:val="single" w:color="auto" w:sz="4" w:space="0"/>
            </w:tcBorders>
            <w:noWrap w:val="0"/>
            <w:vAlign w:val="center"/>
          </w:tcPr>
          <w:p w14:paraId="0EF9FA7A">
            <w:pPr>
              <w:snapToGrid w:val="0"/>
              <w:spacing w:before="156" w:beforeLines="50" w:line="360" w:lineRule="auto"/>
              <w:jc w:val="center"/>
              <w:rPr>
                <w:rFonts w:hint="eastAsia" w:ascii="宋体" w:hAnsi="宋体" w:eastAsia="宋体" w:cs="宋体"/>
                <w:color w:val="auto"/>
                <w:sz w:val="21"/>
                <w:szCs w:val="21"/>
                <w:highlight w:val="none"/>
              </w:rPr>
            </w:pPr>
          </w:p>
        </w:tc>
        <w:tc>
          <w:tcPr>
            <w:tcW w:w="2668" w:type="dxa"/>
            <w:tcBorders>
              <w:top w:val="single" w:color="auto" w:sz="4" w:space="0"/>
              <w:left w:val="single" w:color="auto" w:sz="4" w:space="0"/>
              <w:bottom w:val="single" w:color="auto" w:sz="4" w:space="0"/>
              <w:right w:val="single" w:color="auto" w:sz="4" w:space="0"/>
            </w:tcBorders>
            <w:noWrap w:val="0"/>
            <w:vAlign w:val="center"/>
          </w:tcPr>
          <w:p w14:paraId="50649246">
            <w:pPr>
              <w:snapToGrid w:val="0"/>
              <w:spacing w:before="156" w:beforeLines="50" w:line="360" w:lineRule="auto"/>
              <w:jc w:val="center"/>
              <w:rPr>
                <w:rFonts w:hint="eastAsia" w:ascii="宋体" w:hAnsi="宋体" w:eastAsia="宋体" w:cs="宋体"/>
                <w:color w:val="auto"/>
                <w:sz w:val="21"/>
                <w:szCs w:val="21"/>
                <w:highlight w:val="none"/>
              </w:rPr>
            </w:pPr>
          </w:p>
        </w:tc>
        <w:tc>
          <w:tcPr>
            <w:tcW w:w="2350" w:type="dxa"/>
            <w:tcBorders>
              <w:top w:val="single" w:color="auto" w:sz="4" w:space="0"/>
              <w:left w:val="single" w:color="auto" w:sz="4" w:space="0"/>
              <w:bottom w:val="single" w:color="auto" w:sz="4" w:space="0"/>
              <w:right w:val="single" w:color="auto" w:sz="4" w:space="0"/>
            </w:tcBorders>
            <w:noWrap w:val="0"/>
            <w:vAlign w:val="center"/>
          </w:tcPr>
          <w:p w14:paraId="6F92CF44">
            <w:pPr>
              <w:snapToGrid w:val="0"/>
              <w:spacing w:before="156" w:beforeLines="50" w:line="360" w:lineRule="auto"/>
              <w:jc w:val="center"/>
              <w:rPr>
                <w:rFonts w:hint="eastAsia" w:ascii="宋体" w:hAnsi="宋体" w:eastAsia="宋体" w:cs="宋体"/>
                <w:color w:val="auto"/>
                <w:sz w:val="21"/>
                <w:szCs w:val="21"/>
                <w:highlight w:val="none"/>
              </w:rPr>
            </w:pPr>
          </w:p>
        </w:tc>
        <w:tc>
          <w:tcPr>
            <w:tcW w:w="2112" w:type="dxa"/>
            <w:tcBorders>
              <w:top w:val="single" w:color="auto" w:sz="4" w:space="0"/>
              <w:left w:val="single" w:color="auto" w:sz="4" w:space="0"/>
              <w:bottom w:val="single" w:color="auto" w:sz="4" w:space="0"/>
              <w:right w:val="single" w:color="auto" w:sz="4" w:space="0"/>
            </w:tcBorders>
            <w:noWrap w:val="0"/>
            <w:vAlign w:val="center"/>
          </w:tcPr>
          <w:p w14:paraId="2576CF18">
            <w:pPr>
              <w:snapToGrid w:val="0"/>
              <w:spacing w:before="156" w:beforeLines="50" w:line="360" w:lineRule="auto"/>
              <w:jc w:val="center"/>
              <w:rPr>
                <w:rFonts w:hint="eastAsia" w:ascii="宋体" w:hAnsi="宋体" w:eastAsia="宋体" w:cs="宋体"/>
                <w:color w:val="auto"/>
                <w:sz w:val="21"/>
                <w:szCs w:val="21"/>
                <w:highlight w:val="none"/>
              </w:rPr>
            </w:pPr>
          </w:p>
        </w:tc>
      </w:tr>
      <w:tr w14:paraId="1D5E23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78" w:type="dxa"/>
            <w:tcBorders>
              <w:top w:val="single" w:color="auto" w:sz="4" w:space="0"/>
              <w:left w:val="single" w:color="auto" w:sz="4" w:space="0"/>
              <w:bottom w:val="single" w:color="auto" w:sz="4" w:space="0"/>
              <w:right w:val="single" w:color="auto" w:sz="4" w:space="0"/>
            </w:tcBorders>
            <w:noWrap w:val="0"/>
            <w:vAlign w:val="center"/>
          </w:tcPr>
          <w:p w14:paraId="1C443186">
            <w:pPr>
              <w:snapToGrid w:val="0"/>
              <w:spacing w:before="156" w:beforeLines="5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2668" w:type="dxa"/>
            <w:tcBorders>
              <w:top w:val="single" w:color="auto" w:sz="4" w:space="0"/>
              <w:left w:val="single" w:color="auto" w:sz="4" w:space="0"/>
              <w:bottom w:val="single" w:color="auto" w:sz="4" w:space="0"/>
              <w:right w:val="single" w:color="auto" w:sz="4" w:space="0"/>
            </w:tcBorders>
            <w:noWrap w:val="0"/>
            <w:vAlign w:val="center"/>
          </w:tcPr>
          <w:p w14:paraId="5D7EB0EA">
            <w:pPr>
              <w:snapToGrid w:val="0"/>
              <w:spacing w:before="156" w:beforeLines="50" w:line="360" w:lineRule="auto"/>
              <w:jc w:val="center"/>
              <w:rPr>
                <w:rFonts w:hint="eastAsia" w:ascii="宋体" w:hAnsi="宋体" w:eastAsia="宋体" w:cs="宋体"/>
                <w:color w:val="auto"/>
                <w:sz w:val="21"/>
                <w:szCs w:val="21"/>
                <w:highlight w:val="none"/>
              </w:rPr>
            </w:pPr>
          </w:p>
        </w:tc>
        <w:tc>
          <w:tcPr>
            <w:tcW w:w="2350" w:type="dxa"/>
            <w:tcBorders>
              <w:top w:val="single" w:color="auto" w:sz="4" w:space="0"/>
              <w:left w:val="single" w:color="auto" w:sz="4" w:space="0"/>
              <w:bottom w:val="single" w:color="auto" w:sz="4" w:space="0"/>
              <w:right w:val="single" w:color="auto" w:sz="4" w:space="0"/>
            </w:tcBorders>
            <w:noWrap w:val="0"/>
            <w:vAlign w:val="center"/>
          </w:tcPr>
          <w:p w14:paraId="10B46A6B">
            <w:pPr>
              <w:snapToGrid w:val="0"/>
              <w:spacing w:before="156" w:beforeLines="50" w:line="360" w:lineRule="auto"/>
              <w:jc w:val="center"/>
              <w:rPr>
                <w:rFonts w:hint="eastAsia" w:ascii="宋体" w:hAnsi="宋体" w:eastAsia="宋体" w:cs="宋体"/>
                <w:color w:val="auto"/>
                <w:sz w:val="21"/>
                <w:szCs w:val="21"/>
                <w:highlight w:val="none"/>
              </w:rPr>
            </w:pPr>
          </w:p>
        </w:tc>
        <w:tc>
          <w:tcPr>
            <w:tcW w:w="2112" w:type="dxa"/>
            <w:tcBorders>
              <w:top w:val="single" w:color="auto" w:sz="4" w:space="0"/>
              <w:left w:val="single" w:color="auto" w:sz="4" w:space="0"/>
              <w:bottom w:val="single" w:color="auto" w:sz="4" w:space="0"/>
              <w:right w:val="single" w:color="auto" w:sz="4" w:space="0"/>
            </w:tcBorders>
            <w:noWrap w:val="0"/>
            <w:vAlign w:val="center"/>
          </w:tcPr>
          <w:p w14:paraId="0DDE5BD3">
            <w:pPr>
              <w:snapToGrid w:val="0"/>
              <w:spacing w:before="156" w:beforeLines="50" w:line="360" w:lineRule="auto"/>
              <w:jc w:val="center"/>
              <w:rPr>
                <w:rFonts w:hint="eastAsia" w:ascii="宋体" w:hAnsi="宋体" w:eastAsia="宋体" w:cs="宋体"/>
                <w:color w:val="auto"/>
                <w:sz w:val="21"/>
                <w:szCs w:val="21"/>
                <w:highlight w:val="none"/>
              </w:rPr>
            </w:pPr>
          </w:p>
        </w:tc>
      </w:tr>
    </w:tbl>
    <w:p w14:paraId="000AE750">
      <w:pPr>
        <w:pStyle w:val="9"/>
        <w:spacing w:line="360" w:lineRule="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注：</w:t>
      </w:r>
      <w:r>
        <w:rPr>
          <w:rFonts w:hint="eastAsia" w:ascii="宋体" w:hAnsi="宋体" w:eastAsia="宋体" w:cs="宋体"/>
          <w:color w:val="auto"/>
          <w:kern w:val="0"/>
          <w:sz w:val="21"/>
          <w:szCs w:val="21"/>
          <w:highlight w:val="none"/>
          <w:lang w:eastAsia="zh-CN"/>
        </w:rPr>
        <w:t>本表可自行扩展</w:t>
      </w:r>
    </w:p>
    <w:p w14:paraId="428CFAD5">
      <w:pPr>
        <w:pStyle w:val="9"/>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 说明：应对照磋商文件“第三章 采购需求”中的商务条款逐条实质性响应，并作出偏离说明。</w:t>
      </w:r>
    </w:p>
    <w:p w14:paraId="53A7FC10">
      <w:pPr>
        <w:snapToGrid w:val="0"/>
        <w:spacing w:before="50" w:line="360" w:lineRule="auto"/>
        <w:jc w:val="left"/>
        <w:rPr>
          <w:rFonts w:hint="eastAsia" w:ascii="宋体" w:hAnsi="宋体" w:eastAsia="宋体" w:cs="宋体"/>
          <w:color w:val="auto"/>
          <w:sz w:val="21"/>
          <w:szCs w:val="21"/>
          <w:highlight w:val="none"/>
          <w:u w:val="single"/>
        </w:rPr>
      </w:pPr>
      <w:r>
        <w:rPr>
          <w:rFonts w:hint="eastAsia" w:ascii="宋体" w:hAnsi="宋体" w:eastAsia="宋体" w:cs="宋体"/>
          <w:color w:val="auto"/>
          <w:kern w:val="0"/>
          <w:sz w:val="21"/>
          <w:szCs w:val="21"/>
          <w:highlight w:val="none"/>
        </w:rPr>
        <w:t>2.供应商应根据自身的承诺，对照磋商文件要求在“偏离说明”中注明“正偏离”、“负偏离”或者“无偏离”。既不属于“正偏离”也不属于“负偏离”即为“无偏离”。</w:t>
      </w:r>
    </w:p>
    <w:p w14:paraId="240203CD">
      <w:pPr>
        <w:snapToGrid w:val="0"/>
        <w:spacing w:before="50" w:after="50" w:line="360" w:lineRule="auto"/>
        <w:ind w:right="-817" w:rightChars="-389"/>
        <w:rPr>
          <w:rFonts w:hint="eastAsia" w:ascii="宋体" w:hAnsi="宋体" w:eastAsia="宋体" w:cs="宋体"/>
          <w:color w:val="auto"/>
          <w:sz w:val="21"/>
          <w:szCs w:val="21"/>
          <w:highlight w:val="none"/>
        </w:rPr>
      </w:pPr>
    </w:p>
    <w:p w14:paraId="3DD3A230">
      <w:pPr>
        <w:snapToGrid w:val="0"/>
        <w:spacing w:before="50" w:after="50" w:line="360" w:lineRule="auto"/>
        <w:ind w:right="-817" w:rightChars="-389" w:firstLine="840" w:firstLine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法定代表人或者委托代理人（签字）：                    </w:t>
      </w:r>
    </w:p>
    <w:p w14:paraId="5A22A1EA">
      <w:pPr>
        <w:snapToGrid w:val="0"/>
        <w:spacing w:before="50" w:after="50" w:line="360" w:lineRule="auto"/>
        <w:ind w:right="-817" w:rightChars="-389" w:firstLine="2310" w:firstLineChars="1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供应商（盖公章）：      </w:t>
      </w:r>
    </w:p>
    <w:p w14:paraId="2408084C">
      <w:pPr>
        <w:snapToGrid w:val="0"/>
        <w:spacing w:before="50" w:after="50" w:line="360" w:lineRule="auto"/>
        <w:ind w:right="-817" w:rightChars="-389" w:firstLine="3570" w:firstLineChars="1700"/>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日期：   年   月   日</w:t>
      </w:r>
    </w:p>
    <w:p w14:paraId="7097FF64">
      <w:pPr>
        <w:adjustRightInd w:val="0"/>
        <w:snapToGrid w:val="0"/>
        <w:spacing w:line="360" w:lineRule="auto"/>
        <w:ind w:firstLine="3360" w:firstLineChars="1600"/>
        <w:jc w:val="center"/>
        <w:rPr>
          <w:rFonts w:hint="eastAsia" w:ascii="宋体" w:hAnsi="宋体" w:eastAsia="宋体" w:cs="宋体"/>
          <w:bCs/>
          <w:color w:val="auto"/>
          <w:sz w:val="21"/>
          <w:szCs w:val="21"/>
          <w:highlight w:val="none"/>
        </w:rPr>
      </w:pPr>
    </w:p>
    <w:p w14:paraId="67DC876A">
      <w:pPr>
        <w:adjustRightInd w:val="0"/>
        <w:snapToGrid w:val="0"/>
        <w:spacing w:line="360" w:lineRule="auto"/>
        <w:ind w:firstLine="3360" w:firstLineChars="1600"/>
        <w:jc w:val="center"/>
        <w:rPr>
          <w:rFonts w:hint="eastAsia" w:ascii="宋体" w:hAnsi="宋体" w:eastAsia="宋体" w:cs="宋体"/>
          <w:bCs/>
          <w:color w:val="auto"/>
          <w:sz w:val="21"/>
          <w:szCs w:val="21"/>
          <w:highlight w:val="none"/>
        </w:rPr>
      </w:pPr>
    </w:p>
    <w:p w14:paraId="5C94F27B">
      <w:pPr>
        <w:adjustRightInd w:val="0"/>
        <w:snapToGrid w:val="0"/>
        <w:spacing w:line="360" w:lineRule="auto"/>
        <w:ind w:firstLine="7040" w:firstLineChars="1600"/>
        <w:jc w:val="center"/>
        <w:rPr>
          <w:rFonts w:hint="eastAsia" w:ascii="宋体" w:hAnsi="宋体" w:eastAsia="宋体" w:cs="宋体"/>
          <w:bCs/>
          <w:color w:val="auto"/>
          <w:sz w:val="44"/>
          <w:szCs w:val="44"/>
          <w:highlight w:val="none"/>
        </w:rPr>
      </w:pPr>
    </w:p>
    <w:p w14:paraId="2A66B446">
      <w:pPr>
        <w:adjustRightInd w:val="0"/>
        <w:snapToGrid w:val="0"/>
        <w:spacing w:line="360" w:lineRule="auto"/>
        <w:rPr>
          <w:rFonts w:hint="eastAsia" w:ascii="宋体" w:hAnsi="宋体" w:eastAsia="宋体" w:cs="宋体"/>
          <w:color w:val="auto"/>
          <w:szCs w:val="21"/>
          <w:highlight w:val="none"/>
          <w:u w:val="single"/>
        </w:rPr>
      </w:pPr>
    </w:p>
    <w:p w14:paraId="7920B12E">
      <w:pPr>
        <w:adjustRightInd w:val="0"/>
        <w:snapToGrid w:val="0"/>
        <w:spacing w:line="360" w:lineRule="auto"/>
        <w:rPr>
          <w:rFonts w:hint="eastAsia" w:ascii="宋体" w:hAnsi="宋体" w:eastAsia="宋体" w:cs="宋体"/>
          <w:color w:val="auto"/>
          <w:szCs w:val="21"/>
          <w:highlight w:val="none"/>
          <w:u w:val="single"/>
        </w:rPr>
      </w:pPr>
    </w:p>
    <w:p w14:paraId="05519201">
      <w:pPr>
        <w:adjustRightInd w:val="0"/>
        <w:snapToGrid w:val="0"/>
        <w:spacing w:line="360" w:lineRule="auto"/>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br w:type="page"/>
      </w:r>
      <w:r>
        <w:rPr>
          <w:rFonts w:hint="eastAsia" w:ascii="宋体" w:hAnsi="宋体" w:eastAsia="宋体" w:cs="宋体"/>
          <w:bCs/>
          <w:color w:val="auto"/>
          <w:sz w:val="44"/>
          <w:szCs w:val="44"/>
          <w:highlight w:val="none"/>
        </w:rPr>
        <w:t>技术需求偏离表</w:t>
      </w:r>
    </w:p>
    <w:p w14:paraId="26D82D19">
      <w:pPr>
        <w:spacing w:line="360" w:lineRule="auto"/>
        <w:rPr>
          <w:rFonts w:hint="eastAsia" w:ascii="宋体" w:hAnsi="宋体" w:eastAsia="宋体" w:cs="宋体"/>
          <w:color w:val="auto"/>
          <w:sz w:val="32"/>
          <w:szCs w:val="32"/>
          <w:highlight w:val="none"/>
        </w:rPr>
      </w:pPr>
    </w:p>
    <w:p w14:paraId="0105718D">
      <w:pPr>
        <w:spacing w:line="36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采购项目编号：</w:t>
      </w:r>
      <w:r>
        <w:rPr>
          <w:rFonts w:hint="eastAsia" w:ascii="宋体" w:hAnsi="宋体" w:eastAsia="宋体" w:cs="宋体"/>
          <w:color w:val="auto"/>
          <w:sz w:val="21"/>
          <w:szCs w:val="21"/>
          <w:highlight w:val="none"/>
          <w:u w:val="single"/>
        </w:rPr>
        <w:t xml:space="preserve">                 </w:t>
      </w:r>
    </w:p>
    <w:p w14:paraId="751F29FE">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采购项目名称：</w:t>
      </w:r>
      <w:r>
        <w:rPr>
          <w:rFonts w:hint="eastAsia" w:ascii="宋体" w:hAnsi="宋体" w:eastAsia="宋体" w:cs="宋体"/>
          <w:color w:val="auto"/>
          <w:sz w:val="21"/>
          <w:szCs w:val="21"/>
          <w:highlight w:val="none"/>
          <w:u w:val="single"/>
        </w:rPr>
        <w:t xml:space="preserve">                 </w:t>
      </w:r>
    </w:p>
    <w:p w14:paraId="2CFB58AC">
      <w:pPr>
        <w:spacing w:line="36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分标号：</w:t>
      </w:r>
      <w:r>
        <w:rPr>
          <w:rFonts w:hint="eastAsia" w:ascii="宋体" w:hAnsi="宋体" w:eastAsia="宋体" w:cs="宋体"/>
          <w:color w:val="auto"/>
          <w:sz w:val="21"/>
          <w:szCs w:val="21"/>
          <w:highlight w:val="none"/>
          <w:u w:val="single"/>
        </w:rPr>
        <w:t xml:space="preserve">                       </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51"/>
        <w:gridCol w:w="951"/>
        <w:gridCol w:w="3159"/>
        <w:gridCol w:w="2843"/>
        <w:gridCol w:w="1552"/>
      </w:tblGrid>
      <w:tr w14:paraId="0BB0B23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51" w:type="dxa"/>
            <w:noWrap w:val="0"/>
            <w:vAlign w:val="center"/>
          </w:tcPr>
          <w:p w14:paraId="2184F6E0">
            <w:pPr>
              <w:pStyle w:val="12"/>
              <w:spacing w:line="360" w:lineRule="auto"/>
              <w:ind w:firstLine="0" w:firstLineChars="0"/>
              <w:jc w:val="center"/>
              <w:rPr>
                <w:rFonts w:hint="eastAsia" w:ascii="宋体" w:hAnsi="宋体" w:eastAsia="宋体" w:cs="宋体"/>
                <w:color w:val="auto"/>
                <w:kern w:val="2"/>
                <w:sz w:val="21"/>
                <w:szCs w:val="21"/>
                <w:highlight w:val="none"/>
                <w:lang w:val="en-US" w:eastAsia="zh-CN"/>
              </w:rPr>
            </w:pPr>
            <w:bookmarkStart w:id="87" w:name="_Toc254970729"/>
            <w:bookmarkStart w:id="88" w:name="_Toc301781611"/>
            <w:bookmarkStart w:id="89" w:name="_Toc173066401"/>
            <w:bookmarkStart w:id="90" w:name="_Toc373333689"/>
            <w:bookmarkStart w:id="91" w:name="_Toc295404981"/>
            <w:bookmarkStart w:id="92" w:name="_Toc383699906"/>
            <w:bookmarkStart w:id="93" w:name="_Toc254970588"/>
            <w:bookmarkStart w:id="94" w:name="_Toc173211900"/>
            <w:bookmarkStart w:id="95" w:name="_Toc297193185"/>
            <w:r>
              <w:rPr>
                <w:rFonts w:hint="eastAsia" w:ascii="宋体" w:hAnsi="宋体" w:eastAsia="宋体" w:cs="宋体"/>
                <w:color w:val="auto"/>
                <w:kern w:val="2"/>
                <w:sz w:val="21"/>
                <w:szCs w:val="21"/>
                <w:highlight w:val="none"/>
                <w:lang w:val="en-US" w:eastAsia="zh-CN"/>
              </w:rPr>
              <w:t>序号</w:t>
            </w:r>
            <w:bookmarkEnd w:id="87"/>
            <w:bookmarkEnd w:id="88"/>
            <w:bookmarkEnd w:id="89"/>
            <w:bookmarkEnd w:id="90"/>
            <w:bookmarkEnd w:id="91"/>
            <w:bookmarkEnd w:id="92"/>
            <w:bookmarkEnd w:id="93"/>
            <w:bookmarkEnd w:id="94"/>
            <w:bookmarkEnd w:id="95"/>
          </w:p>
        </w:tc>
        <w:tc>
          <w:tcPr>
            <w:tcW w:w="951" w:type="dxa"/>
            <w:tcBorders>
              <w:right w:val="single" w:color="auto" w:sz="4" w:space="0"/>
            </w:tcBorders>
            <w:noWrap w:val="0"/>
            <w:vAlign w:val="center"/>
          </w:tcPr>
          <w:p w14:paraId="41AF889E">
            <w:pPr>
              <w:pStyle w:val="12"/>
              <w:spacing w:line="360" w:lineRule="auto"/>
              <w:ind w:firstLine="0" w:firstLineChars="0"/>
              <w:jc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名称</w:t>
            </w:r>
          </w:p>
        </w:tc>
        <w:tc>
          <w:tcPr>
            <w:tcW w:w="3159" w:type="dxa"/>
            <w:tcBorders>
              <w:left w:val="single" w:color="auto" w:sz="4" w:space="0"/>
            </w:tcBorders>
            <w:noWrap w:val="0"/>
            <w:vAlign w:val="center"/>
          </w:tcPr>
          <w:p w14:paraId="1A710C26">
            <w:pPr>
              <w:pStyle w:val="12"/>
              <w:spacing w:line="360" w:lineRule="auto"/>
              <w:ind w:firstLine="0" w:firstLineChars="0"/>
              <w:jc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磋商文件技术需求</w:t>
            </w:r>
          </w:p>
        </w:tc>
        <w:tc>
          <w:tcPr>
            <w:tcW w:w="2843" w:type="dxa"/>
            <w:noWrap w:val="0"/>
            <w:vAlign w:val="center"/>
          </w:tcPr>
          <w:p w14:paraId="12FCFC75">
            <w:pPr>
              <w:pStyle w:val="12"/>
              <w:spacing w:line="360" w:lineRule="auto"/>
              <w:ind w:firstLine="0" w:firstLineChars="0"/>
              <w:jc w:val="center"/>
              <w:rPr>
                <w:rFonts w:hint="eastAsia" w:ascii="宋体" w:hAnsi="宋体" w:eastAsia="宋体" w:cs="宋体"/>
                <w:color w:val="auto"/>
                <w:kern w:val="2"/>
                <w:sz w:val="21"/>
                <w:szCs w:val="21"/>
                <w:highlight w:val="none"/>
                <w:lang w:val="en-US" w:eastAsia="zh-CN"/>
              </w:rPr>
            </w:pPr>
            <w:bookmarkStart w:id="96" w:name="_Toc373333691"/>
            <w:bookmarkStart w:id="97" w:name="_Toc173066403"/>
            <w:bookmarkStart w:id="98" w:name="_Toc173211902"/>
            <w:bookmarkStart w:id="99" w:name="_Toc301781613"/>
            <w:bookmarkStart w:id="100" w:name="_Toc297193187"/>
            <w:bookmarkStart w:id="101" w:name="_Toc254970731"/>
            <w:bookmarkStart w:id="102" w:name="_Toc295404983"/>
            <w:bookmarkStart w:id="103" w:name="_Toc254970590"/>
            <w:bookmarkStart w:id="104" w:name="_Toc383699908"/>
            <w:r>
              <w:rPr>
                <w:rFonts w:hint="eastAsia" w:ascii="宋体" w:hAnsi="宋体" w:eastAsia="宋体" w:cs="宋体"/>
                <w:color w:val="auto"/>
                <w:kern w:val="2"/>
                <w:sz w:val="21"/>
                <w:szCs w:val="21"/>
                <w:highlight w:val="none"/>
                <w:lang w:val="en-US" w:eastAsia="zh-CN"/>
              </w:rPr>
              <w:t>竞标响应</w:t>
            </w:r>
            <w:bookmarkEnd w:id="96"/>
            <w:bookmarkEnd w:id="97"/>
            <w:bookmarkEnd w:id="98"/>
            <w:bookmarkEnd w:id="99"/>
            <w:bookmarkEnd w:id="100"/>
            <w:bookmarkEnd w:id="101"/>
            <w:bookmarkEnd w:id="102"/>
            <w:bookmarkEnd w:id="103"/>
            <w:bookmarkEnd w:id="104"/>
          </w:p>
        </w:tc>
        <w:tc>
          <w:tcPr>
            <w:tcW w:w="1552" w:type="dxa"/>
            <w:noWrap w:val="0"/>
            <w:vAlign w:val="center"/>
          </w:tcPr>
          <w:p w14:paraId="3AB00C2C">
            <w:pPr>
              <w:pStyle w:val="12"/>
              <w:spacing w:line="360" w:lineRule="auto"/>
              <w:ind w:firstLine="0" w:firstLineChars="0"/>
              <w:jc w:val="center"/>
              <w:rPr>
                <w:rFonts w:hint="eastAsia" w:ascii="宋体" w:hAnsi="宋体" w:eastAsia="宋体" w:cs="宋体"/>
                <w:color w:val="auto"/>
                <w:kern w:val="2"/>
                <w:sz w:val="21"/>
                <w:szCs w:val="21"/>
                <w:highlight w:val="none"/>
                <w:lang w:val="en-US" w:eastAsia="zh-CN"/>
              </w:rPr>
            </w:pPr>
            <w:bookmarkStart w:id="105" w:name="_Toc383699909"/>
            <w:bookmarkStart w:id="106" w:name="_Toc373333692"/>
            <w:bookmarkStart w:id="107" w:name="_Toc254970591"/>
            <w:bookmarkStart w:id="108" w:name="_Toc295404984"/>
            <w:bookmarkStart w:id="109" w:name="_Toc173211903"/>
            <w:bookmarkStart w:id="110" w:name="_Toc254970732"/>
            <w:bookmarkStart w:id="111" w:name="_Toc301781614"/>
            <w:bookmarkStart w:id="112" w:name="_Toc173066404"/>
            <w:bookmarkStart w:id="113" w:name="_Toc297193188"/>
            <w:r>
              <w:rPr>
                <w:rFonts w:hint="eastAsia" w:ascii="宋体" w:hAnsi="宋体" w:eastAsia="宋体" w:cs="宋体"/>
                <w:color w:val="auto"/>
                <w:kern w:val="2"/>
                <w:sz w:val="21"/>
                <w:szCs w:val="21"/>
                <w:highlight w:val="none"/>
                <w:lang w:val="en-US" w:eastAsia="zh-CN"/>
              </w:rPr>
              <w:t>偏离</w:t>
            </w:r>
            <w:bookmarkEnd w:id="105"/>
            <w:bookmarkEnd w:id="106"/>
            <w:bookmarkEnd w:id="107"/>
            <w:bookmarkEnd w:id="108"/>
            <w:bookmarkEnd w:id="109"/>
            <w:bookmarkEnd w:id="110"/>
            <w:bookmarkEnd w:id="111"/>
            <w:bookmarkEnd w:id="112"/>
            <w:bookmarkEnd w:id="113"/>
            <w:bookmarkStart w:id="114" w:name="_Toc301781615"/>
            <w:bookmarkStart w:id="115" w:name="_Toc383699910"/>
            <w:bookmarkStart w:id="116" w:name="_Toc297193189"/>
            <w:bookmarkStart w:id="117" w:name="_Toc373333693"/>
            <w:bookmarkStart w:id="118" w:name="_Toc173066405"/>
            <w:bookmarkStart w:id="119" w:name="_Toc254970733"/>
            <w:bookmarkStart w:id="120" w:name="_Toc254970592"/>
            <w:bookmarkStart w:id="121" w:name="_Toc295404985"/>
            <w:bookmarkStart w:id="122" w:name="_Toc173211904"/>
            <w:r>
              <w:rPr>
                <w:rFonts w:hint="eastAsia" w:ascii="宋体" w:hAnsi="宋体" w:eastAsia="宋体" w:cs="宋体"/>
                <w:color w:val="auto"/>
                <w:kern w:val="2"/>
                <w:sz w:val="21"/>
                <w:szCs w:val="21"/>
                <w:highlight w:val="none"/>
                <w:lang w:val="en-US" w:eastAsia="zh-CN"/>
              </w:rPr>
              <w:t>说明</w:t>
            </w:r>
            <w:bookmarkEnd w:id="114"/>
            <w:bookmarkEnd w:id="115"/>
            <w:bookmarkEnd w:id="116"/>
            <w:bookmarkEnd w:id="117"/>
            <w:bookmarkEnd w:id="118"/>
            <w:bookmarkEnd w:id="119"/>
            <w:bookmarkEnd w:id="120"/>
            <w:bookmarkEnd w:id="121"/>
            <w:bookmarkEnd w:id="122"/>
          </w:p>
        </w:tc>
      </w:tr>
      <w:tr w14:paraId="14E5AD1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51" w:type="dxa"/>
            <w:noWrap w:val="0"/>
            <w:vAlign w:val="center"/>
          </w:tcPr>
          <w:p w14:paraId="768CB523">
            <w:pPr>
              <w:pStyle w:val="12"/>
              <w:spacing w:line="360" w:lineRule="auto"/>
              <w:ind w:firstLine="0" w:firstLineChars="0"/>
              <w:jc w:val="center"/>
              <w:rPr>
                <w:rFonts w:hint="eastAsia" w:ascii="宋体" w:hAnsi="宋体" w:eastAsia="宋体" w:cs="宋体"/>
                <w:color w:val="auto"/>
                <w:kern w:val="2"/>
                <w:sz w:val="21"/>
                <w:szCs w:val="21"/>
                <w:highlight w:val="none"/>
                <w:lang w:val="en-US" w:eastAsia="zh-CN"/>
              </w:rPr>
            </w:pPr>
            <w:bookmarkStart w:id="123" w:name="_Toc295404986"/>
            <w:bookmarkStart w:id="124" w:name="_Toc297193190"/>
            <w:bookmarkStart w:id="125" w:name="_Toc383699911"/>
            <w:bookmarkStart w:id="126" w:name="_Toc254970593"/>
            <w:bookmarkStart w:id="127" w:name="_Toc301781616"/>
            <w:bookmarkStart w:id="128" w:name="_Toc173066406"/>
            <w:bookmarkStart w:id="129" w:name="_Toc373333694"/>
            <w:bookmarkStart w:id="130" w:name="_Toc254970734"/>
            <w:bookmarkStart w:id="131" w:name="_Toc173211905"/>
            <w:r>
              <w:rPr>
                <w:rFonts w:hint="eastAsia" w:ascii="宋体" w:hAnsi="宋体" w:eastAsia="宋体" w:cs="宋体"/>
                <w:color w:val="auto"/>
                <w:kern w:val="2"/>
                <w:sz w:val="21"/>
                <w:szCs w:val="21"/>
                <w:highlight w:val="none"/>
                <w:lang w:val="en-US" w:eastAsia="zh-CN"/>
              </w:rPr>
              <w:t>1</w:t>
            </w:r>
            <w:bookmarkEnd w:id="123"/>
            <w:bookmarkEnd w:id="124"/>
            <w:bookmarkEnd w:id="125"/>
            <w:bookmarkEnd w:id="126"/>
            <w:bookmarkEnd w:id="127"/>
            <w:bookmarkEnd w:id="128"/>
            <w:bookmarkEnd w:id="129"/>
            <w:bookmarkEnd w:id="130"/>
            <w:bookmarkEnd w:id="131"/>
          </w:p>
        </w:tc>
        <w:tc>
          <w:tcPr>
            <w:tcW w:w="951" w:type="dxa"/>
            <w:tcBorders>
              <w:right w:val="single" w:color="auto" w:sz="4" w:space="0"/>
            </w:tcBorders>
            <w:noWrap w:val="0"/>
            <w:vAlign w:val="center"/>
          </w:tcPr>
          <w:p w14:paraId="58DA1D1B">
            <w:pPr>
              <w:pStyle w:val="12"/>
              <w:spacing w:line="360" w:lineRule="auto"/>
              <w:ind w:firstLine="0" w:firstLineChars="0"/>
              <w:jc w:val="center"/>
              <w:rPr>
                <w:rFonts w:hint="eastAsia" w:ascii="宋体" w:hAnsi="宋体" w:eastAsia="宋体" w:cs="宋体"/>
                <w:color w:val="auto"/>
                <w:kern w:val="2"/>
                <w:sz w:val="21"/>
                <w:szCs w:val="21"/>
                <w:highlight w:val="none"/>
                <w:lang w:val="en-US" w:eastAsia="zh-CN"/>
              </w:rPr>
            </w:pPr>
          </w:p>
        </w:tc>
        <w:tc>
          <w:tcPr>
            <w:tcW w:w="3159" w:type="dxa"/>
            <w:tcBorders>
              <w:left w:val="single" w:color="auto" w:sz="4" w:space="0"/>
            </w:tcBorders>
            <w:noWrap w:val="0"/>
            <w:vAlign w:val="center"/>
          </w:tcPr>
          <w:p w14:paraId="563ED03E">
            <w:pPr>
              <w:pStyle w:val="12"/>
              <w:spacing w:line="360" w:lineRule="auto"/>
              <w:ind w:firstLine="0" w:firstLineChars="0"/>
              <w:jc w:val="center"/>
              <w:rPr>
                <w:rFonts w:hint="eastAsia" w:ascii="宋体" w:hAnsi="宋体" w:eastAsia="宋体" w:cs="宋体"/>
                <w:color w:val="auto"/>
                <w:kern w:val="2"/>
                <w:sz w:val="21"/>
                <w:szCs w:val="21"/>
                <w:highlight w:val="none"/>
                <w:lang w:val="en-US" w:eastAsia="zh-CN"/>
              </w:rPr>
            </w:pPr>
          </w:p>
        </w:tc>
        <w:tc>
          <w:tcPr>
            <w:tcW w:w="2843" w:type="dxa"/>
            <w:noWrap w:val="0"/>
            <w:vAlign w:val="center"/>
          </w:tcPr>
          <w:p w14:paraId="57CB13B0">
            <w:pPr>
              <w:pStyle w:val="12"/>
              <w:spacing w:line="360" w:lineRule="auto"/>
              <w:ind w:firstLine="0" w:firstLineChars="0"/>
              <w:jc w:val="center"/>
              <w:rPr>
                <w:rFonts w:hint="eastAsia" w:ascii="宋体" w:hAnsi="宋体" w:eastAsia="宋体" w:cs="宋体"/>
                <w:color w:val="auto"/>
                <w:kern w:val="2"/>
                <w:sz w:val="21"/>
                <w:szCs w:val="21"/>
                <w:highlight w:val="none"/>
                <w:lang w:val="en-US" w:eastAsia="zh-CN"/>
              </w:rPr>
            </w:pPr>
          </w:p>
        </w:tc>
        <w:tc>
          <w:tcPr>
            <w:tcW w:w="1552" w:type="dxa"/>
            <w:noWrap w:val="0"/>
            <w:vAlign w:val="center"/>
          </w:tcPr>
          <w:p w14:paraId="4241F803">
            <w:pPr>
              <w:pStyle w:val="12"/>
              <w:spacing w:line="360" w:lineRule="auto"/>
              <w:ind w:firstLine="0" w:firstLineChars="0"/>
              <w:jc w:val="center"/>
              <w:rPr>
                <w:rFonts w:hint="eastAsia" w:ascii="宋体" w:hAnsi="宋体" w:eastAsia="宋体" w:cs="宋体"/>
                <w:color w:val="auto"/>
                <w:kern w:val="2"/>
                <w:sz w:val="21"/>
                <w:szCs w:val="21"/>
                <w:highlight w:val="none"/>
                <w:lang w:val="en-US" w:eastAsia="zh-CN"/>
              </w:rPr>
            </w:pPr>
          </w:p>
        </w:tc>
      </w:tr>
      <w:tr w14:paraId="4E811FD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51" w:type="dxa"/>
            <w:noWrap w:val="0"/>
            <w:vAlign w:val="center"/>
          </w:tcPr>
          <w:p w14:paraId="248D4105">
            <w:pPr>
              <w:pStyle w:val="12"/>
              <w:spacing w:line="360" w:lineRule="auto"/>
              <w:ind w:firstLine="0" w:firstLineChars="0"/>
              <w:jc w:val="center"/>
              <w:rPr>
                <w:rFonts w:hint="eastAsia" w:ascii="宋体" w:hAnsi="宋体" w:eastAsia="宋体" w:cs="宋体"/>
                <w:color w:val="auto"/>
                <w:kern w:val="2"/>
                <w:sz w:val="21"/>
                <w:szCs w:val="21"/>
                <w:highlight w:val="none"/>
                <w:lang w:val="en-US" w:eastAsia="zh-CN"/>
              </w:rPr>
            </w:pPr>
            <w:bookmarkStart w:id="132" w:name="_Toc254970594"/>
            <w:bookmarkStart w:id="133" w:name="_Toc295404987"/>
            <w:bookmarkStart w:id="134" w:name="_Toc301781617"/>
            <w:bookmarkStart w:id="135" w:name="_Toc373333695"/>
            <w:bookmarkStart w:id="136" w:name="_Toc173066407"/>
            <w:bookmarkStart w:id="137" w:name="_Toc383699912"/>
            <w:bookmarkStart w:id="138" w:name="_Toc173211906"/>
            <w:bookmarkStart w:id="139" w:name="_Toc254970735"/>
            <w:bookmarkStart w:id="140" w:name="_Toc297193191"/>
            <w:r>
              <w:rPr>
                <w:rFonts w:hint="eastAsia" w:ascii="宋体" w:hAnsi="宋体" w:eastAsia="宋体" w:cs="宋体"/>
                <w:color w:val="auto"/>
                <w:kern w:val="2"/>
                <w:sz w:val="21"/>
                <w:szCs w:val="21"/>
                <w:highlight w:val="none"/>
                <w:lang w:val="en-US" w:eastAsia="zh-CN"/>
              </w:rPr>
              <w:t>2</w:t>
            </w:r>
            <w:bookmarkEnd w:id="132"/>
            <w:bookmarkEnd w:id="133"/>
            <w:bookmarkEnd w:id="134"/>
            <w:bookmarkEnd w:id="135"/>
            <w:bookmarkEnd w:id="136"/>
            <w:bookmarkEnd w:id="137"/>
            <w:bookmarkEnd w:id="138"/>
            <w:bookmarkEnd w:id="139"/>
            <w:bookmarkEnd w:id="140"/>
          </w:p>
        </w:tc>
        <w:tc>
          <w:tcPr>
            <w:tcW w:w="951" w:type="dxa"/>
            <w:tcBorders>
              <w:right w:val="single" w:color="auto" w:sz="4" w:space="0"/>
            </w:tcBorders>
            <w:noWrap w:val="0"/>
            <w:vAlign w:val="center"/>
          </w:tcPr>
          <w:p w14:paraId="36693CB7">
            <w:pPr>
              <w:pStyle w:val="12"/>
              <w:spacing w:line="360" w:lineRule="auto"/>
              <w:ind w:firstLine="0" w:firstLineChars="0"/>
              <w:jc w:val="center"/>
              <w:rPr>
                <w:rFonts w:hint="eastAsia" w:ascii="宋体" w:hAnsi="宋体" w:eastAsia="宋体" w:cs="宋体"/>
                <w:color w:val="auto"/>
                <w:kern w:val="2"/>
                <w:sz w:val="21"/>
                <w:szCs w:val="21"/>
                <w:highlight w:val="none"/>
                <w:lang w:val="en-US" w:eastAsia="zh-CN"/>
              </w:rPr>
            </w:pPr>
          </w:p>
        </w:tc>
        <w:tc>
          <w:tcPr>
            <w:tcW w:w="3159" w:type="dxa"/>
            <w:tcBorders>
              <w:left w:val="single" w:color="auto" w:sz="4" w:space="0"/>
            </w:tcBorders>
            <w:noWrap w:val="0"/>
            <w:vAlign w:val="center"/>
          </w:tcPr>
          <w:p w14:paraId="62FC0361">
            <w:pPr>
              <w:pStyle w:val="12"/>
              <w:spacing w:line="360" w:lineRule="auto"/>
              <w:ind w:firstLine="0" w:firstLineChars="0"/>
              <w:jc w:val="center"/>
              <w:rPr>
                <w:rFonts w:hint="eastAsia" w:ascii="宋体" w:hAnsi="宋体" w:eastAsia="宋体" w:cs="宋体"/>
                <w:color w:val="auto"/>
                <w:kern w:val="2"/>
                <w:sz w:val="21"/>
                <w:szCs w:val="21"/>
                <w:highlight w:val="none"/>
                <w:lang w:val="en-US" w:eastAsia="zh-CN"/>
              </w:rPr>
            </w:pPr>
          </w:p>
        </w:tc>
        <w:tc>
          <w:tcPr>
            <w:tcW w:w="2843" w:type="dxa"/>
            <w:noWrap w:val="0"/>
            <w:vAlign w:val="center"/>
          </w:tcPr>
          <w:p w14:paraId="5B05AE3A">
            <w:pPr>
              <w:pStyle w:val="12"/>
              <w:spacing w:line="360" w:lineRule="auto"/>
              <w:ind w:firstLine="0" w:firstLineChars="0"/>
              <w:jc w:val="center"/>
              <w:rPr>
                <w:rFonts w:hint="eastAsia" w:ascii="宋体" w:hAnsi="宋体" w:eastAsia="宋体" w:cs="宋体"/>
                <w:color w:val="auto"/>
                <w:kern w:val="2"/>
                <w:sz w:val="21"/>
                <w:szCs w:val="21"/>
                <w:highlight w:val="none"/>
                <w:lang w:val="en-US" w:eastAsia="zh-CN"/>
              </w:rPr>
            </w:pPr>
          </w:p>
        </w:tc>
        <w:tc>
          <w:tcPr>
            <w:tcW w:w="1552" w:type="dxa"/>
            <w:noWrap w:val="0"/>
            <w:vAlign w:val="center"/>
          </w:tcPr>
          <w:p w14:paraId="75EEF99B">
            <w:pPr>
              <w:pStyle w:val="12"/>
              <w:spacing w:line="360" w:lineRule="auto"/>
              <w:ind w:firstLine="0" w:firstLineChars="0"/>
              <w:jc w:val="center"/>
              <w:rPr>
                <w:rFonts w:hint="eastAsia" w:ascii="宋体" w:hAnsi="宋体" w:eastAsia="宋体" w:cs="宋体"/>
                <w:color w:val="auto"/>
                <w:kern w:val="2"/>
                <w:sz w:val="21"/>
                <w:szCs w:val="21"/>
                <w:highlight w:val="none"/>
                <w:lang w:val="en-US" w:eastAsia="zh-CN"/>
              </w:rPr>
            </w:pPr>
          </w:p>
        </w:tc>
      </w:tr>
      <w:tr w14:paraId="26C1C1C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51" w:type="dxa"/>
            <w:noWrap w:val="0"/>
            <w:vAlign w:val="center"/>
          </w:tcPr>
          <w:p w14:paraId="71FCA73C">
            <w:pPr>
              <w:pStyle w:val="12"/>
              <w:spacing w:line="360" w:lineRule="auto"/>
              <w:ind w:firstLine="0" w:firstLineChars="0"/>
              <w:jc w:val="center"/>
              <w:rPr>
                <w:rFonts w:hint="eastAsia" w:ascii="宋体" w:hAnsi="宋体" w:eastAsia="宋体" w:cs="宋体"/>
                <w:color w:val="auto"/>
                <w:kern w:val="2"/>
                <w:sz w:val="21"/>
                <w:szCs w:val="21"/>
                <w:highlight w:val="none"/>
                <w:lang w:val="en-US" w:eastAsia="zh-CN"/>
              </w:rPr>
            </w:pPr>
            <w:bookmarkStart w:id="141" w:name="_Toc254970736"/>
            <w:bookmarkStart w:id="142" w:name="_Toc295404988"/>
            <w:bookmarkStart w:id="143" w:name="_Toc373333696"/>
            <w:bookmarkStart w:id="144" w:name="_Toc173066408"/>
            <w:bookmarkStart w:id="145" w:name="_Toc301781618"/>
            <w:bookmarkStart w:id="146" w:name="_Toc297193192"/>
            <w:bookmarkStart w:id="147" w:name="_Toc254970595"/>
            <w:bookmarkStart w:id="148" w:name="_Toc173211907"/>
            <w:bookmarkStart w:id="149" w:name="_Toc383699913"/>
            <w:r>
              <w:rPr>
                <w:rFonts w:hint="eastAsia" w:ascii="宋体" w:hAnsi="宋体" w:eastAsia="宋体" w:cs="宋体"/>
                <w:color w:val="auto"/>
                <w:kern w:val="2"/>
                <w:sz w:val="21"/>
                <w:szCs w:val="21"/>
                <w:highlight w:val="none"/>
                <w:lang w:val="en-US" w:eastAsia="zh-CN"/>
              </w:rPr>
              <w:t>3</w:t>
            </w:r>
            <w:bookmarkEnd w:id="141"/>
            <w:bookmarkEnd w:id="142"/>
            <w:bookmarkEnd w:id="143"/>
            <w:bookmarkEnd w:id="144"/>
            <w:bookmarkEnd w:id="145"/>
            <w:bookmarkEnd w:id="146"/>
            <w:bookmarkEnd w:id="147"/>
            <w:bookmarkEnd w:id="148"/>
            <w:bookmarkEnd w:id="149"/>
          </w:p>
        </w:tc>
        <w:tc>
          <w:tcPr>
            <w:tcW w:w="951" w:type="dxa"/>
            <w:tcBorders>
              <w:right w:val="single" w:color="auto" w:sz="4" w:space="0"/>
            </w:tcBorders>
            <w:noWrap w:val="0"/>
            <w:vAlign w:val="center"/>
          </w:tcPr>
          <w:p w14:paraId="0AA8DCDA">
            <w:pPr>
              <w:pStyle w:val="12"/>
              <w:spacing w:line="360" w:lineRule="auto"/>
              <w:ind w:firstLine="0" w:firstLineChars="0"/>
              <w:jc w:val="center"/>
              <w:rPr>
                <w:rFonts w:hint="eastAsia" w:ascii="宋体" w:hAnsi="宋体" w:eastAsia="宋体" w:cs="宋体"/>
                <w:color w:val="auto"/>
                <w:kern w:val="2"/>
                <w:sz w:val="21"/>
                <w:szCs w:val="21"/>
                <w:highlight w:val="none"/>
                <w:lang w:val="en-US" w:eastAsia="zh-CN"/>
              </w:rPr>
            </w:pPr>
          </w:p>
        </w:tc>
        <w:tc>
          <w:tcPr>
            <w:tcW w:w="3159" w:type="dxa"/>
            <w:tcBorders>
              <w:left w:val="single" w:color="auto" w:sz="4" w:space="0"/>
            </w:tcBorders>
            <w:noWrap w:val="0"/>
            <w:vAlign w:val="center"/>
          </w:tcPr>
          <w:p w14:paraId="718958CA">
            <w:pPr>
              <w:pStyle w:val="12"/>
              <w:spacing w:line="360" w:lineRule="auto"/>
              <w:ind w:firstLine="0" w:firstLineChars="0"/>
              <w:jc w:val="center"/>
              <w:rPr>
                <w:rFonts w:hint="eastAsia" w:ascii="宋体" w:hAnsi="宋体" w:eastAsia="宋体" w:cs="宋体"/>
                <w:color w:val="auto"/>
                <w:kern w:val="2"/>
                <w:sz w:val="21"/>
                <w:szCs w:val="21"/>
                <w:highlight w:val="none"/>
                <w:lang w:val="en-US" w:eastAsia="zh-CN"/>
              </w:rPr>
            </w:pPr>
          </w:p>
        </w:tc>
        <w:tc>
          <w:tcPr>
            <w:tcW w:w="2843" w:type="dxa"/>
            <w:noWrap w:val="0"/>
            <w:vAlign w:val="center"/>
          </w:tcPr>
          <w:p w14:paraId="031E7232">
            <w:pPr>
              <w:pStyle w:val="12"/>
              <w:spacing w:line="360" w:lineRule="auto"/>
              <w:ind w:firstLine="0" w:firstLineChars="0"/>
              <w:jc w:val="center"/>
              <w:rPr>
                <w:rFonts w:hint="eastAsia" w:ascii="宋体" w:hAnsi="宋体" w:eastAsia="宋体" w:cs="宋体"/>
                <w:color w:val="auto"/>
                <w:kern w:val="2"/>
                <w:sz w:val="21"/>
                <w:szCs w:val="21"/>
                <w:highlight w:val="none"/>
                <w:lang w:val="en-US" w:eastAsia="zh-CN"/>
              </w:rPr>
            </w:pPr>
          </w:p>
        </w:tc>
        <w:tc>
          <w:tcPr>
            <w:tcW w:w="1552" w:type="dxa"/>
            <w:noWrap w:val="0"/>
            <w:vAlign w:val="center"/>
          </w:tcPr>
          <w:p w14:paraId="3DB6C3D8">
            <w:pPr>
              <w:pStyle w:val="12"/>
              <w:spacing w:line="360" w:lineRule="auto"/>
              <w:ind w:firstLine="0" w:firstLineChars="0"/>
              <w:jc w:val="center"/>
              <w:rPr>
                <w:rFonts w:hint="eastAsia" w:ascii="宋体" w:hAnsi="宋体" w:eastAsia="宋体" w:cs="宋体"/>
                <w:color w:val="auto"/>
                <w:kern w:val="2"/>
                <w:sz w:val="21"/>
                <w:szCs w:val="21"/>
                <w:highlight w:val="none"/>
                <w:lang w:val="en-US" w:eastAsia="zh-CN"/>
              </w:rPr>
            </w:pPr>
          </w:p>
        </w:tc>
      </w:tr>
      <w:tr w14:paraId="40EF574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51" w:type="dxa"/>
            <w:noWrap w:val="0"/>
            <w:vAlign w:val="center"/>
          </w:tcPr>
          <w:p w14:paraId="3973FF16">
            <w:pPr>
              <w:pStyle w:val="12"/>
              <w:spacing w:line="360" w:lineRule="auto"/>
              <w:ind w:firstLine="0" w:firstLineChars="0"/>
              <w:jc w:val="center"/>
              <w:rPr>
                <w:rFonts w:hint="eastAsia" w:ascii="宋体" w:hAnsi="宋体" w:eastAsia="宋体" w:cs="宋体"/>
                <w:color w:val="auto"/>
                <w:kern w:val="2"/>
                <w:sz w:val="21"/>
                <w:szCs w:val="21"/>
                <w:highlight w:val="none"/>
                <w:lang w:val="en-US" w:eastAsia="zh-CN"/>
              </w:rPr>
            </w:pPr>
            <w:bookmarkStart w:id="150" w:name="_Toc301781619"/>
            <w:bookmarkStart w:id="151" w:name="_Toc173066409"/>
            <w:bookmarkStart w:id="152" w:name="_Toc373333697"/>
            <w:bookmarkStart w:id="153" w:name="_Toc254970737"/>
            <w:bookmarkStart w:id="154" w:name="_Toc173211908"/>
            <w:bookmarkStart w:id="155" w:name="_Toc295404989"/>
            <w:bookmarkStart w:id="156" w:name="_Toc254970596"/>
            <w:bookmarkStart w:id="157" w:name="_Toc383699914"/>
            <w:bookmarkStart w:id="158" w:name="_Toc297193193"/>
            <w:r>
              <w:rPr>
                <w:rFonts w:hint="eastAsia" w:ascii="宋体" w:hAnsi="宋体" w:eastAsia="宋体" w:cs="宋体"/>
                <w:color w:val="auto"/>
                <w:kern w:val="2"/>
                <w:sz w:val="21"/>
                <w:szCs w:val="21"/>
                <w:highlight w:val="none"/>
                <w:lang w:val="en-US" w:eastAsia="zh-CN"/>
              </w:rPr>
              <w:t>4</w:t>
            </w:r>
            <w:bookmarkEnd w:id="150"/>
            <w:bookmarkEnd w:id="151"/>
            <w:bookmarkEnd w:id="152"/>
            <w:bookmarkEnd w:id="153"/>
            <w:bookmarkEnd w:id="154"/>
            <w:bookmarkEnd w:id="155"/>
            <w:bookmarkEnd w:id="156"/>
            <w:bookmarkEnd w:id="157"/>
            <w:bookmarkEnd w:id="158"/>
          </w:p>
        </w:tc>
        <w:tc>
          <w:tcPr>
            <w:tcW w:w="951" w:type="dxa"/>
            <w:tcBorders>
              <w:right w:val="single" w:color="auto" w:sz="4" w:space="0"/>
            </w:tcBorders>
            <w:noWrap w:val="0"/>
            <w:vAlign w:val="center"/>
          </w:tcPr>
          <w:p w14:paraId="0FE3A9BC">
            <w:pPr>
              <w:pStyle w:val="12"/>
              <w:spacing w:line="360" w:lineRule="auto"/>
              <w:ind w:firstLine="0" w:firstLineChars="0"/>
              <w:jc w:val="center"/>
              <w:rPr>
                <w:rFonts w:hint="eastAsia" w:ascii="宋体" w:hAnsi="宋体" w:eastAsia="宋体" w:cs="宋体"/>
                <w:color w:val="auto"/>
                <w:kern w:val="2"/>
                <w:sz w:val="21"/>
                <w:szCs w:val="21"/>
                <w:highlight w:val="none"/>
                <w:lang w:val="en-US" w:eastAsia="zh-CN"/>
              </w:rPr>
            </w:pPr>
          </w:p>
        </w:tc>
        <w:tc>
          <w:tcPr>
            <w:tcW w:w="3159" w:type="dxa"/>
            <w:tcBorders>
              <w:left w:val="single" w:color="auto" w:sz="4" w:space="0"/>
            </w:tcBorders>
            <w:noWrap w:val="0"/>
            <w:vAlign w:val="center"/>
          </w:tcPr>
          <w:p w14:paraId="3E68425A">
            <w:pPr>
              <w:pStyle w:val="12"/>
              <w:spacing w:line="360" w:lineRule="auto"/>
              <w:ind w:firstLine="0" w:firstLineChars="0"/>
              <w:jc w:val="center"/>
              <w:rPr>
                <w:rFonts w:hint="eastAsia" w:ascii="宋体" w:hAnsi="宋体" w:eastAsia="宋体" w:cs="宋体"/>
                <w:color w:val="auto"/>
                <w:kern w:val="2"/>
                <w:sz w:val="21"/>
                <w:szCs w:val="21"/>
                <w:highlight w:val="none"/>
                <w:lang w:val="en-US" w:eastAsia="zh-CN"/>
              </w:rPr>
            </w:pPr>
          </w:p>
        </w:tc>
        <w:tc>
          <w:tcPr>
            <w:tcW w:w="2843" w:type="dxa"/>
            <w:noWrap w:val="0"/>
            <w:vAlign w:val="center"/>
          </w:tcPr>
          <w:p w14:paraId="14A97398">
            <w:pPr>
              <w:pStyle w:val="12"/>
              <w:spacing w:line="360" w:lineRule="auto"/>
              <w:ind w:firstLine="0" w:firstLineChars="0"/>
              <w:jc w:val="center"/>
              <w:rPr>
                <w:rFonts w:hint="eastAsia" w:ascii="宋体" w:hAnsi="宋体" w:eastAsia="宋体" w:cs="宋体"/>
                <w:color w:val="auto"/>
                <w:kern w:val="2"/>
                <w:sz w:val="21"/>
                <w:szCs w:val="21"/>
                <w:highlight w:val="none"/>
                <w:lang w:val="en-US" w:eastAsia="zh-CN"/>
              </w:rPr>
            </w:pPr>
          </w:p>
        </w:tc>
        <w:tc>
          <w:tcPr>
            <w:tcW w:w="1552" w:type="dxa"/>
            <w:noWrap w:val="0"/>
            <w:vAlign w:val="center"/>
          </w:tcPr>
          <w:p w14:paraId="1B604EAE">
            <w:pPr>
              <w:pStyle w:val="12"/>
              <w:spacing w:line="360" w:lineRule="auto"/>
              <w:ind w:firstLine="0" w:firstLineChars="0"/>
              <w:jc w:val="center"/>
              <w:rPr>
                <w:rFonts w:hint="eastAsia" w:ascii="宋体" w:hAnsi="宋体" w:eastAsia="宋体" w:cs="宋体"/>
                <w:color w:val="auto"/>
                <w:kern w:val="2"/>
                <w:sz w:val="21"/>
                <w:szCs w:val="21"/>
                <w:highlight w:val="none"/>
                <w:lang w:val="en-US" w:eastAsia="zh-CN"/>
              </w:rPr>
            </w:pPr>
          </w:p>
        </w:tc>
      </w:tr>
      <w:tr w14:paraId="112BED8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51" w:type="dxa"/>
            <w:noWrap w:val="0"/>
            <w:vAlign w:val="center"/>
          </w:tcPr>
          <w:p w14:paraId="3316FDB9">
            <w:pPr>
              <w:pStyle w:val="12"/>
              <w:spacing w:line="360" w:lineRule="auto"/>
              <w:ind w:firstLine="0" w:firstLineChars="0"/>
              <w:jc w:val="center"/>
              <w:rPr>
                <w:rFonts w:hint="eastAsia" w:ascii="宋体" w:hAnsi="宋体" w:eastAsia="宋体" w:cs="宋体"/>
                <w:color w:val="auto"/>
                <w:kern w:val="2"/>
                <w:sz w:val="21"/>
                <w:szCs w:val="21"/>
                <w:highlight w:val="none"/>
                <w:lang w:val="en-US" w:eastAsia="zh-CN"/>
              </w:rPr>
            </w:pPr>
            <w:bookmarkStart w:id="159" w:name="_Toc295404990"/>
            <w:bookmarkStart w:id="160" w:name="_Toc383699915"/>
            <w:bookmarkStart w:id="161" w:name="_Toc173066410"/>
            <w:bookmarkStart w:id="162" w:name="_Toc297193194"/>
            <w:bookmarkStart w:id="163" w:name="_Toc254970597"/>
            <w:bookmarkStart w:id="164" w:name="_Toc301781620"/>
            <w:bookmarkStart w:id="165" w:name="_Toc254970738"/>
            <w:bookmarkStart w:id="166" w:name="_Toc173211909"/>
            <w:bookmarkStart w:id="167" w:name="_Toc373333698"/>
            <w:r>
              <w:rPr>
                <w:rFonts w:hint="eastAsia" w:ascii="宋体" w:hAnsi="宋体" w:eastAsia="宋体" w:cs="宋体"/>
                <w:color w:val="auto"/>
                <w:kern w:val="2"/>
                <w:sz w:val="21"/>
                <w:szCs w:val="21"/>
                <w:highlight w:val="none"/>
                <w:lang w:val="en-US" w:eastAsia="zh-CN"/>
              </w:rPr>
              <w:t>5</w:t>
            </w:r>
            <w:bookmarkEnd w:id="159"/>
            <w:bookmarkEnd w:id="160"/>
            <w:bookmarkEnd w:id="161"/>
            <w:bookmarkEnd w:id="162"/>
            <w:bookmarkEnd w:id="163"/>
            <w:bookmarkEnd w:id="164"/>
            <w:bookmarkEnd w:id="165"/>
            <w:bookmarkEnd w:id="166"/>
            <w:bookmarkEnd w:id="167"/>
          </w:p>
        </w:tc>
        <w:tc>
          <w:tcPr>
            <w:tcW w:w="951" w:type="dxa"/>
            <w:tcBorders>
              <w:right w:val="single" w:color="auto" w:sz="4" w:space="0"/>
            </w:tcBorders>
            <w:noWrap w:val="0"/>
            <w:vAlign w:val="center"/>
          </w:tcPr>
          <w:p w14:paraId="2F68414C">
            <w:pPr>
              <w:pStyle w:val="12"/>
              <w:spacing w:line="360" w:lineRule="auto"/>
              <w:ind w:firstLine="0" w:firstLineChars="0"/>
              <w:jc w:val="center"/>
              <w:rPr>
                <w:rFonts w:hint="eastAsia" w:ascii="宋体" w:hAnsi="宋体" w:eastAsia="宋体" w:cs="宋体"/>
                <w:color w:val="auto"/>
                <w:kern w:val="2"/>
                <w:sz w:val="21"/>
                <w:szCs w:val="21"/>
                <w:highlight w:val="none"/>
                <w:lang w:val="en-US" w:eastAsia="zh-CN"/>
              </w:rPr>
            </w:pPr>
          </w:p>
        </w:tc>
        <w:tc>
          <w:tcPr>
            <w:tcW w:w="3159" w:type="dxa"/>
            <w:tcBorders>
              <w:left w:val="single" w:color="auto" w:sz="4" w:space="0"/>
            </w:tcBorders>
            <w:noWrap w:val="0"/>
            <w:vAlign w:val="center"/>
          </w:tcPr>
          <w:p w14:paraId="382B8FAE">
            <w:pPr>
              <w:pStyle w:val="12"/>
              <w:spacing w:line="360" w:lineRule="auto"/>
              <w:ind w:firstLine="0" w:firstLineChars="0"/>
              <w:jc w:val="center"/>
              <w:rPr>
                <w:rFonts w:hint="eastAsia" w:ascii="宋体" w:hAnsi="宋体" w:eastAsia="宋体" w:cs="宋体"/>
                <w:color w:val="auto"/>
                <w:kern w:val="2"/>
                <w:sz w:val="21"/>
                <w:szCs w:val="21"/>
                <w:highlight w:val="none"/>
                <w:lang w:val="en-US" w:eastAsia="zh-CN"/>
              </w:rPr>
            </w:pPr>
          </w:p>
        </w:tc>
        <w:tc>
          <w:tcPr>
            <w:tcW w:w="2843" w:type="dxa"/>
            <w:noWrap w:val="0"/>
            <w:vAlign w:val="center"/>
          </w:tcPr>
          <w:p w14:paraId="0C26026A">
            <w:pPr>
              <w:pStyle w:val="12"/>
              <w:spacing w:line="360" w:lineRule="auto"/>
              <w:ind w:firstLine="0" w:firstLineChars="0"/>
              <w:jc w:val="center"/>
              <w:rPr>
                <w:rFonts w:hint="eastAsia" w:ascii="宋体" w:hAnsi="宋体" w:eastAsia="宋体" w:cs="宋体"/>
                <w:color w:val="auto"/>
                <w:kern w:val="2"/>
                <w:sz w:val="21"/>
                <w:szCs w:val="21"/>
                <w:highlight w:val="none"/>
                <w:lang w:val="en-US" w:eastAsia="zh-CN"/>
              </w:rPr>
            </w:pPr>
          </w:p>
        </w:tc>
        <w:tc>
          <w:tcPr>
            <w:tcW w:w="1552" w:type="dxa"/>
            <w:noWrap w:val="0"/>
            <w:vAlign w:val="center"/>
          </w:tcPr>
          <w:p w14:paraId="0AB16B42">
            <w:pPr>
              <w:pStyle w:val="12"/>
              <w:spacing w:line="360" w:lineRule="auto"/>
              <w:ind w:firstLine="0" w:firstLineChars="0"/>
              <w:jc w:val="center"/>
              <w:rPr>
                <w:rFonts w:hint="eastAsia" w:ascii="宋体" w:hAnsi="宋体" w:eastAsia="宋体" w:cs="宋体"/>
                <w:color w:val="auto"/>
                <w:kern w:val="2"/>
                <w:sz w:val="21"/>
                <w:szCs w:val="21"/>
                <w:highlight w:val="none"/>
                <w:lang w:val="en-US" w:eastAsia="zh-CN"/>
              </w:rPr>
            </w:pPr>
          </w:p>
        </w:tc>
      </w:tr>
      <w:tr w14:paraId="4F8E0FC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951" w:type="dxa"/>
            <w:noWrap w:val="0"/>
            <w:vAlign w:val="center"/>
          </w:tcPr>
          <w:p w14:paraId="080FEE43">
            <w:pPr>
              <w:pStyle w:val="12"/>
              <w:spacing w:line="360" w:lineRule="auto"/>
              <w:ind w:firstLine="0" w:firstLineChars="0"/>
              <w:jc w:val="center"/>
              <w:rPr>
                <w:rFonts w:hint="eastAsia" w:ascii="宋体" w:hAnsi="宋体" w:eastAsia="宋体" w:cs="宋体"/>
                <w:color w:val="auto"/>
                <w:kern w:val="2"/>
                <w:sz w:val="21"/>
                <w:szCs w:val="21"/>
                <w:highlight w:val="none"/>
                <w:lang w:val="en-US" w:eastAsia="zh-CN"/>
              </w:rPr>
            </w:pPr>
            <w:bookmarkStart w:id="168" w:name="_Toc254970743"/>
            <w:bookmarkStart w:id="169" w:name="_Toc383699916"/>
            <w:bookmarkStart w:id="170" w:name="_Toc301781621"/>
            <w:bookmarkStart w:id="171" w:name="_Toc297193195"/>
            <w:bookmarkStart w:id="172" w:name="_Toc295404991"/>
            <w:bookmarkStart w:id="173" w:name="_Toc173066415"/>
            <w:bookmarkStart w:id="174" w:name="_Toc173211914"/>
            <w:bookmarkStart w:id="175" w:name="_Toc373333699"/>
            <w:bookmarkStart w:id="176" w:name="_Toc254970602"/>
            <w:r>
              <w:rPr>
                <w:rFonts w:hint="eastAsia" w:ascii="宋体" w:hAnsi="宋体" w:eastAsia="宋体" w:cs="宋体"/>
                <w:color w:val="auto"/>
                <w:kern w:val="2"/>
                <w:sz w:val="21"/>
                <w:szCs w:val="21"/>
                <w:highlight w:val="none"/>
                <w:lang w:val="en-US" w:eastAsia="zh-CN"/>
              </w:rPr>
              <w:t>…</w:t>
            </w:r>
            <w:bookmarkEnd w:id="168"/>
            <w:bookmarkEnd w:id="169"/>
            <w:bookmarkEnd w:id="170"/>
            <w:bookmarkEnd w:id="171"/>
            <w:bookmarkEnd w:id="172"/>
            <w:bookmarkEnd w:id="173"/>
            <w:bookmarkEnd w:id="174"/>
            <w:bookmarkEnd w:id="175"/>
            <w:bookmarkEnd w:id="176"/>
          </w:p>
        </w:tc>
        <w:tc>
          <w:tcPr>
            <w:tcW w:w="951" w:type="dxa"/>
            <w:tcBorders>
              <w:right w:val="single" w:color="auto" w:sz="4" w:space="0"/>
            </w:tcBorders>
            <w:noWrap w:val="0"/>
            <w:vAlign w:val="center"/>
          </w:tcPr>
          <w:p w14:paraId="389FD3C9">
            <w:pPr>
              <w:pStyle w:val="12"/>
              <w:spacing w:line="360" w:lineRule="auto"/>
              <w:ind w:firstLine="0" w:firstLineChars="0"/>
              <w:jc w:val="center"/>
              <w:rPr>
                <w:rFonts w:hint="eastAsia" w:ascii="宋体" w:hAnsi="宋体" w:eastAsia="宋体" w:cs="宋体"/>
                <w:color w:val="auto"/>
                <w:kern w:val="2"/>
                <w:sz w:val="21"/>
                <w:szCs w:val="21"/>
                <w:highlight w:val="none"/>
                <w:lang w:val="en-US" w:eastAsia="zh-CN"/>
              </w:rPr>
            </w:pPr>
          </w:p>
        </w:tc>
        <w:tc>
          <w:tcPr>
            <w:tcW w:w="3159" w:type="dxa"/>
            <w:tcBorders>
              <w:left w:val="single" w:color="auto" w:sz="4" w:space="0"/>
            </w:tcBorders>
            <w:noWrap w:val="0"/>
            <w:vAlign w:val="center"/>
          </w:tcPr>
          <w:p w14:paraId="0BED9683">
            <w:pPr>
              <w:pStyle w:val="12"/>
              <w:spacing w:line="360" w:lineRule="auto"/>
              <w:ind w:firstLine="0" w:firstLineChars="0"/>
              <w:jc w:val="center"/>
              <w:rPr>
                <w:rFonts w:hint="eastAsia" w:ascii="宋体" w:hAnsi="宋体" w:eastAsia="宋体" w:cs="宋体"/>
                <w:color w:val="auto"/>
                <w:kern w:val="2"/>
                <w:sz w:val="21"/>
                <w:szCs w:val="21"/>
                <w:highlight w:val="none"/>
                <w:lang w:val="en-US" w:eastAsia="zh-CN"/>
              </w:rPr>
            </w:pPr>
          </w:p>
        </w:tc>
        <w:tc>
          <w:tcPr>
            <w:tcW w:w="2843" w:type="dxa"/>
            <w:noWrap w:val="0"/>
            <w:vAlign w:val="center"/>
          </w:tcPr>
          <w:p w14:paraId="7E843C83">
            <w:pPr>
              <w:pStyle w:val="12"/>
              <w:spacing w:line="360" w:lineRule="auto"/>
              <w:ind w:firstLine="0" w:firstLineChars="0"/>
              <w:jc w:val="center"/>
              <w:rPr>
                <w:rFonts w:hint="eastAsia" w:ascii="宋体" w:hAnsi="宋体" w:eastAsia="宋体" w:cs="宋体"/>
                <w:color w:val="auto"/>
                <w:kern w:val="2"/>
                <w:sz w:val="21"/>
                <w:szCs w:val="21"/>
                <w:highlight w:val="none"/>
                <w:lang w:val="en-US" w:eastAsia="zh-CN"/>
              </w:rPr>
            </w:pPr>
          </w:p>
        </w:tc>
        <w:tc>
          <w:tcPr>
            <w:tcW w:w="1552" w:type="dxa"/>
            <w:tcBorders>
              <w:right w:val="single" w:color="auto" w:sz="4" w:space="0"/>
            </w:tcBorders>
            <w:noWrap w:val="0"/>
            <w:vAlign w:val="center"/>
          </w:tcPr>
          <w:p w14:paraId="4EBE1EED">
            <w:pPr>
              <w:pStyle w:val="12"/>
              <w:spacing w:line="360" w:lineRule="auto"/>
              <w:ind w:firstLine="0" w:firstLineChars="0"/>
              <w:jc w:val="center"/>
              <w:rPr>
                <w:rFonts w:hint="eastAsia" w:ascii="宋体" w:hAnsi="宋体" w:eastAsia="宋体" w:cs="宋体"/>
                <w:color w:val="auto"/>
                <w:kern w:val="2"/>
                <w:sz w:val="21"/>
                <w:szCs w:val="21"/>
                <w:highlight w:val="none"/>
                <w:lang w:val="en-US" w:eastAsia="zh-CN"/>
              </w:rPr>
            </w:pPr>
          </w:p>
        </w:tc>
      </w:tr>
    </w:tbl>
    <w:p w14:paraId="59652D14">
      <w:pPr>
        <w:adjustRightInd w:val="0"/>
        <w:snapToGrid w:val="0"/>
        <w:spacing w:line="360" w:lineRule="auto"/>
        <w:rPr>
          <w:rFonts w:hint="eastAsia" w:ascii="宋体" w:hAnsi="宋体" w:eastAsia="宋体" w:cs="宋体"/>
          <w:color w:val="auto"/>
          <w:sz w:val="21"/>
          <w:szCs w:val="21"/>
          <w:highlight w:val="none"/>
        </w:rPr>
      </w:pPr>
    </w:p>
    <w:p w14:paraId="1F3503D4">
      <w:pPr>
        <w:pStyle w:val="12"/>
        <w:spacing w:line="36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r>
        <w:rPr>
          <w:rFonts w:hint="eastAsia" w:ascii="宋体" w:hAnsi="宋体" w:eastAsia="宋体" w:cs="宋体"/>
          <w:color w:val="auto"/>
          <w:sz w:val="21"/>
          <w:szCs w:val="21"/>
          <w:highlight w:val="none"/>
          <w:lang w:eastAsia="zh-CN"/>
        </w:rPr>
        <w:t>本表可自行扩展</w:t>
      </w:r>
    </w:p>
    <w:p w14:paraId="6376FDCD">
      <w:pPr>
        <w:pStyle w:val="12"/>
        <w:spacing w:line="36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说明：应对照磋商文件“第三章 采购需求”中的技术需求逐条实质性响应，并作出偏离说明。</w:t>
      </w:r>
    </w:p>
    <w:p w14:paraId="18E9AFFE">
      <w:pPr>
        <w:pStyle w:val="12"/>
        <w:spacing w:line="36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2.供应商应根据自身的承诺，对照磋商文件要求，在“偏离说明”中注明“正偏离”、“负偏离”或者“无偏离”。既不属于“正偏离”也不属于“负偏离”即为“无偏离”。</w:t>
      </w:r>
    </w:p>
    <w:p w14:paraId="54CF9637">
      <w:pPr>
        <w:pStyle w:val="15"/>
        <w:spacing w:line="360" w:lineRule="auto"/>
        <w:rPr>
          <w:rFonts w:hint="eastAsia" w:ascii="宋体" w:hAnsi="宋体" w:eastAsia="宋体" w:cs="宋体"/>
          <w:color w:val="auto"/>
          <w:sz w:val="21"/>
          <w:szCs w:val="21"/>
          <w:highlight w:val="none"/>
        </w:rPr>
      </w:pPr>
    </w:p>
    <w:p w14:paraId="7D31914C">
      <w:pPr>
        <w:snapToGrid w:val="0"/>
        <w:spacing w:before="50" w:after="50" w:line="360" w:lineRule="auto"/>
        <w:ind w:right="-817" w:rightChars="-389"/>
        <w:rPr>
          <w:rFonts w:hint="eastAsia" w:ascii="宋体" w:hAnsi="宋体" w:eastAsia="宋体" w:cs="宋体"/>
          <w:color w:val="auto"/>
          <w:sz w:val="21"/>
          <w:szCs w:val="21"/>
          <w:highlight w:val="none"/>
        </w:rPr>
      </w:pPr>
    </w:p>
    <w:p w14:paraId="07A48281">
      <w:pPr>
        <w:snapToGrid w:val="0"/>
        <w:spacing w:before="50" w:after="50" w:line="360" w:lineRule="auto"/>
        <w:ind w:right="-817" w:rightChars="-389" w:firstLine="840" w:firstLine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法定代表人或者委托代理人（签字）：                    </w:t>
      </w:r>
    </w:p>
    <w:p w14:paraId="0995C865">
      <w:pPr>
        <w:snapToGrid w:val="0"/>
        <w:spacing w:before="50" w:after="50" w:line="360" w:lineRule="auto"/>
        <w:ind w:right="-817" w:rightChars="-389" w:firstLine="2310" w:firstLineChars="1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供应商（盖公章）：      </w:t>
      </w:r>
    </w:p>
    <w:p w14:paraId="52343CA1">
      <w:pPr>
        <w:snapToGrid w:val="0"/>
        <w:spacing w:before="50" w:after="50" w:line="360" w:lineRule="auto"/>
        <w:ind w:right="-817" w:rightChars="-389" w:firstLine="3570" w:firstLineChars="17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   年   月   日</w:t>
      </w:r>
    </w:p>
    <w:p w14:paraId="4C1E11B9">
      <w:pPr>
        <w:snapToGrid w:val="0"/>
        <w:spacing w:before="156" w:beforeLines="50" w:after="50" w:line="360" w:lineRule="auto"/>
        <w:ind w:left="142"/>
        <w:jc w:val="left"/>
        <w:rPr>
          <w:rFonts w:hint="eastAsia" w:ascii="宋体" w:hAnsi="宋体" w:eastAsia="宋体" w:cs="宋体"/>
          <w:b/>
          <w:color w:val="auto"/>
          <w:sz w:val="24"/>
          <w:highlight w:val="none"/>
        </w:rPr>
      </w:pPr>
      <w:r>
        <w:rPr>
          <w:rFonts w:hint="eastAsia" w:ascii="宋体" w:hAnsi="宋体" w:eastAsia="宋体" w:cs="宋体"/>
          <w:color w:val="auto"/>
          <w:sz w:val="21"/>
          <w:szCs w:val="21"/>
          <w:highlight w:val="none"/>
        </w:rPr>
        <w:br w:type="page"/>
      </w:r>
      <w:r>
        <w:rPr>
          <w:rFonts w:hint="eastAsia" w:ascii="宋体" w:hAnsi="宋体" w:eastAsia="宋体" w:cs="宋体"/>
          <w:b/>
          <w:color w:val="auto"/>
          <w:sz w:val="24"/>
          <w:highlight w:val="none"/>
        </w:rPr>
        <w:t>项目实施人员一览表格式</w:t>
      </w:r>
    </w:p>
    <w:p w14:paraId="7D0D3F9C">
      <w:pPr>
        <w:snapToGrid w:val="0"/>
        <w:spacing w:before="156" w:beforeLines="50" w:after="50" w:line="360" w:lineRule="auto"/>
        <w:ind w:left="142"/>
        <w:jc w:val="left"/>
        <w:rPr>
          <w:rFonts w:hint="eastAsia" w:ascii="宋体" w:hAnsi="宋体" w:eastAsia="宋体" w:cs="宋体"/>
          <w:b/>
          <w:color w:val="auto"/>
          <w:sz w:val="24"/>
          <w:highlight w:val="none"/>
        </w:rPr>
      </w:pPr>
    </w:p>
    <w:p w14:paraId="4F866D6E">
      <w:pPr>
        <w:snapToGrid w:val="0"/>
        <w:spacing w:before="156" w:beforeLines="50" w:after="50" w:line="360" w:lineRule="auto"/>
        <w:ind w:left="142"/>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项目实施人员一览表</w:t>
      </w:r>
    </w:p>
    <w:p w14:paraId="519547BA">
      <w:pPr>
        <w:pStyle w:val="15"/>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所竞分标：</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分标</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8"/>
        <w:gridCol w:w="589"/>
        <w:gridCol w:w="5042"/>
        <w:gridCol w:w="916"/>
        <w:gridCol w:w="1079"/>
        <w:gridCol w:w="1242"/>
      </w:tblGrid>
      <w:tr w14:paraId="2E998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14:paraId="17802875">
            <w:pPr>
              <w:snapToGrid w:val="0"/>
              <w:spacing w:before="50" w:after="156" w:afterLines="50" w:line="360" w:lineRule="auto"/>
              <w:jc w:val="center"/>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姓名</w:t>
            </w:r>
          </w:p>
        </w:tc>
        <w:tc>
          <w:tcPr>
            <w:tcW w:w="0" w:type="auto"/>
            <w:noWrap w:val="0"/>
            <w:vAlign w:val="center"/>
          </w:tcPr>
          <w:p w14:paraId="58094B8E">
            <w:pPr>
              <w:snapToGrid w:val="0"/>
              <w:spacing w:before="50" w:after="156" w:afterLines="50" w:line="360" w:lineRule="auto"/>
              <w:jc w:val="center"/>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职务</w:t>
            </w:r>
          </w:p>
        </w:tc>
        <w:tc>
          <w:tcPr>
            <w:tcW w:w="0" w:type="auto"/>
            <w:noWrap w:val="0"/>
            <w:vAlign w:val="center"/>
          </w:tcPr>
          <w:p w14:paraId="0602E047">
            <w:pPr>
              <w:snapToGrid w:val="0"/>
              <w:spacing w:before="50" w:after="156" w:afterLines="50" w:line="360" w:lineRule="auto"/>
              <w:jc w:val="center"/>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专业技术资格（职称）或者职业资格或者执业资格证或者其他证书</w:t>
            </w:r>
          </w:p>
        </w:tc>
        <w:tc>
          <w:tcPr>
            <w:tcW w:w="0" w:type="auto"/>
            <w:noWrap w:val="0"/>
            <w:vAlign w:val="center"/>
          </w:tcPr>
          <w:p w14:paraId="744E7B31">
            <w:pPr>
              <w:snapToGrid w:val="0"/>
              <w:spacing w:before="50" w:after="156" w:afterLines="50" w:line="360" w:lineRule="auto"/>
              <w:jc w:val="center"/>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证书编号</w:t>
            </w:r>
          </w:p>
        </w:tc>
        <w:tc>
          <w:tcPr>
            <w:tcW w:w="0" w:type="auto"/>
            <w:noWrap w:val="0"/>
            <w:vAlign w:val="center"/>
          </w:tcPr>
          <w:p w14:paraId="39105AAC">
            <w:pPr>
              <w:snapToGrid w:val="0"/>
              <w:spacing w:before="50" w:after="156" w:afterLines="50" w:line="360" w:lineRule="auto"/>
              <w:jc w:val="center"/>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参加本单位</w:t>
            </w:r>
          </w:p>
          <w:p w14:paraId="1AA89B6E">
            <w:pPr>
              <w:snapToGrid w:val="0"/>
              <w:spacing w:before="50" w:after="156" w:afterLines="50" w:line="360" w:lineRule="auto"/>
              <w:jc w:val="center"/>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工作时间</w:t>
            </w:r>
          </w:p>
        </w:tc>
        <w:tc>
          <w:tcPr>
            <w:tcW w:w="0" w:type="auto"/>
            <w:noWrap w:val="0"/>
            <w:vAlign w:val="center"/>
          </w:tcPr>
          <w:p w14:paraId="6C216B41">
            <w:pPr>
              <w:snapToGrid w:val="0"/>
              <w:spacing w:before="50" w:after="156" w:afterLines="50" w:line="360" w:lineRule="auto"/>
              <w:jc w:val="center"/>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劳动合同编号</w:t>
            </w:r>
          </w:p>
        </w:tc>
      </w:tr>
      <w:tr w14:paraId="348D6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14:paraId="7DC0DAFD">
            <w:pPr>
              <w:snapToGrid w:val="0"/>
              <w:spacing w:before="50" w:after="156" w:afterLines="50" w:line="360" w:lineRule="auto"/>
              <w:jc w:val="center"/>
              <w:rPr>
                <w:rFonts w:hint="eastAsia" w:ascii="宋体" w:hAnsi="宋体" w:eastAsia="宋体" w:cs="宋体"/>
                <w:color w:val="auto"/>
                <w:sz w:val="21"/>
                <w:szCs w:val="16"/>
                <w:highlight w:val="none"/>
              </w:rPr>
            </w:pPr>
          </w:p>
        </w:tc>
        <w:tc>
          <w:tcPr>
            <w:tcW w:w="0" w:type="auto"/>
            <w:noWrap w:val="0"/>
            <w:vAlign w:val="center"/>
          </w:tcPr>
          <w:p w14:paraId="2B628247">
            <w:pPr>
              <w:snapToGrid w:val="0"/>
              <w:spacing w:before="50" w:after="156" w:afterLines="50" w:line="360" w:lineRule="auto"/>
              <w:jc w:val="center"/>
              <w:rPr>
                <w:rFonts w:hint="eastAsia" w:ascii="宋体" w:hAnsi="宋体" w:eastAsia="宋体" w:cs="宋体"/>
                <w:color w:val="auto"/>
                <w:sz w:val="21"/>
                <w:szCs w:val="16"/>
                <w:highlight w:val="none"/>
              </w:rPr>
            </w:pPr>
          </w:p>
        </w:tc>
        <w:tc>
          <w:tcPr>
            <w:tcW w:w="0" w:type="auto"/>
            <w:noWrap w:val="0"/>
            <w:vAlign w:val="center"/>
          </w:tcPr>
          <w:p w14:paraId="167308A6">
            <w:pPr>
              <w:snapToGrid w:val="0"/>
              <w:spacing w:before="50" w:after="156" w:afterLines="50" w:line="360" w:lineRule="auto"/>
              <w:jc w:val="center"/>
              <w:rPr>
                <w:rFonts w:hint="eastAsia" w:ascii="宋体" w:hAnsi="宋体" w:eastAsia="宋体" w:cs="宋体"/>
                <w:color w:val="auto"/>
                <w:sz w:val="21"/>
                <w:szCs w:val="16"/>
                <w:highlight w:val="none"/>
              </w:rPr>
            </w:pPr>
          </w:p>
        </w:tc>
        <w:tc>
          <w:tcPr>
            <w:tcW w:w="0" w:type="auto"/>
            <w:noWrap w:val="0"/>
            <w:vAlign w:val="center"/>
          </w:tcPr>
          <w:p w14:paraId="6D43BADC">
            <w:pPr>
              <w:snapToGrid w:val="0"/>
              <w:spacing w:before="50" w:after="156" w:afterLines="50" w:line="360" w:lineRule="auto"/>
              <w:jc w:val="center"/>
              <w:rPr>
                <w:rFonts w:hint="eastAsia" w:ascii="宋体" w:hAnsi="宋体" w:eastAsia="宋体" w:cs="宋体"/>
                <w:color w:val="auto"/>
                <w:sz w:val="21"/>
                <w:szCs w:val="16"/>
                <w:highlight w:val="none"/>
              </w:rPr>
            </w:pPr>
          </w:p>
        </w:tc>
        <w:tc>
          <w:tcPr>
            <w:tcW w:w="0" w:type="auto"/>
            <w:noWrap w:val="0"/>
            <w:vAlign w:val="center"/>
          </w:tcPr>
          <w:p w14:paraId="040D9999">
            <w:pPr>
              <w:snapToGrid w:val="0"/>
              <w:spacing w:before="50" w:after="156" w:afterLines="50" w:line="360" w:lineRule="auto"/>
              <w:jc w:val="center"/>
              <w:rPr>
                <w:rFonts w:hint="eastAsia" w:ascii="宋体" w:hAnsi="宋体" w:eastAsia="宋体" w:cs="宋体"/>
                <w:color w:val="auto"/>
                <w:sz w:val="21"/>
                <w:szCs w:val="16"/>
                <w:highlight w:val="none"/>
              </w:rPr>
            </w:pPr>
          </w:p>
        </w:tc>
        <w:tc>
          <w:tcPr>
            <w:tcW w:w="0" w:type="auto"/>
            <w:noWrap w:val="0"/>
            <w:vAlign w:val="center"/>
          </w:tcPr>
          <w:p w14:paraId="28EC5FDA">
            <w:pPr>
              <w:snapToGrid w:val="0"/>
              <w:spacing w:before="50" w:after="156" w:afterLines="50" w:line="360" w:lineRule="auto"/>
              <w:jc w:val="center"/>
              <w:rPr>
                <w:rFonts w:hint="eastAsia" w:ascii="宋体" w:hAnsi="宋体" w:eastAsia="宋体" w:cs="宋体"/>
                <w:color w:val="auto"/>
                <w:sz w:val="21"/>
                <w:szCs w:val="16"/>
                <w:highlight w:val="none"/>
              </w:rPr>
            </w:pPr>
          </w:p>
        </w:tc>
      </w:tr>
      <w:tr w14:paraId="6370A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14:paraId="3D373468">
            <w:pPr>
              <w:snapToGrid w:val="0"/>
              <w:spacing w:before="50" w:after="156" w:afterLines="50" w:line="360" w:lineRule="auto"/>
              <w:jc w:val="center"/>
              <w:rPr>
                <w:rFonts w:hint="eastAsia" w:ascii="宋体" w:hAnsi="宋体" w:eastAsia="宋体" w:cs="宋体"/>
                <w:color w:val="auto"/>
                <w:sz w:val="21"/>
                <w:szCs w:val="16"/>
                <w:highlight w:val="none"/>
              </w:rPr>
            </w:pPr>
          </w:p>
        </w:tc>
        <w:tc>
          <w:tcPr>
            <w:tcW w:w="0" w:type="auto"/>
            <w:noWrap w:val="0"/>
            <w:vAlign w:val="center"/>
          </w:tcPr>
          <w:p w14:paraId="5C1339A4">
            <w:pPr>
              <w:snapToGrid w:val="0"/>
              <w:spacing w:before="50" w:after="156" w:afterLines="50" w:line="360" w:lineRule="auto"/>
              <w:jc w:val="center"/>
              <w:rPr>
                <w:rFonts w:hint="eastAsia" w:ascii="宋体" w:hAnsi="宋体" w:eastAsia="宋体" w:cs="宋体"/>
                <w:color w:val="auto"/>
                <w:sz w:val="21"/>
                <w:szCs w:val="16"/>
                <w:highlight w:val="none"/>
              </w:rPr>
            </w:pPr>
          </w:p>
        </w:tc>
        <w:tc>
          <w:tcPr>
            <w:tcW w:w="0" w:type="auto"/>
            <w:noWrap w:val="0"/>
            <w:vAlign w:val="center"/>
          </w:tcPr>
          <w:p w14:paraId="36E4DD42">
            <w:pPr>
              <w:snapToGrid w:val="0"/>
              <w:spacing w:before="50" w:after="156" w:afterLines="50" w:line="360" w:lineRule="auto"/>
              <w:jc w:val="center"/>
              <w:rPr>
                <w:rFonts w:hint="eastAsia" w:ascii="宋体" w:hAnsi="宋体" w:eastAsia="宋体" w:cs="宋体"/>
                <w:color w:val="auto"/>
                <w:sz w:val="21"/>
                <w:szCs w:val="16"/>
                <w:highlight w:val="none"/>
              </w:rPr>
            </w:pPr>
          </w:p>
        </w:tc>
        <w:tc>
          <w:tcPr>
            <w:tcW w:w="0" w:type="auto"/>
            <w:noWrap w:val="0"/>
            <w:vAlign w:val="center"/>
          </w:tcPr>
          <w:p w14:paraId="3F12CF04">
            <w:pPr>
              <w:snapToGrid w:val="0"/>
              <w:spacing w:before="50" w:after="156" w:afterLines="50" w:line="360" w:lineRule="auto"/>
              <w:jc w:val="center"/>
              <w:rPr>
                <w:rFonts w:hint="eastAsia" w:ascii="宋体" w:hAnsi="宋体" w:eastAsia="宋体" w:cs="宋体"/>
                <w:color w:val="auto"/>
                <w:sz w:val="21"/>
                <w:szCs w:val="16"/>
                <w:highlight w:val="none"/>
              </w:rPr>
            </w:pPr>
          </w:p>
        </w:tc>
        <w:tc>
          <w:tcPr>
            <w:tcW w:w="0" w:type="auto"/>
            <w:noWrap w:val="0"/>
            <w:vAlign w:val="center"/>
          </w:tcPr>
          <w:p w14:paraId="606C062F">
            <w:pPr>
              <w:snapToGrid w:val="0"/>
              <w:spacing w:before="50" w:after="156" w:afterLines="50" w:line="360" w:lineRule="auto"/>
              <w:jc w:val="center"/>
              <w:rPr>
                <w:rFonts w:hint="eastAsia" w:ascii="宋体" w:hAnsi="宋体" w:eastAsia="宋体" w:cs="宋体"/>
                <w:color w:val="auto"/>
                <w:sz w:val="21"/>
                <w:szCs w:val="16"/>
                <w:highlight w:val="none"/>
              </w:rPr>
            </w:pPr>
          </w:p>
        </w:tc>
        <w:tc>
          <w:tcPr>
            <w:tcW w:w="0" w:type="auto"/>
            <w:noWrap w:val="0"/>
            <w:vAlign w:val="center"/>
          </w:tcPr>
          <w:p w14:paraId="71E36E72">
            <w:pPr>
              <w:snapToGrid w:val="0"/>
              <w:spacing w:before="50" w:after="156" w:afterLines="50" w:line="360" w:lineRule="auto"/>
              <w:jc w:val="center"/>
              <w:rPr>
                <w:rFonts w:hint="eastAsia" w:ascii="宋体" w:hAnsi="宋体" w:eastAsia="宋体" w:cs="宋体"/>
                <w:color w:val="auto"/>
                <w:sz w:val="21"/>
                <w:szCs w:val="16"/>
                <w:highlight w:val="none"/>
              </w:rPr>
            </w:pPr>
          </w:p>
        </w:tc>
      </w:tr>
      <w:tr w14:paraId="672CE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14:paraId="44ABBD7E">
            <w:pPr>
              <w:snapToGrid w:val="0"/>
              <w:spacing w:before="50" w:after="156" w:afterLines="50" w:line="360" w:lineRule="auto"/>
              <w:jc w:val="center"/>
              <w:rPr>
                <w:rFonts w:hint="eastAsia" w:ascii="宋体" w:hAnsi="宋体" w:eastAsia="宋体" w:cs="宋体"/>
                <w:color w:val="auto"/>
                <w:sz w:val="21"/>
                <w:szCs w:val="16"/>
                <w:highlight w:val="none"/>
              </w:rPr>
            </w:pPr>
          </w:p>
        </w:tc>
        <w:tc>
          <w:tcPr>
            <w:tcW w:w="0" w:type="auto"/>
            <w:noWrap w:val="0"/>
            <w:vAlign w:val="center"/>
          </w:tcPr>
          <w:p w14:paraId="35AD8D8A">
            <w:pPr>
              <w:snapToGrid w:val="0"/>
              <w:spacing w:before="50" w:after="156" w:afterLines="50" w:line="360" w:lineRule="auto"/>
              <w:jc w:val="center"/>
              <w:rPr>
                <w:rFonts w:hint="eastAsia" w:ascii="宋体" w:hAnsi="宋体" w:eastAsia="宋体" w:cs="宋体"/>
                <w:color w:val="auto"/>
                <w:sz w:val="21"/>
                <w:szCs w:val="16"/>
                <w:highlight w:val="none"/>
              </w:rPr>
            </w:pPr>
          </w:p>
        </w:tc>
        <w:tc>
          <w:tcPr>
            <w:tcW w:w="0" w:type="auto"/>
            <w:noWrap w:val="0"/>
            <w:vAlign w:val="center"/>
          </w:tcPr>
          <w:p w14:paraId="2969B489">
            <w:pPr>
              <w:snapToGrid w:val="0"/>
              <w:spacing w:before="50" w:after="156" w:afterLines="50" w:line="360" w:lineRule="auto"/>
              <w:jc w:val="center"/>
              <w:rPr>
                <w:rFonts w:hint="eastAsia" w:ascii="宋体" w:hAnsi="宋体" w:eastAsia="宋体" w:cs="宋体"/>
                <w:color w:val="auto"/>
                <w:sz w:val="21"/>
                <w:szCs w:val="16"/>
                <w:highlight w:val="none"/>
              </w:rPr>
            </w:pPr>
          </w:p>
        </w:tc>
        <w:tc>
          <w:tcPr>
            <w:tcW w:w="0" w:type="auto"/>
            <w:noWrap w:val="0"/>
            <w:vAlign w:val="center"/>
          </w:tcPr>
          <w:p w14:paraId="49408E3C">
            <w:pPr>
              <w:snapToGrid w:val="0"/>
              <w:spacing w:before="50" w:after="156" w:afterLines="50" w:line="360" w:lineRule="auto"/>
              <w:jc w:val="center"/>
              <w:rPr>
                <w:rFonts w:hint="eastAsia" w:ascii="宋体" w:hAnsi="宋体" w:eastAsia="宋体" w:cs="宋体"/>
                <w:color w:val="auto"/>
                <w:sz w:val="21"/>
                <w:szCs w:val="16"/>
                <w:highlight w:val="none"/>
              </w:rPr>
            </w:pPr>
          </w:p>
        </w:tc>
        <w:tc>
          <w:tcPr>
            <w:tcW w:w="0" w:type="auto"/>
            <w:noWrap w:val="0"/>
            <w:vAlign w:val="center"/>
          </w:tcPr>
          <w:p w14:paraId="2C0276FE">
            <w:pPr>
              <w:snapToGrid w:val="0"/>
              <w:spacing w:before="50" w:after="156" w:afterLines="50" w:line="360" w:lineRule="auto"/>
              <w:jc w:val="center"/>
              <w:rPr>
                <w:rFonts w:hint="eastAsia" w:ascii="宋体" w:hAnsi="宋体" w:eastAsia="宋体" w:cs="宋体"/>
                <w:color w:val="auto"/>
                <w:sz w:val="21"/>
                <w:szCs w:val="16"/>
                <w:highlight w:val="none"/>
              </w:rPr>
            </w:pPr>
          </w:p>
        </w:tc>
        <w:tc>
          <w:tcPr>
            <w:tcW w:w="0" w:type="auto"/>
            <w:noWrap w:val="0"/>
            <w:vAlign w:val="center"/>
          </w:tcPr>
          <w:p w14:paraId="1255F09F">
            <w:pPr>
              <w:snapToGrid w:val="0"/>
              <w:spacing w:before="50" w:after="156" w:afterLines="50" w:line="360" w:lineRule="auto"/>
              <w:jc w:val="center"/>
              <w:rPr>
                <w:rFonts w:hint="eastAsia" w:ascii="宋体" w:hAnsi="宋体" w:eastAsia="宋体" w:cs="宋体"/>
                <w:color w:val="auto"/>
                <w:sz w:val="21"/>
                <w:szCs w:val="16"/>
                <w:highlight w:val="none"/>
              </w:rPr>
            </w:pPr>
          </w:p>
        </w:tc>
      </w:tr>
    </w:tbl>
    <w:p w14:paraId="1545D0F7">
      <w:pPr>
        <w:snapToGrid w:val="0"/>
        <w:spacing w:before="50" w:after="156" w:afterLines="50" w:line="360" w:lineRule="auto"/>
        <w:jc w:val="left"/>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注：</w:t>
      </w:r>
      <w:r>
        <w:rPr>
          <w:rFonts w:hint="eastAsia" w:ascii="宋体" w:hAnsi="宋体" w:eastAsia="宋体" w:cs="宋体"/>
          <w:color w:val="auto"/>
          <w:kern w:val="0"/>
          <w:sz w:val="21"/>
          <w:szCs w:val="21"/>
          <w:highlight w:val="none"/>
          <w:lang w:eastAsia="zh-CN"/>
        </w:rPr>
        <w:t>本表可自行扩展，</w:t>
      </w:r>
      <w:r>
        <w:rPr>
          <w:rFonts w:hint="eastAsia" w:ascii="宋体" w:hAnsi="宋体" w:eastAsia="宋体" w:cs="宋体"/>
          <w:color w:val="auto"/>
          <w:sz w:val="21"/>
          <w:szCs w:val="16"/>
          <w:highlight w:val="none"/>
        </w:rPr>
        <w:t>在填写时，如本表格不适合供应商的实际情况，可根据本表格式自行制表填写。</w:t>
      </w:r>
    </w:p>
    <w:p w14:paraId="6B9FCCC6">
      <w:pPr>
        <w:snapToGrid w:val="0"/>
        <w:spacing w:before="50" w:after="50" w:line="360" w:lineRule="auto"/>
        <w:rPr>
          <w:rFonts w:hint="eastAsia" w:ascii="宋体" w:hAnsi="宋体" w:eastAsia="宋体" w:cs="宋体"/>
          <w:color w:val="auto"/>
          <w:spacing w:val="20"/>
          <w:sz w:val="21"/>
          <w:szCs w:val="16"/>
          <w:highlight w:val="none"/>
          <w:u w:val="single"/>
        </w:rPr>
      </w:pPr>
      <w:r>
        <w:rPr>
          <w:rFonts w:hint="eastAsia" w:ascii="宋体" w:hAnsi="宋体" w:eastAsia="宋体" w:cs="宋体"/>
          <w:color w:val="auto"/>
          <w:sz w:val="21"/>
          <w:szCs w:val="21"/>
          <w:highlight w:val="none"/>
        </w:rPr>
        <w:t>法定代表人或者委托代理人</w:t>
      </w:r>
      <w:r>
        <w:rPr>
          <w:rFonts w:hint="eastAsia" w:ascii="宋体" w:hAnsi="宋体" w:eastAsia="宋体" w:cs="宋体"/>
          <w:color w:val="auto"/>
          <w:spacing w:val="20"/>
          <w:sz w:val="21"/>
          <w:szCs w:val="21"/>
          <w:highlight w:val="none"/>
        </w:rPr>
        <w:t>签字：</w:t>
      </w:r>
      <w:r>
        <w:rPr>
          <w:rFonts w:hint="eastAsia" w:ascii="宋体" w:hAnsi="宋体" w:eastAsia="宋体" w:cs="宋体"/>
          <w:color w:val="auto"/>
          <w:spacing w:val="20"/>
          <w:sz w:val="21"/>
          <w:szCs w:val="21"/>
          <w:highlight w:val="none"/>
          <w:u w:val="single"/>
        </w:rPr>
        <w:t xml:space="preserve">        </w:t>
      </w:r>
    </w:p>
    <w:p w14:paraId="2BB2FA62">
      <w:pPr>
        <w:snapToGrid w:val="0"/>
        <w:spacing w:before="50" w:after="156" w:afterLines="50" w:line="360" w:lineRule="auto"/>
        <w:jc w:val="left"/>
        <w:rPr>
          <w:rFonts w:hint="eastAsia" w:ascii="宋体" w:hAnsi="宋体" w:eastAsia="宋体" w:cs="宋体"/>
          <w:color w:val="auto"/>
          <w:sz w:val="21"/>
          <w:szCs w:val="16"/>
          <w:highlight w:val="none"/>
        </w:rPr>
      </w:pPr>
      <w:r>
        <w:rPr>
          <w:rFonts w:hint="eastAsia" w:ascii="宋体" w:hAnsi="宋体" w:eastAsia="宋体" w:cs="宋体"/>
          <w:color w:val="auto"/>
          <w:spacing w:val="20"/>
          <w:sz w:val="21"/>
          <w:szCs w:val="21"/>
          <w:highlight w:val="none"/>
        </w:rPr>
        <w:t>供应商（盖公章）：</w:t>
      </w:r>
      <w:r>
        <w:rPr>
          <w:rFonts w:hint="eastAsia" w:ascii="宋体" w:hAnsi="宋体" w:eastAsia="宋体" w:cs="宋体"/>
          <w:color w:val="auto"/>
          <w:spacing w:val="20"/>
          <w:sz w:val="21"/>
          <w:szCs w:val="21"/>
          <w:highlight w:val="none"/>
          <w:u w:val="single"/>
        </w:rPr>
        <w:t xml:space="preserve">            </w:t>
      </w:r>
      <w:r>
        <w:rPr>
          <w:rFonts w:hint="eastAsia" w:ascii="宋体" w:hAnsi="宋体" w:eastAsia="宋体" w:cs="宋体"/>
          <w:color w:val="auto"/>
          <w:spacing w:val="20"/>
          <w:sz w:val="21"/>
          <w:szCs w:val="21"/>
          <w:highlight w:val="none"/>
        </w:rPr>
        <w:t xml:space="preserve">              日 期：</w:t>
      </w:r>
      <w:r>
        <w:rPr>
          <w:rFonts w:hint="eastAsia" w:ascii="宋体" w:hAnsi="宋体" w:eastAsia="宋体" w:cs="宋体"/>
          <w:color w:val="auto"/>
          <w:spacing w:val="20"/>
          <w:sz w:val="21"/>
          <w:szCs w:val="21"/>
          <w:highlight w:val="none"/>
          <w:u w:val="single"/>
        </w:rPr>
        <w:t xml:space="preserve">         </w:t>
      </w:r>
    </w:p>
    <w:p w14:paraId="74A97E91">
      <w:pPr>
        <w:snapToGrid w:val="0"/>
        <w:spacing w:before="50" w:after="156" w:afterLines="50" w:line="360" w:lineRule="auto"/>
        <w:jc w:val="left"/>
        <w:rPr>
          <w:rFonts w:hint="eastAsia" w:ascii="宋体" w:hAnsi="宋体" w:eastAsia="宋体" w:cs="宋体"/>
          <w:color w:val="auto"/>
          <w:sz w:val="21"/>
          <w:szCs w:val="16"/>
          <w:highlight w:val="none"/>
        </w:rPr>
      </w:pPr>
    </w:p>
    <w:p w14:paraId="27D51221">
      <w:pPr>
        <w:snapToGrid w:val="0"/>
        <w:spacing w:before="50" w:after="50" w:line="360" w:lineRule="auto"/>
        <w:ind w:right="-817" w:rightChars="-389" w:firstLine="4096" w:firstLineChars="1700"/>
        <w:rPr>
          <w:rFonts w:hint="eastAsia" w:ascii="宋体" w:hAnsi="宋体" w:eastAsia="宋体" w:cs="宋体"/>
          <w:b/>
          <w:color w:val="auto"/>
          <w:sz w:val="24"/>
          <w:szCs w:val="24"/>
          <w:highlight w:val="none"/>
        </w:rPr>
      </w:pPr>
    </w:p>
    <w:p w14:paraId="0630FE86">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21"/>
          <w:szCs w:val="21"/>
          <w:highlight w:val="none"/>
        </w:rPr>
        <w:br w:type="page"/>
      </w:r>
      <w:r>
        <w:rPr>
          <w:rFonts w:hint="eastAsia" w:ascii="宋体" w:hAnsi="宋体" w:eastAsia="宋体" w:cs="宋体"/>
          <w:b/>
          <w:bCs/>
          <w:color w:val="auto"/>
          <w:sz w:val="32"/>
          <w:szCs w:val="32"/>
          <w:highlight w:val="none"/>
        </w:rPr>
        <w:t>质疑函（格式）</w:t>
      </w:r>
    </w:p>
    <w:p w14:paraId="6D510389">
      <w:pPr>
        <w:pStyle w:val="15"/>
        <w:snapToGrid w:val="0"/>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一、质疑供应商基本信息：</w:t>
      </w:r>
    </w:p>
    <w:p w14:paraId="698B074A">
      <w:pPr>
        <w:pStyle w:val="15"/>
        <w:snapToGrid w:val="0"/>
        <w:spacing w:line="360" w:lineRule="auto"/>
        <w:ind w:firstLine="420" w:firstLineChars="200"/>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质疑供应商：</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 xml:space="preserve">                 </w:t>
      </w:r>
    </w:p>
    <w:p w14:paraId="5C231DE5">
      <w:pPr>
        <w:pStyle w:val="15"/>
        <w:snapToGrid w:val="0"/>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地址：</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邮编：</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 xml:space="preserve">                 </w:t>
      </w:r>
    </w:p>
    <w:p w14:paraId="41E855B7">
      <w:pPr>
        <w:pStyle w:val="15"/>
        <w:snapToGrid w:val="0"/>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联系人：</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联系电话：</w:t>
      </w:r>
      <w:r>
        <w:rPr>
          <w:rFonts w:hint="eastAsia" w:ascii="宋体" w:hAnsi="宋体" w:eastAsia="宋体" w:cs="宋体"/>
          <w:bCs/>
          <w:color w:val="auto"/>
          <w:sz w:val="21"/>
          <w:szCs w:val="21"/>
          <w:highlight w:val="none"/>
          <w:u w:val="single"/>
        </w:rPr>
        <w:t xml:space="preserve">                 </w:t>
      </w:r>
    </w:p>
    <w:p w14:paraId="7738C8C8">
      <w:pPr>
        <w:pStyle w:val="15"/>
        <w:snapToGrid w:val="0"/>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授权代表：</w:t>
      </w:r>
      <w:r>
        <w:rPr>
          <w:rFonts w:hint="eastAsia" w:ascii="宋体" w:hAnsi="宋体" w:eastAsia="宋体" w:cs="宋体"/>
          <w:bCs/>
          <w:color w:val="auto"/>
          <w:sz w:val="21"/>
          <w:szCs w:val="21"/>
          <w:highlight w:val="none"/>
          <w:u w:val="single"/>
        </w:rPr>
        <w:t xml:space="preserve">                      </w:t>
      </w:r>
    </w:p>
    <w:p w14:paraId="63C9E0C3">
      <w:pPr>
        <w:pStyle w:val="15"/>
        <w:snapToGrid w:val="0"/>
        <w:spacing w:line="360" w:lineRule="auto"/>
        <w:ind w:firstLine="420" w:firstLineChars="200"/>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联系电话：</w:t>
      </w:r>
      <w:r>
        <w:rPr>
          <w:rFonts w:hint="eastAsia" w:ascii="宋体" w:hAnsi="宋体" w:eastAsia="宋体" w:cs="宋体"/>
          <w:bCs/>
          <w:color w:val="auto"/>
          <w:sz w:val="21"/>
          <w:szCs w:val="21"/>
          <w:highlight w:val="none"/>
          <w:u w:val="single"/>
        </w:rPr>
        <w:t xml:space="preserve">                      </w:t>
      </w:r>
    </w:p>
    <w:p w14:paraId="28F6D163">
      <w:pPr>
        <w:pStyle w:val="15"/>
        <w:snapToGrid w:val="0"/>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地址：</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邮编：</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 xml:space="preserve">     </w:t>
      </w:r>
    </w:p>
    <w:p w14:paraId="4FD48183">
      <w:pPr>
        <w:pStyle w:val="15"/>
        <w:snapToGrid w:val="0"/>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二、质疑项目基本情况：</w:t>
      </w:r>
    </w:p>
    <w:p w14:paraId="56072FF5">
      <w:pPr>
        <w:pStyle w:val="15"/>
        <w:spacing w:line="360" w:lineRule="auto"/>
        <w:ind w:left="25" w:leftChars="12" w:firstLine="413" w:firstLineChars="197"/>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质疑</w:t>
      </w:r>
      <w:r>
        <w:rPr>
          <w:rFonts w:hint="eastAsia" w:ascii="宋体" w:hAnsi="宋体" w:eastAsia="宋体" w:cs="宋体"/>
          <w:color w:val="auto"/>
          <w:sz w:val="21"/>
          <w:szCs w:val="21"/>
          <w:highlight w:val="none"/>
        </w:rPr>
        <w:t>项目的名称：</w:t>
      </w:r>
      <w:r>
        <w:rPr>
          <w:rFonts w:hint="eastAsia" w:ascii="宋体" w:hAnsi="宋体" w:eastAsia="宋体" w:cs="宋体"/>
          <w:bCs/>
          <w:color w:val="auto"/>
          <w:sz w:val="21"/>
          <w:szCs w:val="21"/>
          <w:highlight w:val="none"/>
          <w:u w:val="single"/>
        </w:rPr>
        <w:t xml:space="preserve">                                     </w:t>
      </w:r>
    </w:p>
    <w:p w14:paraId="057D7FC3">
      <w:pPr>
        <w:pStyle w:val="15"/>
        <w:spacing w:line="360" w:lineRule="auto"/>
        <w:ind w:left="25" w:leftChars="12" w:firstLine="413" w:firstLineChars="197"/>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质疑</w:t>
      </w:r>
      <w:r>
        <w:rPr>
          <w:rFonts w:hint="eastAsia" w:ascii="宋体" w:hAnsi="宋体" w:eastAsia="宋体" w:cs="宋体"/>
          <w:color w:val="auto"/>
          <w:sz w:val="21"/>
          <w:szCs w:val="21"/>
          <w:highlight w:val="none"/>
        </w:rPr>
        <w:t>项目的编号：</w:t>
      </w:r>
      <w:r>
        <w:rPr>
          <w:rFonts w:hint="eastAsia" w:ascii="宋体" w:hAnsi="宋体" w:eastAsia="宋体" w:cs="宋体"/>
          <w:bCs/>
          <w:color w:val="auto"/>
          <w:sz w:val="21"/>
          <w:szCs w:val="21"/>
          <w:highlight w:val="none"/>
          <w:u w:val="single"/>
        </w:rPr>
        <w:t xml:space="preserve">                                     </w:t>
      </w:r>
    </w:p>
    <w:p w14:paraId="27D3B6CB">
      <w:pPr>
        <w:pStyle w:val="15"/>
        <w:spacing w:line="360" w:lineRule="auto"/>
        <w:ind w:left="25" w:leftChars="12" w:firstLine="413" w:firstLineChars="19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采购人名称：</w:t>
      </w:r>
      <w:r>
        <w:rPr>
          <w:rFonts w:hint="eastAsia" w:ascii="宋体" w:hAnsi="宋体" w:eastAsia="宋体" w:cs="宋体"/>
          <w:bCs/>
          <w:color w:val="auto"/>
          <w:sz w:val="21"/>
          <w:szCs w:val="21"/>
          <w:highlight w:val="none"/>
          <w:u w:val="single"/>
        </w:rPr>
        <w:t xml:space="preserve">                                         </w:t>
      </w:r>
    </w:p>
    <w:p w14:paraId="5299C080">
      <w:pPr>
        <w:pStyle w:val="15"/>
        <w:spacing w:line="360" w:lineRule="auto"/>
        <w:ind w:left="25" w:leftChars="12" w:firstLine="413" w:firstLineChars="19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质疑事项：</w:t>
      </w:r>
    </w:p>
    <w:p w14:paraId="469638FF">
      <w:pPr>
        <w:pStyle w:val="15"/>
        <w:spacing w:line="360" w:lineRule="auto"/>
        <w:ind w:left="25" w:leftChars="12" w:firstLine="308" w:firstLineChars="14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□采购文件   采购文件获取日期：</w:t>
      </w:r>
      <w:r>
        <w:rPr>
          <w:rFonts w:hint="eastAsia" w:ascii="宋体" w:hAnsi="宋体" w:eastAsia="宋体" w:cs="宋体"/>
          <w:bCs/>
          <w:color w:val="auto"/>
          <w:sz w:val="21"/>
          <w:szCs w:val="21"/>
          <w:highlight w:val="none"/>
          <w:u w:val="single"/>
        </w:rPr>
        <w:t xml:space="preserve">                                   </w:t>
      </w:r>
    </w:p>
    <w:p w14:paraId="605D7E76">
      <w:pPr>
        <w:pStyle w:val="15"/>
        <w:spacing w:line="360" w:lineRule="auto"/>
        <w:ind w:left="25" w:leftChars="12" w:firstLine="308" w:firstLineChars="14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□采购过程   </w:t>
      </w:r>
    </w:p>
    <w:p w14:paraId="45758C3D">
      <w:pPr>
        <w:pStyle w:val="15"/>
        <w:spacing w:line="360" w:lineRule="auto"/>
        <w:ind w:left="25" w:leftChars="12" w:firstLine="308" w:firstLineChars="147"/>
        <w:rPr>
          <w:rFonts w:hint="eastAsia" w:ascii="宋体" w:hAnsi="宋体" w:eastAsia="宋体" w:cs="宋体"/>
          <w:bCs/>
          <w:color w:val="auto"/>
          <w:sz w:val="21"/>
          <w:szCs w:val="21"/>
          <w:highlight w:val="none"/>
          <w:u w:val="single"/>
        </w:rPr>
      </w:pPr>
      <w:r>
        <w:rPr>
          <w:rFonts w:hint="eastAsia" w:ascii="宋体" w:hAnsi="宋体" w:eastAsia="宋体" w:cs="宋体"/>
          <w:color w:val="auto"/>
          <w:sz w:val="21"/>
          <w:szCs w:val="21"/>
          <w:highlight w:val="none"/>
        </w:rPr>
        <w:t xml:space="preserve">□成交结果   </w:t>
      </w:r>
    </w:p>
    <w:p w14:paraId="6E385DB3">
      <w:pPr>
        <w:pStyle w:val="15"/>
        <w:spacing w:line="360" w:lineRule="auto"/>
        <w:ind w:left="25" w:leftChars="12" w:firstLine="413" w:firstLineChars="196"/>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三、质疑事项具体内容</w:t>
      </w:r>
    </w:p>
    <w:p w14:paraId="0AA0F0E2">
      <w:pPr>
        <w:pStyle w:val="15"/>
        <w:spacing w:line="360" w:lineRule="auto"/>
        <w:ind w:left="25" w:leftChars="12" w:firstLine="413" w:firstLineChars="19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质疑事项1：</w:t>
      </w:r>
      <w:r>
        <w:rPr>
          <w:rFonts w:hint="eastAsia" w:ascii="宋体" w:hAnsi="宋体" w:eastAsia="宋体" w:cs="宋体"/>
          <w:bCs/>
          <w:color w:val="auto"/>
          <w:sz w:val="21"/>
          <w:szCs w:val="21"/>
          <w:highlight w:val="none"/>
          <w:u w:val="single"/>
        </w:rPr>
        <w:t xml:space="preserve">                                                                    </w:t>
      </w:r>
    </w:p>
    <w:p w14:paraId="096B7BE4">
      <w:pPr>
        <w:pStyle w:val="15"/>
        <w:spacing w:line="360" w:lineRule="auto"/>
        <w:ind w:left="25" w:leftChars="12" w:firstLine="413" w:firstLineChars="19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事实依据：</w:t>
      </w:r>
      <w:r>
        <w:rPr>
          <w:rFonts w:hint="eastAsia" w:ascii="宋体" w:hAnsi="宋体" w:eastAsia="宋体" w:cs="宋体"/>
          <w:bCs/>
          <w:color w:val="auto"/>
          <w:sz w:val="21"/>
          <w:szCs w:val="21"/>
          <w:highlight w:val="none"/>
          <w:u w:val="single"/>
        </w:rPr>
        <w:t xml:space="preserve">                                                                      </w:t>
      </w:r>
    </w:p>
    <w:p w14:paraId="101E433C">
      <w:pPr>
        <w:pStyle w:val="15"/>
        <w:spacing w:line="360" w:lineRule="auto"/>
        <w:ind w:left="25" w:leftChars="12" w:firstLine="413" w:firstLineChars="19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法律依据：</w:t>
      </w:r>
      <w:r>
        <w:rPr>
          <w:rFonts w:hint="eastAsia" w:ascii="宋体" w:hAnsi="宋体" w:eastAsia="宋体" w:cs="宋体"/>
          <w:color w:val="auto"/>
          <w:sz w:val="21"/>
          <w:szCs w:val="21"/>
          <w:highlight w:val="none"/>
          <w:u w:val="single"/>
        </w:rPr>
        <w:t xml:space="preserve">                                                        </w:t>
      </w:r>
      <w:r>
        <w:rPr>
          <w:rFonts w:hint="eastAsia" w:ascii="宋体" w:hAnsi="宋体" w:eastAsia="宋体" w:cs="宋体"/>
          <w:bCs/>
          <w:color w:val="auto"/>
          <w:sz w:val="21"/>
          <w:szCs w:val="21"/>
          <w:highlight w:val="none"/>
          <w:u w:val="single"/>
        </w:rPr>
        <w:t xml:space="preserve">               </w:t>
      </w:r>
    </w:p>
    <w:p w14:paraId="05E57595">
      <w:pPr>
        <w:pStyle w:val="15"/>
        <w:spacing w:line="360" w:lineRule="auto"/>
        <w:ind w:left="25" w:leftChars="12" w:firstLine="413" w:firstLineChars="19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质疑事项2</w:t>
      </w:r>
    </w:p>
    <w:p w14:paraId="5EA4555E">
      <w:pPr>
        <w:pStyle w:val="15"/>
        <w:spacing w:line="360" w:lineRule="auto"/>
        <w:ind w:left="25" w:leftChars="12" w:firstLine="413" w:firstLineChars="19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p w14:paraId="0DB8F31F">
      <w:pPr>
        <w:pStyle w:val="15"/>
        <w:spacing w:line="360" w:lineRule="auto"/>
        <w:ind w:left="25" w:leftChars="12" w:firstLine="413" w:firstLineChars="19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四、与质疑事项相关的质疑请求：</w:t>
      </w:r>
    </w:p>
    <w:p w14:paraId="4F7F39FC">
      <w:pPr>
        <w:pStyle w:val="15"/>
        <w:spacing w:line="360" w:lineRule="auto"/>
        <w:ind w:left="25" w:leftChars="12" w:firstLine="413" w:firstLineChars="19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请求：</w:t>
      </w:r>
      <w:r>
        <w:rPr>
          <w:rFonts w:hint="eastAsia" w:ascii="宋体" w:hAnsi="宋体" w:eastAsia="宋体" w:cs="宋体"/>
          <w:bCs/>
          <w:color w:val="auto"/>
          <w:sz w:val="21"/>
          <w:szCs w:val="21"/>
          <w:highlight w:val="none"/>
          <w:u w:val="single"/>
        </w:rPr>
        <w:t xml:space="preserve">                                                                </w:t>
      </w:r>
    </w:p>
    <w:p w14:paraId="59CABD02">
      <w:pPr>
        <w:pStyle w:val="15"/>
        <w:spacing w:line="360" w:lineRule="auto"/>
        <w:ind w:left="25" w:leftChars="12" w:firstLine="308" w:firstLineChars="147"/>
        <w:rPr>
          <w:rFonts w:hint="eastAsia" w:ascii="宋体" w:hAnsi="宋体" w:eastAsia="宋体" w:cs="宋体"/>
          <w:color w:val="auto"/>
          <w:sz w:val="21"/>
          <w:szCs w:val="21"/>
          <w:highlight w:val="none"/>
        </w:rPr>
      </w:pPr>
    </w:p>
    <w:p w14:paraId="1724C652">
      <w:pPr>
        <w:pStyle w:val="15"/>
        <w:spacing w:line="360" w:lineRule="auto"/>
        <w:ind w:left="25" w:leftChars="12" w:firstLine="413" w:firstLineChars="19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签字（签章）：                        公章：</w:t>
      </w:r>
    </w:p>
    <w:p w14:paraId="0458209C">
      <w:pPr>
        <w:pStyle w:val="15"/>
        <w:spacing w:line="360" w:lineRule="auto"/>
        <w:ind w:left="25" w:leftChars="12" w:firstLine="308" w:firstLineChars="147"/>
        <w:rPr>
          <w:rFonts w:hint="eastAsia" w:ascii="宋体" w:hAnsi="宋体" w:eastAsia="宋体" w:cs="宋体"/>
          <w:color w:val="auto"/>
          <w:sz w:val="21"/>
          <w:szCs w:val="21"/>
          <w:highlight w:val="none"/>
        </w:rPr>
      </w:pPr>
    </w:p>
    <w:p w14:paraId="1E988C85">
      <w:pPr>
        <w:pStyle w:val="15"/>
        <w:spacing w:line="360" w:lineRule="auto"/>
        <w:ind w:left="25" w:leftChars="12" w:firstLine="413" w:firstLineChars="19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14:paraId="5ADA48B6">
      <w:pPr>
        <w:pStyle w:val="15"/>
        <w:snapToGrid w:val="0"/>
        <w:spacing w:line="360" w:lineRule="auto"/>
        <w:rPr>
          <w:rFonts w:hint="eastAsia" w:ascii="宋体" w:hAnsi="宋体" w:eastAsia="宋体" w:cs="宋体"/>
          <w:b/>
          <w:color w:val="auto"/>
          <w:sz w:val="24"/>
          <w:szCs w:val="24"/>
          <w:highlight w:val="none"/>
        </w:rPr>
      </w:pPr>
    </w:p>
    <w:p w14:paraId="208BF568">
      <w:pPr>
        <w:pStyle w:val="15"/>
        <w:snapToGrid w:val="0"/>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说明：</w:t>
      </w:r>
    </w:p>
    <w:p w14:paraId="64CCF0F3">
      <w:pPr>
        <w:pStyle w:val="15"/>
        <w:spacing w:line="360" w:lineRule="auto"/>
        <w:ind w:left="25" w:leftChars="12" w:firstLine="310" w:firstLineChars="147"/>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rPr>
        <w:t>1.供应商提出质疑时，应提交质疑函和必要的证明材料</w:t>
      </w:r>
      <w:r>
        <w:rPr>
          <w:rFonts w:hint="eastAsia" w:ascii="宋体" w:hAnsi="宋体" w:eastAsia="宋体" w:cs="宋体"/>
          <w:b/>
          <w:bCs/>
          <w:color w:val="auto"/>
          <w:sz w:val="21"/>
          <w:szCs w:val="21"/>
          <w:highlight w:val="none"/>
        </w:rPr>
        <w:t>。</w:t>
      </w:r>
    </w:p>
    <w:p w14:paraId="53C47179">
      <w:pPr>
        <w:pStyle w:val="15"/>
        <w:spacing w:line="360" w:lineRule="auto"/>
        <w:ind w:left="25" w:leftChars="12" w:firstLine="310" w:firstLineChars="147"/>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496EE579">
      <w:pPr>
        <w:pStyle w:val="15"/>
        <w:spacing w:line="360" w:lineRule="auto"/>
        <w:ind w:left="25" w:leftChars="12" w:firstLine="310" w:firstLineChars="147"/>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3.质疑函的质疑事项应具体、明确，并有必要的事实依据和法律依据。</w:t>
      </w:r>
    </w:p>
    <w:p w14:paraId="175F574E">
      <w:pPr>
        <w:pStyle w:val="15"/>
        <w:spacing w:line="360" w:lineRule="auto"/>
        <w:ind w:left="25" w:leftChars="12" w:firstLine="310" w:firstLineChars="147"/>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4.质疑函的质疑请求应与质疑事项相关。</w:t>
      </w:r>
    </w:p>
    <w:p w14:paraId="45A3F70D">
      <w:pPr>
        <w:pStyle w:val="15"/>
        <w:spacing w:line="360" w:lineRule="auto"/>
        <w:ind w:left="25" w:leftChars="12" w:firstLine="310" w:firstLineChars="147"/>
        <w:rPr>
          <w:rFonts w:hint="eastAsia" w:ascii="宋体" w:hAnsi="宋体" w:eastAsia="宋体" w:cs="宋体"/>
          <w:b/>
          <w:color w:val="auto"/>
          <w:sz w:val="16"/>
          <w:szCs w:val="18"/>
          <w:highlight w:val="none"/>
        </w:rPr>
      </w:pPr>
      <w:r>
        <w:rPr>
          <w:rFonts w:hint="eastAsia" w:ascii="宋体" w:hAnsi="宋体" w:eastAsia="宋体" w:cs="宋体"/>
          <w:b/>
          <w:color w:val="auto"/>
          <w:sz w:val="21"/>
          <w:szCs w:val="21"/>
          <w:highlight w:val="none"/>
        </w:rPr>
        <w:t>5.质疑供应商为法人或者其他组织的，质疑函应由法定代表人、主要负责人，或者其授权代表签字或者盖章，并加盖公章。</w:t>
      </w:r>
    </w:p>
    <w:p w14:paraId="230BAEBC">
      <w:pPr>
        <w:pStyle w:val="15"/>
        <w:snapToGrid w:val="0"/>
        <w:spacing w:line="360" w:lineRule="auto"/>
        <w:rPr>
          <w:rFonts w:hint="eastAsia" w:ascii="宋体" w:hAnsi="宋体" w:eastAsia="宋体" w:cs="宋体"/>
          <w:b/>
          <w:color w:val="auto"/>
          <w:sz w:val="21"/>
          <w:szCs w:val="21"/>
          <w:highlight w:val="none"/>
        </w:rPr>
      </w:pPr>
    </w:p>
    <w:p w14:paraId="1777D702">
      <w:pPr>
        <w:spacing w:line="360" w:lineRule="auto"/>
        <w:jc w:val="center"/>
        <w:rPr>
          <w:rFonts w:hint="eastAsia" w:ascii="宋体" w:hAnsi="宋体" w:eastAsia="宋体" w:cs="宋体"/>
          <w:color w:val="auto"/>
          <w:sz w:val="44"/>
          <w:highlight w:val="none"/>
        </w:rPr>
      </w:pPr>
      <w:r>
        <w:rPr>
          <w:rFonts w:hint="eastAsia" w:ascii="宋体" w:hAnsi="宋体" w:eastAsia="宋体" w:cs="宋体"/>
          <w:color w:val="auto"/>
          <w:sz w:val="44"/>
          <w:highlight w:val="none"/>
        </w:rPr>
        <w:br w:type="page"/>
      </w:r>
    </w:p>
    <w:p w14:paraId="519CAB89">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投诉书（格式）</w:t>
      </w:r>
    </w:p>
    <w:p w14:paraId="447FAB81">
      <w:pPr>
        <w:pStyle w:val="15"/>
        <w:snapToGrid w:val="0"/>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一、投诉相关主体基本情况：</w:t>
      </w:r>
    </w:p>
    <w:p w14:paraId="50521A4D">
      <w:pPr>
        <w:pStyle w:val="15"/>
        <w:snapToGrid w:val="0"/>
        <w:spacing w:line="360" w:lineRule="auto"/>
        <w:ind w:firstLine="420" w:firstLineChars="200"/>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供应商：</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 xml:space="preserve">                 </w:t>
      </w:r>
    </w:p>
    <w:p w14:paraId="4F396F7D">
      <w:pPr>
        <w:pStyle w:val="15"/>
        <w:snapToGrid w:val="0"/>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地址：</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邮编：</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 xml:space="preserve">                 </w:t>
      </w:r>
    </w:p>
    <w:p w14:paraId="39462E54">
      <w:pPr>
        <w:pStyle w:val="15"/>
        <w:snapToGrid w:val="0"/>
        <w:spacing w:line="360" w:lineRule="auto"/>
        <w:ind w:firstLine="420" w:firstLineChars="200"/>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法定代表人/主要负责人：</w:t>
      </w:r>
      <w:r>
        <w:rPr>
          <w:rFonts w:hint="eastAsia" w:ascii="宋体" w:hAnsi="宋体" w:eastAsia="宋体" w:cs="宋体"/>
          <w:bCs/>
          <w:color w:val="auto"/>
          <w:sz w:val="21"/>
          <w:szCs w:val="21"/>
          <w:highlight w:val="none"/>
          <w:u w:val="single"/>
        </w:rPr>
        <w:t xml:space="preserve">                                                         </w:t>
      </w:r>
    </w:p>
    <w:p w14:paraId="2539A175">
      <w:pPr>
        <w:pStyle w:val="15"/>
        <w:snapToGrid w:val="0"/>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联系电话：</w:t>
      </w:r>
      <w:r>
        <w:rPr>
          <w:rFonts w:hint="eastAsia" w:ascii="宋体" w:hAnsi="宋体" w:eastAsia="宋体" w:cs="宋体"/>
          <w:bCs/>
          <w:color w:val="auto"/>
          <w:sz w:val="21"/>
          <w:szCs w:val="21"/>
          <w:highlight w:val="none"/>
          <w:u w:val="single"/>
        </w:rPr>
        <w:t xml:space="preserve">                                         </w:t>
      </w:r>
    </w:p>
    <w:p w14:paraId="2C75A0DA">
      <w:pPr>
        <w:pStyle w:val="15"/>
        <w:snapToGrid w:val="0"/>
        <w:spacing w:line="360" w:lineRule="auto"/>
        <w:ind w:firstLine="420" w:firstLineChars="200"/>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授权代表：</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联系电话：</w:t>
      </w:r>
      <w:r>
        <w:rPr>
          <w:rFonts w:hint="eastAsia" w:ascii="宋体" w:hAnsi="宋体" w:eastAsia="宋体" w:cs="宋体"/>
          <w:bCs/>
          <w:color w:val="auto"/>
          <w:sz w:val="21"/>
          <w:szCs w:val="21"/>
          <w:highlight w:val="none"/>
          <w:u w:val="single"/>
        </w:rPr>
        <w:t xml:space="preserve">                   </w:t>
      </w:r>
    </w:p>
    <w:p w14:paraId="003F8C6A">
      <w:pPr>
        <w:pStyle w:val="15"/>
        <w:snapToGrid w:val="0"/>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地址：</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邮编：</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 xml:space="preserve">   </w:t>
      </w:r>
    </w:p>
    <w:p w14:paraId="7A287B8E">
      <w:pPr>
        <w:pStyle w:val="15"/>
        <w:snapToGrid w:val="0"/>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被投诉人1：</w:t>
      </w:r>
    </w:p>
    <w:p w14:paraId="581923CA">
      <w:pPr>
        <w:pStyle w:val="15"/>
        <w:snapToGrid w:val="0"/>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地址：</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邮编：</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 xml:space="preserve">  </w:t>
      </w:r>
    </w:p>
    <w:p w14:paraId="610C2FCA">
      <w:pPr>
        <w:pStyle w:val="15"/>
        <w:snapToGrid w:val="0"/>
        <w:spacing w:line="360" w:lineRule="auto"/>
        <w:ind w:firstLine="420" w:firstLineChars="200"/>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联系人：</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联系电话：</w:t>
      </w:r>
      <w:r>
        <w:rPr>
          <w:rFonts w:hint="eastAsia" w:ascii="宋体" w:hAnsi="宋体" w:eastAsia="宋体" w:cs="宋体"/>
          <w:bCs/>
          <w:color w:val="auto"/>
          <w:sz w:val="21"/>
          <w:szCs w:val="21"/>
          <w:highlight w:val="none"/>
          <w:u w:val="single"/>
        </w:rPr>
        <w:t xml:space="preserve">                </w:t>
      </w:r>
    </w:p>
    <w:p w14:paraId="12738775">
      <w:pPr>
        <w:pStyle w:val="15"/>
        <w:snapToGrid w:val="0"/>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被投诉人2：</w:t>
      </w:r>
    </w:p>
    <w:p w14:paraId="2958B667">
      <w:pPr>
        <w:pStyle w:val="15"/>
        <w:snapToGrid w:val="0"/>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p>
    <w:p w14:paraId="307A0E6C">
      <w:pPr>
        <w:pStyle w:val="15"/>
        <w:snapToGrid w:val="0"/>
        <w:spacing w:line="360" w:lineRule="auto"/>
        <w:ind w:firstLine="420" w:firstLineChars="200"/>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相关供应商：</w:t>
      </w:r>
      <w:r>
        <w:rPr>
          <w:rFonts w:hint="eastAsia" w:ascii="宋体" w:hAnsi="宋体" w:eastAsia="宋体" w:cs="宋体"/>
          <w:bCs/>
          <w:color w:val="auto"/>
          <w:sz w:val="21"/>
          <w:szCs w:val="21"/>
          <w:highlight w:val="none"/>
          <w:u w:val="single"/>
        </w:rPr>
        <w:t xml:space="preserve">                                                                       </w:t>
      </w:r>
    </w:p>
    <w:p w14:paraId="78C7E932">
      <w:pPr>
        <w:pStyle w:val="15"/>
        <w:snapToGrid w:val="0"/>
        <w:spacing w:line="360" w:lineRule="auto"/>
        <w:ind w:firstLine="420" w:firstLineChars="200"/>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地址：</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邮编：</w:t>
      </w:r>
      <w:r>
        <w:rPr>
          <w:rFonts w:hint="eastAsia" w:ascii="宋体" w:hAnsi="宋体" w:eastAsia="宋体" w:cs="宋体"/>
          <w:bCs/>
          <w:color w:val="auto"/>
          <w:sz w:val="21"/>
          <w:szCs w:val="21"/>
          <w:highlight w:val="none"/>
          <w:u w:val="single"/>
        </w:rPr>
        <w:t xml:space="preserve">                         </w:t>
      </w:r>
    </w:p>
    <w:p w14:paraId="014E9CF5">
      <w:pPr>
        <w:pStyle w:val="15"/>
        <w:snapToGrid w:val="0"/>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联系人：</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联系电话：</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 xml:space="preserve">                </w:t>
      </w:r>
    </w:p>
    <w:p w14:paraId="7587FCD8">
      <w:pPr>
        <w:pStyle w:val="15"/>
        <w:snapToGrid w:val="0"/>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二、投诉项目基本情况：</w:t>
      </w:r>
    </w:p>
    <w:p w14:paraId="0CD26EF2">
      <w:pPr>
        <w:pStyle w:val="15"/>
        <w:spacing w:line="360" w:lineRule="auto"/>
        <w:ind w:left="25" w:leftChars="12" w:firstLine="413" w:firstLineChars="197"/>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采购</w:t>
      </w:r>
      <w:r>
        <w:rPr>
          <w:rFonts w:hint="eastAsia" w:ascii="宋体" w:hAnsi="宋体" w:eastAsia="宋体" w:cs="宋体"/>
          <w:color w:val="auto"/>
          <w:sz w:val="21"/>
          <w:szCs w:val="21"/>
          <w:highlight w:val="none"/>
        </w:rPr>
        <w:t>项目的名称：</w:t>
      </w:r>
      <w:r>
        <w:rPr>
          <w:rFonts w:hint="eastAsia" w:ascii="宋体" w:hAnsi="宋体" w:eastAsia="宋体" w:cs="宋体"/>
          <w:bCs/>
          <w:color w:val="auto"/>
          <w:sz w:val="21"/>
          <w:szCs w:val="21"/>
          <w:highlight w:val="none"/>
          <w:u w:val="single"/>
        </w:rPr>
        <w:t xml:space="preserve">                                                                   </w:t>
      </w:r>
    </w:p>
    <w:p w14:paraId="1F20CB2A">
      <w:pPr>
        <w:pStyle w:val="15"/>
        <w:spacing w:line="360" w:lineRule="auto"/>
        <w:ind w:left="25" w:leftChars="12" w:firstLine="413" w:firstLineChars="197"/>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采购</w:t>
      </w:r>
      <w:r>
        <w:rPr>
          <w:rFonts w:hint="eastAsia" w:ascii="宋体" w:hAnsi="宋体" w:eastAsia="宋体" w:cs="宋体"/>
          <w:color w:val="auto"/>
          <w:sz w:val="21"/>
          <w:szCs w:val="21"/>
          <w:highlight w:val="none"/>
        </w:rPr>
        <w:t>项目的编号：</w:t>
      </w:r>
      <w:r>
        <w:rPr>
          <w:rFonts w:hint="eastAsia" w:ascii="宋体" w:hAnsi="宋体" w:eastAsia="宋体" w:cs="宋体"/>
          <w:bCs/>
          <w:color w:val="auto"/>
          <w:sz w:val="21"/>
          <w:szCs w:val="21"/>
          <w:highlight w:val="none"/>
          <w:u w:val="single"/>
        </w:rPr>
        <w:t xml:space="preserve">                                          </w:t>
      </w:r>
    </w:p>
    <w:p w14:paraId="0946B20F">
      <w:pPr>
        <w:pStyle w:val="15"/>
        <w:spacing w:line="360" w:lineRule="auto"/>
        <w:ind w:left="25" w:leftChars="12" w:firstLine="413" w:firstLineChars="197"/>
        <w:rPr>
          <w:rFonts w:hint="eastAsia" w:ascii="宋体" w:hAnsi="宋体" w:eastAsia="宋体" w:cs="宋体"/>
          <w:bCs/>
          <w:color w:val="auto"/>
          <w:sz w:val="21"/>
          <w:szCs w:val="21"/>
          <w:highlight w:val="none"/>
          <w:u w:val="single"/>
        </w:rPr>
      </w:pPr>
      <w:r>
        <w:rPr>
          <w:rFonts w:hint="eastAsia" w:ascii="宋体" w:hAnsi="宋体" w:eastAsia="宋体" w:cs="宋体"/>
          <w:color w:val="auto"/>
          <w:sz w:val="21"/>
          <w:szCs w:val="21"/>
          <w:highlight w:val="none"/>
        </w:rPr>
        <w:t>采购人名称：</w:t>
      </w:r>
      <w:r>
        <w:rPr>
          <w:rFonts w:hint="eastAsia" w:ascii="宋体" w:hAnsi="宋体" w:eastAsia="宋体" w:cs="宋体"/>
          <w:bCs/>
          <w:color w:val="auto"/>
          <w:sz w:val="21"/>
          <w:szCs w:val="21"/>
          <w:highlight w:val="none"/>
          <w:u w:val="single"/>
        </w:rPr>
        <w:t xml:space="preserve">                                                                        </w:t>
      </w:r>
    </w:p>
    <w:p w14:paraId="758133FB">
      <w:pPr>
        <w:pStyle w:val="15"/>
        <w:spacing w:line="360" w:lineRule="auto"/>
        <w:ind w:left="25" w:leftChars="12" w:firstLine="413" w:firstLineChars="197"/>
        <w:rPr>
          <w:rFonts w:hint="eastAsia" w:ascii="宋体" w:hAnsi="宋体" w:eastAsia="宋体" w:cs="宋体"/>
          <w:bCs/>
          <w:color w:val="auto"/>
          <w:sz w:val="21"/>
          <w:szCs w:val="21"/>
          <w:highlight w:val="none"/>
          <w:u w:val="single"/>
        </w:rPr>
      </w:pPr>
      <w:r>
        <w:rPr>
          <w:rFonts w:hint="eastAsia" w:ascii="宋体" w:hAnsi="宋体" w:eastAsia="宋体" w:cs="宋体"/>
          <w:color w:val="auto"/>
          <w:sz w:val="21"/>
          <w:szCs w:val="21"/>
          <w:highlight w:val="none"/>
        </w:rPr>
        <w:t>代理机构名称：</w:t>
      </w:r>
      <w:r>
        <w:rPr>
          <w:rFonts w:hint="eastAsia" w:ascii="宋体" w:hAnsi="宋体" w:eastAsia="宋体" w:cs="宋体"/>
          <w:bCs/>
          <w:color w:val="auto"/>
          <w:sz w:val="21"/>
          <w:szCs w:val="21"/>
          <w:highlight w:val="none"/>
          <w:u w:val="single"/>
        </w:rPr>
        <w:t xml:space="preserve">                                                                      </w:t>
      </w:r>
    </w:p>
    <w:p w14:paraId="124B0BF4">
      <w:pPr>
        <w:pStyle w:val="15"/>
        <w:spacing w:line="360" w:lineRule="auto"/>
        <w:ind w:left="25" w:leftChars="12" w:firstLine="413" w:firstLineChars="197"/>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招标文件公告：</w:t>
      </w:r>
      <w:r>
        <w:rPr>
          <w:rFonts w:hint="eastAsia" w:ascii="宋体" w:hAnsi="宋体" w:eastAsia="宋体" w:cs="宋体"/>
          <w:bCs/>
          <w:color w:val="auto"/>
          <w:sz w:val="21"/>
          <w:szCs w:val="21"/>
          <w:highlight w:val="none"/>
          <w:u w:val="single"/>
        </w:rPr>
        <w:t>是/否</w:t>
      </w:r>
      <w:r>
        <w:rPr>
          <w:rFonts w:hint="eastAsia" w:ascii="宋体" w:hAnsi="宋体" w:eastAsia="宋体" w:cs="宋体"/>
          <w:bCs/>
          <w:color w:val="auto"/>
          <w:sz w:val="21"/>
          <w:szCs w:val="21"/>
          <w:highlight w:val="none"/>
        </w:rPr>
        <w:t>公告期限：</w:t>
      </w:r>
      <w:r>
        <w:rPr>
          <w:rFonts w:hint="eastAsia" w:ascii="宋体" w:hAnsi="宋体" w:eastAsia="宋体" w:cs="宋体"/>
          <w:bCs/>
          <w:color w:val="auto"/>
          <w:sz w:val="21"/>
          <w:szCs w:val="21"/>
          <w:highlight w:val="none"/>
          <w:u w:val="single"/>
        </w:rPr>
        <w:t xml:space="preserve">                                                       </w:t>
      </w:r>
    </w:p>
    <w:p w14:paraId="07801475">
      <w:pPr>
        <w:pStyle w:val="15"/>
        <w:spacing w:line="360" w:lineRule="auto"/>
        <w:ind w:left="25" w:leftChars="12" w:firstLine="413" w:firstLineChars="197"/>
        <w:rPr>
          <w:rFonts w:hint="eastAsia" w:ascii="宋体" w:hAnsi="宋体" w:eastAsia="宋体" w:cs="宋体"/>
          <w:b/>
          <w:color w:val="auto"/>
          <w:sz w:val="21"/>
          <w:szCs w:val="21"/>
          <w:highlight w:val="none"/>
        </w:rPr>
      </w:pPr>
      <w:r>
        <w:rPr>
          <w:rFonts w:hint="eastAsia" w:ascii="宋体" w:hAnsi="宋体" w:eastAsia="宋体" w:cs="宋体"/>
          <w:bCs/>
          <w:color w:val="auto"/>
          <w:sz w:val="21"/>
          <w:szCs w:val="21"/>
          <w:highlight w:val="none"/>
        </w:rPr>
        <w:t>采购结果公告：</w:t>
      </w:r>
      <w:r>
        <w:rPr>
          <w:rFonts w:hint="eastAsia" w:ascii="宋体" w:hAnsi="宋体" w:eastAsia="宋体" w:cs="宋体"/>
          <w:bCs/>
          <w:color w:val="auto"/>
          <w:sz w:val="21"/>
          <w:szCs w:val="21"/>
          <w:highlight w:val="none"/>
          <w:u w:val="single"/>
        </w:rPr>
        <w:t>是/否</w:t>
      </w:r>
      <w:r>
        <w:rPr>
          <w:rFonts w:hint="eastAsia" w:ascii="宋体" w:hAnsi="宋体" w:eastAsia="宋体" w:cs="宋体"/>
          <w:bCs/>
          <w:color w:val="auto"/>
          <w:sz w:val="21"/>
          <w:szCs w:val="21"/>
          <w:highlight w:val="none"/>
        </w:rPr>
        <w:t>公告期限：</w:t>
      </w:r>
      <w:r>
        <w:rPr>
          <w:rFonts w:hint="eastAsia" w:ascii="宋体" w:hAnsi="宋体" w:eastAsia="宋体" w:cs="宋体"/>
          <w:bCs/>
          <w:color w:val="auto"/>
          <w:sz w:val="21"/>
          <w:szCs w:val="21"/>
          <w:highlight w:val="none"/>
          <w:u w:val="single"/>
        </w:rPr>
        <w:t xml:space="preserve">                                                       </w:t>
      </w:r>
    </w:p>
    <w:p w14:paraId="7BCE3932">
      <w:pPr>
        <w:pStyle w:val="15"/>
        <w:spacing w:line="360" w:lineRule="auto"/>
        <w:ind w:left="25" w:leftChars="12" w:firstLine="413" w:firstLineChars="196"/>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三、质疑基本情况</w:t>
      </w:r>
    </w:p>
    <w:p w14:paraId="263EF40D">
      <w:pPr>
        <w:pStyle w:val="15"/>
        <w:spacing w:line="360" w:lineRule="auto"/>
        <w:ind w:left="25" w:leftChars="12" w:firstLine="833" w:firstLineChars="39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投诉人于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日，向</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提出质疑，质疑事项为：</w:t>
      </w:r>
    </w:p>
    <w:p w14:paraId="31568DC5">
      <w:pPr>
        <w:pStyle w:val="15"/>
        <w:spacing w:line="360" w:lineRule="auto"/>
        <w:ind w:firstLine="241"/>
        <w:rPr>
          <w:rFonts w:hint="eastAsia" w:ascii="宋体" w:hAnsi="宋体" w:eastAsia="宋体" w:cs="宋体"/>
          <w:bCs/>
          <w:color w:val="auto"/>
          <w:sz w:val="21"/>
          <w:szCs w:val="21"/>
          <w:highlight w:val="none"/>
          <w:u w:val="single"/>
        </w:rPr>
      </w:pPr>
      <w:r>
        <w:rPr>
          <w:rFonts w:hint="eastAsia" w:ascii="宋体" w:hAnsi="宋体" w:eastAsia="宋体" w:cs="宋体"/>
          <w:color w:val="auto"/>
          <w:sz w:val="21"/>
          <w:szCs w:val="21"/>
          <w:highlight w:val="none"/>
        </w:rPr>
        <w:t xml:space="preserve">    </w:t>
      </w:r>
      <w:r>
        <w:rPr>
          <w:rFonts w:hint="eastAsia" w:ascii="宋体" w:hAnsi="宋体" w:eastAsia="宋体" w:cs="宋体"/>
          <w:bCs/>
          <w:color w:val="auto"/>
          <w:sz w:val="21"/>
          <w:szCs w:val="21"/>
          <w:highlight w:val="none"/>
          <w:u w:val="single"/>
        </w:rPr>
        <w:t xml:space="preserve">                                                                                      </w:t>
      </w:r>
    </w:p>
    <w:p w14:paraId="3A6E08D6">
      <w:pPr>
        <w:pStyle w:val="15"/>
        <w:spacing w:line="360" w:lineRule="auto"/>
        <w:ind w:firstLine="241"/>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 xml:space="preserve">    </w:t>
      </w:r>
      <w:r>
        <w:rPr>
          <w:rFonts w:hint="eastAsia" w:ascii="宋体" w:hAnsi="宋体" w:eastAsia="宋体" w:cs="宋体"/>
          <w:bCs/>
          <w:color w:val="auto"/>
          <w:sz w:val="21"/>
          <w:szCs w:val="21"/>
          <w:highlight w:val="none"/>
          <w:u w:val="single"/>
        </w:rPr>
        <w:t xml:space="preserve">                                                                                      </w:t>
      </w:r>
    </w:p>
    <w:p w14:paraId="35049416">
      <w:pPr>
        <w:pStyle w:val="15"/>
        <w:spacing w:line="360" w:lineRule="auto"/>
        <w:ind w:firstLine="241"/>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 xml:space="preserve">        </w:t>
      </w:r>
      <w:r>
        <w:rPr>
          <w:rFonts w:hint="eastAsia" w:ascii="宋体" w:hAnsi="宋体" w:eastAsia="宋体" w:cs="宋体"/>
          <w:bCs/>
          <w:color w:val="auto"/>
          <w:sz w:val="21"/>
          <w:szCs w:val="21"/>
          <w:highlight w:val="none"/>
          <w:u w:val="single"/>
        </w:rPr>
        <w:t>采购人/代理机构</w:t>
      </w:r>
      <w:r>
        <w:rPr>
          <w:rFonts w:hint="eastAsia" w:ascii="宋体" w:hAnsi="宋体" w:eastAsia="宋体" w:cs="宋体"/>
          <w:bCs/>
          <w:color w:val="auto"/>
          <w:sz w:val="21"/>
          <w:szCs w:val="21"/>
          <w:highlight w:val="none"/>
        </w:rPr>
        <w:t>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r>
        <w:rPr>
          <w:rFonts w:hint="eastAsia" w:ascii="宋体" w:hAnsi="宋体" w:eastAsia="宋体" w:cs="宋体"/>
          <w:bCs/>
          <w:color w:val="auto"/>
          <w:sz w:val="21"/>
          <w:szCs w:val="21"/>
          <w:highlight w:val="none"/>
        </w:rPr>
        <w:t xml:space="preserve">就质疑事项作出了答复/没有在法定期限内作出答复。                                                                                             </w:t>
      </w:r>
    </w:p>
    <w:p w14:paraId="433C1BAC">
      <w:pPr>
        <w:pStyle w:val="15"/>
        <w:spacing w:line="360" w:lineRule="auto"/>
        <w:ind w:left="25" w:leftChars="12" w:firstLine="413" w:firstLineChars="196"/>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四、投诉事项具体内容</w:t>
      </w:r>
    </w:p>
    <w:p w14:paraId="5FA65F1F">
      <w:pPr>
        <w:pStyle w:val="15"/>
        <w:spacing w:line="360" w:lineRule="auto"/>
        <w:ind w:left="25" w:leftChars="12" w:firstLine="413" w:firstLineChars="197"/>
        <w:rPr>
          <w:rFonts w:hint="eastAsia" w:ascii="宋体" w:hAnsi="宋体" w:eastAsia="宋体" w:cs="宋体"/>
          <w:bCs/>
          <w:color w:val="auto"/>
          <w:sz w:val="21"/>
          <w:szCs w:val="21"/>
          <w:highlight w:val="none"/>
          <w:u w:val="single"/>
        </w:rPr>
      </w:pPr>
      <w:r>
        <w:rPr>
          <w:rFonts w:hint="eastAsia" w:ascii="宋体" w:hAnsi="宋体" w:eastAsia="宋体" w:cs="宋体"/>
          <w:color w:val="auto"/>
          <w:sz w:val="21"/>
          <w:szCs w:val="21"/>
          <w:highlight w:val="none"/>
        </w:rPr>
        <w:t>投诉事项1：</w:t>
      </w:r>
      <w:r>
        <w:rPr>
          <w:rFonts w:hint="eastAsia" w:ascii="宋体" w:hAnsi="宋体" w:eastAsia="宋体" w:cs="宋体"/>
          <w:bCs/>
          <w:color w:val="auto"/>
          <w:sz w:val="21"/>
          <w:szCs w:val="21"/>
          <w:highlight w:val="none"/>
          <w:u w:val="single"/>
        </w:rPr>
        <w:t xml:space="preserve">                                                                           </w:t>
      </w:r>
    </w:p>
    <w:p w14:paraId="030493BA">
      <w:pPr>
        <w:pStyle w:val="15"/>
        <w:spacing w:line="360" w:lineRule="auto"/>
        <w:ind w:firstLine="420" w:firstLineChars="200"/>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事实依据：</w:t>
      </w:r>
      <w:r>
        <w:rPr>
          <w:rFonts w:hint="eastAsia" w:ascii="宋体" w:hAnsi="宋体" w:eastAsia="宋体" w:cs="宋体"/>
          <w:color w:val="auto"/>
          <w:sz w:val="21"/>
          <w:szCs w:val="21"/>
          <w:highlight w:val="none"/>
        </w:rPr>
        <w:t xml:space="preserve"> </w:t>
      </w:r>
      <w:r>
        <w:rPr>
          <w:rFonts w:hint="eastAsia" w:ascii="宋体" w:hAnsi="宋体" w:eastAsia="宋体" w:cs="宋体"/>
          <w:bCs/>
          <w:color w:val="auto"/>
          <w:sz w:val="21"/>
          <w:szCs w:val="21"/>
          <w:highlight w:val="none"/>
          <w:u w:val="single"/>
        </w:rPr>
        <w:t xml:space="preserve">                                                                                      </w:t>
      </w:r>
    </w:p>
    <w:p w14:paraId="561D4B6D">
      <w:pPr>
        <w:pStyle w:val="15"/>
        <w:spacing w:line="360" w:lineRule="auto"/>
        <w:ind w:left="25" w:leftChars="12" w:firstLine="413" w:firstLineChars="197"/>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u w:val="single"/>
        </w:rPr>
        <w:t xml:space="preserve">                                                                                        </w:t>
      </w:r>
    </w:p>
    <w:p w14:paraId="6BB4AECC">
      <w:pPr>
        <w:pStyle w:val="15"/>
        <w:spacing w:line="360" w:lineRule="auto"/>
        <w:ind w:firstLine="420" w:firstLineChars="200"/>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法律依据：</w:t>
      </w:r>
      <w:r>
        <w:rPr>
          <w:rFonts w:hint="eastAsia" w:ascii="宋体" w:hAnsi="宋体" w:eastAsia="宋体" w:cs="宋体"/>
          <w:color w:val="auto"/>
          <w:sz w:val="21"/>
          <w:szCs w:val="21"/>
          <w:highlight w:val="none"/>
        </w:rPr>
        <w:t xml:space="preserve"> </w:t>
      </w:r>
      <w:r>
        <w:rPr>
          <w:rFonts w:hint="eastAsia" w:ascii="宋体" w:hAnsi="宋体" w:eastAsia="宋体" w:cs="宋体"/>
          <w:bCs/>
          <w:color w:val="auto"/>
          <w:sz w:val="21"/>
          <w:szCs w:val="21"/>
          <w:highlight w:val="none"/>
          <w:u w:val="single"/>
        </w:rPr>
        <w:t xml:space="preserve">                                                                                      </w:t>
      </w:r>
    </w:p>
    <w:p w14:paraId="7D525B54">
      <w:pPr>
        <w:pStyle w:val="15"/>
        <w:spacing w:line="360" w:lineRule="auto"/>
        <w:ind w:left="25" w:leftChars="12" w:firstLine="308" w:firstLineChars="147"/>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 xml:space="preserve"> </w:t>
      </w:r>
      <w:r>
        <w:rPr>
          <w:rFonts w:hint="eastAsia" w:ascii="宋体" w:hAnsi="宋体" w:eastAsia="宋体" w:cs="宋体"/>
          <w:bCs/>
          <w:color w:val="auto"/>
          <w:sz w:val="21"/>
          <w:szCs w:val="21"/>
          <w:highlight w:val="none"/>
          <w:u w:val="single"/>
        </w:rPr>
        <w:t xml:space="preserve">                                                                                        </w:t>
      </w:r>
    </w:p>
    <w:p w14:paraId="60C2E0AE">
      <w:pPr>
        <w:pStyle w:val="15"/>
        <w:spacing w:line="360" w:lineRule="auto"/>
        <w:ind w:left="25" w:leftChars="12" w:firstLine="413" w:firstLineChars="197"/>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 xml:space="preserve">投诉事项2  </w:t>
      </w:r>
      <w:r>
        <w:rPr>
          <w:rFonts w:hint="eastAsia" w:ascii="宋体" w:hAnsi="宋体" w:eastAsia="宋体" w:cs="宋体"/>
          <w:bCs/>
          <w:color w:val="auto"/>
          <w:sz w:val="21"/>
          <w:szCs w:val="21"/>
          <w:highlight w:val="none"/>
        </w:rPr>
        <w:t xml:space="preserve">   </w:t>
      </w:r>
    </w:p>
    <w:p w14:paraId="377FCAC5">
      <w:pPr>
        <w:pStyle w:val="15"/>
        <w:spacing w:line="360" w:lineRule="auto"/>
        <w:ind w:left="25" w:leftChars="12" w:firstLine="413" w:firstLineChars="197"/>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p>
    <w:p w14:paraId="456F4CFE">
      <w:pPr>
        <w:pStyle w:val="15"/>
        <w:spacing w:line="360" w:lineRule="auto"/>
        <w:ind w:left="25" w:leftChars="12" w:firstLine="413" w:firstLineChars="196"/>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五、与投诉事项相关的投诉请求：</w:t>
      </w:r>
    </w:p>
    <w:p w14:paraId="2235B3CC">
      <w:pPr>
        <w:pStyle w:val="15"/>
        <w:spacing w:line="360" w:lineRule="auto"/>
        <w:ind w:left="25" w:leftChars="12" w:firstLine="413" w:firstLineChars="19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请求：</w:t>
      </w:r>
      <w:r>
        <w:rPr>
          <w:rFonts w:hint="eastAsia" w:ascii="宋体" w:hAnsi="宋体" w:eastAsia="宋体" w:cs="宋体"/>
          <w:bCs/>
          <w:color w:val="auto"/>
          <w:sz w:val="21"/>
          <w:szCs w:val="21"/>
          <w:highlight w:val="none"/>
          <w:u w:val="single"/>
        </w:rPr>
        <w:t xml:space="preserve">                                                                                 </w:t>
      </w:r>
    </w:p>
    <w:p w14:paraId="6FFC7C74">
      <w:pPr>
        <w:pStyle w:val="15"/>
        <w:spacing w:line="360" w:lineRule="auto"/>
        <w:ind w:left="25" w:leftChars="12" w:firstLine="308" w:firstLineChars="147"/>
        <w:rPr>
          <w:rFonts w:hint="eastAsia" w:ascii="宋体" w:hAnsi="宋体" w:eastAsia="宋体" w:cs="宋体"/>
          <w:color w:val="auto"/>
          <w:sz w:val="21"/>
          <w:szCs w:val="21"/>
          <w:highlight w:val="none"/>
        </w:rPr>
      </w:pPr>
    </w:p>
    <w:p w14:paraId="03785FD7">
      <w:pPr>
        <w:pStyle w:val="15"/>
        <w:spacing w:line="360" w:lineRule="auto"/>
        <w:ind w:left="25" w:leftChars="12" w:firstLine="413" w:firstLineChars="19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签字（签章）：                                       公章：</w:t>
      </w:r>
    </w:p>
    <w:p w14:paraId="55ECAB9E">
      <w:pPr>
        <w:pStyle w:val="15"/>
        <w:spacing w:line="360" w:lineRule="auto"/>
        <w:ind w:left="25" w:leftChars="12" w:firstLine="308" w:firstLineChars="147"/>
        <w:rPr>
          <w:rFonts w:hint="eastAsia" w:ascii="宋体" w:hAnsi="宋体" w:eastAsia="宋体" w:cs="宋体"/>
          <w:color w:val="auto"/>
          <w:sz w:val="21"/>
          <w:szCs w:val="21"/>
          <w:highlight w:val="none"/>
        </w:rPr>
      </w:pPr>
    </w:p>
    <w:p w14:paraId="4783DC33">
      <w:pPr>
        <w:pStyle w:val="15"/>
        <w:spacing w:line="360" w:lineRule="auto"/>
        <w:ind w:left="25" w:leftChars="12" w:firstLine="413" w:firstLineChars="19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14:paraId="570ABE4B">
      <w:pPr>
        <w:pStyle w:val="15"/>
        <w:spacing w:line="360" w:lineRule="auto"/>
        <w:ind w:left="25" w:leftChars="12" w:firstLine="413" w:firstLineChars="197"/>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 xml:space="preserve">                                                                                 </w:t>
      </w:r>
    </w:p>
    <w:p w14:paraId="431F68C0">
      <w:pPr>
        <w:pStyle w:val="15"/>
        <w:snapToGrid w:val="0"/>
        <w:spacing w:line="360" w:lineRule="auto"/>
        <w:rPr>
          <w:rFonts w:hint="eastAsia" w:ascii="宋体" w:hAnsi="宋体" w:eastAsia="宋体" w:cs="宋体"/>
          <w:b/>
          <w:color w:val="auto"/>
          <w:sz w:val="21"/>
          <w:szCs w:val="21"/>
          <w:highlight w:val="none"/>
        </w:rPr>
      </w:pPr>
    </w:p>
    <w:p w14:paraId="661D96AB">
      <w:pPr>
        <w:pStyle w:val="15"/>
        <w:snapToGrid w:val="0"/>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说明：</w:t>
      </w:r>
    </w:p>
    <w:p w14:paraId="60FC10C9">
      <w:pPr>
        <w:pStyle w:val="15"/>
        <w:spacing w:line="360" w:lineRule="auto"/>
        <w:ind w:left="25" w:leftChars="12" w:firstLine="310" w:firstLineChars="147"/>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rPr>
        <w:t>1.投诉人提起投诉时，应当提交投诉书和必要的证明材料，并按照被投诉人和与投诉事项有关的供应商数量提供投诉书副本</w:t>
      </w:r>
      <w:r>
        <w:rPr>
          <w:rFonts w:hint="eastAsia" w:ascii="宋体" w:hAnsi="宋体" w:eastAsia="宋体" w:cs="宋体"/>
          <w:b/>
          <w:bCs/>
          <w:color w:val="auto"/>
          <w:sz w:val="21"/>
          <w:szCs w:val="21"/>
          <w:highlight w:val="none"/>
        </w:rPr>
        <w:t>。</w:t>
      </w:r>
    </w:p>
    <w:p w14:paraId="2AA69909">
      <w:pPr>
        <w:pStyle w:val="15"/>
        <w:spacing w:line="360" w:lineRule="auto"/>
        <w:ind w:left="25" w:leftChars="12" w:firstLine="310" w:firstLineChars="147"/>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5757DAC5">
      <w:pPr>
        <w:pStyle w:val="15"/>
        <w:spacing w:line="360" w:lineRule="auto"/>
        <w:ind w:left="25" w:leftChars="12" w:firstLine="310" w:firstLineChars="147"/>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3.投诉书应简要列明质疑事项，质疑函、质疑答复等作为附件材料提供。</w:t>
      </w:r>
    </w:p>
    <w:p w14:paraId="7E713ED8">
      <w:pPr>
        <w:pStyle w:val="15"/>
        <w:spacing w:line="360" w:lineRule="auto"/>
        <w:ind w:left="25" w:leftChars="12" w:firstLine="310" w:firstLineChars="147"/>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4.投诉书的投诉事项应具体、明确，并有必要的事实依据和法律依据。</w:t>
      </w:r>
    </w:p>
    <w:p w14:paraId="3D4072D6">
      <w:pPr>
        <w:pStyle w:val="15"/>
        <w:spacing w:line="360" w:lineRule="auto"/>
        <w:ind w:left="25" w:leftChars="12" w:firstLine="310" w:firstLineChars="147"/>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5.投诉书的投诉请求应与投诉事项相关。</w:t>
      </w:r>
    </w:p>
    <w:p w14:paraId="380A5463">
      <w:pPr>
        <w:pStyle w:val="15"/>
        <w:spacing w:line="360" w:lineRule="auto"/>
        <w:ind w:left="25" w:leftChars="12" w:firstLine="310" w:firstLineChars="147"/>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6.投诉人为法人或者其他组织的，投诉书应由法定代表人、主要负责人，或者其授权代表签字或者盖章，并加盖公章。</w:t>
      </w:r>
    </w:p>
    <w:p w14:paraId="7F45F661">
      <w:pPr>
        <w:spacing w:line="360" w:lineRule="auto"/>
        <w:rPr>
          <w:rFonts w:hint="eastAsia" w:ascii="宋体" w:hAnsi="宋体" w:eastAsia="宋体" w:cs="宋体"/>
          <w:color w:val="auto"/>
          <w:sz w:val="32"/>
          <w:szCs w:val="32"/>
          <w:highlight w:val="none"/>
        </w:rPr>
      </w:pPr>
    </w:p>
    <w:p w14:paraId="52CD8481">
      <w:pPr>
        <w:autoSpaceDE w:val="0"/>
        <w:autoSpaceDN w:val="0"/>
        <w:spacing w:line="360" w:lineRule="auto"/>
        <w:rPr>
          <w:rFonts w:hint="eastAsia" w:ascii="宋体" w:hAnsi="宋体" w:eastAsia="宋体" w:cs="宋体"/>
          <w:color w:val="auto"/>
          <w:szCs w:val="21"/>
          <w:highlight w:val="none"/>
        </w:rPr>
      </w:pPr>
    </w:p>
    <w:p w14:paraId="23FE3783">
      <w:pPr>
        <w:pStyle w:val="3"/>
        <w:spacing w:line="360" w:lineRule="auto"/>
        <w:jc w:val="center"/>
        <w:rPr>
          <w:rFonts w:hint="eastAsia" w:ascii="宋体" w:hAnsi="宋体" w:eastAsia="宋体" w:cs="宋体"/>
          <w:b w:val="0"/>
          <w:color w:val="auto"/>
          <w:sz w:val="32"/>
          <w:szCs w:val="32"/>
          <w:highlight w:val="none"/>
        </w:rPr>
      </w:pPr>
      <w:bookmarkStart w:id="177" w:name="_Toc44229900"/>
      <w:r>
        <w:rPr>
          <w:rFonts w:hint="eastAsia" w:ascii="宋体" w:hAnsi="宋体" w:eastAsia="宋体" w:cs="宋体"/>
          <w:color w:val="auto"/>
          <w:highlight w:val="none"/>
        </w:rPr>
        <w:br w:type="page"/>
      </w:r>
      <w:r>
        <w:rPr>
          <w:rFonts w:hint="eastAsia" w:ascii="宋体" w:hAnsi="宋体" w:eastAsia="宋体" w:cs="宋体"/>
          <w:color w:val="auto"/>
          <w:highlight w:val="none"/>
        </w:rPr>
        <w:t>第六章 合同文本</w:t>
      </w:r>
      <w:bookmarkEnd w:id="177"/>
    </w:p>
    <w:p w14:paraId="1198CD97">
      <w:pPr>
        <w:pStyle w:val="15"/>
        <w:jc w:val="center"/>
        <w:rPr>
          <w:rFonts w:hint="eastAsia" w:hAnsi="宋体"/>
          <w:b/>
          <w:bCs/>
          <w:color w:val="000000"/>
          <w:sz w:val="32"/>
        </w:rPr>
      </w:pPr>
      <w:r>
        <w:rPr>
          <w:rFonts w:hint="eastAsia" w:ascii="宋体" w:hAnsi="宋体" w:eastAsia="宋体" w:cs="Courier New"/>
          <w:b/>
          <w:bCs/>
          <w:color w:val="000000"/>
          <w:sz w:val="32"/>
          <w:lang w:eastAsia="zh-CN"/>
        </w:rPr>
        <w:t>崇左市中级人民法院物业服务采购</w:t>
      </w:r>
      <w:r>
        <w:rPr>
          <w:rFonts w:hint="eastAsia" w:hAnsi="宋体"/>
          <w:b/>
          <w:bCs/>
          <w:color w:val="000000"/>
          <w:sz w:val="32"/>
        </w:rPr>
        <w:t>合同</w:t>
      </w:r>
    </w:p>
    <w:p w14:paraId="2D3FC931">
      <w:pPr>
        <w:pStyle w:val="15"/>
        <w:jc w:val="center"/>
        <w:rPr>
          <w:rFonts w:hint="eastAsia" w:hAnsi="宋体" w:cs="Times New Roman"/>
          <w:b/>
          <w:bCs/>
          <w:color w:val="000000"/>
        </w:rPr>
      </w:pPr>
    </w:p>
    <w:p w14:paraId="57AF7DA4">
      <w:pPr>
        <w:spacing w:line="360" w:lineRule="auto"/>
        <w:ind w:right="800"/>
        <w:rPr>
          <w:rFonts w:hint="eastAsia" w:ascii="宋体" w:hAnsi="宋体" w:cs="宋体"/>
          <w:bCs/>
          <w:color w:val="auto"/>
          <w:szCs w:val="21"/>
          <w:highlight w:val="none"/>
          <w:u w:val="single"/>
        </w:rPr>
      </w:pPr>
      <w:r>
        <w:rPr>
          <w:rFonts w:hint="eastAsia" w:ascii="宋体" w:hAnsi="宋体" w:cs="宋体"/>
          <w:color w:val="auto"/>
          <w:szCs w:val="21"/>
          <w:highlight w:val="none"/>
        </w:rPr>
        <w:t>采购计划号：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r>
        <w:rPr>
          <w:rFonts w:hint="eastAsia" w:ascii="宋体" w:hAnsi="宋体" w:cs="宋体"/>
          <w:bCs/>
          <w:color w:val="auto"/>
          <w:szCs w:val="21"/>
          <w:highlight w:val="none"/>
        </w:rPr>
        <w:t>合同编号：</w:t>
      </w:r>
      <w:r>
        <w:rPr>
          <w:rFonts w:hint="eastAsia" w:ascii="宋体" w:hAnsi="宋体" w:cs="宋体"/>
          <w:color w:val="auto"/>
          <w:szCs w:val="21"/>
          <w:highlight w:val="none"/>
          <w:u w:val="single"/>
        </w:rPr>
        <w:t xml:space="preserve">                  </w:t>
      </w:r>
    </w:p>
    <w:p w14:paraId="55748C37">
      <w:pPr>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采购人（甲方）：</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供应商（乙方）：</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0DE5B1DC">
      <w:pPr>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项目名称：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项目编号：</w:t>
      </w:r>
      <w:r>
        <w:rPr>
          <w:rFonts w:hint="eastAsia" w:ascii="宋体" w:hAnsi="宋体" w:cs="宋体"/>
          <w:color w:val="auto"/>
          <w:szCs w:val="21"/>
          <w:highlight w:val="none"/>
          <w:u w:val="single"/>
        </w:rPr>
        <w:t xml:space="preserve">                          </w:t>
      </w:r>
    </w:p>
    <w:p w14:paraId="5014B28A">
      <w:pPr>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签订地点：</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签订时间：</w:t>
      </w:r>
      <w:r>
        <w:rPr>
          <w:rFonts w:hint="eastAsia" w:ascii="宋体" w:hAnsi="宋体" w:cs="宋体"/>
          <w:color w:val="auto"/>
          <w:szCs w:val="21"/>
          <w:highlight w:val="none"/>
          <w:u w:val="single"/>
        </w:rPr>
        <w:t xml:space="preserve">                        </w:t>
      </w:r>
    </w:p>
    <w:p w14:paraId="3A2F55CF">
      <w:pPr>
        <w:pStyle w:val="10"/>
        <w:rPr>
          <w:rFonts w:hint="default" w:eastAsia="宋体"/>
          <w:u w:val="none"/>
          <w:lang w:val="en-US" w:eastAsia="zh-CN"/>
        </w:rPr>
      </w:pPr>
      <w:r>
        <w:rPr>
          <w:rFonts w:hint="eastAsia" w:ascii="宋体" w:hAnsi="宋体" w:cs="宋体"/>
          <w:color w:val="auto"/>
          <w:szCs w:val="21"/>
          <w:highlight w:val="none"/>
          <w:u w:val="none"/>
          <w:lang w:eastAsia="zh-CN"/>
        </w:rPr>
        <w:t>是否面向中小企业采购：</w:t>
      </w:r>
      <w:r>
        <w:rPr>
          <w:rFonts w:hint="eastAsia" w:ascii="宋体" w:hAnsi="宋体" w:cs="宋体"/>
          <w:color w:val="auto"/>
          <w:szCs w:val="21"/>
          <w:highlight w:val="none"/>
          <w:u w:val="single"/>
          <w:lang w:val="en-US" w:eastAsia="zh-CN"/>
        </w:rPr>
        <w:t xml:space="preserve"> 是</w:t>
      </w:r>
      <w:r>
        <w:rPr>
          <w:rFonts w:hint="eastAsia" w:ascii="宋体" w:hAnsi="宋体" w:cs="宋体"/>
          <w:color w:val="auto"/>
          <w:szCs w:val="21"/>
          <w:highlight w:val="none"/>
          <w:u w:val="none"/>
          <w:lang w:val="en-US" w:eastAsia="zh-CN"/>
        </w:rPr>
        <w:t xml:space="preserve">   预留份额：</w:t>
      </w:r>
      <w:r>
        <w:rPr>
          <w:rFonts w:hint="eastAsia" w:ascii="宋体" w:hAnsi="宋体" w:cs="宋体"/>
          <w:color w:val="auto"/>
          <w:szCs w:val="21"/>
          <w:highlight w:val="none"/>
          <w:u w:val="single"/>
          <w:lang w:val="en-US" w:eastAsia="zh-CN"/>
        </w:rPr>
        <w:t>100</w:t>
      </w:r>
    </w:p>
    <w:p w14:paraId="34FC6C84">
      <w:pPr>
        <w:tabs>
          <w:tab w:val="left" w:pos="1185"/>
        </w:tabs>
        <w:spacing w:line="440" w:lineRule="exact"/>
        <w:ind w:firstLine="411" w:firstLineChars="196"/>
        <w:jc w:val="left"/>
        <w:rPr>
          <w:rFonts w:ascii="宋体" w:hAnsi="宋体"/>
          <w:color w:val="000000"/>
          <w:szCs w:val="21"/>
        </w:rPr>
      </w:pPr>
      <w:r>
        <w:rPr>
          <w:rFonts w:hint="eastAsia" w:ascii="宋体" w:hAnsi="宋体"/>
          <w:color w:val="000000"/>
          <w:szCs w:val="21"/>
        </w:rPr>
        <w:t>根据《中华人民共和国</w:t>
      </w:r>
      <w:r>
        <w:rPr>
          <w:rFonts w:hint="eastAsia" w:ascii="宋体" w:hAnsi="宋体"/>
          <w:color w:val="000000"/>
          <w:szCs w:val="21"/>
          <w:lang w:eastAsia="zh-CN"/>
        </w:rPr>
        <w:t>民法典</w:t>
      </w:r>
      <w:r>
        <w:rPr>
          <w:rFonts w:hint="eastAsia" w:ascii="宋体" w:hAnsi="宋体"/>
          <w:color w:val="000000"/>
          <w:szCs w:val="21"/>
        </w:rPr>
        <w:t>》、物业管理条例实施细则等国家、地方有关物业管理法律、法规和政策，在平等、自愿、协商一致的基础上，就甲方委托乙方对</w:t>
      </w:r>
      <w:r>
        <w:rPr>
          <w:rFonts w:hint="eastAsia" w:ascii="宋体" w:hAnsi="宋体"/>
          <w:color w:val="000000"/>
          <w:szCs w:val="21"/>
          <w:u w:val="single"/>
        </w:rPr>
        <w:t xml:space="preserve"> </w:t>
      </w:r>
      <w:r>
        <w:rPr>
          <w:rFonts w:hint="eastAsia" w:ascii="宋体" w:hAnsi="宋体"/>
          <w:color w:val="000000"/>
          <w:szCs w:val="21"/>
        </w:rPr>
        <w:t>实行专业化、一体化的物业管理订立本合同。</w:t>
      </w:r>
    </w:p>
    <w:p w14:paraId="74267BA2">
      <w:pPr>
        <w:tabs>
          <w:tab w:val="left" w:pos="1185"/>
        </w:tabs>
        <w:spacing w:line="440" w:lineRule="exact"/>
        <w:ind w:firstLine="413" w:firstLineChars="196"/>
        <w:jc w:val="left"/>
        <w:rPr>
          <w:rFonts w:hint="eastAsia" w:ascii="宋体" w:hAnsi="宋体"/>
          <w:b/>
          <w:bCs/>
          <w:color w:val="000000"/>
          <w:szCs w:val="21"/>
        </w:rPr>
      </w:pPr>
      <w:r>
        <w:rPr>
          <w:rFonts w:hint="eastAsia" w:ascii="宋体" w:hAnsi="宋体"/>
          <w:b/>
          <w:bCs/>
          <w:color w:val="000000"/>
          <w:szCs w:val="21"/>
        </w:rPr>
        <w:t>一、物业基本情况</w:t>
      </w:r>
    </w:p>
    <w:p w14:paraId="5002BB3B">
      <w:pPr>
        <w:tabs>
          <w:tab w:val="left" w:pos="1185"/>
        </w:tabs>
        <w:spacing w:line="440" w:lineRule="exact"/>
        <w:ind w:firstLine="411" w:firstLineChars="196"/>
        <w:jc w:val="left"/>
        <w:rPr>
          <w:rFonts w:hint="eastAsia" w:ascii="宋体" w:hAnsi="宋体" w:cs="宋体"/>
          <w:bCs/>
          <w:color w:val="000000"/>
          <w:szCs w:val="21"/>
        </w:rPr>
      </w:pPr>
      <w:r>
        <w:rPr>
          <w:rFonts w:hint="eastAsia" w:ascii="宋体" w:hAnsi="宋体"/>
          <w:bCs/>
          <w:color w:val="000000"/>
          <w:szCs w:val="21"/>
        </w:rPr>
        <w:t>1、物业概况：</w:t>
      </w:r>
      <w:r>
        <w:rPr>
          <w:rFonts w:hint="eastAsia" w:ascii="宋体" w:hAnsi="宋体"/>
          <w:bCs/>
          <w:color w:val="000000"/>
          <w:szCs w:val="21"/>
          <w:u w:val="single"/>
        </w:rPr>
        <w:t xml:space="preserve"> </w:t>
      </w:r>
      <w:r>
        <w:rPr>
          <w:rFonts w:hint="eastAsia" w:ascii="宋体" w:hAnsi="宋体"/>
          <w:bCs/>
          <w:color w:val="000000"/>
          <w:szCs w:val="21"/>
          <w:u w:val="single"/>
          <w:lang w:val="en-US" w:eastAsia="zh-CN"/>
        </w:rPr>
        <w:t xml:space="preserve">                                  </w:t>
      </w:r>
      <w:r>
        <w:rPr>
          <w:rFonts w:hint="eastAsia" w:ascii="宋体" w:hAnsi="宋体" w:cs="宋体"/>
          <w:b/>
          <w:color w:val="000000"/>
          <w:szCs w:val="21"/>
          <w:u w:val="single"/>
        </w:rPr>
        <w:t xml:space="preserve">  </w:t>
      </w:r>
      <w:r>
        <w:rPr>
          <w:rFonts w:hint="eastAsia" w:ascii="宋体" w:hAnsi="宋体" w:cs="宋体"/>
          <w:color w:val="000000"/>
          <w:szCs w:val="21"/>
        </w:rPr>
        <w:t>。</w:t>
      </w:r>
    </w:p>
    <w:p w14:paraId="5FA5CFB5">
      <w:pPr>
        <w:tabs>
          <w:tab w:val="left" w:pos="1185"/>
        </w:tabs>
        <w:spacing w:line="440" w:lineRule="exact"/>
        <w:ind w:firstLine="411" w:firstLineChars="196"/>
        <w:jc w:val="left"/>
        <w:rPr>
          <w:rFonts w:hint="eastAsia" w:ascii="宋体" w:hAnsi="宋体"/>
          <w:color w:val="000000"/>
          <w:szCs w:val="21"/>
        </w:rPr>
      </w:pPr>
      <w:r>
        <w:rPr>
          <w:rFonts w:hint="eastAsia" w:ascii="宋体" w:hAnsi="宋体"/>
          <w:color w:val="000000"/>
          <w:szCs w:val="21"/>
        </w:rPr>
        <w:t>2、物业类型：</w:t>
      </w:r>
      <w:r>
        <w:rPr>
          <w:rFonts w:hint="eastAsia" w:ascii="宋体" w:hAnsi="宋体"/>
          <w:color w:val="000000"/>
          <w:szCs w:val="21"/>
          <w:u w:val="single"/>
        </w:rPr>
        <w:t xml:space="preserve">       </w:t>
      </w:r>
      <w:r>
        <w:rPr>
          <w:rFonts w:hint="eastAsia" w:ascii="宋体" w:hAnsi="宋体"/>
          <w:b/>
          <w:bCs/>
          <w:color w:val="000000"/>
          <w:szCs w:val="21"/>
          <w:u w:val="single"/>
        </w:rPr>
        <w:t xml:space="preserve"> </w:t>
      </w:r>
      <w:r>
        <w:rPr>
          <w:rFonts w:hint="eastAsia" w:ascii="宋体" w:hAnsi="宋体"/>
          <w:b/>
          <w:bCs/>
          <w:color w:val="000000"/>
          <w:szCs w:val="21"/>
          <w:u w:val="single"/>
          <w:lang w:val="en-US" w:eastAsia="zh-CN"/>
        </w:rPr>
        <w:t xml:space="preserve">                         </w:t>
      </w:r>
      <w:r>
        <w:rPr>
          <w:rFonts w:hint="eastAsia" w:ascii="宋体" w:hAnsi="宋体"/>
          <w:color w:val="000000"/>
          <w:szCs w:val="21"/>
          <w:u w:val="single"/>
        </w:rPr>
        <w:t xml:space="preserve">    </w:t>
      </w:r>
      <w:r>
        <w:rPr>
          <w:rFonts w:hint="eastAsia" w:ascii="宋体" w:hAnsi="宋体"/>
          <w:color w:val="000000"/>
          <w:szCs w:val="21"/>
        </w:rPr>
        <w:t>。</w:t>
      </w:r>
    </w:p>
    <w:p w14:paraId="4131C8FD">
      <w:pPr>
        <w:tabs>
          <w:tab w:val="left" w:pos="1185"/>
        </w:tabs>
        <w:spacing w:line="440" w:lineRule="exact"/>
        <w:ind w:firstLine="413" w:firstLineChars="196"/>
        <w:jc w:val="left"/>
        <w:rPr>
          <w:rFonts w:hint="eastAsia" w:ascii="宋体" w:hAnsi="宋体"/>
          <w:b/>
          <w:bCs/>
          <w:color w:val="000000"/>
          <w:szCs w:val="21"/>
        </w:rPr>
      </w:pPr>
      <w:r>
        <w:rPr>
          <w:rFonts w:hint="eastAsia" w:ascii="宋体" w:hAnsi="宋体"/>
          <w:b/>
          <w:bCs/>
          <w:color w:val="000000"/>
          <w:szCs w:val="21"/>
        </w:rPr>
        <w:t>二、委托管理事项</w:t>
      </w:r>
    </w:p>
    <w:p w14:paraId="2E778341">
      <w:pPr>
        <w:spacing w:line="440" w:lineRule="exact"/>
        <w:rPr>
          <w:rFonts w:hint="eastAsia" w:ascii="宋体" w:hAnsi="Courier New"/>
          <w:bCs/>
          <w:color w:val="000000"/>
          <w:szCs w:val="20"/>
        </w:rPr>
      </w:pPr>
      <w:r>
        <w:rPr>
          <w:rFonts w:hint="eastAsia" w:ascii="宋体" w:hAnsi="Courier New"/>
          <w:bCs/>
          <w:color w:val="000000"/>
          <w:szCs w:val="20"/>
        </w:rPr>
        <w:t>(一)秩序维护</w:t>
      </w:r>
    </w:p>
    <w:p w14:paraId="4470D41A">
      <w:pPr>
        <w:spacing w:line="440" w:lineRule="exact"/>
        <w:rPr>
          <w:rFonts w:hint="eastAsia" w:ascii="宋体" w:hAnsi="Courier New"/>
          <w:bCs/>
          <w:color w:val="000000"/>
          <w:szCs w:val="20"/>
        </w:rPr>
      </w:pPr>
      <w:r>
        <w:rPr>
          <w:rFonts w:hint="eastAsia" w:ascii="宋体" w:hAnsi="Courier New"/>
          <w:bCs/>
          <w:color w:val="000000"/>
          <w:szCs w:val="20"/>
        </w:rPr>
        <w:t xml:space="preserve">    1、办公楼及院区内安全巡逻、门岗值班；</w:t>
      </w:r>
    </w:p>
    <w:p w14:paraId="1BF0B659">
      <w:pPr>
        <w:spacing w:line="440" w:lineRule="exact"/>
        <w:rPr>
          <w:rFonts w:hint="eastAsia" w:ascii="宋体" w:hAnsi="Courier New"/>
          <w:bCs/>
          <w:color w:val="000000"/>
          <w:szCs w:val="20"/>
        </w:rPr>
      </w:pPr>
      <w:r>
        <w:rPr>
          <w:rFonts w:hint="eastAsia" w:ascii="宋体" w:hAnsi="Courier New"/>
          <w:bCs/>
          <w:color w:val="000000"/>
          <w:szCs w:val="20"/>
        </w:rPr>
        <w:t xml:space="preserve">    2、车辆管理、停放，交通疏导；</w:t>
      </w:r>
    </w:p>
    <w:p w14:paraId="76F0C963">
      <w:pPr>
        <w:spacing w:line="440" w:lineRule="exact"/>
        <w:rPr>
          <w:rFonts w:hint="eastAsia" w:ascii="宋体" w:hAnsi="Courier New"/>
          <w:bCs/>
          <w:color w:val="000000"/>
          <w:szCs w:val="20"/>
        </w:rPr>
      </w:pPr>
      <w:r>
        <w:rPr>
          <w:rFonts w:hint="eastAsia" w:ascii="宋体" w:hAnsi="Courier New"/>
          <w:bCs/>
          <w:color w:val="000000"/>
          <w:szCs w:val="20"/>
        </w:rPr>
        <w:t xml:space="preserve">    3、来访登记；</w:t>
      </w:r>
    </w:p>
    <w:p w14:paraId="37A01DC1">
      <w:pPr>
        <w:spacing w:line="440" w:lineRule="exact"/>
        <w:rPr>
          <w:rFonts w:hint="eastAsia" w:ascii="宋体" w:hAnsi="Courier New"/>
          <w:bCs/>
          <w:color w:val="000000"/>
          <w:szCs w:val="20"/>
        </w:rPr>
      </w:pPr>
      <w:r>
        <w:rPr>
          <w:rFonts w:hint="eastAsia" w:ascii="宋体" w:hAnsi="Courier New"/>
          <w:bCs/>
          <w:color w:val="000000"/>
          <w:szCs w:val="20"/>
        </w:rPr>
        <w:t xml:space="preserve">    4、物业治安、消防管理。</w:t>
      </w:r>
    </w:p>
    <w:p w14:paraId="3466C6B6">
      <w:pPr>
        <w:spacing w:line="440" w:lineRule="exact"/>
        <w:rPr>
          <w:rFonts w:hint="eastAsia" w:ascii="宋体" w:hAnsi="Courier New"/>
          <w:bCs/>
          <w:color w:val="000000"/>
          <w:szCs w:val="20"/>
        </w:rPr>
      </w:pPr>
      <w:r>
        <w:rPr>
          <w:rFonts w:hint="eastAsia" w:ascii="宋体" w:hAnsi="Courier New"/>
          <w:bCs/>
          <w:color w:val="000000"/>
          <w:szCs w:val="20"/>
        </w:rPr>
        <w:t xml:space="preserve">    (二)保洁服务</w:t>
      </w:r>
    </w:p>
    <w:p w14:paraId="6C8760E7">
      <w:pPr>
        <w:spacing w:line="440" w:lineRule="exact"/>
        <w:rPr>
          <w:rFonts w:hint="eastAsia" w:ascii="宋体" w:hAnsi="Courier New"/>
          <w:bCs/>
          <w:color w:val="000000"/>
          <w:szCs w:val="20"/>
        </w:rPr>
      </w:pPr>
      <w:r>
        <w:rPr>
          <w:rFonts w:hint="eastAsia" w:ascii="宋体" w:hAnsi="Courier New"/>
          <w:bCs/>
          <w:color w:val="000000"/>
          <w:szCs w:val="20"/>
        </w:rPr>
        <w:t xml:space="preserve">    1、维护大院及诉讼服务中心</w:t>
      </w:r>
      <w:r>
        <w:rPr>
          <w:rFonts w:hint="eastAsia" w:ascii="宋体" w:hAnsi="Courier New"/>
          <w:bCs/>
          <w:color w:val="000000"/>
          <w:szCs w:val="20"/>
          <w:lang w:eastAsia="zh-CN"/>
        </w:rPr>
        <w:t>、诉讼与非诉讼联动中心大楼</w:t>
      </w:r>
      <w:r>
        <w:rPr>
          <w:rFonts w:hint="eastAsia" w:ascii="宋体" w:hAnsi="Courier New"/>
          <w:bCs/>
          <w:color w:val="000000"/>
          <w:szCs w:val="20"/>
        </w:rPr>
        <w:t>周围公共环境卫生，即公用设施和附属建筑物的保洁(包括道路、广场、草坪、停车场、垃圾桶、路灯、球场、休息凳、户外健身器材等)；</w:t>
      </w:r>
    </w:p>
    <w:p w14:paraId="1C275C51">
      <w:pPr>
        <w:spacing w:line="440" w:lineRule="exact"/>
        <w:rPr>
          <w:rFonts w:hint="eastAsia" w:ascii="宋体" w:hAnsi="Courier New"/>
          <w:bCs/>
          <w:color w:val="000000"/>
          <w:szCs w:val="20"/>
        </w:rPr>
      </w:pPr>
      <w:r>
        <w:rPr>
          <w:rFonts w:hint="eastAsia" w:ascii="宋体" w:hAnsi="Courier New"/>
          <w:bCs/>
          <w:color w:val="000000"/>
          <w:szCs w:val="20"/>
        </w:rPr>
        <w:t xml:space="preserve">    2、办公楼的公共场所保洁(包括大厅、车库、走廊、栏杆、通道、电梯、楼梯、卫生间、杂物间等)；</w:t>
      </w:r>
    </w:p>
    <w:p w14:paraId="4310AD72">
      <w:pPr>
        <w:spacing w:line="440" w:lineRule="exact"/>
        <w:rPr>
          <w:rFonts w:hint="eastAsia" w:ascii="宋体" w:hAnsi="Courier New"/>
          <w:bCs/>
          <w:color w:val="000000"/>
          <w:szCs w:val="20"/>
        </w:rPr>
      </w:pPr>
      <w:r>
        <w:rPr>
          <w:rFonts w:hint="eastAsia" w:ascii="宋体" w:hAnsi="Courier New"/>
          <w:bCs/>
          <w:color w:val="000000"/>
          <w:szCs w:val="20"/>
        </w:rPr>
        <w:t xml:space="preserve">    3、诉讼服务中心、</w:t>
      </w:r>
      <w:r>
        <w:rPr>
          <w:rFonts w:hint="eastAsia" w:ascii="宋体" w:hAnsi="Courier New"/>
          <w:bCs/>
          <w:color w:val="000000"/>
          <w:szCs w:val="20"/>
          <w:lang w:eastAsia="zh-CN"/>
        </w:rPr>
        <w:t>诉讼与非诉讼联动中心大楼、</w:t>
      </w:r>
      <w:r>
        <w:rPr>
          <w:rFonts w:hint="eastAsia" w:ascii="宋体" w:hAnsi="Courier New"/>
          <w:bCs/>
          <w:color w:val="000000"/>
          <w:szCs w:val="20"/>
        </w:rPr>
        <w:t>审判法庭、信访接待区、各会议室、休息室等的保洁保养；</w:t>
      </w:r>
    </w:p>
    <w:p w14:paraId="3D277420">
      <w:pPr>
        <w:spacing w:line="440" w:lineRule="exact"/>
        <w:rPr>
          <w:rFonts w:hint="eastAsia" w:ascii="宋体" w:hAnsi="Courier New"/>
          <w:bCs/>
          <w:color w:val="000000"/>
          <w:szCs w:val="20"/>
        </w:rPr>
      </w:pPr>
      <w:r>
        <w:rPr>
          <w:rFonts w:hint="eastAsia" w:ascii="宋体" w:hAnsi="Courier New"/>
          <w:bCs/>
          <w:color w:val="000000"/>
          <w:szCs w:val="20"/>
        </w:rPr>
        <w:t xml:space="preserve">    4、垃圾日产日清，卫生间、楼层垃圾桶保洁；</w:t>
      </w:r>
    </w:p>
    <w:p w14:paraId="7B7FE233">
      <w:pPr>
        <w:spacing w:line="440" w:lineRule="exact"/>
        <w:rPr>
          <w:rFonts w:hint="eastAsia" w:ascii="宋体" w:hAnsi="Courier New"/>
          <w:bCs/>
          <w:color w:val="000000"/>
          <w:szCs w:val="20"/>
        </w:rPr>
      </w:pPr>
      <w:r>
        <w:rPr>
          <w:rFonts w:hint="eastAsia" w:ascii="宋体" w:hAnsi="Courier New"/>
          <w:bCs/>
          <w:color w:val="000000"/>
          <w:szCs w:val="20"/>
        </w:rPr>
        <w:t xml:space="preserve">    5、电梯的日常保洁消毒；</w:t>
      </w:r>
    </w:p>
    <w:p w14:paraId="032AF3F6">
      <w:pPr>
        <w:spacing w:line="440" w:lineRule="exact"/>
        <w:rPr>
          <w:rFonts w:hint="eastAsia" w:ascii="宋体" w:hAnsi="Courier New"/>
          <w:bCs/>
          <w:color w:val="000000"/>
          <w:szCs w:val="20"/>
        </w:rPr>
      </w:pPr>
      <w:r>
        <w:rPr>
          <w:rFonts w:hint="eastAsia" w:ascii="宋体" w:hAnsi="Courier New"/>
          <w:bCs/>
          <w:color w:val="000000"/>
          <w:szCs w:val="20"/>
        </w:rPr>
        <w:t xml:space="preserve">    7、保持建筑外立面墙体3米以下的玻璃窗干净铮亮无污迹；</w:t>
      </w:r>
    </w:p>
    <w:p w14:paraId="2C558BDC">
      <w:pPr>
        <w:spacing w:line="440" w:lineRule="exact"/>
        <w:rPr>
          <w:rFonts w:hint="eastAsia" w:ascii="宋体" w:hAnsi="Courier New"/>
          <w:bCs/>
          <w:color w:val="000000"/>
          <w:szCs w:val="20"/>
        </w:rPr>
      </w:pPr>
      <w:r>
        <w:rPr>
          <w:rFonts w:hint="eastAsia" w:ascii="宋体" w:hAnsi="Courier New"/>
          <w:bCs/>
          <w:color w:val="000000"/>
          <w:szCs w:val="20"/>
        </w:rPr>
        <w:t xml:space="preserve">    8、协助进行宣传环境布置等其它临时性工作。</w:t>
      </w:r>
    </w:p>
    <w:p w14:paraId="1AD5ACD6">
      <w:pPr>
        <w:spacing w:line="440" w:lineRule="exact"/>
        <w:ind w:firstLine="420" w:firstLineChars="200"/>
        <w:rPr>
          <w:rFonts w:hint="eastAsia" w:ascii="宋体" w:hAnsi="Courier New"/>
          <w:bCs/>
          <w:color w:val="000000"/>
          <w:szCs w:val="20"/>
        </w:rPr>
      </w:pPr>
      <w:r>
        <w:rPr>
          <w:rFonts w:hint="eastAsia" w:ascii="宋体" w:hAnsi="Courier New"/>
          <w:bCs/>
          <w:color w:val="000000"/>
          <w:szCs w:val="20"/>
        </w:rPr>
        <w:t>9、车库冲洗、审判综合楼、诉讼服务中心</w:t>
      </w:r>
      <w:r>
        <w:rPr>
          <w:rFonts w:hint="eastAsia" w:ascii="宋体" w:hAnsi="Courier New"/>
          <w:bCs/>
          <w:color w:val="000000"/>
          <w:szCs w:val="20"/>
          <w:lang w:eastAsia="zh-CN"/>
        </w:rPr>
        <w:t>、诉讼与非诉讼联动中心大楼</w:t>
      </w:r>
      <w:r>
        <w:rPr>
          <w:rFonts w:hint="eastAsia" w:ascii="宋体" w:hAnsi="Courier New"/>
          <w:bCs/>
          <w:color w:val="000000"/>
          <w:szCs w:val="20"/>
        </w:rPr>
        <w:t>台阶清洗（每年不少于两次）。</w:t>
      </w:r>
    </w:p>
    <w:p w14:paraId="638FC2B6">
      <w:pPr>
        <w:spacing w:line="440" w:lineRule="exact"/>
        <w:rPr>
          <w:rFonts w:hint="eastAsia" w:ascii="宋体" w:hAnsi="Courier New"/>
          <w:bCs/>
          <w:color w:val="000000"/>
          <w:szCs w:val="20"/>
        </w:rPr>
      </w:pPr>
      <w:r>
        <w:rPr>
          <w:rFonts w:hint="eastAsia" w:ascii="宋体" w:hAnsi="Courier New"/>
          <w:bCs/>
          <w:color w:val="000000"/>
          <w:szCs w:val="20"/>
        </w:rPr>
        <w:t xml:space="preserve">    (三) </w:t>
      </w:r>
      <w:r>
        <w:rPr>
          <w:rFonts w:hint="eastAsia" w:ascii="宋体" w:hAnsi="Courier New"/>
          <w:color w:val="000000"/>
          <w:szCs w:val="20"/>
        </w:rPr>
        <w:t>职工食堂服务</w:t>
      </w:r>
    </w:p>
    <w:p w14:paraId="6053AFF1">
      <w:pPr>
        <w:spacing w:line="440" w:lineRule="exact"/>
        <w:ind w:firstLine="420" w:firstLineChars="200"/>
        <w:rPr>
          <w:rFonts w:hint="eastAsia" w:ascii="宋体" w:hAnsi="Courier New"/>
          <w:color w:val="000000"/>
          <w:szCs w:val="20"/>
        </w:rPr>
      </w:pPr>
      <w:r>
        <w:rPr>
          <w:rFonts w:hint="eastAsia" w:ascii="宋体" w:hAnsi="Courier New"/>
          <w:color w:val="000000"/>
          <w:szCs w:val="20"/>
        </w:rPr>
        <w:t>1、做好食堂日常伙食烹制分配供应；</w:t>
      </w:r>
    </w:p>
    <w:p w14:paraId="7FD6F56E">
      <w:pPr>
        <w:spacing w:line="440" w:lineRule="exact"/>
        <w:ind w:firstLine="420" w:firstLineChars="200"/>
        <w:rPr>
          <w:rFonts w:hint="eastAsia" w:ascii="宋体" w:hAnsi="Courier New"/>
          <w:color w:val="000000"/>
          <w:szCs w:val="20"/>
        </w:rPr>
      </w:pPr>
      <w:r>
        <w:rPr>
          <w:rFonts w:hint="eastAsia" w:ascii="宋体" w:hAnsi="Courier New"/>
          <w:color w:val="000000"/>
          <w:szCs w:val="20"/>
        </w:rPr>
        <w:t>2、协助做好接待工作；</w:t>
      </w:r>
    </w:p>
    <w:p w14:paraId="7709939E">
      <w:pPr>
        <w:spacing w:line="440" w:lineRule="exact"/>
        <w:ind w:firstLine="420" w:firstLineChars="200"/>
        <w:rPr>
          <w:rFonts w:hint="eastAsia" w:ascii="宋体" w:hAnsi="Courier New"/>
          <w:color w:val="000000"/>
          <w:szCs w:val="20"/>
        </w:rPr>
      </w:pPr>
      <w:r>
        <w:rPr>
          <w:rFonts w:hint="eastAsia" w:ascii="宋体" w:hAnsi="Courier New"/>
          <w:color w:val="000000"/>
          <w:szCs w:val="20"/>
        </w:rPr>
        <w:t>3、做好日常干警用餐登记及食品采购计划制定；</w:t>
      </w:r>
    </w:p>
    <w:p w14:paraId="7EFEDDEA">
      <w:pPr>
        <w:spacing w:line="440" w:lineRule="exact"/>
        <w:ind w:firstLine="420" w:firstLineChars="200"/>
        <w:rPr>
          <w:rFonts w:hint="eastAsia" w:ascii="宋体" w:hAnsi="Courier New"/>
          <w:color w:val="000000"/>
          <w:szCs w:val="20"/>
        </w:rPr>
      </w:pPr>
      <w:r>
        <w:rPr>
          <w:rFonts w:hint="eastAsia" w:ascii="宋体" w:hAnsi="Courier New"/>
          <w:color w:val="000000"/>
          <w:szCs w:val="20"/>
        </w:rPr>
        <w:t>4、做好食安全及食堂保洁工作。</w:t>
      </w:r>
    </w:p>
    <w:p w14:paraId="344C1752">
      <w:pPr>
        <w:keepNext w:val="0"/>
        <w:keepLines w:val="0"/>
        <w:pageBreakBefore w:val="0"/>
        <w:widowControl w:val="0"/>
        <w:kinsoku/>
        <w:wordWrap/>
        <w:overflowPunct/>
        <w:topLinePunct w:val="0"/>
        <w:autoSpaceDE/>
        <w:autoSpaceDN/>
        <w:bidi w:val="0"/>
        <w:adjustRightInd/>
        <w:snapToGrid/>
        <w:spacing w:line="440" w:lineRule="exact"/>
        <w:ind w:firstLine="315" w:firstLineChars="150"/>
        <w:textAlignment w:val="auto"/>
        <w:rPr>
          <w:rFonts w:hint="eastAsia" w:ascii="宋体" w:hAnsi="Courier New"/>
          <w:color w:val="000000"/>
          <w:szCs w:val="20"/>
        </w:rPr>
      </w:pPr>
      <w:r>
        <w:rPr>
          <w:rFonts w:hint="eastAsia" w:ascii="宋体" w:hAnsi="Courier New"/>
          <w:color w:val="000000"/>
          <w:szCs w:val="20"/>
        </w:rPr>
        <w:t>（四）绿化工作</w:t>
      </w:r>
    </w:p>
    <w:p w14:paraId="75A597B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olor w:val="000000"/>
          <w:szCs w:val="21"/>
        </w:rPr>
      </w:pPr>
      <w:r>
        <w:rPr>
          <w:rFonts w:hint="eastAsia" w:ascii="宋体" w:hAnsi="Courier New"/>
          <w:color w:val="000000"/>
          <w:szCs w:val="20"/>
        </w:rPr>
        <w:t xml:space="preserve">    1、</w:t>
      </w:r>
      <w:r>
        <w:rPr>
          <w:rFonts w:hint="eastAsia" w:ascii="宋体" w:hAnsi="宋体"/>
          <w:color w:val="000000"/>
          <w:szCs w:val="21"/>
        </w:rPr>
        <w:t>负责本项目环境绿化美化及小景点的设置、保养；</w:t>
      </w:r>
    </w:p>
    <w:p w14:paraId="11D3CFB7">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宋体" w:hAnsi="宋体"/>
          <w:color w:val="000000"/>
          <w:szCs w:val="21"/>
        </w:rPr>
      </w:pPr>
      <w:r>
        <w:rPr>
          <w:rFonts w:hint="eastAsia" w:ascii="宋体" w:hAnsi="宋体"/>
          <w:color w:val="000000"/>
          <w:szCs w:val="21"/>
        </w:rPr>
        <w:t>2、负责辖区内绿化的养护、修剪、造型及病虫害防治工作。</w:t>
      </w:r>
    </w:p>
    <w:p w14:paraId="15BE360A">
      <w:pPr>
        <w:pStyle w:val="10"/>
        <w:keepNext w:val="0"/>
        <w:keepLines w:val="0"/>
        <w:pageBreakBefore w:val="0"/>
        <w:widowControl w:val="0"/>
        <w:kinsoku/>
        <w:wordWrap/>
        <w:overflowPunct/>
        <w:topLinePunct w:val="0"/>
        <w:autoSpaceDE/>
        <w:autoSpaceDN/>
        <w:bidi w:val="0"/>
        <w:adjustRightInd/>
        <w:snapToGrid/>
        <w:spacing w:line="440" w:lineRule="exact"/>
        <w:ind w:left="420" w:leftChars="200" w:firstLine="0" w:firstLineChars="0"/>
        <w:textAlignment w:val="auto"/>
        <w:rPr>
          <w:rFonts w:hint="eastAsia" w:ascii="宋体" w:hAnsi="宋体" w:eastAsia="宋体" w:cs="宋体"/>
          <w:sz w:val="21"/>
          <w:szCs w:val="21"/>
          <w:lang w:eastAsia="zh-CN"/>
        </w:rPr>
      </w:pPr>
      <w:r>
        <w:rPr>
          <w:rFonts w:hint="eastAsia" w:cs="宋体"/>
          <w:sz w:val="21"/>
          <w:szCs w:val="21"/>
          <w:lang w:val="en-US" w:eastAsia="zh-CN"/>
        </w:rPr>
        <w:t>(</w:t>
      </w:r>
      <w:r>
        <w:rPr>
          <w:rFonts w:ascii="宋体" w:hAnsi="宋体" w:eastAsia="宋体" w:cs="宋体"/>
          <w:sz w:val="21"/>
          <w:szCs w:val="21"/>
        </w:rPr>
        <w:t>五)能源管理</w:t>
      </w:r>
    </w:p>
    <w:p w14:paraId="6968B501">
      <w:pPr>
        <w:pStyle w:val="10"/>
        <w:keepNext w:val="0"/>
        <w:keepLines w:val="0"/>
        <w:pageBreakBefore w:val="0"/>
        <w:widowControl w:val="0"/>
        <w:kinsoku/>
        <w:wordWrap/>
        <w:overflowPunct/>
        <w:topLinePunct w:val="0"/>
        <w:autoSpaceDE/>
        <w:autoSpaceDN/>
        <w:bidi w:val="0"/>
        <w:adjustRightInd/>
        <w:snapToGrid/>
        <w:spacing w:line="440" w:lineRule="exact"/>
        <w:ind w:left="420" w:leftChars="200" w:firstLine="0" w:firstLineChars="0"/>
        <w:textAlignment w:val="auto"/>
        <w:rPr>
          <w:rFonts w:hint="eastAsia" w:ascii="宋体" w:hAnsi="宋体" w:eastAsia="宋体" w:cs="宋体"/>
          <w:sz w:val="21"/>
          <w:szCs w:val="21"/>
          <w:lang w:eastAsia="zh-CN"/>
        </w:rPr>
      </w:pPr>
      <w:r>
        <w:rPr>
          <w:rFonts w:ascii="宋体" w:hAnsi="宋体" w:eastAsia="宋体" w:cs="宋体"/>
          <w:sz w:val="21"/>
          <w:szCs w:val="21"/>
        </w:rPr>
        <w:t>1</w:t>
      </w:r>
      <w:r>
        <w:rPr>
          <w:rFonts w:hint="eastAsia" w:ascii="宋体" w:hAnsi="宋体" w:eastAsia="宋体" w:cs="宋体"/>
          <w:sz w:val="21"/>
          <w:szCs w:val="21"/>
        </w:rPr>
        <w:t>、</w:t>
      </w:r>
      <w:r>
        <w:rPr>
          <w:rFonts w:ascii="宋体" w:hAnsi="宋体" w:eastAsia="宋体" w:cs="宋体"/>
          <w:sz w:val="21"/>
          <w:szCs w:val="21"/>
        </w:rPr>
        <w:t>乙方除为甲方提供原有物业管理服务外，额外为甲方提供能源(包含全院的水、电等消耗)使用管理服务</w:t>
      </w:r>
    </w:p>
    <w:p w14:paraId="24ED512D">
      <w:pPr>
        <w:pStyle w:val="10"/>
        <w:keepNext w:val="0"/>
        <w:keepLines w:val="0"/>
        <w:pageBreakBefore w:val="0"/>
        <w:widowControl w:val="0"/>
        <w:kinsoku/>
        <w:wordWrap/>
        <w:overflowPunct/>
        <w:topLinePunct w:val="0"/>
        <w:autoSpaceDE/>
        <w:autoSpaceDN/>
        <w:bidi w:val="0"/>
        <w:adjustRightInd/>
        <w:snapToGrid/>
        <w:spacing w:line="440" w:lineRule="exact"/>
        <w:ind w:left="420" w:leftChars="200" w:firstLine="0" w:firstLineChars="0"/>
        <w:textAlignment w:val="auto"/>
        <w:rPr>
          <w:rFonts w:hint="eastAsia" w:ascii="宋体" w:hAnsi="宋体" w:eastAsia="宋体" w:cs="宋体"/>
          <w:sz w:val="21"/>
          <w:szCs w:val="21"/>
          <w:lang w:eastAsia="zh-CN"/>
        </w:rPr>
      </w:pPr>
      <w:r>
        <w:rPr>
          <w:rFonts w:ascii="宋体" w:hAnsi="宋体" w:eastAsia="宋体" w:cs="宋体"/>
          <w:sz w:val="21"/>
          <w:szCs w:val="21"/>
        </w:rPr>
        <w:t>2</w:t>
      </w:r>
      <w:r>
        <w:rPr>
          <w:rFonts w:hint="eastAsia" w:ascii="宋体" w:hAnsi="宋体" w:eastAsia="宋体" w:cs="宋体"/>
          <w:sz w:val="21"/>
          <w:szCs w:val="21"/>
        </w:rPr>
        <w:t>、</w:t>
      </w:r>
      <w:r>
        <w:rPr>
          <w:rFonts w:ascii="宋体" w:hAnsi="宋体" w:eastAsia="宋体" w:cs="宋体"/>
          <w:sz w:val="21"/>
          <w:szCs w:val="21"/>
        </w:rPr>
        <w:t>在不影响甲方正常办公情况下，乙方有权对甲方水电使用设备进行改造和监管，同时合理对甲方水电使用人员用能行为进行约束。改造需经甲乙双方协商确认后方可进行，费用由乙方自行承担。</w:t>
      </w:r>
    </w:p>
    <w:p w14:paraId="0D4CE1BE">
      <w:pPr>
        <w:pStyle w:val="10"/>
        <w:keepNext w:val="0"/>
        <w:keepLines w:val="0"/>
        <w:pageBreakBefore w:val="0"/>
        <w:widowControl w:val="0"/>
        <w:kinsoku/>
        <w:wordWrap/>
        <w:overflowPunct/>
        <w:topLinePunct w:val="0"/>
        <w:autoSpaceDE/>
        <w:autoSpaceDN/>
        <w:bidi w:val="0"/>
        <w:adjustRightInd/>
        <w:snapToGrid/>
        <w:spacing w:line="440" w:lineRule="exact"/>
        <w:ind w:left="420" w:leftChars="200" w:firstLine="0" w:firstLineChars="0"/>
        <w:textAlignment w:val="auto"/>
        <w:rPr>
          <w:rFonts w:hint="eastAsia" w:ascii="宋体" w:hAnsi="宋体" w:eastAsia="宋体" w:cs="宋体"/>
          <w:sz w:val="21"/>
          <w:szCs w:val="21"/>
          <w:lang w:eastAsia="zh-CN"/>
        </w:rPr>
      </w:pPr>
      <w:r>
        <w:rPr>
          <w:rFonts w:ascii="宋体" w:hAnsi="宋体" w:eastAsia="宋体" w:cs="宋体"/>
          <w:sz w:val="21"/>
          <w:szCs w:val="21"/>
        </w:rPr>
        <w:t>3</w:t>
      </w:r>
      <w:r>
        <w:rPr>
          <w:rFonts w:hint="eastAsia" w:ascii="宋体" w:hAnsi="宋体" w:eastAsia="宋体" w:cs="宋体"/>
          <w:sz w:val="21"/>
          <w:szCs w:val="21"/>
        </w:rPr>
        <w:t>、</w:t>
      </w:r>
      <w:r>
        <w:rPr>
          <w:rFonts w:ascii="宋体" w:hAnsi="宋体" w:eastAsia="宋体" w:cs="宋体"/>
          <w:sz w:val="21"/>
          <w:szCs w:val="21"/>
        </w:rPr>
        <w:t>以2019年全年甲方水电能耗及费用为基数，乙方能源管理服务工作如有成效，2020年、2021年甲方能耗费用比2019年确有所降低的，甲方将当年所节约费用数额的50%支付给乙方。</w:t>
      </w:r>
    </w:p>
    <w:p w14:paraId="1DA338E1">
      <w:pPr>
        <w:pStyle w:val="10"/>
        <w:keepNext w:val="0"/>
        <w:keepLines w:val="0"/>
        <w:pageBreakBefore w:val="0"/>
        <w:widowControl w:val="0"/>
        <w:kinsoku/>
        <w:wordWrap/>
        <w:overflowPunct/>
        <w:topLinePunct w:val="0"/>
        <w:autoSpaceDE/>
        <w:autoSpaceDN/>
        <w:bidi w:val="0"/>
        <w:adjustRightInd/>
        <w:snapToGrid/>
        <w:spacing w:line="440" w:lineRule="exact"/>
        <w:ind w:left="420" w:leftChars="200" w:firstLine="0" w:firstLineChars="0"/>
        <w:textAlignment w:val="auto"/>
        <w:rPr>
          <w:rFonts w:hint="eastAsia" w:ascii="宋体" w:hAnsi="宋体" w:eastAsia="宋体" w:cs="宋体"/>
          <w:sz w:val="21"/>
          <w:szCs w:val="21"/>
          <w:lang w:eastAsia="zh-CN"/>
        </w:rPr>
      </w:pPr>
      <w:r>
        <w:rPr>
          <w:rFonts w:ascii="宋体" w:hAnsi="宋体" w:eastAsia="宋体" w:cs="宋体"/>
          <w:sz w:val="21"/>
          <w:szCs w:val="21"/>
        </w:rPr>
        <w:t>4</w:t>
      </w:r>
      <w:r>
        <w:rPr>
          <w:rFonts w:hint="eastAsia" w:ascii="宋体" w:hAnsi="宋体" w:eastAsia="宋体" w:cs="宋体"/>
          <w:sz w:val="21"/>
          <w:szCs w:val="21"/>
        </w:rPr>
        <w:t>、</w:t>
      </w:r>
      <w:r>
        <w:rPr>
          <w:rFonts w:ascii="宋体" w:hAnsi="宋体" w:eastAsia="宋体" w:cs="宋体"/>
          <w:sz w:val="21"/>
          <w:szCs w:val="21"/>
        </w:rPr>
        <w:t>若乙方能源管理服务工作未有成效，则乙方不收取任何费用。</w:t>
      </w:r>
    </w:p>
    <w:p w14:paraId="5EB79C21">
      <w:pPr>
        <w:pStyle w:val="10"/>
        <w:keepNext w:val="0"/>
        <w:keepLines w:val="0"/>
        <w:pageBreakBefore w:val="0"/>
        <w:widowControl w:val="0"/>
        <w:kinsoku/>
        <w:wordWrap/>
        <w:overflowPunct/>
        <w:topLinePunct w:val="0"/>
        <w:autoSpaceDE/>
        <w:autoSpaceDN/>
        <w:bidi w:val="0"/>
        <w:adjustRightInd/>
        <w:snapToGrid/>
        <w:spacing w:line="440" w:lineRule="exact"/>
        <w:ind w:left="420" w:leftChars="200" w:firstLine="0" w:firstLineChars="0"/>
        <w:textAlignment w:val="auto"/>
        <w:rPr>
          <w:rFonts w:hint="eastAsia"/>
        </w:rPr>
      </w:pPr>
      <w:r>
        <w:rPr>
          <w:rFonts w:ascii="宋体" w:hAnsi="宋体" w:eastAsia="宋体" w:cs="宋体"/>
          <w:sz w:val="21"/>
          <w:szCs w:val="21"/>
        </w:rPr>
        <w:t>5</w:t>
      </w:r>
      <w:r>
        <w:rPr>
          <w:rFonts w:hint="eastAsia" w:ascii="宋体" w:hAnsi="宋体" w:eastAsia="宋体" w:cs="宋体"/>
          <w:sz w:val="21"/>
          <w:szCs w:val="21"/>
        </w:rPr>
        <w:t>、</w:t>
      </w:r>
      <w:r>
        <w:rPr>
          <w:rFonts w:ascii="宋体" w:hAnsi="宋体" w:eastAsia="宋体" w:cs="宋体"/>
          <w:sz w:val="21"/>
          <w:szCs w:val="21"/>
        </w:rPr>
        <w:t> 如因甲方大量增添新用能设备，造成乙方能源管理服务工作未产生成效，乙方可提供相关证据，甲乙双方另行商议解决。</w:t>
      </w:r>
    </w:p>
    <w:p w14:paraId="27DE3766">
      <w:pPr>
        <w:spacing w:line="440" w:lineRule="exact"/>
        <w:rPr>
          <w:rFonts w:hint="eastAsia" w:ascii="宋体" w:hAnsi="Courier New"/>
          <w:b/>
          <w:bCs/>
          <w:color w:val="000000"/>
          <w:szCs w:val="20"/>
        </w:rPr>
      </w:pPr>
      <w:r>
        <w:rPr>
          <w:rFonts w:hint="eastAsia" w:ascii="宋体" w:hAnsi="Courier New"/>
          <w:b/>
          <w:bCs/>
          <w:color w:val="000000"/>
          <w:szCs w:val="20"/>
        </w:rPr>
        <w:t xml:space="preserve">   三、物业管理服务标准</w:t>
      </w:r>
    </w:p>
    <w:p w14:paraId="2F5397AE">
      <w:pPr>
        <w:spacing w:line="440" w:lineRule="exact"/>
        <w:rPr>
          <w:rFonts w:hint="eastAsia" w:ascii="宋体" w:hAnsi="宋体"/>
          <w:color w:val="000000"/>
          <w:szCs w:val="21"/>
        </w:rPr>
      </w:pPr>
      <w:r>
        <w:rPr>
          <w:rFonts w:hint="eastAsia" w:ascii="宋体" w:hAnsi="宋体"/>
          <w:color w:val="000000"/>
          <w:szCs w:val="21"/>
        </w:rPr>
        <w:t xml:space="preserve">    (一)秩序维护</w:t>
      </w:r>
    </w:p>
    <w:p w14:paraId="41C0945A">
      <w:pPr>
        <w:spacing w:line="440" w:lineRule="exact"/>
        <w:rPr>
          <w:rFonts w:hint="eastAsia" w:ascii="宋体" w:hAnsi="宋体"/>
          <w:color w:val="000000"/>
          <w:szCs w:val="21"/>
        </w:rPr>
      </w:pPr>
      <w:r>
        <w:rPr>
          <w:rFonts w:hint="eastAsia" w:ascii="宋体" w:hAnsi="宋体"/>
          <w:color w:val="000000"/>
          <w:szCs w:val="21"/>
        </w:rPr>
        <w:t xml:space="preserve">    1、秩序维护管理严密、严格、正规，措施得力，人员尽责，监管到位，防范严密，无重大疏漏；</w:t>
      </w:r>
    </w:p>
    <w:p w14:paraId="21F14540">
      <w:pPr>
        <w:spacing w:line="440" w:lineRule="exact"/>
        <w:rPr>
          <w:rFonts w:hint="eastAsia" w:ascii="宋体" w:hAnsi="宋体"/>
          <w:color w:val="000000"/>
          <w:szCs w:val="21"/>
        </w:rPr>
      </w:pPr>
      <w:r>
        <w:rPr>
          <w:rFonts w:hint="eastAsia" w:ascii="宋体" w:hAnsi="宋体"/>
          <w:color w:val="000000"/>
          <w:szCs w:val="21"/>
        </w:rPr>
        <w:t xml:space="preserve">    2、在我院有关部门的具体指导下，做好大楼及院区的安全生产、安全保卫、处置治安、突发事件和协助消防保障、消防安全检查工作；</w:t>
      </w:r>
    </w:p>
    <w:p w14:paraId="42530575">
      <w:pPr>
        <w:spacing w:line="440" w:lineRule="exact"/>
        <w:ind w:firstLine="315" w:firstLineChars="150"/>
        <w:rPr>
          <w:rFonts w:hint="eastAsia" w:ascii="宋体" w:hAnsi="宋体"/>
          <w:color w:val="000000"/>
          <w:szCs w:val="21"/>
        </w:rPr>
      </w:pPr>
      <w:r>
        <w:rPr>
          <w:rFonts w:hint="eastAsia" w:ascii="宋体" w:hAnsi="宋体"/>
          <w:color w:val="000000"/>
          <w:szCs w:val="21"/>
        </w:rPr>
        <w:t xml:space="preserve"> 3、秩序维护人员要求具备良好的综合素质，责任心强，自觉执行制度，精神面貌佳，口齿伶俐，反应敏捷；</w:t>
      </w:r>
    </w:p>
    <w:p w14:paraId="385A6F70">
      <w:pPr>
        <w:spacing w:line="440" w:lineRule="exact"/>
        <w:rPr>
          <w:rFonts w:hint="eastAsia" w:ascii="宋体" w:hAnsi="宋体"/>
          <w:color w:val="000000"/>
          <w:szCs w:val="21"/>
        </w:rPr>
      </w:pPr>
      <w:r>
        <w:rPr>
          <w:rFonts w:hint="eastAsia" w:ascii="宋体" w:hAnsi="宋体"/>
          <w:color w:val="000000"/>
          <w:szCs w:val="21"/>
        </w:rPr>
        <w:t xml:space="preserve">    4、秩序维护员认真遵守各项规章制度，掌握工作流程；</w:t>
      </w:r>
    </w:p>
    <w:p w14:paraId="63512ECD">
      <w:pPr>
        <w:spacing w:line="440" w:lineRule="exact"/>
        <w:rPr>
          <w:rFonts w:hint="eastAsia" w:ascii="宋体" w:hAnsi="宋体"/>
          <w:color w:val="000000"/>
          <w:szCs w:val="21"/>
        </w:rPr>
      </w:pPr>
      <w:r>
        <w:rPr>
          <w:rFonts w:hint="eastAsia" w:ascii="宋体" w:hAnsi="宋体"/>
          <w:color w:val="000000"/>
          <w:szCs w:val="21"/>
        </w:rPr>
        <w:t xml:space="preserve">    5、各种安全应急预案齐备，处理突发事件及时，处置突发群体性事件果断、正确；</w:t>
      </w:r>
    </w:p>
    <w:p w14:paraId="0A24ECB9">
      <w:pPr>
        <w:spacing w:line="440" w:lineRule="exact"/>
        <w:rPr>
          <w:rFonts w:hint="eastAsia" w:ascii="宋体" w:hAnsi="宋体"/>
          <w:color w:val="000000"/>
          <w:szCs w:val="21"/>
        </w:rPr>
      </w:pPr>
      <w:r>
        <w:rPr>
          <w:rFonts w:hint="eastAsia" w:ascii="宋体" w:hAnsi="宋体"/>
          <w:color w:val="000000"/>
          <w:szCs w:val="21"/>
        </w:rPr>
        <w:t xml:space="preserve">    6、做好办公楼及院内安全防范、门岗执勤、安全监控、防范巡逻：做好防火灭火、防盗防毁等工作；</w:t>
      </w:r>
    </w:p>
    <w:p w14:paraId="447ECE7C">
      <w:pPr>
        <w:spacing w:line="440" w:lineRule="exact"/>
        <w:rPr>
          <w:rFonts w:hint="eastAsia" w:ascii="宋体" w:hAnsi="宋体"/>
          <w:color w:val="000000"/>
          <w:szCs w:val="21"/>
        </w:rPr>
      </w:pPr>
      <w:r>
        <w:rPr>
          <w:rFonts w:hint="eastAsia" w:ascii="宋体" w:hAnsi="宋体"/>
          <w:color w:val="000000"/>
          <w:szCs w:val="21"/>
        </w:rPr>
        <w:t xml:space="preserve">    7、科学调控车辆进出、停放有序：道路通畅，无堵塞；</w:t>
      </w:r>
    </w:p>
    <w:p w14:paraId="07E35623">
      <w:pPr>
        <w:spacing w:line="440" w:lineRule="exact"/>
        <w:rPr>
          <w:rFonts w:hint="eastAsia" w:ascii="宋体" w:hAnsi="宋体"/>
          <w:color w:val="000000"/>
          <w:szCs w:val="21"/>
        </w:rPr>
      </w:pPr>
      <w:r>
        <w:rPr>
          <w:rFonts w:hint="eastAsia" w:ascii="宋体" w:hAnsi="宋体"/>
          <w:color w:val="000000"/>
          <w:szCs w:val="21"/>
        </w:rPr>
        <w:t xml:space="preserve">    8、对车辆进行有效管理，对可疑人员进行盘查，做好车辆安全管理工作。</w:t>
      </w:r>
    </w:p>
    <w:p w14:paraId="1281A6D7">
      <w:pPr>
        <w:spacing w:line="440" w:lineRule="exact"/>
        <w:rPr>
          <w:rFonts w:hint="eastAsia" w:ascii="宋体" w:hAnsi="宋体"/>
          <w:color w:val="000000"/>
          <w:szCs w:val="21"/>
        </w:rPr>
      </w:pPr>
      <w:r>
        <w:rPr>
          <w:rFonts w:hint="eastAsia" w:ascii="宋体" w:hAnsi="宋体"/>
          <w:color w:val="000000"/>
          <w:szCs w:val="21"/>
        </w:rPr>
        <w:t xml:space="preserve">   (二)保洁服务。</w:t>
      </w:r>
    </w:p>
    <w:p w14:paraId="270535BB">
      <w:pPr>
        <w:spacing w:line="440" w:lineRule="exact"/>
        <w:ind w:firstLine="315" w:firstLineChars="150"/>
        <w:rPr>
          <w:rFonts w:hint="eastAsia" w:ascii="宋体" w:hAnsi="宋体"/>
          <w:color w:val="000000"/>
          <w:szCs w:val="21"/>
        </w:rPr>
      </w:pPr>
      <w:r>
        <w:rPr>
          <w:rFonts w:hint="eastAsia" w:ascii="宋体" w:hAnsi="宋体"/>
          <w:color w:val="000000"/>
          <w:szCs w:val="21"/>
        </w:rPr>
        <w:t xml:space="preserve"> l、院内公共场所保持清洁，地面无纸屑、烟头、杂物等废弃物；</w:t>
      </w:r>
    </w:p>
    <w:p w14:paraId="2D15C55D">
      <w:pPr>
        <w:spacing w:line="440" w:lineRule="exact"/>
        <w:rPr>
          <w:rFonts w:hint="eastAsia" w:ascii="宋体" w:hAnsi="宋体"/>
          <w:color w:val="000000"/>
          <w:szCs w:val="21"/>
        </w:rPr>
      </w:pPr>
      <w:r>
        <w:rPr>
          <w:rFonts w:hint="eastAsia" w:ascii="宋体" w:hAnsi="宋体"/>
          <w:color w:val="000000"/>
          <w:szCs w:val="21"/>
        </w:rPr>
        <w:t xml:space="preserve">    2、办公楼楼道走廊地面干爽洁净，无污渍、积水、杂物等，楼道、扶手和栏杆干净无灰尘，公共门框和墙壁无积尘和蜘蛛网；</w:t>
      </w:r>
    </w:p>
    <w:p w14:paraId="24E69156">
      <w:pPr>
        <w:spacing w:line="440" w:lineRule="exact"/>
        <w:ind w:firstLine="315" w:firstLineChars="150"/>
        <w:rPr>
          <w:rFonts w:hint="eastAsia" w:ascii="宋体" w:hAnsi="宋体"/>
          <w:color w:val="000000"/>
          <w:szCs w:val="21"/>
        </w:rPr>
      </w:pPr>
      <w:r>
        <w:rPr>
          <w:rFonts w:hint="eastAsia" w:ascii="宋体" w:hAnsi="宋体"/>
          <w:color w:val="000000"/>
          <w:szCs w:val="21"/>
        </w:rPr>
        <w:t xml:space="preserve"> 3、大楼大厅地面铮亮无污迹，玻璃窗无积尘污迹，大厅立柱、墙壁、灯具、顶部无积尘污迹；</w:t>
      </w:r>
    </w:p>
    <w:p w14:paraId="159A04F2">
      <w:pPr>
        <w:spacing w:line="440" w:lineRule="exact"/>
        <w:rPr>
          <w:rFonts w:hint="eastAsia" w:ascii="宋体" w:hAnsi="宋体"/>
          <w:color w:val="000000"/>
          <w:szCs w:val="21"/>
        </w:rPr>
      </w:pPr>
      <w:r>
        <w:rPr>
          <w:rFonts w:hint="eastAsia" w:ascii="宋体" w:hAnsi="宋体"/>
          <w:color w:val="000000"/>
          <w:szCs w:val="21"/>
        </w:rPr>
        <w:t xml:space="preserve">    4、垃圾日产日清，垃圾箱外表干净，无异味；</w:t>
      </w:r>
    </w:p>
    <w:p w14:paraId="28A7A645">
      <w:pPr>
        <w:spacing w:line="440" w:lineRule="exact"/>
        <w:ind w:firstLine="315" w:firstLineChars="150"/>
        <w:rPr>
          <w:rFonts w:hint="eastAsia" w:ascii="宋体" w:hAnsi="宋体"/>
          <w:color w:val="000000"/>
          <w:szCs w:val="21"/>
        </w:rPr>
      </w:pPr>
      <w:r>
        <w:rPr>
          <w:rFonts w:hint="eastAsia" w:ascii="宋体" w:hAnsi="宋体"/>
          <w:color w:val="000000"/>
          <w:szCs w:val="21"/>
        </w:rPr>
        <w:t xml:space="preserve"> 5、卫生间每天冲洗2次以上，楼层垃圾桶每日早上7：50、下午5：00前各清洁1次，并保持卫生间无污迹，无积水、无异味，下水道畅通；</w:t>
      </w:r>
    </w:p>
    <w:p w14:paraId="45298204">
      <w:pPr>
        <w:spacing w:line="440" w:lineRule="exact"/>
        <w:ind w:firstLine="420" w:firstLineChars="200"/>
        <w:rPr>
          <w:rFonts w:hint="eastAsia" w:ascii="宋体" w:hAnsi="宋体"/>
          <w:color w:val="000000"/>
          <w:szCs w:val="21"/>
        </w:rPr>
      </w:pPr>
      <w:r>
        <w:rPr>
          <w:rFonts w:hint="eastAsia" w:ascii="宋体" w:hAnsi="宋体"/>
          <w:color w:val="000000"/>
          <w:szCs w:val="21"/>
        </w:rPr>
        <w:t>6、每天检查一次卫生间，对缺纸的纸筒和洗手液及时进行补充；卫生间洗手液、纸盒、纸张指定负责人到我院行装科领用；</w:t>
      </w:r>
    </w:p>
    <w:p w14:paraId="36C44C38">
      <w:pPr>
        <w:spacing w:line="440" w:lineRule="exact"/>
        <w:ind w:firstLine="315" w:firstLineChars="150"/>
        <w:rPr>
          <w:rFonts w:hint="eastAsia" w:ascii="宋体" w:hAnsi="宋体"/>
          <w:color w:val="000000"/>
          <w:szCs w:val="21"/>
        </w:rPr>
      </w:pPr>
      <w:r>
        <w:rPr>
          <w:rFonts w:hint="eastAsia" w:ascii="宋体" w:hAnsi="宋体"/>
          <w:color w:val="000000"/>
          <w:szCs w:val="21"/>
        </w:rPr>
        <w:t xml:space="preserve"> 7、每天早上7:50时前对电梯进行日常保洁消毒，按期更换电梯地垫并清洗备用；备换电梯地垫由我院负责购买；</w:t>
      </w:r>
    </w:p>
    <w:p w14:paraId="01CB972C">
      <w:pPr>
        <w:spacing w:line="440" w:lineRule="exact"/>
        <w:rPr>
          <w:rFonts w:hint="eastAsia" w:ascii="宋体" w:hAnsi="宋体"/>
          <w:color w:val="000000"/>
          <w:szCs w:val="21"/>
        </w:rPr>
      </w:pPr>
      <w:r>
        <w:rPr>
          <w:rFonts w:hint="eastAsia" w:ascii="宋体" w:hAnsi="宋体"/>
          <w:color w:val="000000"/>
          <w:szCs w:val="21"/>
        </w:rPr>
        <w:t xml:space="preserve">    8、地下车库每年冲洗两次以上，审判大楼及诉讼服务中心</w:t>
      </w:r>
      <w:r>
        <w:rPr>
          <w:rFonts w:hint="eastAsia" w:ascii="宋体" w:hAnsi="宋体"/>
          <w:color w:val="000000"/>
          <w:szCs w:val="21"/>
          <w:lang w:eastAsia="zh-CN"/>
        </w:rPr>
        <w:t>、</w:t>
      </w:r>
      <w:r>
        <w:rPr>
          <w:rFonts w:hint="eastAsia" w:ascii="宋体" w:hAnsi="Courier New"/>
          <w:bCs/>
          <w:color w:val="000000"/>
          <w:szCs w:val="20"/>
          <w:lang w:eastAsia="zh-CN"/>
        </w:rPr>
        <w:t>诉讼与非诉讼联动中心大楼</w:t>
      </w:r>
      <w:r>
        <w:rPr>
          <w:rFonts w:hint="eastAsia" w:ascii="宋体" w:hAnsi="宋体"/>
          <w:color w:val="000000"/>
          <w:szCs w:val="21"/>
        </w:rPr>
        <w:t>台阶盐酸涮洗每年两次以上；</w:t>
      </w:r>
    </w:p>
    <w:p w14:paraId="73B1C9B2">
      <w:pPr>
        <w:spacing w:line="440" w:lineRule="exact"/>
        <w:ind w:firstLine="420" w:firstLineChars="200"/>
        <w:rPr>
          <w:rFonts w:hint="eastAsia" w:ascii="宋体" w:hAnsi="宋体"/>
          <w:color w:val="000000"/>
          <w:szCs w:val="21"/>
        </w:rPr>
      </w:pPr>
      <w:r>
        <w:rPr>
          <w:rFonts w:hint="eastAsia" w:ascii="宋体" w:hAnsi="宋体"/>
          <w:color w:val="000000"/>
          <w:szCs w:val="21"/>
        </w:rPr>
        <w:t>9、协助大楼内单位进行宣传环境布置等其他日常工作。</w:t>
      </w:r>
    </w:p>
    <w:p w14:paraId="4E21100E">
      <w:pPr>
        <w:spacing w:line="440" w:lineRule="exact"/>
        <w:rPr>
          <w:rFonts w:hint="eastAsia" w:ascii="宋体" w:hAnsi="Courier New"/>
          <w:color w:val="000000"/>
          <w:szCs w:val="20"/>
        </w:rPr>
      </w:pPr>
      <w:r>
        <w:rPr>
          <w:rFonts w:hint="eastAsia" w:ascii="宋体" w:hAnsi="宋体"/>
          <w:color w:val="000000"/>
          <w:szCs w:val="21"/>
        </w:rPr>
        <w:t xml:space="preserve">   </w:t>
      </w:r>
      <w:r>
        <w:rPr>
          <w:rFonts w:hint="eastAsia" w:ascii="宋体" w:hAnsi="Courier New"/>
          <w:color w:val="000000"/>
          <w:szCs w:val="20"/>
        </w:rPr>
        <w:t xml:space="preserve"> （三）职工食堂服务</w:t>
      </w:r>
    </w:p>
    <w:p w14:paraId="222FDE95">
      <w:pPr>
        <w:spacing w:line="440" w:lineRule="exact"/>
        <w:rPr>
          <w:rFonts w:hint="eastAsia" w:ascii="宋体" w:hAnsi="Courier New"/>
          <w:color w:val="000000"/>
          <w:szCs w:val="20"/>
        </w:rPr>
      </w:pPr>
      <w:r>
        <w:rPr>
          <w:rFonts w:hint="eastAsia" w:ascii="宋体" w:hAnsi="Courier New"/>
          <w:color w:val="000000"/>
          <w:szCs w:val="20"/>
        </w:rPr>
        <w:t xml:space="preserve">    1、精心做好烹调制作，要求饭菜可口、质量保证；</w:t>
      </w:r>
    </w:p>
    <w:p w14:paraId="283F2091">
      <w:pPr>
        <w:spacing w:line="440" w:lineRule="exact"/>
        <w:rPr>
          <w:rFonts w:hint="eastAsia" w:ascii="宋体" w:hAnsi="Courier New"/>
          <w:color w:val="000000"/>
          <w:szCs w:val="20"/>
        </w:rPr>
      </w:pPr>
      <w:r>
        <w:rPr>
          <w:rFonts w:hint="eastAsia" w:ascii="宋体" w:hAnsi="Courier New"/>
          <w:color w:val="000000"/>
          <w:szCs w:val="20"/>
        </w:rPr>
        <w:t xml:space="preserve">    2、各种食品在制作前必须坚持清洗干净，要求厨房工作人员在工作时候要佩带口罩，保证食品卫生；</w:t>
      </w:r>
    </w:p>
    <w:p w14:paraId="01FBCA16">
      <w:pPr>
        <w:spacing w:line="440" w:lineRule="exact"/>
        <w:rPr>
          <w:rFonts w:hint="eastAsia" w:ascii="宋体" w:hAnsi="Courier New"/>
          <w:color w:val="000000"/>
          <w:szCs w:val="20"/>
        </w:rPr>
      </w:pPr>
      <w:r>
        <w:rPr>
          <w:rFonts w:hint="eastAsia" w:ascii="宋体" w:hAnsi="Courier New"/>
          <w:color w:val="000000"/>
          <w:szCs w:val="20"/>
        </w:rPr>
        <w:t xml:space="preserve">    3、严把采购环节的验收、检查关，确保食品安全；</w:t>
      </w:r>
    </w:p>
    <w:p w14:paraId="736762F0">
      <w:pPr>
        <w:spacing w:line="440" w:lineRule="exact"/>
        <w:rPr>
          <w:rFonts w:hint="eastAsia" w:ascii="宋体" w:hAnsi="宋体"/>
          <w:color w:val="000000"/>
          <w:szCs w:val="21"/>
        </w:rPr>
      </w:pPr>
      <w:r>
        <w:rPr>
          <w:rFonts w:hint="eastAsia" w:ascii="宋体" w:hAnsi="Courier New"/>
          <w:color w:val="000000"/>
          <w:szCs w:val="20"/>
        </w:rPr>
        <w:t xml:space="preserve">    4、接待服务工作要做到文明、热情、大方，善始善终完成整个接待过程。</w:t>
      </w:r>
      <w:r>
        <w:rPr>
          <w:rFonts w:hint="eastAsia" w:ascii="宋体" w:hAnsi="宋体"/>
          <w:color w:val="000000"/>
          <w:szCs w:val="21"/>
        </w:rPr>
        <w:t xml:space="preserve">    </w:t>
      </w:r>
    </w:p>
    <w:p w14:paraId="1986B7B0">
      <w:pPr>
        <w:spacing w:line="440" w:lineRule="exact"/>
        <w:rPr>
          <w:rFonts w:hint="eastAsia" w:ascii="宋体" w:hAnsi="宋体"/>
          <w:color w:val="000000"/>
          <w:szCs w:val="21"/>
        </w:rPr>
      </w:pPr>
      <w:r>
        <w:rPr>
          <w:rFonts w:hint="eastAsia" w:ascii="宋体" w:hAnsi="宋体"/>
          <w:color w:val="000000"/>
          <w:szCs w:val="21"/>
        </w:rPr>
        <w:t xml:space="preserve">    (四)绿化养护内容与标准</w:t>
      </w:r>
    </w:p>
    <w:p w14:paraId="048E5EBF">
      <w:pPr>
        <w:spacing w:line="440" w:lineRule="exact"/>
        <w:rPr>
          <w:rFonts w:hint="eastAsia" w:ascii="宋体" w:hAnsi="宋体"/>
          <w:color w:val="000000"/>
          <w:szCs w:val="21"/>
        </w:rPr>
      </w:pPr>
      <w:r>
        <w:rPr>
          <w:rFonts w:hint="eastAsia" w:ascii="宋体" w:hAnsi="宋体"/>
          <w:color w:val="000000"/>
          <w:szCs w:val="21"/>
        </w:rPr>
        <w:t xml:space="preserve">    1、要求</w:t>
      </w:r>
    </w:p>
    <w:p w14:paraId="24BB32BA">
      <w:pPr>
        <w:spacing w:line="440" w:lineRule="exact"/>
        <w:rPr>
          <w:rFonts w:hint="eastAsia" w:ascii="宋体" w:hAnsi="宋体"/>
          <w:color w:val="000000"/>
          <w:szCs w:val="21"/>
        </w:rPr>
      </w:pPr>
      <w:r>
        <w:rPr>
          <w:rFonts w:hint="eastAsia" w:ascii="宋体" w:hAnsi="宋体"/>
          <w:color w:val="000000"/>
          <w:szCs w:val="21"/>
        </w:rPr>
        <w:t xml:space="preserve">  （1）绿地总体布局合理，满足办公环境的需要，地被、草配植合理，层次较丰富，景观好；</w:t>
      </w:r>
    </w:p>
    <w:p w14:paraId="171C1910">
      <w:pPr>
        <w:spacing w:line="440" w:lineRule="exact"/>
        <w:rPr>
          <w:rFonts w:hint="eastAsia" w:ascii="宋体" w:hAnsi="宋体"/>
          <w:color w:val="000000"/>
          <w:szCs w:val="21"/>
        </w:rPr>
      </w:pPr>
      <w:r>
        <w:rPr>
          <w:rFonts w:hint="eastAsia" w:ascii="宋体" w:hAnsi="宋体"/>
          <w:color w:val="000000"/>
          <w:szCs w:val="21"/>
        </w:rPr>
        <w:t xml:space="preserve">  （2）绿地设施、硬质景观保持完好。清杂：每年清除杂草不低于12遍；</w:t>
      </w:r>
    </w:p>
    <w:p w14:paraId="2B699D5D">
      <w:pPr>
        <w:spacing w:line="440" w:lineRule="exact"/>
        <w:rPr>
          <w:rFonts w:hint="eastAsia" w:ascii="宋体" w:hAnsi="宋体"/>
          <w:color w:val="000000"/>
          <w:szCs w:val="21"/>
        </w:rPr>
      </w:pPr>
      <w:r>
        <w:rPr>
          <w:rFonts w:hint="eastAsia" w:ascii="宋体" w:hAnsi="宋体"/>
          <w:color w:val="000000"/>
          <w:szCs w:val="21"/>
        </w:rPr>
        <w:t xml:space="preserve">  （3）常年保证有效供水，有低洼及时整平，基本无积水；</w:t>
      </w:r>
    </w:p>
    <w:p w14:paraId="341062A1">
      <w:pPr>
        <w:spacing w:line="440" w:lineRule="exact"/>
        <w:rPr>
          <w:rFonts w:hint="eastAsia" w:ascii="宋体" w:hAnsi="宋体"/>
          <w:color w:val="000000"/>
          <w:szCs w:val="21"/>
        </w:rPr>
      </w:pPr>
      <w:r>
        <w:rPr>
          <w:rFonts w:hint="eastAsia" w:ascii="宋体" w:hAnsi="宋体"/>
          <w:color w:val="000000"/>
          <w:szCs w:val="21"/>
        </w:rPr>
        <w:t xml:space="preserve">  （4）病虫害防治 及时做好病虫害防治；</w:t>
      </w:r>
    </w:p>
    <w:p w14:paraId="234C3D3B">
      <w:pPr>
        <w:spacing w:line="440" w:lineRule="exact"/>
        <w:rPr>
          <w:rFonts w:hint="eastAsia" w:ascii="宋体" w:hAnsi="宋体"/>
          <w:color w:val="000000"/>
          <w:szCs w:val="21"/>
        </w:rPr>
      </w:pPr>
      <w:r>
        <w:rPr>
          <w:rFonts w:hint="eastAsia" w:ascii="宋体" w:hAnsi="宋体"/>
          <w:color w:val="000000"/>
          <w:szCs w:val="21"/>
        </w:rPr>
        <w:t xml:space="preserve">  （5）树木：蓠、球、造型植物及时修剪，每年不少于五遍，做到枝叶紧密、圆整、无脱节；地被、攀援植物修剪及时，每年不少于三次，基本无枯枝； </w:t>
      </w:r>
    </w:p>
    <w:p w14:paraId="3172E206">
      <w:pPr>
        <w:spacing w:line="440" w:lineRule="exact"/>
        <w:rPr>
          <w:rFonts w:hint="eastAsia" w:ascii="宋体" w:hAnsi="宋体"/>
          <w:color w:val="000000"/>
          <w:szCs w:val="21"/>
        </w:rPr>
      </w:pPr>
      <w:r>
        <w:rPr>
          <w:rFonts w:hint="eastAsia" w:ascii="宋体" w:hAnsi="宋体"/>
          <w:color w:val="000000"/>
          <w:szCs w:val="21"/>
        </w:rPr>
        <w:t xml:space="preserve">  （6）季度花草放置：摆放长开季度花，每季度更换一次，摆放面积不低于2000平方米，花草租赁费、运输费、人工费等由中标人负责； </w:t>
      </w:r>
    </w:p>
    <w:p w14:paraId="6826AF8A">
      <w:pPr>
        <w:spacing w:line="440" w:lineRule="exact"/>
        <w:rPr>
          <w:rFonts w:hint="eastAsia" w:ascii="宋体" w:hAnsi="宋体"/>
          <w:color w:val="000000"/>
          <w:szCs w:val="21"/>
        </w:rPr>
      </w:pPr>
      <w:r>
        <w:rPr>
          <w:rFonts w:hint="eastAsia" w:ascii="宋体" w:hAnsi="宋体"/>
          <w:color w:val="000000"/>
          <w:szCs w:val="21"/>
        </w:rPr>
        <w:t xml:space="preserve">  （7）扶正加固：树木基本无倾斜；</w:t>
      </w:r>
    </w:p>
    <w:p w14:paraId="2AF031CC">
      <w:pPr>
        <w:spacing w:line="440" w:lineRule="exact"/>
        <w:rPr>
          <w:rFonts w:hint="eastAsia" w:ascii="宋体" w:hAnsi="宋体"/>
          <w:color w:val="000000"/>
          <w:szCs w:val="21"/>
        </w:rPr>
      </w:pPr>
      <w:r>
        <w:rPr>
          <w:rFonts w:hint="eastAsia" w:ascii="宋体" w:hAnsi="宋体"/>
          <w:color w:val="000000"/>
          <w:szCs w:val="21"/>
        </w:rPr>
        <w:t xml:space="preserve">  （8）修剪、及时清除枯萎的花蒂、黄叶、杂草、垃圾；</w:t>
      </w:r>
    </w:p>
    <w:p w14:paraId="33619BE5">
      <w:pPr>
        <w:spacing w:line="440" w:lineRule="exact"/>
        <w:rPr>
          <w:rFonts w:hint="eastAsia" w:ascii="宋体" w:hAnsi="宋体"/>
          <w:color w:val="000000"/>
          <w:szCs w:val="21"/>
        </w:rPr>
      </w:pPr>
      <w:r>
        <w:rPr>
          <w:rFonts w:hint="eastAsia" w:ascii="宋体" w:hAnsi="宋体"/>
          <w:color w:val="000000"/>
          <w:szCs w:val="21"/>
        </w:rPr>
        <w:t xml:space="preserve">    2、标准：</w:t>
      </w:r>
    </w:p>
    <w:p w14:paraId="6A03C58A">
      <w:pPr>
        <w:spacing w:line="440" w:lineRule="exact"/>
        <w:rPr>
          <w:rFonts w:hint="eastAsia" w:ascii="宋体" w:hAnsi="宋体"/>
          <w:color w:val="000000"/>
          <w:szCs w:val="21"/>
        </w:rPr>
      </w:pPr>
      <w:r>
        <w:rPr>
          <w:rFonts w:hint="eastAsia" w:ascii="宋体" w:hAnsi="宋体"/>
          <w:color w:val="000000"/>
          <w:szCs w:val="21"/>
        </w:rPr>
        <w:t xml:space="preserve">  （1）草坪草生长均匀、草地清洁，无烟头、无垃圾沉积，无黄土裸露现象，草长不超过5厘米，杂草占有率不超过草坪面积的10%，杂草高度不超过种植草；</w:t>
      </w:r>
    </w:p>
    <w:p w14:paraId="7F678D42">
      <w:pPr>
        <w:spacing w:line="440" w:lineRule="exact"/>
        <w:rPr>
          <w:rFonts w:hint="eastAsia" w:ascii="宋体" w:hAnsi="宋体"/>
          <w:color w:val="000000"/>
          <w:szCs w:val="21"/>
        </w:rPr>
      </w:pPr>
      <w:r>
        <w:rPr>
          <w:rFonts w:hint="eastAsia" w:ascii="宋体" w:hAnsi="宋体"/>
          <w:color w:val="000000"/>
          <w:szCs w:val="21"/>
        </w:rPr>
        <w:t xml:space="preserve">  （2）树木生长旺盛，没有病虫害，枯枝及时处理；</w:t>
      </w:r>
    </w:p>
    <w:p w14:paraId="0B75C6E6">
      <w:pPr>
        <w:spacing w:line="440" w:lineRule="exact"/>
        <w:rPr>
          <w:rFonts w:hint="eastAsia" w:ascii="宋体" w:hAnsi="宋体"/>
          <w:color w:val="000000"/>
          <w:szCs w:val="21"/>
        </w:rPr>
      </w:pPr>
      <w:r>
        <w:rPr>
          <w:rFonts w:hint="eastAsia" w:ascii="宋体" w:hAnsi="宋体"/>
          <w:color w:val="000000"/>
          <w:szCs w:val="21"/>
        </w:rPr>
        <w:t xml:space="preserve">  （3）灌木树冠修剪均匀；</w:t>
      </w:r>
    </w:p>
    <w:p w14:paraId="0381C8E3">
      <w:pPr>
        <w:spacing w:line="440" w:lineRule="exact"/>
        <w:rPr>
          <w:rFonts w:hint="eastAsia" w:ascii="宋体" w:hAnsi="宋体"/>
          <w:color w:val="000000"/>
          <w:szCs w:val="21"/>
        </w:rPr>
      </w:pPr>
      <w:r>
        <w:rPr>
          <w:rFonts w:hint="eastAsia" w:ascii="宋体" w:hAnsi="宋体"/>
          <w:color w:val="000000"/>
          <w:szCs w:val="21"/>
        </w:rPr>
        <w:t xml:space="preserve">  （4）新种树木杆直、均匀、不歪倒；</w:t>
      </w:r>
    </w:p>
    <w:p w14:paraId="669A09FD">
      <w:pPr>
        <w:spacing w:line="440" w:lineRule="exact"/>
        <w:rPr>
          <w:rFonts w:hint="eastAsia" w:ascii="宋体" w:hAnsi="宋体"/>
          <w:color w:val="000000"/>
          <w:szCs w:val="21"/>
        </w:rPr>
      </w:pPr>
      <w:r>
        <w:rPr>
          <w:rFonts w:hint="eastAsia" w:ascii="宋体" w:hAnsi="宋体"/>
          <w:color w:val="000000"/>
          <w:szCs w:val="21"/>
        </w:rPr>
        <w:t xml:space="preserve">  （5）盆花出圃满盆率达到90%以上，植株高矮均匀，花色鲜艳；</w:t>
      </w:r>
    </w:p>
    <w:p w14:paraId="7878E67D">
      <w:pPr>
        <w:spacing w:line="440" w:lineRule="exact"/>
        <w:rPr>
          <w:rFonts w:hint="eastAsia" w:ascii="宋体" w:hAnsi="宋体"/>
          <w:color w:val="000000"/>
          <w:szCs w:val="21"/>
        </w:rPr>
      </w:pPr>
      <w:r>
        <w:rPr>
          <w:rFonts w:hint="eastAsia" w:ascii="宋体" w:hAnsi="宋体"/>
          <w:color w:val="000000"/>
          <w:szCs w:val="21"/>
        </w:rPr>
        <w:t xml:space="preserve">  （6）文明施工，工作中产生的废物及时清理，不影响交通。</w:t>
      </w:r>
    </w:p>
    <w:p w14:paraId="7E0EB3D2">
      <w:pPr>
        <w:pStyle w:val="10"/>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eastAsia="zh-CN"/>
        </w:rPr>
      </w:pPr>
      <w:r>
        <w:rPr>
          <w:rFonts w:ascii="宋体" w:hAnsi="宋体" w:eastAsia="宋体" w:cs="宋体"/>
          <w:sz w:val="21"/>
          <w:szCs w:val="21"/>
        </w:rPr>
        <w:t>(五)节能工作要求:</w:t>
      </w:r>
    </w:p>
    <w:p w14:paraId="144FB216">
      <w:pPr>
        <w:pStyle w:val="10"/>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rPr>
      </w:pPr>
      <w:r>
        <w:rPr>
          <w:rFonts w:ascii="宋体" w:hAnsi="宋体" w:eastAsia="宋体" w:cs="宋体"/>
          <w:sz w:val="21"/>
          <w:szCs w:val="21"/>
        </w:rPr>
        <w:t>乙方对派出到甲方服务的全体员工应进行节能减排工作的岗前培训，要求在节电、节水和节油方面掌握相关知识。对员工要求严格做到人走关灯、关水、关空调。同时要在节能管理方面服从甲方行装后勤管理部门指导、管理和监督，协助行装后勤部门完成全年节能目标。乙方如能积极主动</w:t>
      </w:r>
      <w:r>
        <w:rPr>
          <w:rFonts w:hint="eastAsia" w:cs="宋体"/>
          <w:sz w:val="21"/>
          <w:szCs w:val="21"/>
          <w:lang w:eastAsia="zh-CN"/>
        </w:rPr>
        <w:t>完</w:t>
      </w:r>
      <w:r>
        <w:rPr>
          <w:rFonts w:ascii="宋体" w:hAnsi="宋体" w:eastAsia="宋体" w:cs="宋体"/>
          <w:sz w:val="21"/>
          <w:szCs w:val="21"/>
        </w:rPr>
        <w:t>成节能管理方面工作，甲方可在下一年度物业管理采购中以优先考虑。</w:t>
      </w:r>
    </w:p>
    <w:p w14:paraId="0E831F0E">
      <w:pPr>
        <w:tabs>
          <w:tab w:val="left" w:pos="1185"/>
        </w:tabs>
        <w:spacing w:line="440" w:lineRule="exact"/>
        <w:ind w:firstLine="210" w:firstLineChars="100"/>
        <w:jc w:val="left"/>
        <w:rPr>
          <w:rFonts w:hint="eastAsia" w:ascii="宋体" w:hAnsi="宋体"/>
          <w:szCs w:val="21"/>
        </w:rPr>
      </w:pPr>
      <w:r>
        <w:rPr>
          <w:rFonts w:hint="eastAsia" w:ascii="宋体" w:hAnsi="宋体"/>
          <w:color w:val="000000"/>
          <w:szCs w:val="21"/>
        </w:rPr>
        <w:t xml:space="preserve"> </w:t>
      </w:r>
      <w:r>
        <w:rPr>
          <w:rFonts w:hint="eastAsia" w:ascii="宋体" w:hAnsi="宋体"/>
          <w:szCs w:val="21"/>
        </w:rPr>
        <w:t xml:space="preserve"> （</w:t>
      </w:r>
      <w:r>
        <w:rPr>
          <w:rFonts w:hint="eastAsia" w:ascii="宋体" w:hAnsi="宋体"/>
          <w:szCs w:val="21"/>
          <w:lang w:eastAsia="zh-CN"/>
        </w:rPr>
        <w:t>六</w:t>
      </w:r>
      <w:r>
        <w:rPr>
          <w:rFonts w:hint="eastAsia" w:ascii="宋体" w:hAnsi="宋体"/>
          <w:szCs w:val="21"/>
        </w:rPr>
        <w:t>）人员配置要求：</w:t>
      </w:r>
    </w:p>
    <w:p w14:paraId="56E3CC2A">
      <w:pPr>
        <w:tabs>
          <w:tab w:val="left" w:pos="1185"/>
        </w:tabs>
        <w:spacing w:line="440" w:lineRule="exact"/>
        <w:ind w:firstLine="420" w:firstLineChars="200"/>
        <w:jc w:val="left"/>
        <w:rPr>
          <w:rFonts w:hint="eastAsia" w:ascii="宋体" w:hAnsi="宋体"/>
          <w:szCs w:val="21"/>
        </w:rPr>
      </w:pPr>
      <w:r>
        <w:rPr>
          <w:rFonts w:hint="eastAsia" w:ascii="宋体" w:hAnsi="宋体"/>
          <w:szCs w:val="21"/>
        </w:rPr>
        <w:t>本项目共配置不少于22人（项目经理1名、电工1名，秩序维护员4名、保洁员8名、绿化护理员2人，食堂大厨1人,食堂副厨1人，帮工及保洁4人）.</w:t>
      </w:r>
    </w:p>
    <w:p w14:paraId="240FF0D9">
      <w:pPr>
        <w:tabs>
          <w:tab w:val="left" w:pos="1185"/>
        </w:tabs>
        <w:spacing w:line="440" w:lineRule="exact"/>
        <w:ind w:firstLine="435"/>
        <w:jc w:val="left"/>
        <w:rPr>
          <w:rFonts w:hint="eastAsia" w:ascii="宋体" w:hAnsi="宋体"/>
          <w:b/>
          <w:bCs/>
          <w:color w:val="000000"/>
          <w:szCs w:val="21"/>
        </w:rPr>
      </w:pPr>
      <w:r>
        <w:rPr>
          <w:rFonts w:hint="eastAsia" w:ascii="宋体" w:hAnsi="宋体"/>
          <w:b/>
          <w:bCs/>
          <w:color w:val="000000"/>
          <w:szCs w:val="21"/>
        </w:rPr>
        <w:t>四、合同期限</w:t>
      </w:r>
    </w:p>
    <w:p w14:paraId="74B9FB45">
      <w:pPr>
        <w:tabs>
          <w:tab w:val="left" w:pos="1185"/>
        </w:tabs>
        <w:spacing w:line="440" w:lineRule="exact"/>
        <w:ind w:firstLine="420" w:firstLineChars="200"/>
        <w:jc w:val="left"/>
        <w:rPr>
          <w:rFonts w:hint="eastAsia" w:ascii="宋体" w:hAnsi="宋体"/>
          <w:szCs w:val="21"/>
        </w:rPr>
      </w:pPr>
      <w:r>
        <w:rPr>
          <w:rFonts w:hint="eastAsia" w:ascii="宋体" w:hAnsi="宋体"/>
          <w:szCs w:val="21"/>
        </w:rPr>
        <w:t>本合同期限为</w:t>
      </w:r>
      <w:r>
        <w:rPr>
          <w:rFonts w:hint="eastAsia" w:ascii="宋体" w:hAnsi="宋体"/>
          <w:szCs w:val="21"/>
          <w:u w:val="single"/>
        </w:rPr>
        <w:t xml:space="preserve">  </w:t>
      </w:r>
      <w:r>
        <w:rPr>
          <w:rFonts w:hint="eastAsia" w:ascii="宋体" w:hAnsi="宋体"/>
          <w:szCs w:val="21"/>
          <w:u w:val="single"/>
          <w:lang w:val="en-US" w:eastAsia="zh-CN"/>
        </w:rPr>
        <w:t>1</w:t>
      </w:r>
      <w:r>
        <w:rPr>
          <w:rFonts w:hint="eastAsia" w:ascii="宋体" w:hAnsi="宋体"/>
          <w:szCs w:val="21"/>
          <w:u w:val="single"/>
        </w:rPr>
        <w:t xml:space="preserve">  </w:t>
      </w:r>
      <w:r>
        <w:rPr>
          <w:rFonts w:hint="eastAsia" w:ascii="宋体" w:hAnsi="宋体"/>
          <w:szCs w:val="21"/>
        </w:rPr>
        <w:t>年。自</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日起至</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日止。在服务期限到期前一个月由甲方对乙方工作进行考核，并综合年度考核进行评估。如达不到要求，则甲方有权中止服务委托合同，并取消其成交资格。</w:t>
      </w:r>
    </w:p>
    <w:p w14:paraId="05B80C21">
      <w:pPr>
        <w:tabs>
          <w:tab w:val="left" w:pos="1185"/>
        </w:tabs>
        <w:spacing w:line="440" w:lineRule="exact"/>
        <w:ind w:firstLine="435"/>
        <w:jc w:val="left"/>
        <w:rPr>
          <w:rFonts w:hint="eastAsia" w:ascii="宋体" w:hAnsi="宋体"/>
          <w:b/>
          <w:bCs/>
          <w:color w:val="000000"/>
          <w:szCs w:val="21"/>
        </w:rPr>
      </w:pPr>
      <w:r>
        <w:rPr>
          <w:rFonts w:hint="eastAsia" w:ascii="宋体" w:hAnsi="宋体"/>
          <w:b/>
          <w:bCs/>
          <w:color w:val="000000"/>
          <w:szCs w:val="21"/>
        </w:rPr>
        <w:t>五、甲方的权利和义务</w:t>
      </w:r>
    </w:p>
    <w:p w14:paraId="3E9B037B">
      <w:pPr>
        <w:tabs>
          <w:tab w:val="left" w:pos="1185"/>
        </w:tabs>
        <w:spacing w:line="440" w:lineRule="exact"/>
        <w:ind w:left="435"/>
        <w:jc w:val="left"/>
        <w:rPr>
          <w:rFonts w:hint="eastAsia" w:ascii="宋体" w:hAnsi="宋体"/>
          <w:color w:val="000000"/>
          <w:szCs w:val="21"/>
        </w:rPr>
      </w:pPr>
      <w:r>
        <w:rPr>
          <w:rFonts w:hint="eastAsia" w:ascii="宋体" w:hAnsi="宋体"/>
          <w:color w:val="000000"/>
          <w:szCs w:val="21"/>
        </w:rPr>
        <w:t>1、与乙方议定年度管理计划、年度费用概预算、决算报告。</w:t>
      </w:r>
    </w:p>
    <w:p w14:paraId="775443E2">
      <w:pPr>
        <w:tabs>
          <w:tab w:val="left" w:pos="1185"/>
        </w:tabs>
        <w:spacing w:line="440" w:lineRule="exact"/>
        <w:ind w:left="435"/>
        <w:jc w:val="left"/>
        <w:rPr>
          <w:rFonts w:hint="eastAsia" w:ascii="宋体" w:hAnsi="宋体"/>
          <w:color w:val="000000"/>
          <w:szCs w:val="21"/>
        </w:rPr>
      </w:pPr>
      <w:r>
        <w:rPr>
          <w:rFonts w:hint="eastAsia" w:ascii="宋体" w:hAnsi="宋体"/>
          <w:color w:val="000000"/>
          <w:szCs w:val="21"/>
        </w:rPr>
        <w:t>2、对乙方的管理实施监督检查，每年进行一次全面考核评定，如因乙方管理不善，造成重大经济损失或管理失误，有权终止合同。</w:t>
      </w:r>
    </w:p>
    <w:p w14:paraId="04233540">
      <w:pPr>
        <w:tabs>
          <w:tab w:val="left" w:pos="1185"/>
        </w:tabs>
        <w:spacing w:line="440" w:lineRule="exact"/>
        <w:ind w:left="412" w:leftChars="196"/>
        <w:jc w:val="left"/>
        <w:rPr>
          <w:rFonts w:hint="eastAsia" w:ascii="宋体" w:hAnsi="宋体"/>
          <w:color w:val="000000"/>
          <w:szCs w:val="21"/>
        </w:rPr>
      </w:pPr>
      <w:r>
        <w:rPr>
          <w:rFonts w:hint="eastAsia" w:ascii="宋体" w:hAnsi="宋体"/>
          <w:color w:val="000000"/>
          <w:szCs w:val="21"/>
        </w:rPr>
        <w:t>3、甲方在合同生效之日起</w:t>
      </w:r>
      <w:r>
        <w:rPr>
          <w:rFonts w:hint="eastAsia" w:ascii="宋体" w:hAnsi="宋体"/>
          <w:color w:val="000000"/>
          <w:szCs w:val="21"/>
          <w:u w:val="single"/>
        </w:rPr>
        <w:t xml:space="preserve">  5  </w:t>
      </w:r>
      <w:r>
        <w:rPr>
          <w:rFonts w:hint="eastAsia" w:ascii="宋体" w:hAnsi="宋体"/>
          <w:color w:val="000000"/>
          <w:szCs w:val="21"/>
        </w:rPr>
        <w:t>日内按规定向乙方提供本物业所有的物业及物业管理工作档案、资料，并在乙方管理期满时予以收回。</w:t>
      </w:r>
    </w:p>
    <w:p w14:paraId="76031FE7">
      <w:pPr>
        <w:tabs>
          <w:tab w:val="left" w:pos="1185"/>
        </w:tabs>
        <w:spacing w:line="440" w:lineRule="exact"/>
        <w:ind w:left="435"/>
        <w:jc w:val="left"/>
        <w:rPr>
          <w:rFonts w:hint="eastAsia" w:ascii="宋体" w:hAnsi="宋体"/>
          <w:color w:val="000000"/>
          <w:szCs w:val="21"/>
        </w:rPr>
      </w:pPr>
      <w:r>
        <w:rPr>
          <w:rFonts w:hint="eastAsia" w:ascii="宋体" w:hAnsi="宋体"/>
          <w:color w:val="000000"/>
          <w:szCs w:val="21"/>
        </w:rPr>
        <w:t>4、不得干涉乙方依法或依本合同规定内容所进行的管理活动。</w:t>
      </w:r>
    </w:p>
    <w:p w14:paraId="4636D64F">
      <w:pPr>
        <w:tabs>
          <w:tab w:val="left" w:pos="1185"/>
        </w:tabs>
        <w:spacing w:line="440" w:lineRule="exact"/>
        <w:ind w:left="435"/>
        <w:jc w:val="left"/>
        <w:rPr>
          <w:rFonts w:hint="eastAsia" w:ascii="宋体" w:hAnsi="宋体"/>
          <w:color w:val="000000"/>
          <w:szCs w:val="21"/>
        </w:rPr>
      </w:pPr>
      <w:r>
        <w:rPr>
          <w:rFonts w:hint="eastAsia" w:ascii="宋体" w:hAnsi="宋体"/>
          <w:color w:val="000000"/>
          <w:szCs w:val="21"/>
        </w:rPr>
        <w:t>5、负责处理非乙方原因而产生的各种纠纷。</w:t>
      </w:r>
    </w:p>
    <w:p w14:paraId="0FE0CBBF">
      <w:pPr>
        <w:tabs>
          <w:tab w:val="left" w:pos="1185"/>
        </w:tabs>
        <w:spacing w:line="440" w:lineRule="exact"/>
        <w:ind w:left="435"/>
        <w:jc w:val="left"/>
        <w:rPr>
          <w:rFonts w:hint="eastAsia" w:ascii="宋体" w:hAnsi="宋体"/>
          <w:color w:val="000000"/>
          <w:szCs w:val="21"/>
        </w:rPr>
      </w:pPr>
      <w:r>
        <w:rPr>
          <w:rFonts w:hint="eastAsia" w:ascii="宋体" w:hAnsi="宋体"/>
          <w:color w:val="000000"/>
          <w:szCs w:val="21"/>
        </w:rPr>
        <w:t>6、协助乙方做好物业管理工作。</w:t>
      </w:r>
    </w:p>
    <w:p w14:paraId="11E6F36D">
      <w:pPr>
        <w:tabs>
          <w:tab w:val="left" w:pos="1185"/>
        </w:tabs>
        <w:spacing w:line="440" w:lineRule="exact"/>
        <w:ind w:left="435"/>
        <w:jc w:val="left"/>
        <w:rPr>
          <w:rFonts w:hint="eastAsia" w:ascii="宋体" w:hAnsi="宋体"/>
          <w:color w:val="000000"/>
          <w:szCs w:val="21"/>
        </w:rPr>
      </w:pPr>
      <w:r>
        <w:rPr>
          <w:rFonts w:hint="eastAsia" w:ascii="宋体" w:hAnsi="宋体"/>
          <w:color w:val="000000"/>
          <w:szCs w:val="21"/>
        </w:rPr>
        <w:t>7、法规政策规定由甲方承担的其他责任。</w:t>
      </w:r>
    </w:p>
    <w:p w14:paraId="454BEE16">
      <w:pPr>
        <w:tabs>
          <w:tab w:val="left" w:pos="1185"/>
        </w:tabs>
        <w:spacing w:line="440" w:lineRule="exact"/>
        <w:ind w:left="435"/>
        <w:jc w:val="left"/>
        <w:rPr>
          <w:rFonts w:hint="eastAsia" w:ascii="宋体" w:hAnsi="宋体"/>
          <w:b/>
          <w:bCs/>
          <w:color w:val="000000"/>
          <w:szCs w:val="21"/>
        </w:rPr>
      </w:pPr>
      <w:r>
        <w:rPr>
          <w:rFonts w:hint="eastAsia" w:ascii="宋体" w:hAnsi="宋体"/>
          <w:b/>
          <w:bCs/>
          <w:color w:val="000000"/>
          <w:szCs w:val="21"/>
        </w:rPr>
        <w:t>六、乙方的权利和义务</w:t>
      </w:r>
    </w:p>
    <w:p w14:paraId="5BEEEDA5">
      <w:pPr>
        <w:numPr>
          <w:ilvl w:val="0"/>
          <w:numId w:val="7"/>
        </w:numPr>
        <w:tabs>
          <w:tab w:val="left" w:pos="1185"/>
        </w:tabs>
        <w:spacing w:line="440" w:lineRule="exact"/>
        <w:jc w:val="left"/>
        <w:rPr>
          <w:rFonts w:hint="eastAsia" w:ascii="宋体" w:hAnsi="宋体"/>
          <w:color w:val="000000"/>
          <w:szCs w:val="21"/>
        </w:rPr>
      </w:pPr>
      <w:r>
        <w:rPr>
          <w:rFonts w:hint="eastAsia" w:ascii="宋体" w:hAnsi="宋体"/>
          <w:color w:val="000000"/>
          <w:szCs w:val="21"/>
        </w:rPr>
        <w:t>根据有关法律、法规政策及本合同的规定，制订该物业的各项管理办法、规章制度、实施细则，自主开展各项管理活动。</w:t>
      </w:r>
    </w:p>
    <w:p w14:paraId="7CE25F88">
      <w:pPr>
        <w:numPr>
          <w:ilvl w:val="0"/>
          <w:numId w:val="7"/>
        </w:numPr>
        <w:tabs>
          <w:tab w:val="left" w:pos="1185"/>
        </w:tabs>
        <w:spacing w:line="440" w:lineRule="exact"/>
        <w:jc w:val="left"/>
        <w:rPr>
          <w:rFonts w:hint="eastAsia" w:ascii="宋体" w:hAnsi="宋体"/>
          <w:color w:val="000000"/>
          <w:szCs w:val="21"/>
        </w:rPr>
      </w:pPr>
      <w:r>
        <w:rPr>
          <w:rFonts w:hint="eastAsia" w:ascii="宋体" w:hAnsi="宋体"/>
          <w:color w:val="000000"/>
          <w:szCs w:val="21"/>
        </w:rPr>
        <w:t>遵照国家、地方物业管理服务收费规定，按物业管理的服务项目、服务内容、服务深度，测算物业管理服务收费标准，并向甲方提供测算依据，严格按合同规定的收费标准收取，不得擅自加价，不得只收费不服务或多收费少服务。</w:t>
      </w:r>
    </w:p>
    <w:p w14:paraId="1133C584">
      <w:pPr>
        <w:numPr>
          <w:ilvl w:val="0"/>
          <w:numId w:val="7"/>
        </w:numPr>
        <w:tabs>
          <w:tab w:val="left" w:pos="1185"/>
        </w:tabs>
        <w:spacing w:line="440" w:lineRule="exact"/>
        <w:jc w:val="left"/>
        <w:rPr>
          <w:rFonts w:hint="eastAsia" w:ascii="宋体" w:hAnsi="宋体"/>
          <w:color w:val="000000"/>
          <w:szCs w:val="21"/>
        </w:rPr>
      </w:pPr>
      <w:r>
        <w:rPr>
          <w:rFonts w:hint="eastAsia" w:ascii="宋体" w:hAnsi="宋体"/>
          <w:color w:val="000000"/>
          <w:szCs w:val="21"/>
        </w:rPr>
        <w:t>负责编制房屋及附属设施、设备年度维修养护计划和维修方案，经双方议定后由乙方组织实施。</w:t>
      </w:r>
    </w:p>
    <w:p w14:paraId="26673CC0">
      <w:pPr>
        <w:numPr>
          <w:ilvl w:val="0"/>
          <w:numId w:val="7"/>
        </w:numPr>
        <w:tabs>
          <w:tab w:val="left" w:pos="1185"/>
        </w:tabs>
        <w:spacing w:line="440" w:lineRule="exact"/>
        <w:jc w:val="left"/>
        <w:rPr>
          <w:rFonts w:hint="eastAsia" w:ascii="宋体" w:hAnsi="宋体"/>
          <w:color w:val="000000"/>
          <w:szCs w:val="21"/>
        </w:rPr>
      </w:pPr>
      <w:r>
        <w:rPr>
          <w:rFonts w:hint="eastAsia" w:ascii="宋体" w:hAnsi="宋体"/>
          <w:color w:val="000000"/>
          <w:szCs w:val="21"/>
        </w:rPr>
        <w:t>有权先聘专营公司承担本物业的专项管理业务并支付费用，但不得将整体管理责任及利益转让给其他人或单位，不得将重要专项业务承包给个人。</w:t>
      </w:r>
    </w:p>
    <w:p w14:paraId="0414923B">
      <w:pPr>
        <w:numPr>
          <w:ilvl w:val="0"/>
          <w:numId w:val="7"/>
        </w:numPr>
        <w:tabs>
          <w:tab w:val="left" w:pos="1185"/>
        </w:tabs>
        <w:spacing w:line="440" w:lineRule="exact"/>
        <w:jc w:val="left"/>
        <w:rPr>
          <w:rFonts w:hint="eastAsia" w:ascii="宋体" w:hAnsi="宋体"/>
          <w:color w:val="000000"/>
          <w:szCs w:val="21"/>
        </w:rPr>
      </w:pPr>
      <w:r>
        <w:rPr>
          <w:rFonts w:hint="eastAsia" w:ascii="宋体" w:hAnsi="宋体"/>
          <w:color w:val="000000"/>
          <w:szCs w:val="21"/>
        </w:rPr>
        <w:t>接受物业管理主管部门及有关政府部门的监督、指导，并接受甲方的监督。</w:t>
      </w:r>
    </w:p>
    <w:p w14:paraId="02B2A01B">
      <w:pPr>
        <w:numPr>
          <w:ilvl w:val="0"/>
          <w:numId w:val="7"/>
        </w:numPr>
        <w:tabs>
          <w:tab w:val="left" w:pos="1185"/>
        </w:tabs>
        <w:spacing w:line="440" w:lineRule="exact"/>
        <w:jc w:val="left"/>
        <w:rPr>
          <w:rFonts w:hint="eastAsia" w:ascii="宋体" w:hAnsi="宋体"/>
          <w:color w:val="000000"/>
          <w:szCs w:val="21"/>
        </w:rPr>
      </w:pPr>
      <w:r>
        <w:rPr>
          <w:rFonts w:hint="eastAsia" w:ascii="宋体" w:hAnsi="宋体"/>
          <w:color w:val="000000"/>
          <w:szCs w:val="21"/>
        </w:rPr>
        <w:t>对本物业的公用设施不得擅自占用和改变使用功能。</w:t>
      </w:r>
    </w:p>
    <w:p w14:paraId="3873187A">
      <w:pPr>
        <w:numPr>
          <w:ilvl w:val="0"/>
          <w:numId w:val="7"/>
        </w:numPr>
        <w:tabs>
          <w:tab w:val="left" w:pos="1185"/>
        </w:tabs>
        <w:spacing w:line="440" w:lineRule="exact"/>
        <w:jc w:val="left"/>
        <w:rPr>
          <w:rFonts w:hint="eastAsia" w:ascii="宋体" w:hAnsi="宋体"/>
          <w:color w:val="000000"/>
          <w:szCs w:val="21"/>
        </w:rPr>
      </w:pPr>
      <w:r>
        <w:rPr>
          <w:rFonts w:hint="eastAsia" w:ascii="宋体" w:hAnsi="宋体"/>
          <w:color w:val="000000"/>
          <w:szCs w:val="21"/>
        </w:rPr>
        <w:t>建立本物业的物业管理档案并负责及时记载有关变更情况。</w:t>
      </w:r>
    </w:p>
    <w:p w14:paraId="2973CB27">
      <w:pPr>
        <w:numPr>
          <w:ilvl w:val="0"/>
          <w:numId w:val="7"/>
        </w:numPr>
        <w:tabs>
          <w:tab w:val="left" w:pos="1185"/>
        </w:tabs>
        <w:spacing w:line="440" w:lineRule="exact"/>
        <w:jc w:val="left"/>
        <w:rPr>
          <w:rFonts w:hint="eastAsia" w:ascii="宋体" w:hAnsi="宋体"/>
          <w:color w:val="000000"/>
          <w:szCs w:val="21"/>
        </w:rPr>
      </w:pPr>
      <w:r>
        <w:rPr>
          <w:rFonts w:hint="eastAsia" w:ascii="宋体" w:hAnsi="宋体"/>
          <w:color w:val="000000"/>
          <w:szCs w:val="21"/>
        </w:rPr>
        <w:t>本合同终止时，乙方必须向甲方移交原委托管理的全部物业及其各类管理档案、财务等资料；</w:t>
      </w:r>
    </w:p>
    <w:p w14:paraId="2ED815DF">
      <w:pPr>
        <w:tabs>
          <w:tab w:val="left" w:pos="1185"/>
        </w:tabs>
        <w:spacing w:line="440" w:lineRule="exact"/>
        <w:ind w:left="435" w:leftChars="172" w:hanging="74" w:hangingChars="35"/>
        <w:jc w:val="left"/>
        <w:rPr>
          <w:rFonts w:hint="eastAsia" w:ascii="宋体" w:hAnsi="宋体"/>
          <w:b/>
          <w:bCs/>
          <w:color w:val="000000"/>
          <w:szCs w:val="21"/>
        </w:rPr>
      </w:pPr>
      <w:r>
        <w:rPr>
          <w:rFonts w:hint="eastAsia" w:ascii="宋体" w:hAnsi="宋体"/>
          <w:b/>
          <w:bCs/>
          <w:color w:val="000000"/>
          <w:szCs w:val="21"/>
        </w:rPr>
        <w:t>七、管理目标</w:t>
      </w:r>
    </w:p>
    <w:p w14:paraId="0EBFC13C">
      <w:pPr>
        <w:tabs>
          <w:tab w:val="left" w:pos="1185"/>
        </w:tabs>
        <w:spacing w:line="440" w:lineRule="exact"/>
        <w:ind w:left="435" w:leftChars="207" w:firstLine="420" w:firstLineChars="200"/>
        <w:jc w:val="left"/>
        <w:rPr>
          <w:rFonts w:hint="eastAsia" w:ascii="宋体" w:hAnsi="宋体"/>
          <w:color w:val="000000"/>
          <w:szCs w:val="21"/>
        </w:rPr>
      </w:pPr>
      <w:r>
        <w:rPr>
          <w:rFonts w:hint="eastAsia" w:ascii="宋体" w:hAnsi="宋体"/>
          <w:color w:val="000000"/>
          <w:szCs w:val="21"/>
        </w:rPr>
        <w:t>乙方根据甲方的委托管理事项制定出本物业管理分项标准（各项维修、养护和管理的工作标准和考核标准），与甲方协商同意后作为本合同的必备附件。</w:t>
      </w:r>
    </w:p>
    <w:p w14:paraId="4D2D3614">
      <w:pPr>
        <w:tabs>
          <w:tab w:val="left" w:pos="1185"/>
        </w:tabs>
        <w:spacing w:line="440" w:lineRule="exact"/>
        <w:ind w:left="435" w:leftChars="172" w:hanging="74" w:hangingChars="35"/>
        <w:jc w:val="left"/>
        <w:rPr>
          <w:rFonts w:hint="eastAsia" w:ascii="宋体" w:hAnsi="宋体"/>
          <w:b/>
          <w:bCs/>
          <w:color w:val="000000"/>
          <w:szCs w:val="21"/>
        </w:rPr>
      </w:pPr>
      <w:r>
        <w:rPr>
          <w:rFonts w:hint="eastAsia" w:ascii="宋体" w:hAnsi="宋体"/>
          <w:b/>
          <w:bCs/>
          <w:color w:val="000000"/>
          <w:szCs w:val="21"/>
        </w:rPr>
        <w:t>八、管理服务费用</w:t>
      </w:r>
    </w:p>
    <w:p w14:paraId="5A8B2D98">
      <w:pPr>
        <w:tabs>
          <w:tab w:val="left" w:pos="1185"/>
        </w:tabs>
        <w:spacing w:line="360" w:lineRule="auto"/>
        <w:ind w:left="718" w:leftChars="172" w:hanging="357" w:hangingChars="170"/>
        <w:jc w:val="left"/>
        <w:rPr>
          <w:rFonts w:hint="eastAsia" w:ascii="宋体" w:hAnsi="宋体"/>
          <w:color w:val="000000"/>
          <w:szCs w:val="21"/>
        </w:rPr>
      </w:pPr>
      <w:r>
        <w:rPr>
          <w:rFonts w:hint="eastAsia" w:ascii="宋体" w:hAnsi="宋体"/>
          <w:color w:val="000000"/>
          <w:szCs w:val="21"/>
        </w:rPr>
        <w:t xml:space="preserve"> 1.  </w:t>
      </w:r>
      <w:r>
        <w:rPr>
          <w:rFonts w:hint="eastAsia" w:ascii="宋体" w:hAnsi="宋体"/>
          <w:color w:val="000000"/>
        </w:rPr>
        <w:t>根据成交通知书的成交内容，管理服务费用的合同总金额为</w:t>
      </w:r>
      <w:r>
        <w:rPr>
          <w:rFonts w:hint="eastAsia" w:ascii="宋体" w:hAnsi="宋体"/>
          <w:color w:val="000000"/>
          <w:lang w:val="en-US" w:eastAsia="zh-CN"/>
        </w:rPr>
        <w:t xml:space="preserve"> ：</w:t>
      </w:r>
      <w:r>
        <w:rPr>
          <w:rFonts w:ascii="宋体" w:hAnsi="宋体"/>
          <w:color w:val="000000"/>
          <w:u w:val="single"/>
        </w:rPr>
        <w:t xml:space="preserve"> </w:t>
      </w:r>
      <w:r>
        <w:rPr>
          <w:rFonts w:hint="eastAsia" w:ascii="宋体" w:hAnsi="宋体"/>
          <w:color w:val="000000"/>
          <w:u w:val="single"/>
          <w:lang w:val="en-US" w:eastAsia="zh-CN"/>
        </w:rPr>
        <w:t xml:space="preserve">       </w:t>
      </w:r>
      <w:r>
        <w:rPr>
          <w:rFonts w:hint="eastAsia" w:ascii="宋体" w:hAnsi="宋体"/>
          <w:color w:val="000000"/>
        </w:rPr>
        <w:t>。</w:t>
      </w:r>
    </w:p>
    <w:p w14:paraId="08DFF94E">
      <w:pPr>
        <w:tabs>
          <w:tab w:val="left" w:pos="1185"/>
        </w:tabs>
        <w:spacing w:line="360" w:lineRule="auto"/>
        <w:ind w:firstLine="420" w:firstLineChars="200"/>
        <w:jc w:val="left"/>
        <w:rPr>
          <w:rFonts w:hint="eastAsia" w:ascii="宋体" w:hAnsi="宋体"/>
          <w:color w:val="000000"/>
          <w:u w:val="single"/>
        </w:rPr>
      </w:pPr>
      <w:r>
        <w:rPr>
          <w:rFonts w:hint="eastAsia" w:ascii="宋体" w:hAnsi="宋体"/>
          <w:color w:val="000000"/>
          <w:szCs w:val="21"/>
        </w:rPr>
        <w:t>2.  付款方式：</w:t>
      </w:r>
      <w:r>
        <w:rPr>
          <w:rFonts w:hint="eastAsia" w:ascii="宋体" w:hAnsi="宋体" w:cs="宋体"/>
          <w:color w:val="auto"/>
          <w:szCs w:val="28"/>
          <w:u w:val="single"/>
          <w:lang w:val="en-US" w:eastAsia="zh-CN"/>
        </w:rPr>
        <w:t>本项目无预付款，按照季度进行结算</w:t>
      </w:r>
      <w:r>
        <w:rPr>
          <w:rFonts w:hint="eastAsia" w:ascii="宋体" w:hAnsi="宋体" w:cs="宋体"/>
          <w:color w:val="auto"/>
          <w:szCs w:val="28"/>
          <w:u w:val="single"/>
          <w:lang w:eastAsia="zh-CN"/>
        </w:rPr>
        <w:t>。在每</w:t>
      </w:r>
      <w:r>
        <w:rPr>
          <w:rFonts w:hint="eastAsia" w:ascii="宋体" w:hAnsi="宋体" w:cs="宋体"/>
          <w:color w:val="auto"/>
          <w:szCs w:val="28"/>
          <w:u w:val="single"/>
          <w:lang w:val="en-US" w:eastAsia="zh-CN"/>
        </w:rPr>
        <w:t>季度</w:t>
      </w:r>
      <w:r>
        <w:rPr>
          <w:rFonts w:hint="eastAsia" w:ascii="宋体" w:hAnsi="宋体" w:cs="宋体"/>
          <w:color w:val="auto"/>
          <w:szCs w:val="28"/>
          <w:u w:val="single"/>
          <w:lang w:eastAsia="zh-CN"/>
        </w:rPr>
        <w:t>前</w:t>
      </w:r>
      <w:r>
        <w:rPr>
          <w:rFonts w:hint="eastAsia" w:ascii="宋体" w:hAnsi="宋体" w:cs="宋体"/>
          <w:color w:val="auto"/>
          <w:szCs w:val="28"/>
          <w:u w:val="single"/>
          <w:lang w:val="en-US" w:eastAsia="zh-CN"/>
        </w:rPr>
        <w:t>10</w:t>
      </w:r>
      <w:r>
        <w:rPr>
          <w:rFonts w:hint="eastAsia" w:ascii="宋体" w:hAnsi="宋体" w:cs="宋体"/>
          <w:color w:val="auto"/>
          <w:szCs w:val="28"/>
          <w:u w:val="single"/>
          <w:lang w:eastAsia="zh-CN"/>
        </w:rPr>
        <w:t>个工作日</w:t>
      </w:r>
      <w:r>
        <w:rPr>
          <w:rFonts w:hint="eastAsia" w:ascii="宋体" w:hAnsi="宋体" w:cs="宋体"/>
          <w:color w:val="auto"/>
          <w:szCs w:val="28"/>
          <w:u w:val="single"/>
          <w:lang w:val="en-US" w:eastAsia="zh-CN"/>
        </w:rPr>
        <w:t>供应商</w:t>
      </w:r>
      <w:r>
        <w:rPr>
          <w:rFonts w:hint="eastAsia" w:ascii="宋体" w:hAnsi="宋体" w:cs="宋体"/>
          <w:color w:val="auto"/>
          <w:szCs w:val="28"/>
          <w:u w:val="single"/>
          <w:lang w:eastAsia="zh-CN"/>
        </w:rPr>
        <w:t>提交物业费支付申请单</w:t>
      </w:r>
      <w:r>
        <w:rPr>
          <w:rFonts w:hint="eastAsia" w:ascii="宋体" w:hAnsi="宋体" w:cs="宋体"/>
          <w:color w:val="auto"/>
          <w:szCs w:val="28"/>
          <w:u w:val="single"/>
          <w:lang w:val="en-US" w:eastAsia="zh-CN"/>
        </w:rPr>
        <w:t>并经采购人</w:t>
      </w:r>
      <w:r>
        <w:rPr>
          <w:rFonts w:hint="eastAsia" w:ascii="宋体" w:hAnsi="宋体" w:cs="宋体"/>
          <w:color w:val="auto"/>
          <w:szCs w:val="28"/>
          <w:u w:val="single"/>
          <w:lang w:eastAsia="zh-CN"/>
        </w:rPr>
        <w:t>确认，</w:t>
      </w:r>
      <w:r>
        <w:rPr>
          <w:rFonts w:hint="eastAsia" w:ascii="宋体" w:hAnsi="宋体" w:cs="宋体"/>
          <w:color w:val="auto"/>
          <w:szCs w:val="28"/>
          <w:u w:val="single"/>
          <w:lang w:val="en-US" w:eastAsia="zh-CN"/>
        </w:rPr>
        <w:t>采购人</w:t>
      </w:r>
      <w:r>
        <w:rPr>
          <w:rFonts w:hint="eastAsia" w:ascii="宋体" w:hAnsi="宋体" w:cs="宋体"/>
          <w:color w:val="auto"/>
          <w:szCs w:val="28"/>
          <w:u w:val="single"/>
          <w:lang w:eastAsia="zh-CN"/>
        </w:rPr>
        <w:t>在</w:t>
      </w:r>
      <w:r>
        <w:rPr>
          <w:rFonts w:hint="eastAsia" w:ascii="宋体" w:hAnsi="宋体" w:cs="宋体"/>
          <w:color w:val="auto"/>
          <w:szCs w:val="28"/>
          <w:u w:val="single"/>
          <w:lang w:val="en-US" w:eastAsia="zh-CN"/>
        </w:rPr>
        <w:t>供应商开具等额增值税发票后</w:t>
      </w:r>
      <w:r>
        <w:rPr>
          <w:rFonts w:hint="eastAsia" w:ascii="宋体" w:hAnsi="宋体" w:cs="宋体"/>
          <w:color w:val="auto"/>
          <w:szCs w:val="28"/>
          <w:u w:val="single"/>
          <w:lang w:eastAsia="zh-CN"/>
        </w:rPr>
        <w:t>以银行转账方式支付当</w:t>
      </w:r>
      <w:r>
        <w:rPr>
          <w:rFonts w:hint="eastAsia" w:ascii="宋体" w:hAnsi="宋体" w:cs="宋体"/>
          <w:color w:val="auto"/>
          <w:szCs w:val="28"/>
          <w:u w:val="single"/>
          <w:lang w:val="en-US" w:eastAsia="zh-CN"/>
        </w:rPr>
        <w:t>季度的</w:t>
      </w:r>
      <w:r>
        <w:rPr>
          <w:rFonts w:hint="eastAsia" w:ascii="宋体" w:hAnsi="宋体" w:cs="宋体"/>
          <w:color w:val="auto"/>
          <w:szCs w:val="28"/>
          <w:u w:val="single"/>
          <w:lang w:eastAsia="zh-CN"/>
        </w:rPr>
        <w:t>物业服务费</w:t>
      </w:r>
      <w:r>
        <w:rPr>
          <w:rFonts w:hint="eastAsia" w:ascii="宋体" w:hAnsi="宋体"/>
          <w:color w:val="000000"/>
          <w:u w:val="single"/>
        </w:rPr>
        <w:t>。</w:t>
      </w:r>
    </w:p>
    <w:p w14:paraId="6FBAD5F4">
      <w:pPr>
        <w:pStyle w:val="10"/>
        <w:spacing w:line="360" w:lineRule="auto"/>
        <w:ind w:firstLine="420"/>
        <w:rPr>
          <w:rFonts w:hint="eastAsia" w:eastAsia="宋体"/>
          <w:lang w:val="en-US" w:eastAsia="zh-CN"/>
        </w:rPr>
      </w:pPr>
      <w:r>
        <w:rPr>
          <w:rFonts w:hint="eastAsia"/>
          <w:lang w:val="en-US"/>
        </w:rPr>
        <w:t>3.甲方</w:t>
      </w:r>
      <w:r>
        <w:rPr>
          <w:rFonts w:hint="eastAsia"/>
          <w:lang w:val="en-US" w:eastAsia="zh-CN"/>
        </w:rPr>
        <w:t>因</w:t>
      </w:r>
      <w:r>
        <w:rPr>
          <w:rFonts w:hint="eastAsia"/>
          <w:lang w:val="en-US"/>
        </w:rPr>
        <w:t>特殊情况需要乙方</w:t>
      </w:r>
      <w:r>
        <w:t>安排</w:t>
      </w:r>
      <w:r>
        <w:rPr>
          <w:rFonts w:hint="eastAsia"/>
        </w:rPr>
        <w:t>人员（包括食堂大厨、副厨、帮工及保洁员）</w:t>
      </w:r>
      <w:r>
        <w:t>延长工作时间</w:t>
      </w:r>
      <w:r>
        <w:rPr>
          <w:rFonts w:hint="eastAsia"/>
        </w:rPr>
        <w:t>、增加劳动强度的</w:t>
      </w:r>
      <w:r>
        <w:t>，</w:t>
      </w:r>
      <w:r>
        <w:rPr>
          <w:rFonts w:hint="eastAsia"/>
        </w:rPr>
        <w:t>或在</w:t>
      </w:r>
      <w:r>
        <w:t>法定休假日安排工作的，</w:t>
      </w:r>
      <w:r>
        <w:rPr>
          <w:rFonts w:hint="eastAsia"/>
        </w:rPr>
        <w:t>适当补助加班费</w:t>
      </w:r>
      <w:r>
        <w:rPr>
          <w:rFonts w:hint="eastAsia"/>
          <w:lang w:eastAsia="zh-CN"/>
        </w:rPr>
        <w:t>，补助标准甲乙双方另行商定。</w:t>
      </w:r>
    </w:p>
    <w:p w14:paraId="29C00751">
      <w:pPr>
        <w:tabs>
          <w:tab w:val="left" w:pos="1185"/>
        </w:tabs>
        <w:spacing w:line="440" w:lineRule="exact"/>
        <w:ind w:left="435"/>
        <w:jc w:val="left"/>
        <w:rPr>
          <w:rFonts w:hint="eastAsia" w:ascii="宋体" w:hAnsi="宋体"/>
          <w:b/>
          <w:bCs/>
          <w:color w:val="000000"/>
          <w:szCs w:val="21"/>
        </w:rPr>
      </w:pPr>
      <w:r>
        <w:rPr>
          <w:rFonts w:hint="eastAsia" w:ascii="宋体" w:hAnsi="宋体"/>
          <w:b/>
          <w:bCs/>
          <w:color w:val="000000"/>
          <w:szCs w:val="21"/>
        </w:rPr>
        <w:t>九、违约责任</w:t>
      </w:r>
    </w:p>
    <w:p w14:paraId="21F0D9DD">
      <w:pPr>
        <w:numPr>
          <w:ilvl w:val="0"/>
          <w:numId w:val="8"/>
        </w:numPr>
        <w:tabs>
          <w:tab w:val="left" w:pos="1185"/>
        </w:tabs>
        <w:spacing w:line="440" w:lineRule="exact"/>
        <w:jc w:val="left"/>
        <w:rPr>
          <w:rFonts w:hint="eastAsia" w:ascii="宋体" w:hAnsi="宋体"/>
          <w:color w:val="000000"/>
          <w:szCs w:val="21"/>
        </w:rPr>
      </w:pPr>
      <w:r>
        <w:rPr>
          <w:rFonts w:hint="eastAsia" w:ascii="宋体" w:hAnsi="宋体"/>
          <w:color w:val="000000"/>
          <w:szCs w:val="21"/>
        </w:rPr>
        <w:t>如因甲方原因，造成乙方未完成规定管理目标或直接造成乙方经济损失的，甲方应给予乙方相应补偿；乙方有权要求甲方限期整改，并有权终止合同。</w:t>
      </w:r>
    </w:p>
    <w:p w14:paraId="769839CB">
      <w:pPr>
        <w:numPr>
          <w:ilvl w:val="0"/>
          <w:numId w:val="8"/>
        </w:numPr>
        <w:tabs>
          <w:tab w:val="left" w:pos="1185"/>
        </w:tabs>
        <w:spacing w:line="440" w:lineRule="exact"/>
        <w:jc w:val="left"/>
        <w:rPr>
          <w:rFonts w:hint="eastAsia" w:ascii="宋体" w:hAnsi="宋体"/>
          <w:color w:val="000000"/>
          <w:szCs w:val="21"/>
        </w:rPr>
      </w:pPr>
      <w:r>
        <w:rPr>
          <w:rFonts w:hint="eastAsia" w:ascii="宋体" w:hAnsi="宋体"/>
          <w:color w:val="000000"/>
          <w:szCs w:val="21"/>
        </w:rPr>
        <w:t>如因乙方原因，造成不能完成规定管理目标或直接造成甲方经济损失的，乙方应给予甲方相应补偿。甲方有权要求乙方限期整改，并有权终止合同。</w:t>
      </w:r>
    </w:p>
    <w:p w14:paraId="629F7A41">
      <w:pPr>
        <w:numPr>
          <w:ilvl w:val="0"/>
          <w:numId w:val="8"/>
        </w:numPr>
        <w:tabs>
          <w:tab w:val="left" w:pos="1185"/>
        </w:tabs>
        <w:spacing w:line="440" w:lineRule="exact"/>
        <w:jc w:val="left"/>
        <w:rPr>
          <w:rFonts w:hint="eastAsia" w:ascii="宋体" w:hAnsi="宋体"/>
          <w:color w:val="000000"/>
          <w:szCs w:val="21"/>
        </w:rPr>
      </w:pPr>
      <w:r>
        <w:rPr>
          <w:rFonts w:hint="eastAsia" w:ascii="宋体" w:hAnsi="宋体"/>
          <w:color w:val="000000"/>
          <w:szCs w:val="21"/>
        </w:rPr>
        <w:t>因甲方房屋建筑、设施设备质量或安装技术等原因，造成重大事故的，由甲方承担责任并负责善后处理。因乙方管理不善或操作不当等原因造成重大事故的或发生偷盗案件价值折合人民币500元以上的，由乙方承担责任并负责善后处理（产生事故的直接原因，以政府有关部门的鉴定结论为准）。</w:t>
      </w:r>
    </w:p>
    <w:p w14:paraId="16A1C2A8">
      <w:pPr>
        <w:numPr>
          <w:ilvl w:val="0"/>
          <w:numId w:val="8"/>
        </w:numPr>
        <w:tabs>
          <w:tab w:val="left" w:pos="1185"/>
        </w:tabs>
        <w:spacing w:line="440" w:lineRule="exact"/>
        <w:jc w:val="left"/>
        <w:rPr>
          <w:rFonts w:hint="eastAsia" w:ascii="宋体" w:hAnsi="宋体"/>
          <w:color w:val="000000"/>
          <w:szCs w:val="21"/>
        </w:rPr>
      </w:pPr>
      <w:r>
        <w:rPr>
          <w:rFonts w:hint="eastAsia" w:ascii="宋体" w:hAnsi="宋体"/>
          <w:color w:val="000000"/>
          <w:szCs w:val="21"/>
        </w:rPr>
        <w:t>甲、乙双方如有采取不正当竞争手段而取得管理权或致使对方失去管理权，或造成对方经济损失的，应当承担全部责任。</w:t>
      </w:r>
    </w:p>
    <w:p w14:paraId="3320F676">
      <w:pPr>
        <w:numPr>
          <w:ilvl w:val="0"/>
          <w:numId w:val="8"/>
        </w:numPr>
        <w:tabs>
          <w:tab w:val="left" w:pos="1185"/>
        </w:tabs>
        <w:spacing w:line="440" w:lineRule="exact"/>
        <w:jc w:val="left"/>
        <w:rPr>
          <w:rFonts w:hint="eastAsia" w:ascii="宋体" w:hAnsi="宋体"/>
          <w:color w:val="000000"/>
          <w:szCs w:val="21"/>
        </w:rPr>
      </w:pPr>
      <w:r>
        <w:rPr>
          <w:rFonts w:hint="eastAsia" w:ascii="宋体" w:hAnsi="宋体"/>
          <w:color w:val="000000"/>
          <w:szCs w:val="21"/>
        </w:rPr>
        <w:t>乙方不按约定配足管理人员和工作人员的，甲方有权扣发乙方管理服务费，每人每月(不足一个月按一个月计算)扣1000元。</w:t>
      </w:r>
    </w:p>
    <w:p w14:paraId="36C57CDC">
      <w:pPr>
        <w:numPr>
          <w:ilvl w:val="0"/>
          <w:numId w:val="8"/>
        </w:numPr>
        <w:tabs>
          <w:tab w:val="left" w:pos="1185"/>
        </w:tabs>
        <w:spacing w:line="440" w:lineRule="exact"/>
        <w:jc w:val="left"/>
        <w:rPr>
          <w:rFonts w:hint="eastAsia" w:ascii="宋体" w:hAnsi="宋体"/>
          <w:color w:val="000000"/>
          <w:szCs w:val="21"/>
        </w:rPr>
      </w:pPr>
      <w:r>
        <w:rPr>
          <w:rFonts w:hint="eastAsia" w:ascii="宋体" w:hAnsi="宋体"/>
          <w:color w:val="000000"/>
          <w:szCs w:val="21"/>
        </w:rPr>
        <w:t>乙方管理服务范围达不到标准的，甲方有权进行处理，第一次提出警告，第二次甲方扣乙方管理服务费每次500元。</w:t>
      </w:r>
    </w:p>
    <w:p w14:paraId="68965974">
      <w:pPr>
        <w:tabs>
          <w:tab w:val="left" w:pos="1185"/>
        </w:tabs>
        <w:spacing w:line="440" w:lineRule="exact"/>
        <w:ind w:left="435" w:leftChars="172" w:hanging="74" w:hangingChars="35"/>
        <w:jc w:val="left"/>
        <w:rPr>
          <w:rFonts w:hint="eastAsia" w:ascii="宋体" w:hAnsi="宋体"/>
          <w:b/>
          <w:bCs/>
          <w:color w:val="000000"/>
          <w:szCs w:val="21"/>
        </w:rPr>
      </w:pPr>
      <w:r>
        <w:rPr>
          <w:rFonts w:hint="eastAsia" w:ascii="宋体" w:hAnsi="宋体"/>
          <w:b/>
          <w:bCs/>
          <w:color w:val="000000"/>
          <w:szCs w:val="21"/>
        </w:rPr>
        <w:t>十、其他事项</w:t>
      </w:r>
    </w:p>
    <w:p w14:paraId="5449C337">
      <w:pPr>
        <w:numPr>
          <w:ilvl w:val="0"/>
          <w:numId w:val="9"/>
        </w:numPr>
        <w:tabs>
          <w:tab w:val="left" w:pos="1185"/>
        </w:tabs>
        <w:spacing w:line="440" w:lineRule="exact"/>
        <w:jc w:val="left"/>
        <w:rPr>
          <w:rFonts w:hint="eastAsia" w:ascii="宋体" w:hAnsi="宋体"/>
          <w:color w:val="000000"/>
          <w:szCs w:val="21"/>
        </w:rPr>
      </w:pPr>
      <w:r>
        <w:rPr>
          <w:rFonts w:hint="eastAsia" w:ascii="宋体" w:hAnsi="宋体"/>
          <w:color w:val="000000"/>
          <w:szCs w:val="21"/>
        </w:rPr>
        <w:t>双方可对本合同的条款进行修订更改或补充，但应书面签订补充协议，补充协议与本合同具有同等效力。</w:t>
      </w:r>
    </w:p>
    <w:p w14:paraId="2F6463CB">
      <w:pPr>
        <w:numPr>
          <w:ilvl w:val="0"/>
          <w:numId w:val="9"/>
        </w:numPr>
        <w:tabs>
          <w:tab w:val="left" w:pos="1185"/>
        </w:tabs>
        <w:spacing w:line="440" w:lineRule="exact"/>
        <w:jc w:val="left"/>
        <w:rPr>
          <w:rFonts w:hint="eastAsia" w:ascii="宋体" w:hAnsi="宋体"/>
          <w:color w:val="000000"/>
          <w:szCs w:val="21"/>
        </w:rPr>
      </w:pPr>
      <w:r>
        <w:rPr>
          <w:rFonts w:hint="eastAsia" w:ascii="宋体" w:hAnsi="宋体"/>
          <w:color w:val="000000"/>
          <w:szCs w:val="21"/>
        </w:rPr>
        <w:t>合同规定的管理期满，本合同自然终止，双方如续订合同，应在合同期满5个月前向对方提出书面意见。</w:t>
      </w:r>
    </w:p>
    <w:p w14:paraId="4F37F110">
      <w:pPr>
        <w:numPr>
          <w:ilvl w:val="0"/>
          <w:numId w:val="9"/>
        </w:numPr>
        <w:tabs>
          <w:tab w:val="left" w:pos="1185"/>
        </w:tabs>
        <w:spacing w:line="440" w:lineRule="exact"/>
        <w:jc w:val="left"/>
        <w:rPr>
          <w:rFonts w:hint="eastAsia" w:ascii="宋体" w:hAnsi="宋体"/>
          <w:color w:val="000000"/>
          <w:szCs w:val="21"/>
        </w:rPr>
      </w:pPr>
      <w:r>
        <w:rPr>
          <w:rFonts w:hint="eastAsia" w:ascii="宋体" w:hAnsi="宋体"/>
          <w:color w:val="000000"/>
          <w:szCs w:val="21"/>
        </w:rPr>
        <w:t>本合同执行期间如遇不可抗力，致使合同无法履行时，双方均不承担违约责任并按有关法规政策规定及时协商处理。</w:t>
      </w:r>
    </w:p>
    <w:p w14:paraId="2E73638F">
      <w:pPr>
        <w:numPr>
          <w:ilvl w:val="0"/>
          <w:numId w:val="9"/>
        </w:numPr>
        <w:tabs>
          <w:tab w:val="left" w:pos="1185"/>
        </w:tabs>
        <w:spacing w:line="440" w:lineRule="exact"/>
        <w:jc w:val="left"/>
        <w:rPr>
          <w:rFonts w:hint="eastAsia" w:ascii="宋体" w:hAnsi="宋体"/>
          <w:color w:val="000000"/>
          <w:szCs w:val="21"/>
        </w:rPr>
      </w:pPr>
      <w:r>
        <w:rPr>
          <w:rFonts w:hint="eastAsia" w:ascii="宋体" w:hAnsi="宋体"/>
          <w:color w:val="000000"/>
          <w:szCs w:val="21"/>
        </w:rPr>
        <w:t>本合同在履行中如发生争议，双方应协商解决；协商不成时，提请物业管理主管部门调解；调解不成的，可向合同履行地有管辖权的人民法院提起诉讼。</w:t>
      </w:r>
    </w:p>
    <w:p w14:paraId="4D8F8C16">
      <w:pPr>
        <w:numPr>
          <w:ilvl w:val="0"/>
          <w:numId w:val="9"/>
        </w:numPr>
        <w:tabs>
          <w:tab w:val="left" w:pos="1185"/>
        </w:tabs>
        <w:spacing w:line="440" w:lineRule="exact"/>
        <w:jc w:val="left"/>
        <w:rPr>
          <w:rFonts w:hint="eastAsia" w:ascii="宋体" w:hAnsi="宋体"/>
          <w:color w:val="000000"/>
          <w:szCs w:val="21"/>
        </w:rPr>
      </w:pPr>
      <w:r>
        <w:rPr>
          <w:rFonts w:hint="eastAsia" w:ascii="宋体" w:hAnsi="宋体"/>
          <w:color w:val="000000"/>
          <w:szCs w:val="21"/>
        </w:rPr>
        <w:t>本合同之附件均为合同有效级成部分，本合同及其附件内空格部分填写的文字与印刷文字具有同等效力。本合同及其附件和补充协议中未规定的事项，均遵照中华人民共和国有关法律、法规和政策执行。</w:t>
      </w:r>
    </w:p>
    <w:p w14:paraId="41A7566B">
      <w:pPr>
        <w:numPr>
          <w:ilvl w:val="0"/>
          <w:numId w:val="9"/>
        </w:numPr>
        <w:tabs>
          <w:tab w:val="left" w:pos="1185"/>
        </w:tabs>
        <w:spacing w:line="440" w:lineRule="exact"/>
        <w:jc w:val="left"/>
        <w:rPr>
          <w:rFonts w:hint="eastAsia" w:ascii="宋体" w:hAnsi="宋体"/>
          <w:color w:val="000000"/>
          <w:szCs w:val="21"/>
        </w:rPr>
      </w:pPr>
      <w:r>
        <w:rPr>
          <w:rFonts w:hint="eastAsia" w:ascii="宋体" w:hAnsi="宋体"/>
          <w:color w:val="000000"/>
        </w:rPr>
        <w:t>本合同一式陆份，甲乙双方各执两份、物业管理主管部门及采购代理机构各执一份，具有同等法律效力。</w:t>
      </w:r>
    </w:p>
    <w:p w14:paraId="1BF22F0C">
      <w:pPr>
        <w:numPr>
          <w:ilvl w:val="0"/>
          <w:numId w:val="9"/>
        </w:numPr>
        <w:tabs>
          <w:tab w:val="left" w:pos="1185"/>
        </w:tabs>
        <w:spacing w:line="440" w:lineRule="exact"/>
        <w:jc w:val="left"/>
        <w:rPr>
          <w:rFonts w:hint="eastAsia" w:ascii="宋体" w:hAnsi="宋体"/>
          <w:color w:val="000000"/>
          <w:szCs w:val="21"/>
        </w:rPr>
      </w:pPr>
      <w:r>
        <w:rPr>
          <w:rFonts w:hint="eastAsia" w:ascii="宋体" w:hAnsi="宋体"/>
          <w:color w:val="000000"/>
          <w:szCs w:val="21"/>
        </w:rPr>
        <w:t>本合同自双方签字盖章之日起生效。</w:t>
      </w:r>
    </w:p>
    <w:p w14:paraId="67411BCB">
      <w:pPr>
        <w:numPr>
          <w:ilvl w:val="0"/>
          <w:numId w:val="9"/>
        </w:numPr>
        <w:tabs>
          <w:tab w:val="left" w:pos="1185"/>
        </w:tabs>
        <w:spacing w:line="440" w:lineRule="exact"/>
        <w:jc w:val="left"/>
        <w:rPr>
          <w:rFonts w:hint="eastAsia" w:ascii="宋体" w:hAnsi="宋体"/>
          <w:color w:val="000000"/>
          <w:szCs w:val="21"/>
        </w:rPr>
      </w:pPr>
      <w:r>
        <w:rPr>
          <w:rFonts w:hint="eastAsia" w:ascii="宋体" w:hAnsi="宋体"/>
          <w:color w:val="000000"/>
          <w:szCs w:val="21"/>
        </w:rPr>
        <w:t>其他约定事项：合同履行中，如需修改或补充合同内容，由双方协商另签署书面修改或补充协议作为本合同不可分割的一部分。</w:t>
      </w:r>
    </w:p>
    <w:p w14:paraId="16E7F0B3">
      <w:pPr>
        <w:pStyle w:val="20"/>
        <w:spacing w:line="400" w:lineRule="exact"/>
        <w:rPr>
          <w:rFonts w:hint="eastAsia"/>
          <w:color w:val="000000"/>
          <w:sz w:val="21"/>
          <w:szCs w:val="21"/>
        </w:rPr>
      </w:pP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8"/>
        <w:gridCol w:w="4688"/>
      </w:tblGrid>
      <w:tr w14:paraId="558CF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4688" w:type="dxa"/>
            <w:noWrap w:val="0"/>
            <w:vAlign w:val="top"/>
          </w:tcPr>
          <w:p w14:paraId="44C445E8">
            <w:pPr>
              <w:pStyle w:val="15"/>
              <w:spacing w:line="480" w:lineRule="auto"/>
              <w:rPr>
                <w:rFonts w:hint="eastAsia" w:hAnsi="宋体"/>
                <w:color w:val="auto"/>
                <w:sz w:val="21"/>
                <w:szCs w:val="22"/>
              </w:rPr>
            </w:pPr>
            <w:r>
              <w:rPr>
                <w:rFonts w:hint="eastAsia" w:hAnsi="宋体"/>
                <w:color w:val="auto"/>
                <w:sz w:val="21"/>
                <w:szCs w:val="22"/>
              </w:rPr>
              <w:t xml:space="preserve">甲方： </w:t>
            </w:r>
          </w:p>
          <w:p w14:paraId="1E239BC1">
            <w:pPr>
              <w:pStyle w:val="15"/>
              <w:spacing w:line="480" w:lineRule="auto"/>
              <w:rPr>
                <w:rFonts w:hint="eastAsia" w:hAnsi="宋体"/>
                <w:color w:val="auto"/>
                <w:sz w:val="21"/>
                <w:szCs w:val="22"/>
              </w:rPr>
            </w:pPr>
            <w:r>
              <w:rPr>
                <w:rFonts w:hint="eastAsia" w:hAnsi="宋体"/>
                <w:color w:val="auto"/>
                <w:sz w:val="21"/>
                <w:szCs w:val="22"/>
              </w:rPr>
              <w:t>住所：</w:t>
            </w:r>
          </w:p>
          <w:p w14:paraId="4E53FDBD">
            <w:pPr>
              <w:pStyle w:val="15"/>
              <w:spacing w:line="720" w:lineRule="auto"/>
              <w:rPr>
                <w:rFonts w:hint="eastAsia" w:hAnsi="宋体"/>
                <w:color w:val="auto"/>
                <w:sz w:val="21"/>
                <w:szCs w:val="22"/>
              </w:rPr>
            </w:pPr>
            <w:r>
              <w:rPr>
                <w:rFonts w:hint="eastAsia" w:hAnsi="宋体"/>
                <w:color w:val="auto"/>
                <w:sz w:val="21"/>
                <w:szCs w:val="22"/>
              </w:rPr>
              <w:t>法定代表人：</w:t>
            </w:r>
          </w:p>
          <w:p w14:paraId="40B21E64">
            <w:pPr>
              <w:pStyle w:val="15"/>
              <w:spacing w:line="720" w:lineRule="auto"/>
              <w:rPr>
                <w:rFonts w:hint="eastAsia" w:hAnsi="宋体"/>
                <w:color w:val="auto"/>
                <w:sz w:val="21"/>
                <w:szCs w:val="22"/>
              </w:rPr>
            </w:pPr>
            <w:r>
              <w:rPr>
                <w:rFonts w:hint="eastAsia" w:hAnsi="宋体"/>
                <w:color w:val="auto"/>
                <w:sz w:val="21"/>
                <w:szCs w:val="22"/>
              </w:rPr>
              <w:t>委托代理人：</w:t>
            </w:r>
          </w:p>
          <w:p w14:paraId="6F215538">
            <w:pPr>
              <w:pStyle w:val="15"/>
              <w:spacing w:line="480" w:lineRule="auto"/>
              <w:rPr>
                <w:rFonts w:hint="eastAsia" w:hAnsi="宋体"/>
                <w:color w:val="auto"/>
                <w:sz w:val="21"/>
                <w:szCs w:val="22"/>
              </w:rPr>
            </w:pPr>
            <w:r>
              <w:rPr>
                <w:rFonts w:hint="eastAsia" w:hAnsi="宋体"/>
                <w:color w:val="auto"/>
                <w:sz w:val="21"/>
                <w:szCs w:val="22"/>
              </w:rPr>
              <w:t>电话：</w:t>
            </w:r>
          </w:p>
          <w:p w14:paraId="407425CA">
            <w:pPr>
              <w:pStyle w:val="15"/>
              <w:spacing w:line="480" w:lineRule="auto"/>
              <w:rPr>
                <w:rFonts w:hint="eastAsia" w:hAnsi="宋体"/>
                <w:color w:val="auto"/>
                <w:sz w:val="21"/>
                <w:szCs w:val="22"/>
              </w:rPr>
            </w:pPr>
            <w:r>
              <w:rPr>
                <w:rFonts w:hint="eastAsia" w:hAnsi="宋体"/>
                <w:color w:val="auto"/>
                <w:sz w:val="21"/>
                <w:szCs w:val="22"/>
              </w:rPr>
              <w:t>传真：</w:t>
            </w:r>
          </w:p>
          <w:p w14:paraId="34329B20">
            <w:pPr>
              <w:pStyle w:val="15"/>
              <w:spacing w:line="480" w:lineRule="auto"/>
              <w:rPr>
                <w:rFonts w:hint="eastAsia" w:hAnsi="宋体"/>
                <w:color w:val="auto"/>
                <w:sz w:val="21"/>
                <w:szCs w:val="22"/>
              </w:rPr>
            </w:pPr>
            <w:r>
              <w:rPr>
                <w:rFonts w:hint="eastAsia" w:hAnsi="宋体"/>
                <w:color w:val="auto"/>
                <w:sz w:val="21"/>
                <w:szCs w:val="22"/>
              </w:rPr>
              <w:t>开户银行：</w:t>
            </w:r>
          </w:p>
          <w:p w14:paraId="0F5A0DF1">
            <w:pPr>
              <w:pStyle w:val="15"/>
              <w:spacing w:line="480" w:lineRule="auto"/>
              <w:rPr>
                <w:rFonts w:hint="eastAsia" w:hAnsi="宋体"/>
                <w:color w:val="auto"/>
                <w:sz w:val="21"/>
                <w:szCs w:val="22"/>
              </w:rPr>
            </w:pPr>
            <w:r>
              <w:rPr>
                <w:rFonts w:hint="eastAsia" w:hAnsi="宋体"/>
                <w:color w:val="auto"/>
                <w:sz w:val="21"/>
                <w:szCs w:val="22"/>
              </w:rPr>
              <w:t>账号：</w:t>
            </w:r>
          </w:p>
          <w:p w14:paraId="08D3C54A">
            <w:pPr>
              <w:pStyle w:val="15"/>
              <w:spacing w:line="600" w:lineRule="auto"/>
              <w:rPr>
                <w:rFonts w:hint="eastAsia" w:hAnsi="宋体"/>
                <w:color w:val="auto"/>
                <w:sz w:val="21"/>
                <w:szCs w:val="22"/>
              </w:rPr>
            </w:pPr>
            <w:r>
              <w:rPr>
                <w:rFonts w:hint="eastAsia" w:hAnsi="宋体"/>
                <w:color w:val="auto"/>
                <w:sz w:val="21"/>
                <w:szCs w:val="22"/>
              </w:rPr>
              <w:t>邮政编码：</w:t>
            </w:r>
          </w:p>
        </w:tc>
        <w:tc>
          <w:tcPr>
            <w:tcW w:w="4688" w:type="dxa"/>
            <w:noWrap w:val="0"/>
            <w:vAlign w:val="top"/>
          </w:tcPr>
          <w:p w14:paraId="70BDAEA0">
            <w:pPr>
              <w:pStyle w:val="15"/>
              <w:spacing w:line="480" w:lineRule="auto"/>
              <w:rPr>
                <w:rFonts w:hint="eastAsia" w:hAnsi="宋体"/>
                <w:color w:val="auto"/>
                <w:sz w:val="21"/>
                <w:szCs w:val="22"/>
              </w:rPr>
            </w:pPr>
            <w:r>
              <w:rPr>
                <w:rFonts w:hint="eastAsia" w:hAnsi="宋体"/>
                <w:color w:val="auto"/>
                <w:sz w:val="21"/>
                <w:szCs w:val="22"/>
              </w:rPr>
              <w:t>乙方：</w:t>
            </w:r>
          </w:p>
          <w:p w14:paraId="3259C6C1">
            <w:pPr>
              <w:pStyle w:val="15"/>
              <w:spacing w:line="480" w:lineRule="auto"/>
              <w:rPr>
                <w:rFonts w:hint="eastAsia" w:hAnsi="宋体"/>
                <w:color w:val="auto"/>
                <w:sz w:val="21"/>
                <w:szCs w:val="22"/>
              </w:rPr>
            </w:pPr>
            <w:r>
              <w:rPr>
                <w:rFonts w:hint="eastAsia" w:hAnsi="宋体"/>
                <w:color w:val="auto"/>
                <w:sz w:val="21"/>
                <w:szCs w:val="22"/>
              </w:rPr>
              <w:t>住所：</w:t>
            </w:r>
          </w:p>
          <w:p w14:paraId="45E41A3F">
            <w:pPr>
              <w:pStyle w:val="15"/>
              <w:spacing w:line="720" w:lineRule="auto"/>
              <w:rPr>
                <w:rFonts w:hint="eastAsia" w:hAnsi="宋体"/>
                <w:color w:val="auto"/>
                <w:sz w:val="21"/>
                <w:szCs w:val="22"/>
              </w:rPr>
            </w:pPr>
            <w:r>
              <w:rPr>
                <w:rFonts w:hint="eastAsia" w:hAnsi="宋体"/>
                <w:color w:val="auto"/>
                <w:sz w:val="21"/>
                <w:szCs w:val="22"/>
              </w:rPr>
              <w:t>法定代表人：</w:t>
            </w:r>
          </w:p>
          <w:p w14:paraId="6D2F4890">
            <w:pPr>
              <w:pStyle w:val="15"/>
              <w:spacing w:line="720" w:lineRule="auto"/>
              <w:rPr>
                <w:rFonts w:hint="eastAsia" w:hAnsi="宋体"/>
                <w:color w:val="auto"/>
                <w:sz w:val="21"/>
                <w:szCs w:val="22"/>
              </w:rPr>
            </w:pPr>
            <w:r>
              <w:rPr>
                <w:rFonts w:hint="eastAsia" w:hAnsi="宋体"/>
                <w:color w:val="auto"/>
                <w:sz w:val="21"/>
                <w:szCs w:val="22"/>
              </w:rPr>
              <w:t>委托代理人：</w:t>
            </w:r>
          </w:p>
          <w:p w14:paraId="219374A0">
            <w:pPr>
              <w:pStyle w:val="15"/>
              <w:spacing w:line="480" w:lineRule="auto"/>
              <w:rPr>
                <w:rFonts w:hint="eastAsia" w:hAnsi="宋体"/>
                <w:color w:val="auto"/>
                <w:sz w:val="21"/>
                <w:szCs w:val="22"/>
              </w:rPr>
            </w:pPr>
            <w:r>
              <w:rPr>
                <w:rFonts w:hint="eastAsia" w:hAnsi="宋体"/>
                <w:color w:val="auto"/>
                <w:sz w:val="21"/>
                <w:szCs w:val="22"/>
              </w:rPr>
              <w:t>电话：</w:t>
            </w:r>
          </w:p>
          <w:p w14:paraId="0A8878EF">
            <w:pPr>
              <w:pStyle w:val="15"/>
              <w:spacing w:line="480" w:lineRule="auto"/>
              <w:rPr>
                <w:rFonts w:hint="eastAsia" w:hAnsi="宋体"/>
                <w:color w:val="auto"/>
                <w:sz w:val="21"/>
                <w:szCs w:val="22"/>
              </w:rPr>
            </w:pPr>
            <w:r>
              <w:rPr>
                <w:rFonts w:hint="eastAsia" w:hAnsi="宋体"/>
                <w:color w:val="auto"/>
                <w:sz w:val="21"/>
                <w:szCs w:val="22"/>
              </w:rPr>
              <w:t>传真：</w:t>
            </w:r>
          </w:p>
          <w:p w14:paraId="30B878E8">
            <w:pPr>
              <w:pStyle w:val="15"/>
              <w:spacing w:line="480" w:lineRule="auto"/>
              <w:rPr>
                <w:rFonts w:hint="eastAsia" w:hAnsi="宋体"/>
                <w:color w:val="auto"/>
                <w:sz w:val="21"/>
                <w:szCs w:val="22"/>
              </w:rPr>
            </w:pPr>
            <w:r>
              <w:rPr>
                <w:rFonts w:hint="eastAsia" w:hAnsi="宋体"/>
                <w:color w:val="auto"/>
                <w:sz w:val="21"/>
                <w:szCs w:val="22"/>
              </w:rPr>
              <w:t>开户银行：</w:t>
            </w:r>
          </w:p>
          <w:p w14:paraId="799A10D6">
            <w:pPr>
              <w:pStyle w:val="15"/>
              <w:spacing w:line="480" w:lineRule="auto"/>
              <w:rPr>
                <w:rFonts w:hint="eastAsia" w:hAnsi="宋体"/>
                <w:color w:val="auto"/>
                <w:sz w:val="21"/>
                <w:szCs w:val="22"/>
              </w:rPr>
            </w:pPr>
            <w:r>
              <w:rPr>
                <w:rFonts w:hint="eastAsia" w:hAnsi="宋体"/>
                <w:color w:val="auto"/>
                <w:sz w:val="21"/>
                <w:szCs w:val="22"/>
              </w:rPr>
              <w:t>账号：</w:t>
            </w:r>
          </w:p>
          <w:p w14:paraId="4F8597E6">
            <w:pPr>
              <w:pStyle w:val="15"/>
              <w:spacing w:line="600" w:lineRule="auto"/>
              <w:rPr>
                <w:rFonts w:hint="eastAsia" w:hAnsi="宋体"/>
                <w:color w:val="auto"/>
                <w:sz w:val="21"/>
                <w:szCs w:val="22"/>
              </w:rPr>
            </w:pPr>
            <w:r>
              <w:rPr>
                <w:rFonts w:hint="eastAsia" w:hAnsi="宋体"/>
                <w:color w:val="auto"/>
                <w:sz w:val="21"/>
                <w:szCs w:val="22"/>
              </w:rPr>
              <w:t>邮政编码：</w:t>
            </w:r>
          </w:p>
        </w:tc>
      </w:tr>
    </w:tbl>
    <w:p w14:paraId="719D01E9">
      <w:pPr>
        <w:pStyle w:val="15"/>
        <w:spacing w:line="400" w:lineRule="exact"/>
        <w:ind w:firstLine="420"/>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合同签订时间：</w:t>
      </w:r>
    </w:p>
    <w:p w14:paraId="45ACE0A0">
      <w:pPr>
        <w:spacing w:line="400" w:lineRule="exact"/>
        <w:ind w:firstLine="420" w:firstLineChars="200"/>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合同签订地点：</w:t>
      </w:r>
    </w:p>
    <w:p w14:paraId="1A28CAAE">
      <w:pPr>
        <w:rPr>
          <w:color w:val="auto"/>
        </w:rPr>
      </w:pPr>
    </w:p>
    <w:sectPr>
      <w:pgSz w:w="11906" w:h="16838"/>
      <w:pgMar w:top="1440" w:right="1279" w:bottom="1440" w:left="1387" w:header="851" w:footer="992" w:gutter="0"/>
      <w:cols w:space="720" w:num="1"/>
      <w:formProt w:val="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金山简黑体">
    <w:altName w:val="黑体"/>
    <w:panose1 w:val="00000000000000000000"/>
    <w:charset w:val="86"/>
    <w:family w:val="roman"/>
    <w:pitch w:val="default"/>
    <w:sig w:usb0="00000000" w:usb1="00000000" w:usb2="00000000" w:usb3="00000000" w:csb0="00040001" w:csb1="00000000"/>
  </w:font>
  <w:font w:name="Wingdings 2">
    <w:altName w:val="Wingdings"/>
    <w:panose1 w:val="05020102010507070707"/>
    <w:charset w:val="02"/>
    <w:family w:val="auto"/>
    <w:pitch w:val="default"/>
    <w:sig w:usb0="00000000" w:usb1="00000000" w:usb2="00000000" w:usb3="00000000" w:csb0="80000000" w:csb1="00000000"/>
  </w:font>
  <w:font w:name="新宋体">
    <w:panose1 w:val="02010609030101010101"/>
    <w:charset w:val="86"/>
    <w:family w:val="modern"/>
    <w:pitch w:val="default"/>
    <w:sig w:usb0="00000003" w:usb1="288F0000" w:usb2="00000006" w:usb3="00000000" w:csb0="00040001"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A88FD6">
    <w:pPr>
      <w:pStyle w:val="17"/>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C4F389C">
                          <w:pPr>
                            <w:pStyle w:val="17"/>
                            <w:jc w:val="center"/>
                          </w:pPr>
                          <w:r>
                            <w:fldChar w:fldCharType="begin"/>
                          </w:r>
                          <w:r>
                            <w:instrText xml:space="preserve"> PAGE   \* MERGEFORMAT </w:instrText>
                          </w:r>
                          <w:r>
                            <w:fldChar w:fldCharType="separate"/>
                          </w:r>
                          <w:r>
                            <w:rPr>
                              <w:lang w:val="zh-CN"/>
                            </w:rPr>
                            <w:t>38</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7C4F389C">
                    <w:pPr>
                      <w:pStyle w:val="17"/>
                      <w:jc w:val="center"/>
                    </w:pPr>
                    <w:r>
                      <w:fldChar w:fldCharType="begin"/>
                    </w:r>
                    <w:r>
                      <w:instrText xml:space="preserve"> PAGE   \* MERGEFORMAT </w:instrText>
                    </w:r>
                    <w:r>
                      <w:fldChar w:fldCharType="separate"/>
                    </w:r>
                    <w:r>
                      <w:rPr>
                        <w:lang w:val="zh-CN"/>
                      </w:rPr>
                      <w:t>38</w:t>
                    </w:r>
                    <w:r>
                      <w:fldChar w:fldCharType="end"/>
                    </w:r>
                  </w:p>
                </w:txbxContent>
              </v:textbox>
            </v:shape>
          </w:pict>
        </mc:Fallback>
      </mc:AlternateContent>
    </w:r>
  </w:p>
  <w:p w14:paraId="3131EFB3">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353C84">
    <w:pPr>
      <w:pStyle w:val="1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B94B314">
                          <w:pPr>
                            <w:pStyle w:val="17"/>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3B94B314">
                    <w:pPr>
                      <w:pStyle w:val="17"/>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FFC96D">
    <w:pPr>
      <w:pStyle w:val="1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26A367">
    <w:pPr>
      <w:pStyle w:val="10"/>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6D08C0"/>
    <w:multiLevelType w:val="singleLevel"/>
    <w:tmpl w:val="886D08C0"/>
    <w:lvl w:ilvl="0" w:tentative="0">
      <w:start w:val="4"/>
      <w:numFmt w:val="decimal"/>
      <w:suff w:val="nothing"/>
      <w:lvlText w:val="（%1）"/>
      <w:lvlJc w:val="left"/>
    </w:lvl>
  </w:abstractNum>
  <w:abstractNum w:abstractNumId="1">
    <w:nsid w:val="8CA63661"/>
    <w:multiLevelType w:val="singleLevel"/>
    <w:tmpl w:val="8CA63661"/>
    <w:lvl w:ilvl="0" w:tentative="0">
      <w:start w:val="1"/>
      <w:numFmt w:val="decimal"/>
      <w:suff w:val="nothing"/>
      <w:lvlText w:val="（%1）"/>
      <w:lvlJc w:val="left"/>
    </w:lvl>
  </w:abstractNum>
  <w:abstractNum w:abstractNumId="2">
    <w:nsid w:val="EA500484"/>
    <w:multiLevelType w:val="singleLevel"/>
    <w:tmpl w:val="EA500484"/>
    <w:lvl w:ilvl="0" w:tentative="0">
      <w:start w:val="1"/>
      <w:numFmt w:val="decimal"/>
      <w:pStyle w:val="6"/>
      <w:lvlText w:val="%1."/>
      <w:lvlJc w:val="left"/>
      <w:pPr>
        <w:tabs>
          <w:tab w:val="left" w:pos="360"/>
        </w:tabs>
        <w:ind w:left="360" w:hanging="360"/>
      </w:pPr>
    </w:lvl>
  </w:abstractNum>
  <w:abstractNum w:abstractNumId="3">
    <w:nsid w:val="EB8CEB78"/>
    <w:multiLevelType w:val="singleLevel"/>
    <w:tmpl w:val="EB8CEB78"/>
    <w:lvl w:ilvl="0" w:tentative="0">
      <w:start w:val="3"/>
      <w:numFmt w:val="chineseCounting"/>
      <w:suff w:val="space"/>
      <w:lvlText w:val="第%1章"/>
      <w:lvlJc w:val="left"/>
      <w:rPr>
        <w:rFonts w:hint="eastAsia"/>
      </w:rPr>
    </w:lvl>
  </w:abstractNum>
  <w:abstractNum w:abstractNumId="4">
    <w:nsid w:val="FB7EB641"/>
    <w:multiLevelType w:val="singleLevel"/>
    <w:tmpl w:val="FB7EB641"/>
    <w:lvl w:ilvl="0" w:tentative="0">
      <w:start w:val="5"/>
      <w:numFmt w:val="chineseCounting"/>
      <w:suff w:val="nothing"/>
      <w:lvlText w:val="%1、"/>
      <w:lvlJc w:val="left"/>
      <w:rPr>
        <w:rFonts w:hint="eastAsia"/>
      </w:rPr>
    </w:lvl>
  </w:abstractNum>
  <w:abstractNum w:abstractNumId="5">
    <w:nsid w:val="4F2207D3"/>
    <w:multiLevelType w:val="multilevel"/>
    <w:tmpl w:val="4F2207D3"/>
    <w:lvl w:ilvl="0" w:tentative="0">
      <w:start w:val="1"/>
      <w:numFmt w:val="decimal"/>
      <w:lvlText w:val="%1．"/>
      <w:lvlJc w:val="left"/>
      <w:pPr>
        <w:tabs>
          <w:tab w:val="left" w:pos="795"/>
        </w:tabs>
        <w:ind w:left="795"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52C2207A"/>
    <w:multiLevelType w:val="singleLevel"/>
    <w:tmpl w:val="52C2207A"/>
    <w:lvl w:ilvl="0" w:tentative="0">
      <w:start w:val="3"/>
      <w:numFmt w:val="decimal"/>
      <w:lvlText w:val="%1."/>
      <w:lvlJc w:val="left"/>
      <w:pPr>
        <w:tabs>
          <w:tab w:val="left" w:pos="312"/>
        </w:tabs>
      </w:pPr>
    </w:lvl>
  </w:abstractNum>
  <w:abstractNum w:abstractNumId="7">
    <w:nsid w:val="56595CB7"/>
    <w:multiLevelType w:val="multilevel"/>
    <w:tmpl w:val="56595CB7"/>
    <w:lvl w:ilvl="0" w:tentative="0">
      <w:start w:val="1"/>
      <w:numFmt w:val="decimal"/>
      <w:lvlText w:val="%1．"/>
      <w:lvlJc w:val="left"/>
      <w:pPr>
        <w:tabs>
          <w:tab w:val="left" w:pos="795"/>
        </w:tabs>
        <w:ind w:left="795" w:hanging="360"/>
      </w:pPr>
    </w:lvl>
    <w:lvl w:ilvl="1" w:tentative="0">
      <w:start w:val="1"/>
      <w:numFmt w:val="decimal"/>
      <w:lvlText w:val="%2."/>
      <w:lvlJc w:val="left"/>
      <w:pPr>
        <w:tabs>
          <w:tab w:val="left" w:pos="1275"/>
        </w:tabs>
        <w:ind w:left="1275" w:hanging="420"/>
      </w:pPr>
    </w:lvl>
    <w:lvl w:ilvl="2" w:tentative="0">
      <w:start w:val="8"/>
      <w:numFmt w:val="japaneseCounting"/>
      <w:lvlText w:val="第%3章"/>
      <w:lvlJc w:val="left"/>
      <w:pPr>
        <w:tabs>
          <w:tab w:val="left" w:pos="3270"/>
        </w:tabs>
        <w:ind w:left="3270" w:hanging="1995"/>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587832EF"/>
    <w:multiLevelType w:val="multilevel"/>
    <w:tmpl w:val="587832EF"/>
    <w:lvl w:ilvl="0" w:tentative="0">
      <w:start w:val="1"/>
      <w:numFmt w:val="decimal"/>
      <w:lvlText w:val="%1．"/>
      <w:lvlJc w:val="left"/>
      <w:pPr>
        <w:tabs>
          <w:tab w:val="left" w:pos="795"/>
        </w:tabs>
        <w:ind w:left="795"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2"/>
  </w:num>
  <w:num w:numId="2">
    <w:abstractNumId w:val="6"/>
  </w:num>
  <w:num w:numId="3">
    <w:abstractNumId w:val="1"/>
  </w:num>
  <w:num w:numId="4">
    <w:abstractNumId w:val="3"/>
  </w:num>
  <w:num w:numId="5">
    <w:abstractNumId w:val="4"/>
  </w:num>
  <w:num w:numId="6">
    <w:abstractNumId w:val="0"/>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dit="forms" w:enforcement="1" w:cryptProviderType="rsaFull" w:cryptAlgorithmClass="hash" w:cryptAlgorithmType="typeAny" w:cryptAlgorithmSid="4" w:cryptSpinCount="0" w:hash="pC1lZAXVyLAZVH0ruDqV84U92Bc=" w:salt="zWCGKiGzUnDqQnlu3qrGsQ=="/>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zZjM4MmI0YTcyY2NkNjU5NWNmY2M1MGQ5ZmM1YTMifQ=="/>
  </w:docVars>
  <w:rsids>
    <w:rsidRoot w:val="4D816C1A"/>
    <w:rsid w:val="00B22BA0"/>
    <w:rsid w:val="023336CF"/>
    <w:rsid w:val="088046E6"/>
    <w:rsid w:val="08B51480"/>
    <w:rsid w:val="0A605865"/>
    <w:rsid w:val="0C445030"/>
    <w:rsid w:val="0CA43CE5"/>
    <w:rsid w:val="0E6A2D94"/>
    <w:rsid w:val="0F0978B1"/>
    <w:rsid w:val="0F2C7376"/>
    <w:rsid w:val="1376180B"/>
    <w:rsid w:val="14984A31"/>
    <w:rsid w:val="15AB7939"/>
    <w:rsid w:val="169910C8"/>
    <w:rsid w:val="17E64B2F"/>
    <w:rsid w:val="1AF50C1A"/>
    <w:rsid w:val="1BF32044"/>
    <w:rsid w:val="1D0B600A"/>
    <w:rsid w:val="210C797F"/>
    <w:rsid w:val="214271D1"/>
    <w:rsid w:val="21470C8B"/>
    <w:rsid w:val="24222636"/>
    <w:rsid w:val="24236FD4"/>
    <w:rsid w:val="24A530B1"/>
    <w:rsid w:val="25D95D62"/>
    <w:rsid w:val="275511D4"/>
    <w:rsid w:val="29B7509F"/>
    <w:rsid w:val="29FD4C14"/>
    <w:rsid w:val="2BF230EA"/>
    <w:rsid w:val="2D877F15"/>
    <w:rsid w:val="2E423BA8"/>
    <w:rsid w:val="2F00552A"/>
    <w:rsid w:val="2F1463DC"/>
    <w:rsid w:val="2F97551F"/>
    <w:rsid w:val="2FFD11AE"/>
    <w:rsid w:val="309A6C2A"/>
    <w:rsid w:val="30D042A1"/>
    <w:rsid w:val="315E1E05"/>
    <w:rsid w:val="31647454"/>
    <w:rsid w:val="31E94583"/>
    <w:rsid w:val="32123766"/>
    <w:rsid w:val="34215255"/>
    <w:rsid w:val="350F3D9C"/>
    <w:rsid w:val="36392746"/>
    <w:rsid w:val="36B6766F"/>
    <w:rsid w:val="381D6D27"/>
    <w:rsid w:val="39FE23D7"/>
    <w:rsid w:val="3A7522DC"/>
    <w:rsid w:val="3B0953CA"/>
    <w:rsid w:val="3B894EB5"/>
    <w:rsid w:val="3C756966"/>
    <w:rsid w:val="3CA1529C"/>
    <w:rsid w:val="3CCE5878"/>
    <w:rsid w:val="3E2B23AB"/>
    <w:rsid w:val="3EB651B7"/>
    <w:rsid w:val="3F574CE6"/>
    <w:rsid w:val="3FE43CEF"/>
    <w:rsid w:val="40141EE7"/>
    <w:rsid w:val="42764C03"/>
    <w:rsid w:val="48346FBA"/>
    <w:rsid w:val="485111C8"/>
    <w:rsid w:val="4A6F4C2B"/>
    <w:rsid w:val="4B6C0F30"/>
    <w:rsid w:val="4C324162"/>
    <w:rsid w:val="4C4760FE"/>
    <w:rsid w:val="4D245859"/>
    <w:rsid w:val="4D816C1A"/>
    <w:rsid w:val="4DC24773"/>
    <w:rsid w:val="4EC00475"/>
    <w:rsid w:val="4EDC1A40"/>
    <w:rsid w:val="505C04DC"/>
    <w:rsid w:val="51172F9F"/>
    <w:rsid w:val="51AA6137"/>
    <w:rsid w:val="546A7FC9"/>
    <w:rsid w:val="55ED589B"/>
    <w:rsid w:val="581035A9"/>
    <w:rsid w:val="58407B49"/>
    <w:rsid w:val="588E0E3E"/>
    <w:rsid w:val="58914780"/>
    <w:rsid w:val="58D75E75"/>
    <w:rsid w:val="590C3E66"/>
    <w:rsid w:val="596077FA"/>
    <w:rsid w:val="5AEC1D4E"/>
    <w:rsid w:val="5B410F66"/>
    <w:rsid w:val="5BDE5352"/>
    <w:rsid w:val="5BE61376"/>
    <w:rsid w:val="5C77674D"/>
    <w:rsid w:val="5E3D511B"/>
    <w:rsid w:val="5F980D61"/>
    <w:rsid w:val="615F2E66"/>
    <w:rsid w:val="63510E33"/>
    <w:rsid w:val="6649125A"/>
    <w:rsid w:val="6723497B"/>
    <w:rsid w:val="67B22DB9"/>
    <w:rsid w:val="6ACB7AD0"/>
    <w:rsid w:val="6B560EB4"/>
    <w:rsid w:val="6CCB7647"/>
    <w:rsid w:val="6CE95B16"/>
    <w:rsid w:val="6DA46816"/>
    <w:rsid w:val="6FC758BD"/>
    <w:rsid w:val="702053AF"/>
    <w:rsid w:val="70424618"/>
    <w:rsid w:val="71860567"/>
    <w:rsid w:val="725105EF"/>
    <w:rsid w:val="72DA4B24"/>
    <w:rsid w:val="73243958"/>
    <w:rsid w:val="755C7629"/>
    <w:rsid w:val="75B82716"/>
    <w:rsid w:val="76EA2457"/>
    <w:rsid w:val="77775112"/>
    <w:rsid w:val="79A875EE"/>
    <w:rsid w:val="7A8F24EE"/>
    <w:rsid w:val="7F250B1C"/>
    <w:rsid w:val="7F756CC9"/>
    <w:rsid w:val="7FB623D9"/>
    <w:rsid w:val="7FBC5D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nhideWhenUsed="0" w:uiPriority="9"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spacing w:line="340" w:lineRule="exact"/>
      <w:outlineLvl w:val="0"/>
    </w:pPr>
    <w:rPr>
      <w:b/>
      <w:bCs/>
    </w:rPr>
  </w:style>
  <w:style w:type="paragraph" w:styleId="3">
    <w:name w:val="heading 2"/>
    <w:basedOn w:val="1"/>
    <w:next w:val="1"/>
    <w:autoRedefine/>
    <w:qFormat/>
    <w:uiPriority w:val="9"/>
    <w:pPr>
      <w:keepNext/>
      <w:keepLines/>
      <w:spacing w:before="260" w:after="260" w:line="416" w:lineRule="auto"/>
      <w:outlineLvl w:val="1"/>
    </w:pPr>
    <w:rPr>
      <w:rFonts w:ascii="Cambria" w:hAnsi="Cambria"/>
      <w:b/>
      <w:bCs/>
      <w:sz w:val="32"/>
      <w:szCs w:val="32"/>
    </w:rPr>
  </w:style>
  <w:style w:type="paragraph" w:styleId="4">
    <w:name w:val="heading 4"/>
    <w:basedOn w:val="1"/>
    <w:next w:val="1"/>
    <w:autoRedefine/>
    <w:qFormat/>
    <w:uiPriority w:val="9"/>
    <w:pPr>
      <w:ind w:firstLine="680"/>
      <w:outlineLvl w:val="3"/>
    </w:pPr>
    <w:rPr>
      <w:rFonts w:ascii="宋体"/>
      <w:sz w:val="28"/>
      <w:szCs w:val="20"/>
    </w:rPr>
  </w:style>
  <w:style w:type="paragraph" w:styleId="5">
    <w:name w:val="heading 6"/>
    <w:basedOn w:val="1"/>
    <w:next w:val="1"/>
    <w:qFormat/>
    <w:uiPriority w:val="0"/>
    <w:pPr>
      <w:keepNext/>
      <w:keepLines/>
      <w:spacing w:before="240" w:after="64" w:line="320" w:lineRule="auto"/>
      <w:outlineLvl w:val="5"/>
    </w:pPr>
    <w:rPr>
      <w:rFonts w:ascii="Arial" w:hAnsi="Arial" w:eastAsia="黑体"/>
      <w:b/>
      <w:sz w:val="24"/>
    </w:rPr>
  </w:style>
  <w:style w:type="character" w:default="1" w:styleId="24">
    <w:name w:val="Default Paragraph Font"/>
    <w:autoRedefine/>
    <w:semiHidden/>
    <w:qFormat/>
    <w:uiPriority w:val="0"/>
  </w:style>
  <w:style w:type="table" w:default="1" w:styleId="23">
    <w:name w:val="Normal Table"/>
    <w:semiHidden/>
    <w:qFormat/>
    <w:uiPriority w:val="0"/>
    <w:tblPr>
      <w:tblCellMar>
        <w:top w:w="0" w:type="dxa"/>
        <w:left w:w="108" w:type="dxa"/>
        <w:bottom w:w="0" w:type="dxa"/>
        <w:right w:w="108" w:type="dxa"/>
      </w:tblCellMar>
    </w:tblPr>
  </w:style>
  <w:style w:type="paragraph" w:styleId="6">
    <w:name w:val="List Number"/>
    <w:basedOn w:val="1"/>
    <w:qFormat/>
    <w:uiPriority w:val="0"/>
    <w:pPr>
      <w:numPr>
        <w:ilvl w:val="0"/>
        <w:numId w:val="1"/>
      </w:numPr>
    </w:pPr>
  </w:style>
  <w:style w:type="paragraph" w:styleId="7">
    <w:name w:val="Normal Indent"/>
    <w:basedOn w:val="1"/>
    <w:autoRedefine/>
    <w:qFormat/>
    <w:uiPriority w:val="0"/>
    <w:pPr>
      <w:ind w:firstLine="420"/>
    </w:pPr>
    <w:rPr>
      <w:szCs w:val="20"/>
    </w:rPr>
  </w:style>
  <w:style w:type="paragraph" w:styleId="8">
    <w:name w:val="annotation text"/>
    <w:basedOn w:val="1"/>
    <w:autoRedefine/>
    <w:qFormat/>
    <w:uiPriority w:val="0"/>
    <w:pPr>
      <w:jc w:val="left"/>
    </w:pPr>
  </w:style>
  <w:style w:type="paragraph" w:styleId="9">
    <w:name w:val="Body Text 3"/>
    <w:basedOn w:val="1"/>
    <w:autoRedefine/>
    <w:unhideWhenUsed/>
    <w:qFormat/>
    <w:uiPriority w:val="99"/>
    <w:pPr>
      <w:spacing w:after="120"/>
    </w:pPr>
    <w:rPr>
      <w:sz w:val="16"/>
      <w:szCs w:val="16"/>
    </w:rPr>
  </w:style>
  <w:style w:type="paragraph" w:styleId="10">
    <w:name w:val="Body Text"/>
    <w:basedOn w:val="1"/>
    <w:next w:val="11"/>
    <w:autoRedefine/>
    <w:unhideWhenUsed/>
    <w:qFormat/>
    <w:uiPriority w:val="0"/>
    <w:pPr>
      <w:spacing w:after="120"/>
    </w:pPr>
  </w:style>
  <w:style w:type="paragraph" w:styleId="11">
    <w:name w:val="Title"/>
    <w:basedOn w:val="1"/>
    <w:next w:val="1"/>
    <w:qFormat/>
    <w:uiPriority w:val="10"/>
    <w:pPr>
      <w:spacing w:before="240" w:after="60"/>
      <w:jc w:val="center"/>
      <w:outlineLvl w:val="0"/>
    </w:pPr>
    <w:rPr>
      <w:rFonts w:ascii="Cambria" w:hAnsi="Cambria"/>
      <w:b/>
      <w:bCs/>
      <w:sz w:val="32"/>
      <w:szCs w:val="32"/>
    </w:rPr>
  </w:style>
  <w:style w:type="paragraph" w:styleId="12">
    <w:name w:val="Body Text Indent"/>
    <w:basedOn w:val="1"/>
    <w:next w:val="13"/>
    <w:autoRedefine/>
    <w:qFormat/>
    <w:uiPriority w:val="0"/>
    <w:pPr>
      <w:ind w:firstLine="830" w:firstLineChars="352"/>
    </w:pPr>
    <w:rPr>
      <w:rFonts w:ascii="仿宋_GB2312" w:eastAsia="仿宋_GB2312"/>
      <w:kern w:val="0"/>
      <w:sz w:val="32"/>
      <w:szCs w:val="20"/>
    </w:rPr>
  </w:style>
  <w:style w:type="paragraph" w:customStyle="1" w:styleId="13">
    <w:name w:val="Default"/>
    <w:autoRedefine/>
    <w:qFormat/>
    <w:uiPriority w:val="0"/>
    <w:pPr>
      <w:widowControl w:val="0"/>
      <w:autoSpaceDE w:val="0"/>
      <w:autoSpaceDN w:val="0"/>
      <w:adjustRightInd w:val="0"/>
    </w:pPr>
    <w:rPr>
      <w:rFonts w:ascii="黑体" w:hAnsi="Times New Roman" w:eastAsia="黑体" w:cs="Times New Roman"/>
      <w:lang w:val="en-US" w:eastAsia="zh-CN" w:bidi="ar-SA"/>
    </w:rPr>
  </w:style>
  <w:style w:type="paragraph" w:styleId="14">
    <w:name w:val="List 2"/>
    <w:basedOn w:val="1"/>
    <w:autoRedefine/>
    <w:unhideWhenUsed/>
    <w:qFormat/>
    <w:uiPriority w:val="99"/>
    <w:pPr>
      <w:ind w:left="100" w:leftChars="200" w:hanging="200" w:hangingChars="200"/>
      <w:contextualSpacing/>
    </w:pPr>
  </w:style>
  <w:style w:type="paragraph" w:styleId="15">
    <w:name w:val="Plain Text"/>
    <w:basedOn w:val="1"/>
    <w:next w:val="4"/>
    <w:autoRedefine/>
    <w:qFormat/>
    <w:uiPriority w:val="0"/>
    <w:rPr>
      <w:rFonts w:ascii="宋体" w:hAnsi="Courier New"/>
      <w:kern w:val="0"/>
      <w:sz w:val="20"/>
      <w:szCs w:val="21"/>
    </w:rPr>
  </w:style>
  <w:style w:type="paragraph" w:styleId="16">
    <w:name w:val="Date"/>
    <w:basedOn w:val="1"/>
    <w:next w:val="1"/>
    <w:autoRedefine/>
    <w:unhideWhenUsed/>
    <w:qFormat/>
    <w:uiPriority w:val="99"/>
    <w:pPr>
      <w:ind w:left="100" w:leftChars="2500"/>
    </w:pPr>
  </w:style>
  <w:style w:type="paragraph" w:styleId="17">
    <w:name w:val="footer"/>
    <w:basedOn w:val="1"/>
    <w:autoRedefine/>
    <w:unhideWhenUsed/>
    <w:qFormat/>
    <w:uiPriority w:val="99"/>
    <w:pPr>
      <w:tabs>
        <w:tab w:val="center" w:pos="4153"/>
        <w:tab w:val="right" w:pos="8306"/>
      </w:tabs>
      <w:snapToGrid w:val="0"/>
      <w:jc w:val="left"/>
    </w:pPr>
    <w:rPr>
      <w:kern w:val="0"/>
      <w:sz w:val="18"/>
      <w:szCs w:val="18"/>
    </w:rPr>
  </w:style>
  <w:style w:type="paragraph" w:styleId="18">
    <w:name w:val="header"/>
    <w:basedOn w:val="1"/>
    <w:autoRedefine/>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9">
    <w:name w:val="toc 2"/>
    <w:basedOn w:val="1"/>
    <w:next w:val="1"/>
    <w:autoRedefine/>
    <w:unhideWhenUsed/>
    <w:qFormat/>
    <w:uiPriority w:val="39"/>
    <w:pPr>
      <w:tabs>
        <w:tab w:val="right" w:leader="dot" w:pos="8296"/>
      </w:tabs>
      <w:ind w:left="420" w:leftChars="200"/>
    </w:pPr>
  </w:style>
  <w:style w:type="paragraph" w:styleId="20">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21">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22">
    <w:name w:val="Body Text First Indent 2"/>
    <w:basedOn w:val="1"/>
    <w:autoRedefine/>
    <w:qFormat/>
    <w:uiPriority w:val="0"/>
    <w:pPr>
      <w:spacing w:after="120" w:line="240" w:lineRule="auto"/>
      <w:ind w:left="420" w:leftChars="200" w:firstLine="420" w:firstLineChars="200"/>
    </w:pPr>
    <w:rPr>
      <w:rFonts w:ascii="宋体" w:hAnsi="Courier New"/>
      <w:spacing w:val="-4"/>
      <w:sz w:val="18"/>
    </w:rPr>
  </w:style>
  <w:style w:type="character" w:styleId="25">
    <w:name w:val="Hyperlink"/>
    <w:autoRedefine/>
    <w:unhideWhenUsed/>
    <w:qFormat/>
    <w:uiPriority w:val="99"/>
    <w:rPr>
      <w:color w:val="0000FF"/>
      <w:u w:val="single"/>
    </w:rPr>
  </w:style>
  <w:style w:type="paragraph" w:customStyle="1" w:styleId="26">
    <w:name w:val="表格文字"/>
    <w:basedOn w:val="12"/>
    <w:autoRedefine/>
    <w:qFormat/>
    <w:uiPriority w:val="0"/>
    <w:pPr>
      <w:jc w:val="left"/>
    </w:pPr>
    <w:rPr>
      <w:bCs/>
      <w:spacing w:val="10"/>
      <w:sz w:val="24"/>
    </w:rPr>
  </w:style>
  <w:style w:type="paragraph" w:customStyle="1" w:styleId="27">
    <w:name w:val="目录 21"/>
    <w:basedOn w:val="1"/>
    <w:next w:val="1"/>
    <w:autoRedefine/>
    <w:qFormat/>
    <w:uiPriority w:val="0"/>
    <w:pPr>
      <w:spacing w:before="100" w:beforeAutospacing="1" w:after="100" w:afterAutospacing="1"/>
      <w:ind w:left="420" w:leftChars="200"/>
    </w:pPr>
  </w:style>
  <w:style w:type="paragraph" w:customStyle="1" w:styleId="28">
    <w:name w:val="Table Paragraph"/>
    <w:basedOn w:val="1"/>
    <w:autoRedefine/>
    <w:qFormat/>
    <w:uiPriority w:val="1"/>
  </w:style>
  <w:style w:type="paragraph" w:styleId="29">
    <w:name w:val="List Paragraph"/>
    <w:basedOn w:val="1"/>
    <w:autoRedefine/>
    <w:qFormat/>
    <w:uiPriority w:val="34"/>
    <w:pPr>
      <w:ind w:firstLine="420" w:firstLineChars="200"/>
    </w:pPr>
  </w:style>
  <w:style w:type="character" w:customStyle="1" w:styleId="30">
    <w:name w:val="NormalCharacter"/>
    <w:autoRedefine/>
    <w:qFormat/>
    <w:uiPriority w:val="0"/>
  </w:style>
  <w:style w:type="paragraph" w:customStyle="1" w:styleId="31">
    <w:name w:val="正文1"/>
    <w:next w:val="3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
    <w:name w:val="正文文本1"/>
    <w:basedOn w:val="31"/>
    <w:next w:val="31"/>
    <w:autoRedefine/>
    <w:qFormat/>
    <w:uiPriority w:val="0"/>
    <w:rPr>
      <w:rFonts w:ascii="金山简黑体" w:hAnsi="金山简黑体" w:eastAsia="金山简黑体"/>
      <w:b/>
      <w:spacing w:val="-8"/>
      <w:sz w:val="44"/>
      <w:szCs w:val="20"/>
    </w:rPr>
  </w:style>
  <w:style w:type="paragraph" w:customStyle="1" w:styleId="33">
    <w:name w:val="正文2"/>
    <w:basedOn w:val="1"/>
    <w:autoRedefine/>
    <w:qFormat/>
    <w:uiPriority w:val="0"/>
    <w:pPr>
      <w:adjustRightInd w:val="0"/>
      <w:spacing w:before="156" w:line="360" w:lineRule="auto"/>
      <w:ind w:firstLine="510" w:firstLineChars="200"/>
    </w:pPr>
    <w:rPr>
      <w:kern w:val="0"/>
      <w:sz w:val="24"/>
      <w:szCs w:val="20"/>
    </w:rPr>
  </w:style>
  <w:style w:type="paragraph" w:customStyle="1" w:styleId="34">
    <w:name w:val="reader-word-layer reader-word-s1-1"/>
    <w:basedOn w:val="1"/>
    <w:autoRedefine/>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75</Pages>
  <Words>15535</Words>
  <Characters>16546</Characters>
  <Lines>0</Lines>
  <Paragraphs>0</Paragraphs>
  <TotalTime>67</TotalTime>
  <ScaleCrop>false</ScaleCrop>
  <LinksUpToDate>false</LinksUpToDate>
  <CharactersWithSpaces>16887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2022-05-31T08:15:00Z</dcterms:created>
  <dc:creator>吴先森</dc:creator>
  <cp:lastModifiedBy>何艳</cp:lastModifiedBy>
  <dcterms:modified xsi:type="dcterms:W3CDTF">2025-04-24T11:21:04Z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479D9704F4494159A4841C526ED71F92_13</vt:lpwstr>
  </property>
  <property fmtid="{D5CDD505-2E9C-101B-9397-08002B2CF9AE}" pid="4" name="KSOTemplateDocerSaveRecord">
    <vt:lpwstr>eyJoZGlkIjoiOTAzMzY0MDMwMTU3Y2U5MDQ0NGNmMjZlNjcwMTM3YjEiLCJ1c2VySWQiOiI1MjI1OTQxMDYifQ==</vt:lpwstr>
  </property>
</Properties>
</file>