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F6F14">
      <w:pPr>
        <w:pStyle w:val="6"/>
        <w:jc w:val="center"/>
        <w:rPr>
          <w:rFonts w:hint="eastAsia"/>
          <w:color w:val="auto"/>
          <w:highlight w:val="none"/>
        </w:rPr>
      </w:pPr>
      <w:r>
        <w:rPr>
          <w:rFonts w:hint="eastAsia" w:ascii="仿宋_GB2312" w:hAnsi="宋体" w:eastAsia="仿宋_GB2312"/>
          <w:b/>
          <w:color w:val="auto"/>
          <w:sz w:val="48"/>
          <w:szCs w:val="48"/>
          <w:highlight w:val="none"/>
          <w:lang w:eastAsia="zh-CN"/>
        </w:rPr>
        <w:t>梧州市公安局交通警察支队无人机智慧机场服务项目</w:t>
      </w:r>
    </w:p>
    <w:p w14:paraId="08FE27D2">
      <w:pPr>
        <w:rPr>
          <w:rFonts w:hint="eastAsia"/>
          <w:color w:val="auto"/>
          <w:highlight w:val="none"/>
        </w:rPr>
      </w:pPr>
    </w:p>
    <w:p w14:paraId="53B775B9">
      <w:pPr>
        <w:pStyle w:val="6"/>
        <w:rPr>
          <w:rFonts w:hint="eastAsia"/>
          <w:color w:val="auto"/>
          <w:highlight w:val="none"/>
        </w:rPr>
      </w:pPr>
    </w:p>
    <w:p w14:paraId="39510F61">
      <w:pPr>
        <w:rPr>
          <w:rFonts w:hint="eastAsia"/>
          <w:color w:val="auto"/>
          <w:highlight w:val="none"/>
        </w:rPr>
      </w:pPr>
    </w:p>
    <w:p w14:paraId="484B3A4F">
      <w:pPr>
        <w:rPr>
          <w:rFonts w:hint="eastAsia"/>
          <w:color w:val="auto"/>
          <w:highlight w:val="none"/>
        </w:rPr>
      </w:pPr>
    </w:p>
    <w:p w14:paraId="27A64235">
      <w:pPr>
        <w:rPr>
          <w:rFonts w:hint="eastAsia"/>
          <w:color w:val="auto"/>
          <w:highlight w:val="none"/>
        </w:rPr>
      </w:pPr>
    </w:p>
    <w:p w14:paraId="48FADD2A">
      <w:pPr>
        <w:rPr>
          <w:rFonts w:hint="eastAsia"/>
          <w:color w:val="auto"/>
          <w:highlight w:val="none"/>
        </w:rPr>
      </w:pPr>
    </w:p>
    <w:p w14:paraId="0795A792">
      <w:pPr>
        <w:rPr>
          <w:rFonts w:hint="eastAsia"/>
          <w:color w:val="auto"/>
          <w:highlight w:val="none"/>
        </w:rPr>
      </w:pPr>
    </w:p>
    <w:p w14:paraId="7199A76C">
      <w:pPr>
        <w:rPr>
          <w:rFonts w:hint="eastAsia"/>
          <w:color w:val="auto"/>
          <w:highlight w:val="none"/>
        </w:rPr>
      </w:pPr>
    </w:p>
    <w:p w14:paraId="0B1B37C6">
      <w:pPr>
        <w:rPr>
          <w:rFonts w:hint="eastAsia"/>
          <w:color w:val="auto"/>
          <w:highlight w:val="none"/>
        </w:rPr>
      </w:pPr>
    </w:p>
    <w:p w14:paraId="43E204E1">
      <w:pPr>
        <w:snapToGrid w:val="0"/>
        <w:spacing w:before="156" w:beforeLines="50" w:line="360" w:lineRule="auto"/>
        <w:jc w:val="center"/>
        <w:rPr>
          <w:rFonts w:ascii="方正小标宋简体" w:hAnsi="方正小标宋简体" w:eastAsia="方正小标宋简体" w:cs="方正小标宋简体"/>
          <w:color w:val="auto"/>
          <w:sz w:val="84"/>
          <w:szCs w:val="84"/>
          <w:highlight w:val="none"/>
        </w:rPr>
      </w:pPr>
      <w:r>
        <w:rPr>
          <w:rFonts w:hint="eastAsia" w:ascii="华文新魏" w:hAnsi="宋体" w:eastAsia="华文新魏"/>
          <w:color w:val="auto"/>
          <w:sz w:val="84"/>
          <w:szCs w:val="84"/>
          <w:highlight w:val="none"/>
        </w:rPr>
        <w:t>竞争性磋商文件</w:t>
      </w:r>
    </w:p>
    <w:p w14:paraId="0AB8EA84">
      <w:pPr>
        <w:spacing w:line="360" w:lineRule="auto"/>
        <w:jc w:val="center"/>
        <w:rPr>
          <w:rFonts w:ascii="宋体" w:hAnsi="宋体"/>
          <w:b/>
          <w:color w:val="auto"/>
          <w:sz w:val="32"/>
          <w:szCs w:val="32"/>
          <w:highlight w:val="none"/>
        </w:rPr>
      </w:pPr>
    </w:p>
    <w:p w14:paraId="64C6DDB0">
      <w:pPr>
        <w:pStyle w:val="29"/>
        <w:ind w:firstLine="640"/>
        <w:rPr>
          <w:rFonts w:hint="eastAsia" w:ascii="宋体" w:hAnsi="宋体" w:eastAsia="微软雅黑"/>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bCs/>
          <w:color w:val="auto"/>
          <w:sz w:val="32"/>
          <w:szCs w:val="32"/>
          <w:highlight w:val="none"/>
          <w:lang w:eastAsia="zh-CN"/>
        </w:rPr>
        <w:t>WZZC2025-C3-990013-GXJL</w:t>
      </w:r>
    </w:p>
    <w:p w14:paraId="675953EC">
      <w:pPr>
        <w:rPr>
          <w:rFonts w:ascii="宋体" w:hAnsi="宋体"/>
          <w:b/>
          <w:color w:val="auto"/>
          <w:sz w:val="32"/>
          <w:szCs w:val="32"/>
          <w:highlight w:val="none"/>
        </w:rPr>
      </w:pPr>
    </w:p>
    <w:p w14:paraId="4F1E72C9">
      <w:pPr>
        <w:pStyle w:val="29"/>
        <w:ind w:firstLine="640"/>
        <w:rPr>
          <w:rFonts w:ascii="宋体" w:hAnsi="宋体"/>
          <w:b/>
          <w:color w:val="auto"/>
          <w:sz w:val="32"/>
          <w:szCs w:val="32"/>
          <w:highlight w:val="none"/>
        </w:rPr>
      </w:pPr>
    </w:p>
    <w:p w14:paraId="646FD070">
      <w:pPr>
        <w:rPr>
          <w:rFonts w:ascii="宋体" w:hAnsi="宋体"/>
          <w:b/>
          <w:color w:val="auto"/>
          <w:sz w:val="32"/>
          <w:szCs w:val="32"/>
          <w:highlight w:val="none"/>
        </w:rPr>
      </w:pPr>
    </w:p>
    <w:p w14:paraId="4C0B326A">
      <w:pPr>
        <w:pStyle w:val="29"/>
        <w:ind w:firstLine="640"/>
        <w:rPr>
          <w:rFonts w:ascii="宋体" w:hAnsi="宋体"/>
          <w:b/>
          <w:color w:val="auto"/>
          <w:sz w:val="32"/>
          <w:szCs w:val="32"/>
          <w:highlight w:val="none"/>
        </w:rPr>
      </w:pPr>
    </w:p>
    <w:p w14:paraId="701E0E2A">
      <w:pPr>
        <w:rPr>
          <w:rFonts w:ascii="宋体" w:hAnsi="宋体"/>
          <w:b/>
          <w:color w:val="auto"/>
          <w:sz w:val="32"/>
          <w:szCs w:val="32"/>
          <w:highlight w:val="none"/>
        </w:rPr>
      </w:pPr>
    </w:p>
    <w:p w14:paraId="4C6FA0FB">
      <w:pPr>
        <w:pStyle w:val="29"/>
        <w:ind w:firstLine="640"/>
        <w:rPr>
          <w:rFonts w:ascii="宋体" w:hAnsi="宋体"/>
          <w:b/>
          <w:color w:val="auto"/>
          <w:sz w:val="32"/>
          <w:szCs w:val="32"/>
          <w:highlight w:val="none"/>
        </w:rPr>
      </w:pPr>
    </w:p>
    <w:p w14:paraId="5C70DBD9">
      <w:pPr>
        <w:rPr>
          <w:rFonts w:hint="eastAsia"/>
          <w:color w:val="auto"/>
          <w:highlight w:val="none"/>
        </w:rPr>
      </w:pPr>
    </w:p>
    <w:p w14:paraId="53E1395B">
      <w:pPr>
        <w:spacing w:line="360" w:lineRule="auto"/>
        <w:ind w:firstLine="1446" w:firstLineChars="450"/>
        <w:rPr>
          <w:rFonts w:hint="eastAsia" w:eastAsia="仿宋_GB2312"/>
          <w:b/>
          <w:bCs/>
          <w:color w:val="auto"/>
          <w:sz w:val="32"/>
          <w:szCs w:val="32"/>
          <w:highlight w:val="none"/>
        </w:rPr>
      </w:pPr>
    </w:p>
    <w:p w14:paraId="413C4B63">
      <w:pPr>
        <w:spacing w:line="360" w:lineRule="auto"/>
        <w:ind w:firstLine="1430" w:firstLineChars="445"/>
        <w:rPr>
          <w:rFonts w:hint="eastAsia" w:ascii="仿宋_GB2312" w:hAnsi="宋体" w:eastAsia="仿宋_GB2312"/>
          <w:b/>
          <w:color w:val="auto"/>
          <w:sz w:val="32"/>
          <w:szCs w:val="32"/>
          <w:highlight w:val="none"/>
          <w:lang w:eastAsia="zh-CN"/>
        </w:rPr>
      </w:pPr>
      <w:r>
        <w:rPr>
          <w:rFonts w:hint="eastAsia" w:ascii="仿宋_GB2312" w:hAnsi="宋体" w:eastAsia="仿宋_GB2312"/>
          <w:b/>
          <w:color w:val="auto"/>
          <w:sz w:val="32"/>
          <w:szCs w:val="32"/>
          <w:highlight w:val="none"/>
        </w:rPr>
        <w:t>采 购 人：</w:t>
      </w:r>
      <w:r>
        <w:rPr>
          <w:rFonts w:hint="eastAsia" w:ascii="仿宋_GB2312" w:hAnsi="宋体" w:eastAsia="仿宋_GB2312"/>
          <w:b/>
          <w:color w:val="auto"/>
          <w:sz w:val="32"/>
          <w:szCs w:val="32"/>
          <w:highlight w:val="none"/>
          <w:lang w:eastAsia="zh-CN"/>
        </w:rPr>
        <w:t>梧州市公安局交通警察支队</w:t>
      </w:r>
    </w:p>
    <w:p w14:paraId="7EFAAAA1">
      <w:pPr>
        <w:spacing w:line="360" w:lineRule="auto"/>
        <w:ind w:firstLine="1430" w:firstLineChars="445"/>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 xml:space="preserve">采购代理机构：广西建隆工程咨询有限公司 </w:t>
      </w:r>
    </w:p>
    <w:p w14:paraId="11BE36D8">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202</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1</w:t>
      </w:r>
      <w:r>
        <w:rPr>
          <w:rFonts w:hint="eastAsia" w:ascii="仿宋_GB2312" w:hAnsi="宋体" w:eastAsia="仿宋_GB2312"/>
          <w:b/>
          <w:color w:val="auto"/>
          <w:sz w:val="32"/>
          <w:szCs w:val="32"/>
          <w:highlight w:val="none"/>
        </w:rPr>
        <w:t>月</w:t>
      </w:r>
    </w:p>
    <w:p w14:paraId="7B970B55">
      <w:pPr>
        <w:spacing w:line="360" w:lineRule="auto"/>
        <w:jc w:val="center"/>
        <w:rPr>
          <w:rFonts w:ascii="宋体" w:hAnsi="宋体"/>
          <w:b/>
          <w:color w:val="auto"/>
          <w:sz w:val="44"/>
          <w:szCs w:val="44"/>
          <w:highlight w:val="none"/>
        </w:rPr>
        <w:sectPr>
          <w:headerReference r:id="rId3" w:type="default"/>
          <w:pgSz w:w="11906" w:h="16838"/>
          <w:pgMar w:top="1440" w:right="1440" w:bottom="1440" w:left="1587" w:header="851" w:footer="992" w:gutter="0"/>
          <w:cols w:space="720" w:num="1"/>
          <w:titlePg/>
          <w:docGrid w:type="lines" w:linePitch="312" w:charSpace="0"/>
        </w:sectPr>
      </w:pPr>
    </w:p>
    <w:p w14:paraId="3E412526">
      <w:pPr>
        <w:autoSpaceDE w:val="0"/>
        <w:autoSpaceDN w:val="0"/>
        <w:spacing w:before="28"/>
        <w:ind w:left="158"/>
        <w:jc w:val="center"/>
        <w:rPr>
          <w:rFonts w:ascii="黑体" w:hAnsi="宋体" w:eastAsia="黑体" w:cs="宋体"/>
          <w:b/>
          <w:bCs/>
          <w:color w:val="auto"/>
          <w:sz w:val="52"/>
          <w:szCs w:val="52"/>
          <w:highlight w:val="none"/>
        </w:rPr>
      </w:pPr>
      <w:r>
        <w:rPr>
          <w:rFonts w:hint="eastAsia" w:ascii="黑体" w:hAnsi="宋体" w:eastAsia="黑体" w:cs="黑体"/>
          <w:b/>
          <w:bCs/>
          <w:color w:val="auto"/>
          <w:sz w:val="52"/>
          <w:szCs w:val="52"/>
          <w:highlight w:val="none"/>
        </w:rPr>
        <w:t>目</w:t>
      </w:r>
      <w:r>
        <w:rPr>
          <w:rFonts w:hint="eastAsia" w:ascii="黑体" w:hAnsi="宋体" w:eastAsia="黑体" w:cs="宋体"/>
          <w:b/>
          <w:bCs/>
          <w:color w:val="auto"/>
          <w:sz w:val="52"/>
          <w:szCs w:val="52"/>
          <w:highlight w:val="none"/>
        </w:rPr>
        <w:tab/>
      </w:r>
      <w:r>
        <w:rPr>
          <w:rFonts w:hint="eastAsia" w:ascii="黑体" w:hAnsi="宋体" w:eastAsia="黑体" w:cs="宋体"/>
          <w:b/>
          <w:bCs/>
          <w:color w:val="auto"/>
          <w:sz w:val="52"/>
          <w:szCs w:val="52"/>
          <w:highlight w:val="none"/>
        </w:rPr>
        <w:t xml:space="preserve"> </w:t>
      </w:r>
      <w:r>
        <w:rPr>
          <w:rFonts w:hint="eastAsia" w:ascii="黑体" w:hAnsi="宋体" w:eastAsia="黑体" w:cs="黑体"/>
          <w:b/>
          <w:bCs/>
          <w:color w:val="auto"/>
          <w:sz w:val="52"/>
          <w:szCs w:val="52"/>
          <w:highlight w:val="none"/>
        </w:rPr>
        <w:t>录</w:t>
      </w:r>
    </w:p>
    <w:p w14:paraId="4214B7EE">
      <w:pPr>
        <w:autoSpaceDE w:val="0"/>
        <w:autoSpaceDN w:val="0"/>
        <w:spacing w:before="28"/>
        <w:ind w:left="158"/>
        <w:jc w:val="center"/>
        <w:rPr>
          <w:rFonts w:ascii="黑体" w:hAnsi="宋体" w:eastAsia="黑体" w:cs="宋体"/>
          <w:b/>
          <w:bCs/>
          <w:color w:val="auto"/>
          <w:sz w:val="52"/>
          <w:szCs w:val="52"/>
          <w:highlight w:val="none"/>
        </w:rPr>
      </w:pPr>
      <w:r>
        <w:rPr>
          <w:rFonts w:hint="eastAsia" w:ascii="黑体" w:hAnsi="宋体" w:eastAsia="黑体" w:cs="宋体"/>
          <w:b/>
          <w:bCs/>
          <w:color w:val="auto"/>
          <w:sz w:val="52"/>
          <w:szCs w:val="52"/>
          <w:highlight w:val="none"/>
        </w:rPr>
        <w:t xml:space="preserve"> </w:t>
      </w:r>
    </w:p>
    <w:p w14:paraId="02E4BA4B">
      <w:pPr>
        <w:autoSpaceDE w:val="0"/>
        <w:autoSpaceDN w:val="0"/>
        <w:spacing w:before="189"/>
        <w:ind w:left="392"/>
        <w:jc w:val="left"/>
        <w:rPr>
          <w:rFonts w:ascii="宋体" w:hAnsi="宋体" w:cs="宋体"/>
          <w:b/>
          <w:color w:val="auto"/>
          <w:sz w:val="30"/>
          <w:szCs w:val="30"/>
          <w:highlight w:val="none"/>
        </w:rPr>
      </w:pPr>
      <w:r>
        <w:rPr>
          <w:rFonts w:hint="eastAsia" w:ascii="宋体" w:hAnsi="宋体" w:cs="宋体"/>
          <w:b/>
          <w:color w:val="auto"/>
          <w:sz w:val="30"/>
          <w:szCs w:val="30"/>
          <w:highlight w:val="none"/>
        </w:rPr>
        <w:t>第一章   竞争性磋商公告................... ............. ..2</w:t>
      </w:r>
    </w:p>
    <w:p w14:paraId="55A80830">
      <w:pPr>
        <w:autoSpaceDE w:val="0"/>
        <w:autoSpaceDN w:val="0"/>
        <w:spacing w:before="189"/>
        <w:ind w:left="392"/>
        <w:jc w:val="left"/>
        <w:rPr>
          <w:rFonts w:ascii="宋体" w:hAnsi="宋体" w:cs="宋体"/>
          <w:b/>
          <w:color w:val="auto"/>
          <w:sz w:val="30"/>
          <w:szCs w:val="30"/>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Style w:val="23"/>
          <w:rFonts w:hint="eastAsia" w:ascii="宋体" w:hAnsi="宋体" w:cs="宋体"/>
          <w:b/>
          <w:color w:val="auto"/>
          <w:sz w:val="30"/>
          <w:szCs w:val="30"/>
          <w:highlight w:val="none"/>
          <w:u w:val="none"/>
        </w:rPr>
        <w:t>第二章</w:t>
      </w:r>
      <w:r>
        <w:rPr>
          <w:rStyle w:val="23"/>
          <w:rFonts w:hint="eastAsia" w:ascii="宋体" w:hAnsi="宋体" w:cs="宋体"/>
          <w:b/>
          <w:color w:val="auto"/>
          <w:sz w:val="30"/>
          <w:szCs w:val="30"/>
          <w:highlight w:val="none"/>
          <w:u w:val="none"/>
        </w:rPr>
        <w:tab/>
      </w:r>
      <w:r>
        <w:rPr>
          <w:rStyle w:val="23"/>
          <w:rFonts w:hint="eastAsia" w:ascii="宋体" w:hAnsi="宋体" w:cs="宋体"/>
          <w:b/>
          <w:color w:val="auto"/>
          <w:sz w:val="30"/>
          <w:szCs w:val="30"/>
          <w:highlight w:val="none"/>
          <w:u w:val="none"/>
        </w:rPr>
        <w:t>磋商供应商须知及前附表................... ........4</w:t>
      </w:r>
      <w:r>
        <w:rPr>
          <w:rStyle w:val="23"/>
          <w:rFonts w:hint="eastAsia" w:ascii="宋体" w:hAnsi="宋体" w:cs="宋体"/>
          <w:b/>
          <w:color w:val="auto"/>
          <w:sz w:val="30"/>
          <w:szCs w:val="30"/>
          <w:highlight w:val="none"/>
          <w:u w:val="none"/>
        </w:rPr>
        <w:fldChar w:fldCharType="end"/>
      </w:r>
    </w:p>
    <w:p w14:paraId="32BE93DB">
      <w:pPr>
        <w:autoSpaceDE w:val="0"/>
        <w:autoSpaceDN w:val="0"/>
        <w:spacing w:before="189"/>
        <w:ind w:left="392"/>
        <w:jc w:val="left"/>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第三章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需求一览表............................. ... ......1</w:t>
      </w:r>
      <w:r>
        <w:rPr>
          <w:rFonts w:hint="eastAsia" w:ascii="宋体" w:hAnsi="宋体" w:cs="宋体"/>
          <w:b/>
          <w:color w:val="auto"/>
          <w:sz w:val="30"/>
          <w:szCs w:val="30"/>
          <w:highlight w:val="none"/>
          <w:lang w:val="en-US" w:eastAsia="zh-CN"/>
        </w:rPr>
        <w:t>4</w:t>
      </w:r>
    </w:p>
    <w:p w14:paraId="0582655E">
      <w:pPr>
        <w:autoSpaceDE w:val="0"/>
        <w:autoSpaceDN w:val="0"/>
        <w:spacing w:before="190"/>
        <w:ind w:left="392"/>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第四章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合同书（格式）..................... ... ..........</w:t>
      </w:r>
      <w:r>
        <w:rPr>
          <w:rFonts w:hint="eastAsia" w:ascii="宋体" w:hAnsi="宋体" w:cs="宋体"/>
          <w:b/>
          <w:color w:val="auto"/>
          <w:sz w:val="30"/>
          <w:szCs w:val="30"/>
          <w:highlight w:val="none"/>
          <w:lang w:val="en-US" w:eastAsia="zh-CN"/>
        </w:rPr>
        <w:t>20</w:t>
      </w:r>
    </w:p>
    <w:p w14:paraId="3D236E17">
      <w:pPr>
        <w:autoSpaceDE w:val="0"/>
        <w:autoSpaceDN w:val="0"/>
        <w:spacing w:before="189"/>
        <w:ind w:left="392"/>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第五章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评标办法.. .. .. ................ ... ............</w:t>
      </w:r>
      <w:r>
        <w:rPr>
          <w:rFonts w:hint="eastAsia" w:ascii="宋体" w:hAnsi="宋体" w:cs="宋体"/>
          <w:b/>
          <w:color w:val="auto"/>
          <w:sz w:val="30"/>
          <w:szCs w:val="30"/>
          <w:highlight w:val="none"/>
          <w:lang w:val="en-US" w:eastAsia="zh-CN"/>
        </w:rPr>
        <w:t>27</w:t>
      </w:r>
    </w:p>
    <w:p w14:paraId="3FEBCC3E">
      <w:pPr>
        <w:autoSpaceDE w:val="0"/>
        <w:autoSpaceDN w:val="0"/>
        <w:spacing w:before="189"/>
        <w:ind w:left="392"/>
        <w:jc w:val="left"/>
        <w:rPr>
          <w:rFonts w:hint="default" w:ascii="宋体" w:hAnsi="宋体" w:eastAsia="宋体" w:cs="宋体"/>
          <w:b/>
          <w:bCs/>
          <w:color w:val="auto"/>
          <w:sz w:val="28"/>
          <w:szCs w:val="28"/>
          <w:highlight w:val="none"/>
          <w:lang w:val="en-US" w:eastAsia="zh-CN"/>
        </w:rPr>
        <w:sectPr>
          <w:pgSz w:w="11910" w:h="16840"/>
          <w:pgMar w:top="1100" w:right="900" w:bottom="920" w:left="1276" w:header="720" w:footer="720" w:gutter="0"/>
          <w:cols w:space="0" w:num="1"/>
          <w:titlePg/>
          <w:docGrid w:type="lines" w:linePitch="299" w:charSpace="0"/>
        </w:sectPr>
      </w:pPr>
      <w:r>
        <w:rPr>
          <w:rFonts w:hint="eastAsia" w:ascii="宋体" w:hAnsi="宋体" w:cs="宋体"/>
          <w:b/>
          <w:color w:val="auto"/>
          <w:sz w:val="30"/>
          <w:szCs w:val="30"/>
          <w:highlight w:val="none"/>
        </w:rPr>
        <w:t>第六章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竞争性磋商响应文件格式........... ... ............</w:t>
      </w:r>
      <w:r>
        <w:rPr>
          <w:rFonts w:hint="eastAsia" w:ascii="宋体" w:hAnsi="宋体" w:cs="宋体"/>
          <w:b/>
          <w:color w:val="auto"/>
          <w:sz w:val="30"/>
          <w:szCs w:val="30"/>
          <w:highlight w:val="none"/>
          <w:lang w:val="en-US" w:eastAsia="zh-CN"/>
        </w:rPr>
        <w:t>32</w:t>
      </w:r>
    </w:p>
    <w:p w14:paraId="347B2BE4">
      <w:pPr>
        <w:pStyle w:val="2"/>
        <w:spacing w:line="240" w:lineRule="auto"/>
        <w:jc w:val="center"/>
        <w:rPr>
          <w:rFonts w:hint="eastAsia"/>
          <w:color w:val="auto"/>
          <w:sz w:val="32"/>
          <w:szCs w:val="32"/>
          <w:highlight w:val="none"/>
        </w:rPr>
      </w:pPr>
      <w:bookmarkStart w:id="0" w:name="_Toc74323062"/>
      <w:r>
        <w:rPr>
          <w:rFonts w:hint="eastAsia"/>
          <w:color w:val="auto"/>
          <w:sz w:val="32"/>
          <w:szCs w:val="32"/>
          <w:highlight w:val="none"/>
        </w:rPr>
        <w:t>第一章 竞争性磋商公告</w:t>
      </w:r>
      <w:bookmarkEnd w:id="0"/>
    </w:p>
    <w:p w14:paraId="316EBDFF">
      <w:pPr>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广西建隆工程咨询有限公司  关于</w:t>
      </w:r>
      <w:r>
        <w:rPr>
          <w:rFonts w:hint="eastAsia" w:ascii="仿宋" w:hAnsi="仿宋" w:eastAsia="仿宋" w:cs="仿宋"/>
          <w:b/>
          <w:color w:val="auto"/>
          <w:sz w:val="32"/>
          <w:szCs w:val="32"/>
          <w:highlight w:val="none"/>
          <w:lang w:eastAsia="zh-CN"/>
        </w:rPr>
        <w:t>梧州市公安局交通警察支队无人机智慧机场服务项目</w:t>
      </w:r>
      <w:r>
        <w:rPr>
          <w:rFonts w:hint="eastAsia" w:ascii="仿宋" w:hAnsi="仿宋" w:eastAsia="仿宋" w:cs="仿宋"/>
          <w:b/>
          <w:color w:val="auto"/>
          <w:sz w:val="32"/>
          <w:szCs w:val="32"/>
          <w:highlight w:val="none"/>
          <w:lang w:val="en-US" w:eastAsia="zh-CN"/>
        </w:rPr>
        <w:t>采购项目</w:t>
      </w:r>
    </w:p>
    <w:p w14:paraId="2A3A60CD">
      <w:pPr>
        <w:jc w:val="center"/>
        <w:rPr>
          <w:rFonts w:ascii="宋体" w:hAnsi="宋体"/>
          <w:color w:val="auto"/>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WZZC2025-C3-990013-GXJL</w:t>
      </w:r>
      <w:r>
        <w:rPr>
          <w:rFonts w:hint="eastAsia" w:ascii="仿宋" w:hAnsi="仿宋" w:eastAsia="仿宋" w:cs="仿宋"/>
          <w:b/>
          <w:color w:val="auto"/>
          <w:sz w:val="32"/>
          <w:szCs w:val="32"/>
          <w:highlight w:val="none"/>
        </w:rPr>
        <w:t>）竞争性磋商公告</w:t>
      </w:r>
    </w:p>
    <w:p w14:paraId="6303EDE4">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color w:val="auto"/>
          <w:highlight w:val="none"/>
        </w:rPr>
      </w:pPr>
      <w:r>
        <w:rPr>
          <w:rFonts w:hint="eastAsia" w:ascii="宋体" w:hAnsi="宋体"/>
          <w:color w:val="auto"/>
          <w:highlight w:val="none"/>
        </w:rPr>
        <w:t>项目概况</w:t>
      </w:r>
    </w:p>
    <w:p w14:paraId="20C2C7CA">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color w:val="auto"/>
          <w:highlight w:val="none"/>
        </w:rPr>
      </w:pPr>
      <w:r>
        <w:rPr>
          <w:rFonts w:hint="eastAsia" w:ascii="宋体" w:hAnsi="宋体"/>
          <w:color w:val="auto"/>
          <w:highlight w:val="none"/>
        </w:rPr>
        <w:t>项目的潜在供应商</w:t>
      </w:r>
      <w:r>
        <w:rPr>
          <w:rFonts w:hint="eastAsia" w:ascii="宋体" w:hAnsi="宋体" w:cs="宋体"/>
          <w:color w:val="auto"/>
          <w:highlight w:val="none"/>
        </w:rPr>
        <w:t>应登陆云平台自行下载采购文件，并于</w:t>
      </w:r>
      <w:r>
        <w:rPr>
          <w:rFonts w:hint="eastAsia" w:ascii="宋体" w:hAnsi="宋体" w:cs="宋体"/>
          <w:color w:val="auto"/>
          <w:highlight w:val="none"/>
          <w:lang w:eastAsia="zh-CN"/>
        </w:rPr>
        <w:t>2025年1月</w:t>
      </w:r>
      <w:r>
        <w:rPr>
          <w:rFonts w:hint="eastAsia" w:ascii="宋体" w:hAnsi="宋体" w:cs="宋体"/>
          <w:color w:val="auto"/>
          <w:highlight w:val="none"/>
          <w:lang w:val="en-US" w:eastAsia="zh-CN"/>
        </w:rPr>
        <w:t>20</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15</w:t>
      </w:r>
      <w:r>
        <w:rPr>
          <w:rFonts w:hint="eastAsia" w:ascii="宋体" w:hAnsi="宋体" w:cs="宋体"/>
          <w:color w:val="auto"/>
          <w:highlight w:val="none"/>
        </w:rPr>
        <w:t>点</w:t>
      </w:r>
      <w:r>
        <w:rPr>
          <w:rFonts w:hint="eastAsia" w:ascii="宋体" w:hAnsi="宋体" w:cs="宋体"/>
          <w:color w:val="auto"/>
          <w:highlight w:val="none"/>
          <w:lang w:val="en-US" w:eastAsia="zh-CN"/>
        </w:rPr>
        <w:t>0</w:t>
      </w:r>
      <w:r>
        <w:rPr>
          <w:rFonts w:hint="eastAsia" w:ascii="宋体" w:hAnsi="宋体" w:cs="宋体"/>
          <w:color w:val="auto"/>
          <w:highlight w:val="none"/>
        </w:rPr>
        <w:t>0分（北京时间）前</w:t>
      </w:r>
      <w:r>
        <w:rPr>
          <w:rFonts w:hint="eastAsia" w:ascii="宋体" w:hAnsi="宋体"/>
          <w:color w:val="auto"/>
          <w:highlight w:val="none"/>
        </w:rPr>
        <w:t>通过</w:t>
      </w:r>
      <w:r>
        <w:rPr>
          <w:rFonts w:hint="eastAsia" w:ascii="宋体" w:hAnsi="宋体"/>
          <w:color w:val="auto"/>
          <w:highlight w:val="none"/>
          <w:lang w:eastAsia="zh-CN"/>
        </w:rPr>
        <w:t>广西政府采购云平台</w:t>
      </w:r>
      <w:r>
        <w:rPr>
          <w:rFonts w:hint="eastAsia" w:ascii="宋体" w:hAnsi="宋体"/>
          <w:color w:val="auto"/>
          <w:highlight w:val="none"/>
        </w:rPr>
        <w:t>在线提交</w:t>
      </w:r>
      <w:r>
        <w:rPr>
          <w:rFonts w:hint="eastAsia" w:ascii="宋体" w:hAnsi="宋体" w:cs="宋体"/>
          <w:color w:val="auto"/>
          <w:highlight w:val="none"/>
        </w:rPr>
        <w:t>。</w:t>
      </w:r>
    </w:p>
    <w:p w14:paraId="19062E8E">
      <w:pPr>
        <w:autoSpaceDE w:val="0"/>
        <w:autoSpaceDN w:val="0"/>
        <w:spacing w:before="100" w:line="300" w:lineRule="auto"/>
        <w:ind w:right="109" w:firstLine="480"/>
        <w:jc w:val="left"/>
        <w:rPr>
          <w:rFonts w:ascii="宋体" w:hAnsi="宋体"/>
          <w:color w:val="auto"/>
          <w:highlight w:val="none"/>
        </w:rPr>
      </w:pPr>
      <w:r>
        <w:rPr>
          <w:rFonts w:hint="eastAsia" w:ascii="宋体" w:hAnsi="宋体" w:cs="宋体"/>
          <w:color w:val="auto"/>
          <w:highlight w:val="none"/>
        </w:rPr>
        <w:t>根据《中华人民共和国政府采购法》、《中华人民共和国政府采购法实施条例》、《政府采购非招标采购方式管理办法》等规定，经财政部门批准，现受</w:t>
      </w:r>
      <w:r>
        <w:rPr>
          <w:rFonts w:hint="eastAsia" w:ascii="宋体" w:hAnsi="宋体" w:cs="宋体"/>
          <w:color w:val="auto"/>
          <w:highlight w:val="none"/>
          <w:lang w:eastAsia="zh-CN"/>
        </w:rPr>
        <w:t>梧州市公安局交通警察支队</w:t>
      </w:r>
      <w:r>
        <w:rPr>
          <w:rFonts w:hint="eastAsia" w:ascii="宋体" w:hAnsi="宋体" w:cs="宋体"/>
          <w:color w:val="auto"/>
          <w:highlight w:val="none"/>
        </w:rPr>
        <w:t>委托，对</w:t>
      </w:r>
      <w:r>
        <w:rPr>
          <w:rFonts w:hint="eastAsia" w:ascii="宋体" w:hAnsi="宋体" w:cs="宋体"/>
          <w:b/>
          <w:color w:val="auto"/>
          <w:highlight w:val="none"/>
          <w:lang w:eastAsia="zh-CN"/>
        </w:rPr>
        <w:t>梧州市公安局交通警察支队无人机智慧机场服务项目</w:t>
      </w:r>
      <w:r>
        <w:rPr>
          <w:rFonts w:hint="eastAsia" w:ascii="宋体" w:hAnsi="宋体" w:cs="宋体"/>
          <w:color w:val="auto"/>
          <w:highlight w:val="none"/>
        </w:rPr>
        <w:t>进行国内竞争性磋商采购，欢迎符合条件的供应商前来竞标：</w:t>
      </w:r>
    </w:p>
    <w:p w14:paraId="47B94AD6">
      <w:pPr>
        <w:numPr>
          <w:ilvl w:val="0"/>
          <w:numId w:val="1"/>
        </w:numPr>
        <w:autoSpaceDE w:val="0"/>
        <w:autoSpaceDN w:val="0"/>
        <w:spacing w:before="132" w:line="300" w:lineRule="auto"/>
        <w:ind w:left="420" w:leftChars="0" w:firstLineChars="0"/>
        <w:jc w:val="left"/>
        <w:rPr>
          <w:rFonts w:hint="eastAsia" w:ascii="宋体" w:hAnsi="宋体" w:cs="宋体"/>
          <w:color w:val="auto"/>
          <w:highlight w:val="none"/>
          <w:lang w:eastAsia="zh-CN"/>
        </w:rPr>
      </w:pPr>
      <w:r>
        <w:rPr>
          <w:rFonts w:hint="eastAsia" w:ascii="宋体" w:hAnsi="宋体" w:eastAsia="黑体" w:cs="宋体"/>
          <w:b/>
          <w:bCs/>
          <w:color w:val="auto"/>
          <w:sz w:val="24"/>
          <w:szCs w:val="24"/>
          <w:highlight w:val="none"/>
          <w:lang w:val="en-US" w:eastAsia="zh-CN" w:bidi="ar-SA"/>
        </w:rPr>
        <w:t>项目名称：梧州市公安局交通警察支队无人机智慧机场服务项目</w:t>
      </w:r>
    </w:p>
    <w:p w14:paraId="163B09E6">
      <w:pPr>
        <w:numPr>
          <w:ilvl w:val="0"/>
          <w:numId w:val="0"/>
        </w:numPr>
        <w:autoSpaceDE w:val="0"/>
        <w:autoSpaceDN w:val="0"/>
        <w:spacing w:before="132" w:line="300" w:lineRule="auto"/>
        <w:ind w:firstLine="843" w:firstLineChars="400"/>
        <w:jc w:val="left"/>
        <w:rPr>
          <w:rFonts w:ascii="宋体" w:hAnsi="宋体" w:cs="宋体"/>
          <w:color w:val="auto"/>
          <w:highlight w:val="none"/>
        </w:rPr>
      </w:pPr>
      <w:r>
        <w:rPr>
          <w:rFonts w:hint="eastAsia" w:ascii="宋体" w:hAnsi="宋体" w:cs="宋体"/>
          <w:b/>
          <w:bCs/>
          <w:color w:val="auto"/>
          <w:highlight w:val="none"/>
        </w:rPr>
        <w:t>项目编号</w:t>
      </w:r>
      <w:r>
        <w:rPr>
          <w:rFonts w:hint="eastAsia" w:ascii="宋体" w:hAnsi="宋体" w:cs="宋体"/>
          <w:color w:val="auto"/>
          <w:highlight w:val="none"/>
        </w:rPr>
        <w:t>：</w:t>
      </w:r>
      <w:r>
        <w:rPr>
          <w:rFonts w:hint="eastAsia" w:ascii="宋体" w:hAnsi="宋体" w:cs="宋体"/>
          <w:color w:val="auto"/>
          <w:highlight w:val="none"/>
          <w:lang w:eastAsia="zh-CN"/>
        </w:rPr>
        <w:t>WZZC2025-C3-990013-GXJL</w:t>
      </w:r>
      <w:r>
        <w:rPr>
          <w:rFonts w:hint="eastAsia" w:ascii="宋体" w:hAnsi="宋体" w:cs="宋体"/>
          <w:color w:val="auto"/>
          <w:highlight w:val="none"/>
        </w:rPr>
        <w:t>　</w:t>
      </w:r>
    </w:p>
    <w:p w14:paraId="0D8C80C7">
      <w:pPr>
        <w:autoSpaceDE w:val="0"/>
        <w:autoSpaceDN w:val="0"/>
        <w:spacing w:before="132" w:line="300" w:lineRule="auto"/>
        <w:ind w:left="851"/>
        <w:jc w:val="left"/>
        <w:rPr>
          <w:rFonts w:hint="eastAsia" w:ascii="宋体" w:hAnsi="宋体" w:cs="宋体"/>
          <w:color w:val="auto"/>
          <w:highlight w:val="none"/>
        </w:rPr>
      </w:pPr>
      <w:r>
        <w:rPr>
          <w:rFonts w:hint="eastAsia" w:ascii="宋体" w:hAnsi="宋体" w:cs="宋体"/>
          <w:b/>
          <w:bCs/>
          <w:color w:val="auto"/>
          <w:highlight w:val="none"/>
        </w:rPr>
        <w:t>采购方式</w:t>
      </w:r>
      <w:r>
        <w:rPr>
          <w:rFonts w:hint="eastAsia" w:ascii="宋体" w:hAnsi="宋体" w:cs="宋体"/>
          <w:color w:val="auto"/>
          <w:highlight w:val="none"/>
        </w:rPr>
        <w:t>：竞争性磋商</w:t>
      </w:r>
    </w:p>
    <w:p w14:paraId="7AAE7005">
      <w:pPr>
        <w:autoSpaceDE w:val="0"/>
        <w:autoSpaceDN w:val="0"/>
        <w:spacing w:before="132" w:line="300" w:lineRule="auto"/>
        <w:ind w:left="851"/>
        <w:jc w:val="left"/>
        <w:rPr>
          <w:rFonts w:hint="eastAsia" w:ascii="宋体" w:hAnsi="宋体" w:cs="宋体"/>
          <w:color w:val="auto"/>
          <w:highlight w:val="none"/>
        </w:rPr>
      </w:pPr>
      <w:r>
        <w:rPr>
          <w:rFonts w:hint="eastAsia" w:ascii="宋体" w:hAnsi="宋体" w:cs="宋体"/>
          <w:b/>
          <w:bCs/>
          <w:color w:val="auto"/>
          <w:highlight w:val="none"/>
          <w:lang w:val="en-US" w:eastAsia="zh-CN"/>
        </w:rPr>
        <w:t>项目类别：</w:t>
      </w:r>
      <w:r>
        <w:rPr>
          <w:rFonts w:hint="eastAsia" w:ascii="宋体" w:hAnsi="宋体" w:cs="宋体"/>
          <w:color w:val="auto"/>
          <w:highlight w:val="none"/>
          <w:lang w:val="en-US" w:eastAsia="zh-CN"/>
        </w:rPr>
        <w:t>服务类</w:t>
      </w:r>
    </w:p>
    <w:p w14:paraId="690E92BB">
      <w:pPr>
        <w:spacing w:line="400" w:lineRule="exact"/>
        <w:ind w:firstLine="843" w:firstLineChars="400"/>
        <w:rPr>
          <w:rFonts w:hint="eastAsia" w:ascii="宋体" w:hAnsi="宋体" w:cs="宋体"/>
          <w:color w:val="auto"/>
          <w:highlight w:val="none"/>
        </w:rPr>
      </w:pPr>
      <w:r>
        <w:rPr>
          <w:rFonts w:hint="eastAsia" w:ascii="宋体" w:hAnsi="宋体" w:cs="宋体"/>
          <w:b/>
          <w:bCs/>
          <w:color w:val="auto"/>
          <w:highlight w:val="none"/>
        </w:rPr>
        <w:t>采购预算金额</w:t>
      </w:r>
      <w:r>
        <w:rPr>
          <w:rFonts w:hint="eastAsia" w:ascii="宋体" w:hAnsi="宋体" w:cs="宋体"/>
          <w:color w:val="auto"/>
          <w:highlight w:val="none"/>
        </w:rPr>
        <w:t>：</w:t>
      </w:r>
      <w:r>
        <w:rPr>
          <w:rFonts w:hint="eastAsia" w:ascii="宋体" w:hAnsi="宋体" w:cs="宋体"/>
          <w:color w:val="auto"/>
          <w:highlight w:val="none"/>
          <w:lang w:val="en-US" w:eastAsia="zh-CN"/>
        </w:rPr>
        <w:t>160</w:t>
      </w:r>
      <w:r>
        <w:rPr>
          <w:rFonts w:hint="eastAsia" w:ascii="宋体" w:hAnsi="宋体" w:cs="宋体"/>
          <w:color w:val="auto"/>
          <w:highlight w:val="none"/>
        </w:rPr>
        <w:t>万元</w:t>
      </w:r>
    </w:p>
    <w:p w14:paraId="28029EDD">
      <w:pPr>
        <w:pStyle w:val="26"/>
        <w:keepNext w:val="0"/>
        <w:keepLines w:val="0"/>
        <w:pageBreakBefore w:val="0"/>
        <w:widowControl w:val="0"/>
        <w:numPr>
          <w:ilvl w:val="0"/>
          <w:numId w:val="0"/>
        </w:numPr>
        <w:kinsoku/>
        <w:wordWrap/>
        <w:topLinePunct w:val="0"/>
        <w:bidi w:val="0"/>
        <w:snapToGrid/>
        <w:spacing w:line="560" w:lineRule="exact"/>
        <w:ind w:leftChars="0" w:firstLine="482" w:firstLineChars="200"/>
        <w:textAlignment w:val="auto"/>
        <w:rPr>
          <w:rFonts w:ascii="宋体" w:hAnsi="宋体" w:cs="宋体"/>
          <w:color w:val="auto"/>
          <w:highlight w:val="none"/>
        </w:rPr>
      </w:pPr>
      <w:r>
        <w:rPr>
          <w:rFonts w:hint="eastAsia" w:ascii="宋体" w:hAnsi="宋体" w:cs="宋体"/>
          <w:b/>
          <w:bCs/>
          <w:color w:val="auto"/>
          <w:highlight w:val="none"/>
        </w:rPr>
        <w:t>二、采购内容</w:t>
      </w:r>
      <w:r>
        <w:rPr>
          <w:rFonts w:hint="eastAsia" w:ascii="宋体" w:hAnsi="宋体" w:cs="宋体"/>
          <w:color w:val="auto"/>
          <w:spacing w:val="-7"/>
          <w:highlight w:val="none"/>
        </w:rPr>
        <w:t>：</w:t>
      </w:r>
      <w:r>
        <w:rPr>
          <w:rFonts w:hint="eastAsia" w:ascii="宋体" w:hAnsi="宋体" w:cs="宋体"/>
          <w:color w:val="auto"/>
          <w:spacing w:val="-7"/>
          <w:highlight w:val="none"/>
          <w:lang w:val="en-US" w:eastAsia="zh-CN"/>
        </w:rPr>
        <w:t>通过采购确认一名提供</w:t>
      </w:r>
      <w:r>
        <w:rPr>
          <w:rFonts w:hint="eastAsia" w:ascii="宋体" w:hAnsi="宋体" w:cs="宋体"/>
          <w:color w:val="auto"/>
          <w:highlight w:val="none"/>
          <w:lang w:eastAsia="zh-CN"/>
        </w:rPr>
        <w:t>梧州市公安局交通警察支队无人机智慧机场服务项目</w:t>
      </w:r>
      <w:r>
        <w:rPr>
          <w:rFonts w:hint="eastAsia" w:ascii="宋体" w:hAnsi="宋体" w:cs="宋体"/>
          <w:color w:val="auto"/>
          <w:highlight w:val="none"/>
          <w:lang w:val="en-US" w:eastAsia="zh-CN"/>
        </w:rPr>
        <w:t>的供应商</w:t>
      </w:r>
      <w:r>
        <w:rPr>
          <w:color w:val="auto"/>
          <w:kern w:val="0"/>
          <w:szCs w:val="21"/>
          <w:highlight w:val="none"/>
        </w:rPr>
        <w:t>，</w:t>
      </w:r>
      <w:r>
        <w:rPr>
          <w:rFonts w:hint="eastAsia" w:ascii="宋体" w:hAnsi="宋体" w:cs="宋体"/>
          <w:color w:val="auto"/>
          <w:highlight w:val="none"/>
        </w:rPr>
        <w:t>如需进一步了解详细内容，详见磋商文件。</w:t>
      </w:r>
    </w:p>
    <w:p w14:paraId="68BA7FB1">
      <w:pPr>
        <w:autoSpaceDE w:val="0"/>
        <w:autoSpaceDN w:val="0"/>
        <w:spacing w:before="100" w:line="300" w:lineRule="auto"/>
        <w:ind w:right="40" w:rightChars="19" w:firstLine="426"/>
        <w:jc w:val="left"/>
        <w:rPr>
          <w:rFonts w:ascii="宋体" w:hAnsi="宋体" w:cs="宋体"/>
          <w:color w:val="auto"/>
          <w:highlight w:val="none"/>
        </w:rPr>
      </w:pPr>
      <w:r>
        <w:rPr>
          <w:rFonts w:hint="eastAsia" w:ascii="宋体" w:hAnsi="宋体" w:cs="宋体"/>
          <w:color w:val="auto"/>
          <w:highlight w:val="none"/>
          <w:lang w:eastAsia="zh-CN"/>
        </w:rPr>
        <w:t>服务期</w:t>
      </w:r>
      <w:r>
        <w:rPr>
          <w:rFonts w:hint="eastAsia" w:ascii="宋体" w:hAnsi="宋体" w:cs="宋体"/>
          <w:color w:val="auto"/>
          <w:highlight w:val="none"/>
        </w:rPr>
        <w:t>：</w:t>
      </w:r>
      <w:r>
        <w:rPr>
          <w:rFonts w:hint="eastAsia" w:ascii="宋体" w:hAnsi="宋体" w:cs="宋体"/>
          <w:color w:val="auto"/>
          <w:highlight w:val="none"/>
          <w:lang w:val="en-US" w:eastAsia="zh-CN"/>
        </w:rPr>
        <w:t>1年</w:t>
      </w:r>
      <w:r>
        <w:rPr>
          <w:rFonts w:hint="eastAsia" w:ascii="宋体" w:hAnsi="宋体" w:eastAsia="宋体" w:cs="宋体"/>
          <w:color w:val="auto"/>
          <w:highlight w:val="none"/>
        </w:rPr>
        <w:t>。</w:t>
      </w:r>
    </w:p>
    <w:p w14:paraId="109BF3EA">
      <w:pPr>
        <w:autoSpaceDE w:val="0"/>
        <w:autoSpaceDN w:val="0"/>
        <w:spacing w:before="100" w:line="300" w:lineRule="auto"/>
        <w:ind w:left="391" w:right="102" w:firstLine="35"/>
        <w:jc w:val="left"/>
        <w:rPr>
          <w:rFonts w:ascii="宋体" w:hAnsi="宋体"/>
          <w:color w:val="auto"/>
          <w:spacing w:val="-15"/>
          <w:highlight w:val="none"/>
        </w:rPr>
      </w:pPr>
      <w:r>
        <w:rPr>
          <w:rFonts w:hint="eastAsia" w:ascii="宋体" w:hAnsi="宋体" w:cs="宋体"/>
          <w:b/>
          <w:bCs/>
          <w:color w:val="auto"/>
          <w:spacing w:val="-7"/>
          <w:highlight w:val="none"/>
        </w:rPr>
        <w:t>三、竞标人资格要求</w:t>
      </w:r>
      <w:r>
        <w:rPr>
          <w:rFonts w:hint="eastAsia" w:ascii="宋体" w:hAnsi="宋体" w:cs="宋体"/>
          <w:color w:val="auto"/>
          <w:spacing w:val="-15"/>
          <w:highlight w:val="none"/>
        </w:rPr>
        <w:t>：</w:t>
      </w:r>
    </w:p>
    <w:p w14:paraId="3249CFD1">
      <w:pPr>
        <w:autoSpaceDE w:val="0"/>
        <w:autoSpaceDN w:val="0"/>
        <w:spacing w:before="100" w:line="300" w:lineRule="auto"/>
        <w:ind w:right="40" w:rightChars="19" w:firstLine="424" w:firstLineChars="202"/>
        <w:jc w:val="left"/>
        <w:outlineLvl w:val="3"/>
        <w:rPr>
          <w:rFonts w:hint="eastAsia" w:ascii="宋体" w:hAnsi="宋体" w:cs="宋体"/>
          <w:color w:val="auto"/>
          <w:highlight w:val="none"/>
        </w:rPr>
      </w:pPr>
      <w:r>
        <w:rPr>
          <w:rFonts w:hint="eastAsia" w:ascii="宋体" w:hAnsi="宋体" w:cs="宋体"/>
          <w:color w:val="auto"/>
          <w:highlight w:val="none"/>
        </w:rPr>
        <w:t>1、符合《中华人民共和国政府釆购法》第二十二条规定；</w:t>
      </w:r>
    </w:p>
    <w:p w14:paraId="53CA3A62">
      <w:pPr>
        <w:spacing w:line="360" w:lineRule="auto"/>
        <w:ind w:firstLine="315" w:firstLineChars="150"/>
        <w:rPr>
          <w:rFonts w:hint="default" w:ascii="宋体" w:hAnsi="宋体" w:cs="宋体"/>
          <w:color w:val="auto"/>
          <w:highlight w:val="none"/>
          <w:lang w:val="en-US" w:eastAsia="zh-CN"/>
        </w:rPr>
      </w:pPr>
      <w:r>
        <w:rPr>
          <w:rFonts w:hint="eastAsia" w:ascii="宋体" w:hAnsi="宋体" w:cs="宋体"/>
          <w:color w:val="auto"/>
          <w:highlight w:val="none"/>
        </w:rPr>
        <w:t>落实政府采购政策需满足的资格要求：</w:t>
      </w:r>
      <w:r>
        <w:rPr>
          <w:rFonts w:hint="eastAsia" w:ascii="宋体" w:hAnsi="宋体" w:cs="Times New Roman"/>
          <w:bCs/>
          <w:szCs w:val="21"/>
          <w:highlight w:val="none"/>
          <w:lang w:val="en-US" w:eastAsia="zh-CN"/>
        </w:rPr>
        <w:t>无</w:t>
      </w:r>
      <w:r>
        <w:rPr>
          <w:rFonts w:hint="eastAsia" w:ascii="宋体" w:hAnsi="宋体" w:eastAsia="宋体" w:cs="Times New Roman"/>
          <w:bCs/>
          <w:szCs w:val="21"/>
          <w:highlight w:val="none"/>
          <w:lang w:eastAsia="zh-CN"/>
        </w:rPr>
        <w:t>。</w:t>
      </w:r>
    </w:p>
    <w:p w14:paraId="2BE2AC5E">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14:paraId="0A55891F">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5594BDB">
      <w:pPr>
        <w:spacing w:line="312"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w:t>
      </w:r>
      <w:r>
        <w:rPr>
          <w:rFonts w:hint="eastAsia"/>
          <w:color w:val="auto"/>
          <w:kern w:val="0"/>
          <w:szCs w:val="21"/>
          <w:highlight w:val="none"/>
        </w:rPr>
        <w:t>本项目允许分支机构或分公司参加采购，分支机构或分公司参加采购的，需提供总公司的有关文件或者制度等能证明总公司授权其独立开展业务或提供总公司出具的授权其参与本项目采购的授权文件。</w:t>
      </w:r>
    </w:p>
    <w:p w14:paraId="32F01055">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eastAsia="宋体"/>
          <w:color w:val="auto"/>
          <w:kern w:val="0"/>
          <w:szCs w:val="21"/>
          <w:highlight w:val="none"/>
        </w:rPr>
        <w:t>国内注册（指按国家有关规定要求注册），生产或经营本次采购货物及服务的供应商</w:t>
      </w:r>
      <w:r>
        <w:rPr>
          <w:rFonts w:hint="eastAsia"/>
          <w:color w:val="auto"/>
          <w:kern w:val="0"/>
          <w:szCs w:val="21"/>
          <w:highlight w:val="none"/>
        </w:rPr>
        <w:t>；</w:t>
      </w:r>
    </w:p>
    <w:p w14:paraId="1B01BF52">
      <w:pPr>
        <w:spacing w:line="400" w:lineRule="exact"/>
        <w:ind w:firstLine="420" w:firstLineChars="200"/>
        <w:rPr>
          <w:rFonts w:ascii="宋体" w:hAnsi="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本项目不接受联合体竞标。</w:t>
      </w:r>
    </w:p>
    <w:p w14:paraId="7B68A414">
      <w:pPr>
        <w:autoSpaceDE w:val="0"/>
        <w:autoSpaceDN w:val="0"/>
        <w:spacing w:before="100" w:line="300" w:lineRule="auto"/>
        <w:ind w:right="102" w:firstLine="394" w:firstLineChars="200"/>
        <w:jc w:val="left"/>
        <w:rPr>
          <w:rFonts w:ascii="宋体" w:hAnsi="宋体"/>
          <w:b/>
          <w:bCs/>
          <w:color w:val="auto"/>
          <w:spacing w:val="-7"/>
          <w:highlight w:val="none"/>
        </w:rPr>
      </w:pPr>
      <w:r>
        <w:rPr>
          <w:rFonts w:hint="eastAsia" w:ascii="宋体" w:hAnsi="宋体" w:cs="宋体"/>
          <w:b/>
          <w:bCs/>
          <w:color w:val="auto"/>
          <w:spacing w:val="-7"/>
          <w:highlight w:val="none"/>
        </w:rPr>
        <w:t>四、本项目需要落实的政府采购政策：</w:t>
      </w:r>
    </w:p>
    <w:p w14:paraId="3D7AA3E2">
      <w:pPr>
        <w:autoSpaceDE w:val="0"/>
        <w:autoSpaceDN w:val="0"/>
        <w:spacing w:before="100" w:line="300" w:lineRule="auto"/>
        <w:ind w:right="40" w:rightChars="19" w:firstLine="424" w:firstLineChars="202"/>
        <w:jc w:val="left"/>
        <w:outlineLvl w:val="3"/>
        <w:rPr>
          <w:rFonts w:ascii="宋体" w:hAnsi="宋体"/>
          <w:b/>
          <w:bCs/>
          <w:color w:val="auto"/>
          <w:highlight w:val="none"/>
        </w:rPr>
      </w:pPr>
      <w:r>
        <w:rPr>
          <w:rFonts w:hint="eastAsia" w:ascii="宋体" w:hAnsi="宋体" w:cs="宋体"/>
          <w:color w:val="auto"/>
          <w:highlight w:val="none"/>
        </w:rPr>
        <w:t>《关于印发〈政府采购促进中小企业发展管理办法〉的通知》（财库〔2020〕46号）、财政部《关于进一步加大政府采购支持中小企业力度的通知》（财库〔2022〕19号）、财政部、司法部关于政府采购支持监狱企业发展有关问题的通知（财库[2014]68号）、《国务院办公厅关于建立政府强制采购节能产品制度的通知》（国办发[2007]51号）、《三部门联合发布关于促进残疾人就业政府采购政策的通知》（财库〔2017〕141号）、强制采购、优先采购节能产品、环境标志产品、《招标采购促进广西工业产品产销对接实施细则》（桂政法办[2015]78号）。</w:t>
      </w:r>
      <w:r>
        <w:rPr>
          <w:rFonts w:hint="eastAsia" w:ascii="宋体" w:hAnsi="宋体"/>
          <w:b/>
          <w:bCs/>
          <w:color w:val="auto"/>
          <w:highlight w:val="none"/>
        </w:rPr>
        <w:t xml:space="preserve"> </w:t>
      </w:r>
    </w:p>
    <w:p w14:paraId="5B32591A">
      <w:pPr>
        <w:autoSpaceDE w:val="0"/>
        <w:autoSpaceDN w:val="0"/>
        <w:spacing w:before="100" w:line="300" w:lineRule="auto"/>
        <w:ind w:right="40" w:rightChars="19" w:firstLine="422" w:firstLineChars="200"/>
        <w:jc w:val="left"/>
        <w:outlineLvl w:val="3"/>
        <w:rPr>
          <w:rFonts w:ascii="宋体" w:hAnsi="宋体"/>
          <w:b/>
          <w:bCs/>
          <w:color w:val="auto"/>
          <w:highlight w:val="none"/>
        </w:rPr>
      </w:pPr>
      <w:r>
        <w:rPr>
          <w:rFonts w:hint="eastAsia" w:ascii="宋体" w:hAnsi="宋体" w:cs="宋体"/>
          <w:b/>
          <w:bCs/>
          <w:color w:val="auto"/>
          <w:highlight w:val="none"/>
        </w:rPr>
        <w:t>五、购买竞争性磋商采购文件时间及地点：</w:t>
      </w:r>
    </w:p>
    <w:p w14:paraId="28566CB5">
      <w:pPr>
        <w:spacing w:line="400" w:lineRule="exact"/>
        <w:ind w:firstLine="420" w:firstLineChars="200"/>
        <w:rPr>
          <w:rFonts w:hint="eastAsia" w:eastAsia="宋体"/>
          <w:color w:val="auto"/>
          <w:kern w:val="0"/>
          <w:szCs w:val="21"/>
          <w:highlight w:val="none"/>
          <w:lang w:eastAsia="zh-CN"/>
        </w:rPr>
      </w:pPr>
      <w:r>
        <w:rPr>
          <w:rFonts w:hint="eastAsia" w:eastAsia="宋体"/>
          <w:color w:val="auto"/>
          <w:kern w:val="0"/>
          <w:szCs w:val="21"/>
          <w:highlight w:val="none"/>
        </w:rPr>
        <w:t>时间：</w:t>
      </w:r>
      <w:r>
        <w:rPr>
          <w:rFonts w:hint="eastAsia"/>
          <w:color w:val="auto"/>
          <w:kern w:val="0"/>
          <w:szCs w:val="21"/>
          <w:highlight w:val="none"/>
          <w:lang w:eastAsia="zh-CN"/>
        </w:rPr>
        <w:t>2025年1月</w:t>
      </w:r>
      <w:r>
        <w:rPr>
          <w:rFonts w:hint="eastAsia"/>
          <w:color w:val="auto"/>
          <w:kern w:val="0"/>
          <w:szCs w:val="21"/>
          <w:highlight w:val="none"/>
          <w:lang w:val="en-US" w:eastAsia="zh-CN"/>
        </w:rPr>
        <w:t>09</w:t>
      </w:r>
      <w:r>
        <w:rPr>
          <w:rFonts w:hint="eastAsia"/>
          <w:color w:val="auto"/>
          <w:kern w:val="0"/>
          <w:szCs w:val="21"/>
          <w:highlight w:val="none"/>
          <w:lang w:eastAsia="zh-CN"/>
        </w:rPr>
        <w:t>日</w:t>
      </w:r>
      <w:r>
        <w:rPr>
          <w:rFonts w:hint="eastAsia" w:eastAsia="宋体"/>
          <w:color w:val="auto"/>
          <w:kern w:val="0"/>
          <w:szCs w:val="21"/>
          <w:highlight w:val="none"/>
        </w:rPr>
        <w:t>至</w:t>
      </w:r>
      <w:r>
        <w:rPr>
          <w:rFonts w:hint="eastAsia"/>
          <w:color w:val="auto"/>
          <w:kern w:val="0"/>
          <w:szCs w:val="21"/>
          <w:highlight w:val="none"/>
          <w:lang w:eastAsia="zh-CN"/>
        </w:rPr>
        <w:t>2025年1月</w:t>
      </w:r>
      <w:r>
        <w:rPr>
          <w:rFonts w:hint="eastAsia"/>
          <w:color w:val="auto"/>
          <w:kern w:val="0"/>
          <w:szCs w:val="21"/>
          <w:highlight w:val="none"/>
          <w:lang w:val="en-US" w:eastAsia="zh-CN"/>
        </w:rPr>
        <w:t>16</w:t>
      </w:r>
      <w:r>
        <w:rPr>
          <w:rFonts w:hint="eastAsia"/>
          <w:color w:val="auto"/>
          <w:kern w:val="0"/>
          <w:szCs w:val="21"/>
          <w:highlight w:val="none"/>
          <w:lang w:eastAsia="zh-CN"/>
        </w:rPr>
        <w:t>日</w:t>
      </w:r>
      <w:r>
        <w:rPr>
          <w:rFonts w:hint="eastAsia" w:eastAsia="宋体"/>
          <w:color w:val="auto"/>
          <w:kern w:val="0"/>
          <w:szCs w:val="21"/>
          <w:highlight w:val="none"/>
        </w:rPr>
        <w:t>每天上午</w:t>
      </w:r>
      <w:r>
        <w:rPr>
          <w:rFonts w:hint="eastAsia"/>
          <w:color w:val="auto"/>
          <w:kern w:val="0"/>
          <w:szCs w:val="21"/>
          <w:highlight w:val="none"/>
          <w:lang w:val="en-US" w:eastAsia="zh-CN"/>
        </w:rPr>
        <w:t>0</w:t>
      </w:r>
      <w:r>
        <w:rPr>
          <w:rFonts w:hint="eastAsia" w:eastAsia="宋体"/>
          <w:color w:val="auto"/>
          <w:kern w:val="0"/>
          <w:szCs w:val="21"/>
          <w:highlight w:val="none"/>
        </w:rPr>
        <w:t>：00至12：00，下午1</w:t>
      </w:r>
      <w:r>
        <w:rPr>
          <w:rFonts w:hint="eastAsia"/>
          <w:color w:val="auto"/>
          <w:kern w:val="0"/>
          <w:szCs w:val="21"/>
          <w:highlight w:val="none"/>
          <w:lang w:val="en-US" w:eastAsia="zh-CN"/>
        </w:rPr>
        <w:t>2</w:t>
      </w:r>
      <w:bookmarkStart w:id="94" w:name="_GoBack"/>
      <w:bookmarkEnd w:id="94"/>
      <w:r>
        <w:rPr>
          <w:rFonts w:hint="eastAsia" w:eastAsia="宋体"/>
          <w:color w:val="auto"/>
          <w:kern w:val="0"/>
          <w:szCs w:val="21"/>
          <w:highlight w:val="none"/>
        </w:rPr>
        <w:t>：00至</w:t>
      </w:r>
      <w:r>
        <w:rPr>
          <w:rFonts w:hint="eastAsia" w:eastAsia="宋体"/>
          <w:color w:val="auto"/>
          <w:kern w:val="0"/>
          <w:szCs w:val="21"/>
          <w:highlight w:val="none"/>
          <w:lang w:val="en-US" w:eastAsia="zh-CN"/>
        </w:rPr>
        <w:t>23</w:t>
      </w:r>
      <w:r>
        <w:rPr>
          <w:rFonts w:hint="eastAsia" w:eastAsia="宋体"/>
          <w:color w:val="auto"/>
          <w:kern w:val="0"/>
          <w:szCs w:val="21"/>
          <w:highlight w:val="none"/>
        </w:rPr>
        <w:t>：</w:t>
      </w:r>
      <w:r>
        <w:rPr>
          <w:rFonts w:hint="eastAsia" w:eastAsia="宋体"/>
          <w:color w:val="auto"/>
          <w:kern w:val="0"/>
          <w:szCs w:val="21"/>
          <w:highlight w:val="none"/>
          <w:lang w:val="en-US" w:eastAsia="zh-CN"/>
        </w:rPr>
        <w:t>59</w:t>
      </w:r>
      <w:r>
        <w:rPr>
          <w:rFonts w:hint="eastAsia"/>
          <w:color w:val="auto"/>
          <w:kern w:val="0"/>
          <w:szCs w:val="21"/>
          <w:highlight w:val="none"/>
          <w:lang w:val="en-US" w:eastAsia="zh-CN"/>
        </w:rPr>
        <w:t>。</w:t>
      </w:r>
    </w:p>
    <w:p w14:paraId="4EA033EE">
      <w:pPr>
        <w:spacing w:line="400" w:lineRule="exact"/>
        <w:ind w:firstLine="420" w:firstLineChars="200"/>
        <w:rPr>
          <w:rFonts w:hint="eastAsia" w:eastAsia="宋体"/>
          <w:color w:val="auto"/>
          <w:kern w:val="0"/>
          <w:szCs w:val="21"/>
          <w:highlight w:val="none"/>
        </w:rPr>
      </w:pPr>
      <w:r>
        <w:rPr>
          <w:rFonts w:hint="eastAsia" w:eastAsia="宋体"/>
          <w:color w:val="auto"/>
          <w:kern w:val="0"/>
          <w:szCs w:val="21"/>
          <w:highlight w:val="none"/>
        </w:rPr>
        <w:t>地点、方式：本项目不发放纸质采购文件，供应商可自行在</w:t>
      </w:r>
      <w:r>
        <w:rPr>
          <w:rFonts w:hint="eastAsia" w:eastAsia="宋体"/>
          <w:color w:val="auto"/>
          <w:kern w:val="0"/>
          <w:szCs w:val="21"/>
          <w:highlight w:val="none"/>
        </w:rPr>
        <w:fldChar w:fldCharType="begin"/>
      </w:r>
      <w:r>
        <w:rPr>
          <w:rFonts w:hint="eastAsia" w:eastAsia="宋体"/>
          <w:color w:val="auto"/>
          <w:kern w:val="0"/>
          <w:szCs w:val="21"/>
          <w:highlight w:val="none"/>
        </w:rPr>
        <w:instrText xml:space="preserve"> HYPERLINK "" </w:instrText>
      </w:r>
      <w:r>
        <w:rPr>
          <w:rFonts w:hint="eastAsia" w:eastAsia="宋体"/>
          <w:color w:val="auto"/>
          <w:kern w:val="0"/>
          <w:szCs w:val="21"/>
          <w:highlight w:val="none"/>
        </w:rPr>
        <w:fldChar w:fldCharType="separate"/>
      </w:r>
      <w:r>
        <w:rPr>
          <w:rFonts w:hint="eastAsia" w:eastAsia="宋体"/>
          <w:color w:val="auto"/>
          <w:kern w:val="0"/>
          <w:szCs w:val="21"/>
          <w:highlight w:val="none"/>
        </w:rPr>
        <w:fldChar w:fldCharType="end"/>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w:t>
      </w:r>
      <w:r>
        <w:rPr>
          <w:rFonts w:hint="eastAsia" w:eastAsia="宋体"/>
          <w:color w:val="auto"/>
          <w:kern w:val="0"/>
          <w:szCs w:val="21"/>
          <w:highlight w:val="none"/>
          <w:lang w:eastAsia="zh-CN"/>
        </w:rPr>
        <w:t>https://www.gcy.zfcg.gxzf.gov.cn/</w:t>
      </w:r>
      <w:r>
        <w:rPr>
          <w:rFonts w:hint="eastAsia" w:eastAsia="宋体"/>
          <w:color w:val="auto"/>
          <w:kern w:val="0"/>
          <w:szCs w:val="21"/>
          <w:highlight w:val="none"/>
        </w:rPr>
        <w:t>）下载采购文件（操作路径：登录</w:t>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-项目采购-获取采购文件-找到本项目-点击“申请获取采购文件”），电子响应文件制作需要基于</w:t>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w:t>
      </w:r>
      <w:r>
        <w:rPr>
          <w:rFonts w:hint="eastAsia" w:eastAsia="宋体"/>
          <w:color w:val="auto"/>
          <w:kern w:val="0"/>
          <w:szCs w:val="21"/>
          <w:highlight w:val="none"/>
          <w:lang w:eastAsia="zh-CN"/>
        </w:rPr>
        <w:t>https://www.gcy.zfcg.gxzf.gov.cn/</w:t>
      </w:r>
      <w:r>
        <w:rPr>
          <w:rFonts w:hint="eastAsia" w:eastAsia="宋体"/>
          <w:color w:val="auto"/>
          <w:kern w:val="0"/>
          <w:szCs w:val="21"/>
          <w:highlight w:val="none"/>
        </w:rPr>
        <w:t>）获取的采购文件编制。</w:t>
      </w:r>
    </w:p>
    <w:p w14:paraId="6076B10A">
      <w:pPr>
        <w:spacing w:line="400" w:lineRule="exact"/>
        <w:ind w:firstLine="420" w:firstLineChars="200"/>
        <w:rPr>
          <w:rFonts w:hint="eastAsia" w:eastAsia="宋体"/>
          <w:color w:val="auto"/>
          <w:kern w:val="0"/>
          <w:szCs w:val="21"/>
          <w:highlight w:val="none"/>
        </w:rPr>
      </w:pPr>
      <w:r>
        <w:rPr>
          <w:rFonts w:hint="eastAsia" w:eastAsia="宋体"/>
          <w:color w:val="auto"/>
          <w:kern w:val="0"/>
          <w:szCs w:val="21"/>
          <w:highlight w:val="none"/>
        </w:rPr>
        <w:t>售价：0元</w:t>
      </w:r>
    </w:p>
    <w:p w14:paraId="6EFE6A91">
      <w:pPr>
        <w:autoSpaceDE w:val="0"/>
        <w:autoSpaceDN w:val="0"/>
        <w:spacing w:before="100" w:line="300" w:lineRule="auto"/>
        <w:ind w:left="145" w:leftChars="69" w:right="40" w:rightChars="19" w:firstLine="272" w:firstLineChars="129"/>
        <w:jc w:val="left"/>
        <w:outlineLvl w:val="3"/>
        <w:rPr>
          <w:rFonts w:ascii="宋体" w:hAnsi="宋体"/>
          <w:b/>
          <w:bCs/>
          <w:color w:val="auto"/>
          <w:highlight w:val="none"/>
        </w:rPr>
      </w:pPr>
      <w:r>
        <w:rPr>
          <w:rFonts w:hint="eastAsia" w:ascii="宋体" w:hAnsi="宋体" w:cs="宋体"/>
          <w:b/>
          <w:bCs/>
          <w:color w:val="auto"/>
          <w:highlight w:val="none"/>
        </w:rPr>
        <w:t>六、竞标保证金：</w:t>
      </w:r>
    </w:p>
    <w:p w14:paraId="4DD80CB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竞标保证金金额：人民币</w:t>
      </w:r>
      <w:r>
        <w:rPr>
          <w:rFonts w:hint="eastAsia" w:ascii="宋体" w:hAnsi="宋体" w:cs="宋体"/>
          <w:color w:val="auto"/>
          <w:highlight w:val="none"/>
          <w:lang w:val="en-US" w:eastAsia="zh-CN"/>
        </w:rPr>
        <w:t>壹万伍仟</w:t>
      </w:r>
      <w:r>
        <w:rPr>
          <w:rFonts w:hint="eastAsia" w:ascii="宋体" w:hAnsi="宋体" w:cs="宋体"/>
          <w:color w:val="auto"/>
          <w:highlight w:val="none"/>
        </w:rPr>
        <w:t>元整（￥</w:t>
      </w:r>
      <w:r>
        <w:rPr>
          <w:rFonts w:hint="eastAsia" w:ascii="宋体" w:hAnsi="宋体" w:cs="宋体"/>
          <w:color w:val="auto"/>
          <w:highlight w:val="none"/>
          <w:lang w:val="en-US" w:eastAsia="zh-CN"/>
        </w:rPr>
        <w:t>15,000</w:t>
      </w:r>
      <w:r>
        <w:rPr>
          <w:rFonts w:hint="eastAsia" w:ascii="宋体" w:hAnsi="宋体" w:cs="宋体"/>
          <w:color w:val="auto"/>
          <w:highlight w:val="none"/>
        </w:rPr>
        <w:t>.00元）。</w:t>
      </w:r>
    </w:p>
    <w:p w14:paraId="43AA09D1">
      <w:pPr>
        <w:spacing w:line="400" w:lineRule="exact"/>
        <w:ind w:firstLine="420" w:firstLineChars="200"/>
        <w:rPr>
          <w:rFonts w:hint="eastAsia" w:ascii="宋体" w:hAnsi="宋体" w:eastAsia="宋体" w:cs="Times New Roman"/>
          <w:color w:val="auto"/>
          <w:highlight w:val="none"/>
          <w:lang w:val="en-US" w:eastAsia="zh-CN"/>
        </w:rPr>
      </w:pPr>
      <w:r>
        <w:rPr>
          <w:rFonts w:hint="eastAsia" w:ascii="宋体" w:hAnsi="宋体" w:cs="宋体"/>
          <w:color w:val="auto"/>
          <w:highlight w:val="none"/>
        </w:rPr>
        <w:t>投标保证金的交纳方式：银行转账、支票、汇票、</w:t>
      </w:r>
      <w:r>
        <w:rPr>
          <w:rFonts w:hint="eastAsia" w:ascii="宋体" w:hAnsi="宋体" w:cs="宋体"/>
          <w:bCs/>
          <w:color w:val="auto"/>
          <w:highlight w:val="none"/>
        </w:rPr>
        <w:t>本票或者银行</w:t>
      </w:r>
      <w:r>
        <w:rPr>
          <w:rFonts w:hint="eastAsia" w:ascii="宋体" w:hAnsi="宋体" w:cs="Times New Roman"/>
          <w:color w:val="auto"/>
          <w:highlight w:val="none"/>
        </w:rPr>
        <w:t>、保险机构或担保公司出具的保函，禁止采用现钞方式。采用银行转账方式的，在投标截止时间前交至指定账户并且到账</w:t>
      </w:r>
      <w:r>
        <w:rPr>
          <w:rFonts w:hint="eastAsia" w:ascii="宋体" w:hAnsi="宋体" w:cs="Times New Roman"/>
          <w:color w:val="auto"/>
          <w:highlight w:val="none"/>
          <w:lang w:eastAsia="zh-CN"/>
        </w:rPr>
        <w:t>。</w:t>
      </w:r>
    </w:p>
    <w:p w14:paraId="5B66E73F">
      <w:pPr>
        <w:autoSpaceDE w:val="0"/>
        <w:autoSpaceDN w:val="0"/>
        <w:spacing w:before="100" w:line="300" w:lineRule="auto"/>
        <w:ind w:left="145" w:leftChars="69" w:right="40" w:rightChars="19" w:firstLine="270" w:firstLineChars="129"/>
        <w:jc w:val="left"/>
        <w:outlineLvl w:val="3"/>
        <w:rPr>
          <w:rFonts w:hint="eastAsia" w:ascii="宋体" w:hAnsi="宋体"/>
          <w:bCs/>
          <w:szCs w:val="21"/>
          <w:highlight w:val="none"/>
        </w:rPr>
      </w:pPr>
      <w:r>
        <w:rPr>
          <w:rFonts w:hint="eastAsia" w:ascii="宋体" w:hAnsi="宋体"/>
          <w:bCs/>
          <w:szCs w:val="21"/>
          <w:highlight w:val="none"/>
        </w:rPr>
        <w:t>开户名称：广西建隆工程咨询有限公司梧州分公司，</w:t>
      </w:r>
    </w:p>
    <w:p w14:paraId="5A5AB80E">
      <w:pPr>
        <w:autoSpaceDE w:val="0"/>
        <w:autoSpaceDN w:val="0"/>
        <w:spacing w:before="100" w:line="300" w:lineRule="auto"/>
        <w:ind w:left="145" w:leftChars="69" w:right="40" w:rightChars="19" w:firstLine="270" w:firstLineChars="129"/>
        <w:jc w:val="left"/>
        <w:outlineLvl w:val="3"/>
        <w:rPr>
          <w:rFonts w:hint="eastAsia" w:ascii="宋体" w:hAnsi="宋体"/>
          <w:bCs/>
          <w:szCs w:val="21"/>
          <w:highlight w:val="none"/>
        </w:rPr>
      </w:pPr>
      <w:r>
        <w:rPr>
          <w:rFonts w:hint="eastAsia" w:ascii="宋体" w:hAnsi="宋体"/>
          <w:bCs/>
          <w:szCs w:val="21"/>
          <w:highlight w:val="none"/>
        </w:rPr>
        <w:t>开户银行：中国建设银行股份有限公司梧州分行大塘支行，</w:t>
      </w:r>
    </w:p>
    <w:p w14:paraId="4ED06CB6">
      <w:pPr>
        <w:autoSpaceDE w:val="0"/>
        <w:autoSpaceDN w:val="0"/>
        <w:spacing w:before="100" w:line="300" w:lineRule="auto"/>
        <w:ind w:left="145" w:leftChars="69" w:right="40" w:rightChars="19" w:firstLine="270" w:firstLineChars="129"/>
        <w:jc w:val="left"/>
        <w:outlineLvl w:val="3"/>
        <w:rPr>
          <w:rFonts w:hint="eastAsia" w:hAnsi="宋体"/>
          <w:bCs/>
          <w:szCs w:val="21"/>
          <w:highlight w:val="none"/>
        </w:rPr>
      </w:pPr>
      <w:r>
        <w:rPr>
          <w:rFonts w:hint="eastAsia" w:hAnsi="宋体"/>
          <w:bCs/>
          <w:szCs w:val="21"/>
          <w:highlight w:val="none"/>
        </w:rPr>
        <w:t>银行账号：4505 0164 8659 0000 0057</w:t>
      </w:r>
    </w:p>
    <w:p w14:paraId="1AF2E828">
      <w:pPr>
        <w:autoSpaceDE w:val="0"/>
        <w:autoSpaceDN w:val="0"/>
        <w:spacing w:before="100" w:line="300" w:lineRule="auto"/>
        <w:ind w:left="145" w:leftChars="69" w:right="40" w:rightChars="19" w:firstLine="272" w:firstLineChars="129"/>
        <w:jc w:val="left"/>
        <w:outlineLvl w:val="3"/>
        <w:rPr>
          <w:rFonts w:ascii="宋体" w:hAnsi="宋体"/>
          <w:b/>
          <w:bCs/>
          <w:color w:val="auto"/>
          <w:highlight w:val="none"/>
        </w:rPr>
      </w:pPr>
      <w:r>
        <w:rPr>
          <w:rFonts w:hint="eastAsia" w:ascii="宋体" w:hAnsi="宋体" w:cs="宋体"/>
          <w:b/>
          <w:color w:val="auto"/>
          <w:highlight w:val="none"/>
        </w:rPr>
        <w:t>七、</w:t>
      </w:r>
      <w:r>
        <w:rPr>
          <w:rFonts w:hint="eastAsia" w:ascii="宋体" w:hAnsi="宋体" w:cs="宋体"/>
          <w:b/>
          <w:bCs/>
          <w:color w:val="auto"/>
          <w:highlight w:val="none"/>
        </w:rPr>
        <w:t>竞争性磋商响应文件递交截止时间和地点：</w:t>
      </w:r>
    </w:p>
    <w:p w14:paraId="18F5D252">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提交投标文件截止时间：</w:t>
      </w:r>
      <w:r>
        <w:rPr>
          <w:rFonts w:hint="eastAsia" w:ascii="宋体" w:hAnsi="宋体"/>
          <w:color w:val="auto"/>
          <w:highlight w:val="none"/>
          <w:lang w:eastAsia="zh-CN"/>
        </w:rPr>
        <w:t>2025年1月</w:t>
      </w:r>
      <w:r>
        <w:rPr>
          <w:rFonts w:hint="eastAsia" w:ascii="宋体" w:hAnsi="宋体"/>
          <w:color w:val="auto"/>
          <w:highlight w:val="none"/>
          <w:lang w:val="en-US" w:eastAsia="zh-CN"/>
        </w:rPr>
        <w:t>20</w:t>
      </w:r>
      <w:r>
        <w:rPr>
          <w:rFonts w:hint="eastAsia" w:ascii="宋体" w:hAnsi="宋体"/>
          <w:color w:val="auto"/>
          <w:highlight w:val="none"/>
          <w:lang w:eastAsia="zh-CN"/>
        </w:rPr>
        <w:t>日</w:t>
      </w:r>
      <w:r>
        <w:rPr>
          <w:rFonts w:hint="eastAsia" w:ascii="宋体" w:hAnsi="宋体"/>
          <w:color w:val="auto"/>
          <w:highlight w:val="none"/>
          <w:lang w:val="en-US" w:eastAsia="zh-CN"/>
        </w:rPr>
        <w:t>15</w:t>
      </w:r>
      <w:r>
        <w:rPr>
          <w:rFonts w:hint="eastAsia" w:ascii="宋体" w:hAnsi="宋体"/>
          <w:color w:val="auto"/>
          <w:highlight w:val="none"/>
        </w:rPr>
        <w:t>:</w:t>
      </w:r>
      <w:r>
        <w:rPr>
          <w:rFonts w:hint="eastAsia" w:ascii="宋体" w:hAnsi="宋体"/>
          <w:color w:val="auto"/>
          <w:highlight w:val="none"/>
          <w:lang w:val="en-US" w:eastAsia="zh-CN"/>
        </w:rPr>
        <w:t>0</w:t>
      </w:r>
      <w:r>
        <w:rPr>
          <w:rFonts w:hint="eastAsia" w:ascii="宋体" w:hAnsi="宋体"/>
          <w:color w:val="auto"/>
          <w:highlight w:val="none"/>
        </w:rPr>
        <w:t>0（北京时间）</w:t>
      </w:r>
    </w:p>
    <w:p w14:paraId="644A5422">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地点（网址）：</w:t>
      </w:r>
      <w:r>
        <w:rPr>
          <w:rFonts w:hint="eastAsia" w:ascii="宋体" w:hAnsi="宋体" w:eastAsia="宋体" w:cs="Times New Roman"/>
          <w:highlight w:val="none"/>
          <w:lang w:eastAsia="zh-CN"/>
        </w:rPr>
        <w:t>请登录广西政府采购云平台投标客户端投标</w:t>
      </w:r>
      <w:r>
        <w:rPr>
          <w:rFonts w:hint="eastAsia" w:ascii="宋体" w:hAnsi="宋体" w:eastAsia="宋体" w:cs="Times New Roman"/>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06ED5B22">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lang w:eastAsia="zh-CN"/>
        </w:rPr>
        <w:t>2025年1月</w:t>
      </w:r>
      <w:r>
        <w:rPr>
          <w:rFonts w:hint="eastAsia" w:ascii="宋体" w:hAnsi="宋体"/>
          <w:color w:val="auto"/>
          <w:highlight w:val="none"/>
          <w:lang w:val="en-US" w:eastAsia="zh-CN"/>
        </w:rPr>
        <w:t>20</w:t>
      </w:r>
      <w:r>
        <w:rPr>
          <w:rFonts w:hint="eastAsia" w:ascii="宋体" w:hAnsi="宋体"/>
          <w:color w:val="auto"/>
          <w:highlight w:val="none"/>
          <w:lang w:eastAsia="zh-CN"/>
        </w:rPr>
        <w:t>日</w:t>
      </w:r>
      <w:r>
        <w:rPr>
          <w:rFonts w:hint="eastAsia" w:ascii="宋体" w:hAnsi="宋体"/>
          <w:color w:val="auto"/>
          <w:highlight w:val="none"/>
          <w:lang w:val="en-US" w:eastAsia="zh-CN"/>
        </w:rPr>
        <w:t>15</w:t>
      </w:r>
      <w:r>
        <w:rPr>
          <w:rFonts w:hint="eastAsia" w:ascii="宋体" w:hAnsi="宋体"/>
          <w:color w:val="auto"/>
          <w:highlight w:val="none"/>
        </w:rPr>
        <w:t>:</w:t>
      </w:r>
      <w:r>
        <w:rPr>
          <w:rFonts w:hint="eastAsia" w:ascii="宋体" w:hAnsi="宋体"/>
          <w:color w:val="auto"/>
          <w:highlight w:val="none"/>
          <w:lang w:val="en-US" w:eastAsia="zh-CN"/>
        </w:rPr>
        <w:t>0</w:t>
      </w:r>
      <w:r>
        <w:rPr>
          <w:rFonts w:hint="eastAsia" w:ascii="宋体" w:hAnsi="宋体"/>
          <w:color w:val="auto"/>
          <w:highlight w:val="none"/>
        </w:rPr>
        <w:t>0（北京时间）</w:t>
      </w:r>
    </w:p>
    <w:p w14:paraId="57F5C60A">
      <w:pPr>
        <w:tabs>
          <w:tab w:val="left" w:pos="7200"/>
        </w:tabs>
        <w:spacing w:line="300" w:lineRule="auto"/>
        <w:ind w:firstLine="420" w:firstLineChars="200"/>
        <w:rPr>
          <w:rFonts w:ascii="宋体" w:hAnsi="宋体" w:cs="宋体"/>
          <w:color w:val="auto"/>
          <w:highlight w:val="none"/>
        </w:rPr>
      </w:pPr>
      <w:r>
        <w:rPr>
          <w:rFonts w:hint="eastAsia" w:ascii="宋体" w:hAnsi="宋体"/>
          <w:color w:val="auto"/>
          <w:highlight w:val="none"/>
        </w:rPr>
        <w:t>开启方式：通过</w:t>
      </w:r>
      <w:r>
        <w:rPr>
          <w:rFonts w:hint="eastAsia" w:ascii="宋体" w:hAnsi="宋体"/>
          <w:color w:val="auto"/>
          <w:highlight w:val="none"/>
          <w:lang w:eastAsia="zh-CN"/>
        </w:rPr>
        <w:t>广西政府采购云平台</w:t>
      </w:r>
      <w:r>
        <w:rPr>
          <w:rFonts w:hint="eastAsia" w:ascii="宋体" w:hAnsi="宋体"/>
          <w:color w:val="auto"/>
          <w:highlight w:val="none"/>
        </w:rPr>
        <w:t>在线解密开启</w:t>
      </w:r>
    </w:p>
    <w:p w14:paraId="54D09C39">
      <w:pPr>
        <w:autoSpaceDE w:val="0"/>
        <w:autoSpaceDN w:val="0"/>
        <w:spacing w:line="300" w:lineRule="auto"/>
        <w:ind w:firstLine="422" w:firstLineChars="200"/>
        <w:jc w:val="left"/>
        <w:rPr>
          <w:rFonts w:ascii="宋体" w:hAnsi="宋体" w:cs="Arial"/>
          <w:b/>
          <w:color w:val="auto"/>
          <w:highlight w:val="none"/>
        </w:rPr>
      </w:pPr>
      <w:r>
        <w:rPr>
          <w:rFonts w:hint="eastAsia" w:ascii="宋体" w:hAnsi="宋体" w:cs="宋体"/>
          <w:b/>
          <w:color w:val="auto"/>
          <w:highlight w:val="none"/>
        </w:rPr>
        <w:t>八、截标时间及地点：</w:t>
      </w:r>
    </w:p>
    <w:p w14:paraId="356A38B6">
      <w:pPr>
        <w:autoSpaceDE w:val="0"/>
        <w:autoSpaceDN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本项目于</w:t>
      </w:r>
      <w:r>
        <w:rPr>
          <w:rFonts w:hint="eastAsia" w:ascii="宋体" w:hAnsi="宋体"/>
          <w:color w:val="auto"/>
          <w:highlight w:val="none"/>
          <w:lang w:eastAsia="zh-CN"/>
        </w:rPr>
        <w:t>2025年1月</w:t>
      </w:r>
      <w:r>
        <w:rPr>
          <w:rFonts w:hint="eastAsia" w:ascii="宋体" w:hAnsi="宋体"/>
          <w:color w:val="auto"/>
          <w:highlight w:val="none"/>
          <w:lang w:val="en-US" w:eastAsia="zh-CN"/>
        </w:rPr>
        <w:t>20</w:t>
      </w:r>
      <w:r>
        <w:rPr>
          <w:rFonts w:hint="eastAsia" w:ascii="宋体" w:hAnsi="宋体"/>
          <w:color w:val="auto"/>
          <w:highlight w:val="none"/>
          <w:lang w:eastAsia="zh-CN"/>
        </w:rPr>
        <w:t>日</w:t>
      </w:r>
      <w:r>
        <w:rPr>
          <w:rFonts w:hint="eastAsia" w:ascii="宋体" w:hAnsi="宋体"/>
          <w:color w:val="auto"/>
          <w:highlight w:val="none"/>
          <w:lang w:val="en-US" w:eastAsia="zh-CN"/>
        </w:rPr>
        <w:t>15</w:t>
      </w:r>
      <w:r>
        <w:rPr>
          <w:rFonts w:hint="eastAsia" w:ascii="宋体" w:hAnsi="宋体"/>
          <w:color w:val="auto"/>
          <w:highlight w:val="none"/>
        </w:rPr>
        <w:t>:</w:t>
      </w:r>
      <w:r>
        <w:rPr>
          <w:rFonts w:hint="eastAsia" w:ascii="宋体" w:hAnsi="宋体"/>
          <w:color w:val="auto"/>
          <w:highlight w:val="none"/>
          <w:lang w:val="en-US" w:eastAsia="zh-CN"/>
        </w:rPr>
        <w:t>0</w:t>
      </w:r>
      <w:r>
        <w:rPr>
          <w:rFonts w:hint="eastAsia" w:ascii="宋体" w:hAnsi="宋体"/>
          <w:color w:val="auto"/>
          <w:highlight w:val="none"/>
        </w:rPr>
        <w:t>0</w:t>
      </w:r>
      <w:r>
        <w:rPr>
          <w:rFonts w:hint="eastAsia" w:ascii="宋体" w:hAnsi="宋体"/>
          <w:color w:val="auto"/>
          <w:highlight w:val="none"/>
          <w:lang w:val="en-US" w:eastAsia="zh-CN"/>
        </w:rPr>
        <w:t>分</w:t>
      </w:r>
      <w:r>
        <w:rPr>
          <w:rFonts w:hint="eastAsia" w:ascii="宋体" w:hAnsi="宋体" w:cs="宋体"/>
          <w:color w:val="auto"/>
          <w:highlight w:val="none"/>
        </w:rPr>
        <w:t>截标，由代理机构按招标文件规定的时间、地点通过“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”组织开标、开启投标文件，所有供应商均应当准时在线参加。投标供应商因未在线参加开标而导致投标文件无法按时解密等一切后果由供应商自行承担。</w:t>
      </w:r>
    </w:p>
    <w:p w14:paraId="7BAE1253">
      <w:pPr>
        <w:autoSpaceDE w:val="0"/>
        <w:autoSpaceDN w:val="0"/>
        <w:spacing w:line="300" w:lineRule="auto"/>
        <w:ind w:firstLine="422" w:firstLineChars="200"/>
        <w:jc w:val="left"/>
        <w:rPr>
          <w:rFonts w:ascii="宋体" w:hAnsi="宋体" w:cs="宋体"/>
          <w:color w:val="auto"/>
          <w:highlight w:val="none"/>
        </w:rPr>
      </w:pPr>
      <w:r>
        <w:rPr>
          <w:rFonts w:hint="eastAsia" w:ascii="宋体" w:hAnsi="宋体" w:cs="宋体"/>
          <w:b/>
          <w:color w:val="auto"/>
          <w:highlight w:val="none"/>
        </w:rPr>
        <w:t>九、网上查询地址：</w:t>
      </w:r>
    </w:p>
    <w:p w14:paraId="3B40FDDE">
      <w:pPr>
        <w:autoSpaceDE w:val="0"/>
        <w:autoSpaceDN w:val="0"/>
        <w:snapToGrid w:val="0"/>
        <w:spacing w:line="300" w:lineRule="auto"/>
        <w:ind w:firstLine="420" w:firstLineChars="200"/>
        <w:jc w:val="left"/>
        <w:rPr>
          <w:rFonts w:hint="eastAsia" w:eastAsia="宋体"/>
          <w:color w:val="auto"/>
          <w:highlight w:val="none"/>
          <w:lang w:eastAsia="zh-CN"/>
        </w:rPr>
      </w:pPr>
      <w:r>
        <w:rPr>
          <w:rFonts w:hint="eastAsia" w:ascii="宋体" w:hAnsi="宋体" w:cs="宋体"/>
          <w:color w:val="auto"/>
          <w:highlight w:val="none"/>
        </w:rPr>
        <w:t>广西壮族自治区政府采购网、梧州市政府采购网</w:t>
      </w:r>
      <w:r>
        <w:rPr>
          <w:rFonts w:hint="eastAsia" w:ascii="宋体" w:hAnsi="宋体" w:cs="宋体"/>
          <w:color w:val="auto"/>
          <w:highlight w:val="none"/>
          <w:lang w:eastAsia="zh-CN"/>
        </w:rPr>
        <w:t>、中国政府采购网。</w:t>
      </w:r>
    </w:p>
    <w:p w14:paraId="01734939">
      <w:pPr>
        <w:autoSpaceDE w:val="0"/>
        <w:autoSpaceDN w:val="0"/>
        <w:spacing w:line="300" w:lineRule="auto"/>
        <w:ind w:firstLine="422" w:firstLineChars="200"/>
        <w:jc w:val="left"/>
        <w:rPr>
          <w:rFonts w:ascii="宋体" w:hAnsi="宋体" w:cs="宋体"/>
          <w:color w:val="auto"/>
          <w:highlight w:val="none"/>
        </w:rPr>
      </w:pPr>
      <w:r>
        <w:rPr>
          <w:rFonts w:hint="eastAsia" w:ascii="宋体" w:hAnsi="宋体" w:cs="宋体"/>
          <w:b/>
          <w:color w:val="auto"/>
          <w:highlight w:val="none"/>
        </w:rPr>
        <w:t>十、联系方式：</w:t>
      </w:r>
    </w:p>
    <w:p w14:paraId="66F6AB34">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1.采购人信息</w:t>
      </w:r>
    </w:p>
    <w:p w14:paraId="61F6C126">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lang w:eastAsia="zh-CN"/>
        </w:rPr>
        <w:t>梧州市公安局交通警察支队</w:t>
      </w:r>
    </w:p>
    <w:p w14:paraId="7C0D9B64">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红岭路30号</w:t>
      </w:r>
    </w:p>
    <w:p w14:paraId="5DD3AF46">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0774-2063813</w:t>
      </w:r>
    </w:p>
    <w:p w14:paraId="06C0C83E">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2.采购代理机构信息</w:t>
      </w:r>
    </w:p>
    <w:p w14:paraId="5191FBE0">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名    称：广西建隆工程咨询有限公司</w:t>
      </w:r>
    </w:p>
    <w:p w14:paraId="50A45063">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梧州市水木兰山小区7号楼地层3号铺</w:t>
      </w:r>
    </w:p>
    <w:p w14:paraId="35A20D53">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项目联系人：李先生</w:t>
      </w:r>
    </w:p>
    <w:p w14:paraId="260DF109">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联系方式：</w:t>
      </w:r>
      <w:r>
        <w:rPr>
          <w:rFonts w:hint="eastAsia" w:ascii="宋体" w:hAnsi="宋体" w:cs="宋体"/>
          <w:color w:val="auto"/>
          <w:highlight w:val="none"/>
          <w:lang w:eastAsia="zh-CN"/>
        </w:rPr>
        <w:t>0774-3856100</w:t>
      </w:r>
    </w:p>
    <w:p w14:paraId="621B7F1A">
      <w:pPr>
        <w:spacing w:line="400" w:lineRule="exact"/>
        <w:ind w:firstLine="420" w:firstLineChars="200"/>
        <w:contextualSpacing/>
        <w:rPr>
          <w:rFonts w:ascii="宋体" w:hAnsi="宋体" w:cs="宋体"/>
          <w:color w:val="auto"/>
          <w:highlight w:val="none"/>
        </w:rPr>
      </w:pPr>
    </w:p>
    <w:p w14:paraId="73DB98A6">
      <w:pPr>
        <w:rPr>
          <w:rFonts w:hint="eastAsia"/>
          <w:color w:val="auto"/>
          <w:highlight w:val="none"/>
        </w:rPr>
        <w:sectPr>
          <w:footerReference r:id="rId4" w:type="default"/>
          <w:pgSz w:w="11906" w:h="16838"/>
          <w:pgMar w:top="1440" w:right="1486" w:bottom="1440" w:left="1600" w:header="851" w:footer="992" w:gutter="0"/>
          <w:pgNumType w:start="1"/>
          <w:cols w:space="425" w:num="1"/>
          <w:docGrid w:type="lines" w:linePitch="312" w:charSpace="0"/>
        </w:sectPr>
      </w:pPr>
      <w:r>
        <w:rPr>
          <w:rFonts w:ascii="宋体" w:hAnsi="宋体"/>
          <w:b/>
          <w:color w:val="auto"/>
          <w:sz w:val="32"/>
          <w:szCs w:val="32"/>
          <w:highlight w:val="none"/>
        </w:rPr>
        <w:br w:type="page"/>
      </w:r>
    </w:p>
    <w:p w14:paraId="638E6863">
      <w:pPr>
        <w:autoSpaceDE w:val="0"/>
        <w:autoSpaceDN w:val="0"/>
        <w:ind w:firstLine="2711" w:firstLineChars="900"/>
        <w:rPr>
          <w:rFonts w:ascii="宋体" w:hAnsi="宋体"/>
          <w:b/>
          <w:color w:val="auto"/>
          <w:sz w:val="30"/>
          <w:szCs w:val="30"/>
          <w:highlight w:val="none"/>
        </w:rPr>
      </w:pPr>
      <w:r>
        <w:rPr>
          <w:rFonts w:hint="eastAsia" w:ascii="宋体" w:hAnsi="宋体" w:cs="宋体"/>
          <w:b/>
          <w:color w:val="auto"/>
          <w:sz w:val="30"/>
          <w:szCs w:val="30"/>
          <w:highlight w:val="none"/>
        </w:rPr>
        <w:t>第二章</w:t>
      </w:r>
      <w:r>
        <w:rPr>
          <w:rFonts w:hint="eastAsia" w:ascii="宋体" w:hAnsi="宋体"/>
          <w:b/>
          <w:color w:val="auto"/>
          <w:sz w:val="30"/>
          <w:szCs w:val="30"/>
          <w:highlight w:val="none"/>
        </w:rPr>
        <w:tab/>
      </w:r>
      <w:r>
        <w:rPr>
          <w:rFonts w:hint="eastAsia" w:ascii="宋体" w:hAnsi="宋体" w:cs="宋体"/>
          <w:b/>
          <w:color w:val="auto"/>
          <w:sz w:val="30"/>
          <w:szCs w:val="30"/>
          <w:highlight w:val="none"/>
        </w:rPr>
        <w:t>磋商供应商须知及前附表</w:t>
      </w:r>
    </w:p>
    <w:p w14:paraId="609E4FAA">
      <w:pPr>
        <w:autoSpaceDE w:val="0"/>
        <w:autoSpaceDN w:val="0"/>
        <w:spacing w:before="37"/>
        <w:ind w:firstLine="843" w:firstLineChars="350"/>
        <w:jc w:val="center"/>
        <w:outlineLvl w:val="1"/>
        <w:rPr>
          <w:rFonts w:ascii="宋体" w:hAnsi="宋体" w:eastAsia="隶书"/>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bCs/>
          <w:color w:val="auto"/>
          <w:sz w:val="24"/>
          <w:szCs w:val="24"/>
          <w:highlight w:val="none"/>
        </w:rPr>
        <w:t>磋商供应商须知前附表</w:t>
      </w:r>
    </w:p>
    <w:tbl>
      <w:tblPr>
        <w:tblStyle w:val="1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862"/>
      </w:tblGrid>
      <w:tr w14:paraId="0C00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1BE908A">
            <w:pPr>
              <w:autoSpaceDE w:val="0"/>
              <w:autoSpaceDN w:val="0"/>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7862" w:type="dxa"/>
            <w:tcBorders>
              <w:top w:val="single" w:color="auto" w:sz="4" w:space="0"/>
              <w:left w:val="nil"/>
              <w:bottom w:val="single" w:color="auto" w:sz="4" w:space="0"/>
              <w:right w:val="single" w:color="auto" w:sz="4" w:space="0"/>
            </w:tcBorders>
            <w:shd w:val="clear" w:color="auto" w:fill="auto"/>
            <w:vAlign w:val="center"/>
          </w:tcPr>
          <w:p w14:paraId="4B1690B1">
            <w:pPr>
              <w:autoSpaceDE w:val="0"/>
              <w:autoSpaceDN w:val="0"/>
              <w:spacing w:line="360" w:lineRule="exact"/>
              <w:jc w:val="center"/>
              <w:rPr>
                <w:rFonts w:ascii="宋体" w:hAnsi="宋体" w:cs="宋体"/>
                <w:b/>
                <w:color w:val="auto"/>
                <w:highlight w:val="none"/>
              </w:rPr>
            </w:pPr>
            <w:r>
              <w:rPr>
                <w:rFonts w:hint="eastAsia" w:ascii="宋体" w:hAnsi="宋体" w:cs="宋体"/>
                <w:b/>
                <w:color w:val="auto"/>
                <w:highlight w:val="none"/>
              </w:rPr>
              <w:t>内    容</w:t>
            </w:r>
          </w:p>
        </w:tc>
      </w:tr>
      <w:tr w14:paraId="3F3B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D456A1B">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w:t>
            </w:r>
          </w:p>
        </w:tc>
        <w:tc>
          <w:tcPr>
            <w:tcW w:w="7862" w:type="dxa"/>
            <w:tcBorders>
              <w:top w:val="single" w:color="auto" w:sz="4" w:space="0"/>
              <w:left w:val="nil"/>
              <w:bottom w:val="single" w:color="auto" w:sz="4" w:space="0"/>
              <w:right w:val="single" w:color="auto" w:sz="4" w:space="0"/>
            </w:tcBorders>
            <w:shd w:val="clear" w:color="auto" w:fill="auto"/>
            <w:vAlign w:val="center"/>
          </w:tcPr>
          <w:p w14:paraId="1C2E5D29">
            <w:pPr>
              <w:autoSpaceDE w:val="0"/>
              <w:autoSpaceDN w:val="0"/>
              <w:spacing w:line="360" w:lineRule="exact"/>
              <w:jc w:val="left"/>
              <w:rPr>
                <w:rFonts w:hint="eastAsia" w:ascii="宋体" w:hAnsi="宋体" w:cs="宋体"/>
                <w:b/>
                <w:bCs/>
                <w:color w:val="auto"/>
                <w:highlight w:val="none"/>
                <w:lang w:eastAsia="zh-CN"/>
              </w:rPr>
            </w:pPr>
            <w:r>
              <w:rPr>
                <w:rFonts w:hint="eastAsia" w:ascii="宋体" w:hAnsi="宋体" w:cs="宋体"/>
                <w:b/>
                <w:color w:val="auto"/>
                <w:highlight w:val="none"/>
              </w:rPr>
              <w:t>项目名称：</w:t>
            </w:r>
            <w:r>
              <w:rPr>
                <w:rFonts w:hint="eastAsia" w:ascii="宋体" w:hAnsi="宋体" w:cs="宋体"/>
                <w:b/>
                <w:bCs/>
                <w:color w:val="auto"/>
                <w:highlight w:val="none"/>
                <w:lang w:eastAsia="zh-CN"/>
              </w:rPr>
              <w:t>梧州市公安局交通警察支队无人机智慧机场服务项目</w:t>
            </w:r>
          </w:p>
          <w:p w14:paraId="58CF1DEF">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项目编号：</w:t>
            </w:r>
            <w:r>
              <w:rPr>
                <w:rFonts w:hint="eastAsia" w:ascii="宋体" w:hAnsi="宋体" w:cs="宋体"/>
                <w:color w:val="auto"/>
                <w:highlight w:val="none"/>
              </w:rPr>
              <w:t xml:space="preserve">  </w:t>
            </w:r>
            <w:r>
              <w:rPr>
                <w:rFonts w:hint="eastAsia" w:ascii="宋体" w:hAnsi="宋体" w:cs="宋体"/>
                <w:b/>
                <w:bCs/>
                <w:color w:val="auto"/>
                <w:highlight w:val="none"/>
                <w:lang w:eastAsia="zh-CN"/>
              </w:rPr>
              <w:t>WZZC2025-C3-990013-GXJL</w:t>
            </w:r>
            <w:r>
              <w:rPr>
                <w:rFonts w:hint="eastAsia" w:ascii="宋体" w:hAnsi="宋体" w:cs="宋体"/>
                <w:b/>
                <w:bCs/>
                <w:color w:val="auto"/>
                <w:highlight w:val="none"/>
              </w:rPr>
              <w:t>　</w:t>
            </w:r>
          </w:p>
          <w:p w14:paraId="6B984379">
            <w:pPr>
              <w:autoSpaceDE w:val="0"/>
              <w:autoSpaceDN w:val="0"/>
              <w:spacing w:line="360" w:lineRule="exact"/>
              <w:jc w:val="left"/>
              <w:rPr>
                <w:rFonts w:ascii="宋体" w:hAnsi="宋体" w:cs="宋体"/>
                <w:color w:val="auto"/>
                <w:highlight w:val="none"/>
                <w:u w:val="single"/>
              </w:rPr>
            </w:pPr>
            <w:r>
              <w:rPr>
                <w:rFonts w:hint="eastAsia" w:ascii="宋体" w:hAnsi="宋体" w:cs="宋体"/>
                <w:b/>
                <w:color w:val="auto"/>
                <w:highlight w:val="none"/>
              </w:rPr>
              <w:t xml:space="preserve">采购预算金额： </w:t>
            </w:r>
            <w:r>
              <w:rPr>
                <w:rFonts w:hint="eastAsia" w:ascii="宋体" w:hAnsi="宋体" w:cs="宋体"/>
                <w:b/>
                <w:color w:val="auto"/>
                <w:highlight w:val="none"/>
                <w:u w:val="single"/>
                <w:lang w:val="en-US" w:eastAsia="zh-CN"/>
              </w:rPr>
              <w:t>160</w:t>
            </w:r>
            <w:r>
              <w:rPr>
                <w:rFonts w:hint="eastAsia" w:ascii="宋体" w:hAnsi="宋体" w:cs="宋体"/>
                <w:b/>
                <w:color w:val="auto"/>
                <w:highlight w:val="none"/>
                <w:u w:val="single"/>
              </w:rPr>
              <w:t>万元</w:t>
            </w:r>
          </w:p>
        </w:tc>
      </w:tr>
      <w:tr w14:paraId="5667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E5B0274">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2</w:t>
            </w:r>
          </w:p>
        </w:tc>
        <w:tc>
          <w:tcPr>
            <w:tcW w:w="7862" w:type="dxa"/>
            <w:tcBorders>
              <w:top w:val="single" w:color="auto" w:sz="4" w:space="0"/>
              <w:left w:val="nil"/>
              <w:bottom w:val="single" w:color="auto" w:sz="4" w:space="0"/>
              <w:right w:val="single" w:color="auto" w:sz="4" w:space="0"/>
            </w:tcBorders>
            <w:shd w:val="clear" w:color="auto" w:fill="auto"/>
            <w:vAlign w:val="center"/>
          </w:tcPr>
          <w:p w14:paraId="2215DEE8">
            <w:pPr>
              <w:autoSpaceDE w:val="0"/>
              <w:autoSpaceDN w:val="0"/>
              <w:spacing w:line="400" w:lineRule="exact"/>
              <w:jc w:val="left"/>
              <w:rPr>
                <w:rFonts w:ascii="宋体" w:hAnsi="宋体" w:cs="宋体"/>
                <w:b/>
                <w:color w:val="auto"/>
                <w:highlight w:val="none"/>
              </w:rPr>
            </w:pPr>
            <w:r>
              <w:rPr>
                <w:rFonts w:hint="eastAsia" w:ascii="宋体" w:hAnsi="宋体" w:cs="宋体"/>
                <w:b/>
                <w:color w:val="auto"/>
                <w:highlight w:val="none"/>
              </w:rPr>
              <w:t>磋商供应商资格：</w:t>
            </w:r>
          </w:p>
          <w:p w14:paraId="226A37C5">
            <w:pPr>
              <w:autoSpaceDE w:val="0"/>
              <w:autoSpaceDN w:val="0"/>
              <w:spacing w:before="100" w:line="300" w:lineRule="auto"/>
              <w:ind w:right="40" w:rightChars="19" w:firstLine="424" w:firstLineChars="202"/>
              <w:jc w:val="left"/>
              <w:outlineLvl w:val="3"/>
              <w:rPr>
                <w:rFonts w:hint="eastAsia" w:ascii="宋体" w:hAnsi="宋体" w:cs="宋体"/>
                <w:color w:val="auto"/>
                <w:highlight w:val="none"/>
              </w:rPr>
            </w:pPr>
            <w:r>
              <w:rPr>
                <w:rFonts w:hint="eastAsia" w:ascii="宋体" w:hAnsi="宋体" w:cs="宋体"/>
                <w:color w:val="auto"/>
                <w:highlight w:val="none"/>
              </w:rPr>
              <w:t>1、符合《中华人民共和国政府釆购法》第二十二条规定；</w:t>
            </w:r>
          </w:p>
          <w:p w14:paraId="1291A3B9">
            <w:pPr>
              <w:spacing w:line="360" w:lineRule="auto"/>
              <w:ind w:firstLine="315" w:firstLineChars="150"/>
              <w:rPr>
                <w:rFonts w:hint="eastAsia" w:ascii="宋体" w:hAnsi="宋体" w:cs="宋体"/>
                <w:color w:val="auto"/>
                <w:highlight w:val="none"/>
                <w:lang w:val="en-US" w:eastAsia="zh-CN"/>
              </w:rPr>
            </w:pPr>
            <w:r>
              <w:rPr>
                <w:rFonts w:hint="eastAsia" w:ascii="宋体" w:hAnsi="宋体" w:cs="宋体"/>
                <w:color w:val="auto"/>
                <w:highlight w:val="none"/>
              </w:rPr>
              <w:t>落实政府采购政策需满足的资格要求：</w:t>
            </w:r>
            <w:r>
              <w:rPr>
                <w:rFonts w:hint="eastAsia" w:ascii="宋体" w:hAnsi="宋体" w:cs="Times New Roman"/>
                <w:bCs/>
                <w:szCs w:val="21"/>
                <w:highlight w:val="none"/>
                <w:lang w:val="en-US" w:eastAsia="zh-CN"/>
              </w:rPr>
              <w:t>无</w:t>
            </w:r>
            <w:r>
              <w:rPr>
                <w:rFonts w:hint="eastAsia" w:ascii="宋体" w:hAnsi="宋体" w:eastAsia="宋体" w:cs="Times New Roman"/>
                <w:bCs/>
                <w:szCs w:val="21"/>
                <w:highlight w:val="none"/>
                <w:lang w:eastAsia="zh-CN"/>
              </w:rPr>
              <w:t>。</w:t>
            </w:r>
          </w:p>
          <w:p w14:paraId="2076BE70">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14:paraId="67F7A466">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7F525AC7">
            <w:pPr>
              <w:spacing w:line="312"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w:t>
            </w:r>
            <w:r>
              <w:rPr>
                <w:rFonts w:hint="eastAsia"/>
                <w:color w:val="auto"/>
                <w:kern w:val="0"/>
                <w:szCs w:val="21"/>
                <w:highlight w:val="none"/>
              </w:rPr>
              <w:t>本项目允许分支机构或分公司参加采购，分支机构或分公司参加采购的，需提供总公司的有关文件或者制度等能证明总公司授权其独立开展业务或提供总公司出具的授权其参与本项目采购的授权文件。</w:t>
            </w:r>
          </w:p>
          <w:p w14:paraId="6546FA9A">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eastAsia="宋体"/>
                <w:color w:val="auto"/>
                <w:kern w:val="0"/>
                <w:szCs w:val="21"/>
                <w:highlight w:val="none"/>
              </w:rPr>
              <w:t>国内注册（指按国家有关规定要求注册），生产或经营本次采购货物及服务的供应商</w:t>
            </w:r>
            <w:r>
              <w:rPr>
                <w:rFonts w:hint="eastAsia"/>
                <w:color w:val="auto"/>
                <w:kern w:val="0"/>
                <w:szCs w:val="21"/>
                <w:highlight w:val="none"/>
              </w:rPr>
              <w:t>；</w:t>
            </w:r>
          </w:p>
          <w:p w14:paraId="1B7F9601">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本项目不接受联合体竞标。</w:t>
            </w:r>
          </w:p>
        </w:tc>
      </w:tr>
      <w:tr w14:paraId="0164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7C25A99">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3</w:t>
            </w:r>
          </w:p>
        </w:tc>
        <w:tc>
          <w:tcPr>
            <w:tcW w:w="7862" w:type="dxa"/>
            <w:tcBorders>
              <w:top w:val="single" w:color="auto" w:sz="4" w:space="0"/>
              <w:left w:val="nil"/>
              <w:bottom w:val="single" w:color="auto" w:sz="4" w:space="0"/>
              <w:right w:val="single" w:color="auto" w:sz="4" w:space="0"/>
            </w:tcBorders>
            <w:shd w:val="clear" w:color="auto" w:fill="auto"/>
            <w:vAlign w:val="center"/>
          </w:tcPr>
          <w:p w14:paraId="0FC7866B">
            <w:pPr>
              <w:spacing w:line="360" w:lineRule="exact"/>
              <w:rPr>
                <w:rFonts w:ascii="宋体" w:hAnsi="宋体"/>
                <w:color w:val="auto"/>
                <w:kern w:val="2"/>
                <w:highlight w:val="none"/>
              </w:rPr>
            </w:pPr>
            <w:r>
              <w:rPr>
                <w:rFonts w:hint="eastAsia" w:ascii="宋体" w:hAnsi="宋体" w:cs="宋体"/>
                <w:b/>
                <w:color w:val="auto"/>
                <w:kern w:val="2"/>
                <w:highlight w:val="none"/>
              </w:rPr>
              <w:t>磋商报价：</w:t>
            </w:r>
            <w:r>
              <w:rPr>
                <w:rFonts w:hint="eastAsia" w:ascii="宋体" w:hAnsi="宋体" w:cs="宋体"/>
                <w:color w:val="auto"/>
                <w:kern w:val="2"/>
                <w:highlight w:val="none"/>
              </w:rPr>
              <w:t>磋商供应商</w:t>
            </w:r>
            <w:r>
              <w:rPr>
                <w:rFonts w:hint="eastAsia" w:ascii="宋体" w:hAnsi="宋体" w:cs="宋体"/>
                <w:bCs/>
                <w:color w:val="auto"/>
                <w:kern w:val="2"/>
                <w:highlight w:val="none"/>
              </w:rPr>
              <w:t>须就《</w:t>
            </w:r>
            <w:r>
              <w:rPr>
                <w:rFonts w:hint="eastAsia" w:ascii="宋体" w:hAnsi="宋体" w:cs="宋体"/>
                <w:bCs/>
                <w:color w:val="auto"/>
                <w:kern w:val="2"/>
                <w:highlight w:val="none"/>
                <w:lang w:eastAsia="zh-CN"/>
              </w:rPr>
              <w:t>项目需求一览表</w:t>
            </w:r>
            <w:r>
              <w:rPr>
                <w:rFonts w:hint="eastAsia" w:ascii="宋体" w:hAnsi="宋体" w:cs="宋体"/>
                <w:bCs/>
                <w:color w:val="auto"/>
                <w:kern w:val="2"/>
                <w:highlight w:val="none"/>
              </w:rPr>
              <w:t>》中的全部的货物和服务内容作完整唯一报价。</w:t>
            </w:r>
          </w:p>
        </w:tc>
      </w:tr>
      <w:tr w14:paraId="5731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7EDF8C2">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4</w:t>
            </w:r>
          </w:p>
        </w:tc>
        <w:tc>
          <w:tcPr>
            <w:tcW w:w="7862" w:type="dxa"/>
            <w:tcBorders>
              <w:top w:val="single" w:color="auto" w:sz="4" w:space="0"/>
              <w:left w:val="nil"/>
              <w:bottom w:val="single" w:color="auto" w:sz="4" w:space="0"/>
              <w:right w:val="single" w:color="auto" w:sz="4" w:space="0"/>
            </w:tcBorders>
            <w:shd w:val="clear" w:color="auto" w:fill="auto"/>
            <w:vAlign w:val="center"/>
          </w:tcPr>
          <w:p w14:paraId="40E46A35">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竞争性磋商响应文件份数：</w:t>
            </w:r>
            <w:r>
              <w:rPr>
                <w:rFonts w:hint="eastAsia" w:ascii="宋体" w:hAnsi="宋体"/>
                <w:color w:val="auto"/>
                <w:highlight w:val="none"/>
              </w:rPr>
              <w:t>投标供应商应准备电子投标文件。</w:t>
            </w:r>
          </w:p>
        </w:tc>
      </w:tr>
      <w:tr w14:paraId="28EE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7F06ED2">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5</w:t>
            </w:r>
          </w:p>
        </w:tc>
        <w:tc>
          <w:tcPr>
            <w:tcW w:w="7862" w:type="dxa"/>
            <w:tcBorders>
              <w:top w:val="single" w:color="auto" w:sz="4" w:space="0"/>
              <w:left w:val="nil"/>
              <w:bottom w:val="single" w:color="auto" w:sz="4" w:space="0"/>
              <w:right w:val="single" w:color="auto" w:sz="4" w:space="0"/>
            </w:tcBorders>
            <w:shd w:val="clear" w:color="auto" w:fill="auto"/>
            <w:vAlign w:val="center"/>
          </w:tcPr>
          <w:p w14:paraId="430759BF">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竞标有效期：</w:t>
            </w:r>
            <w:r>
              <w:rPr>
                <w:rFonts w:hint="eastAsia" w:ascii="宋体" w:hAnsi="宋体" w:cs="宋体"/>
                <w:color w:val="auto"/>
                <w:highlight w:val="none"/>
              </w:rPr>
              <w:t>竞标截止之日起60天内。</w:t>
            </w:r>
          </w:p>
        </w:tc>
      </w:tr>
      <w:tr w14:paraId="117C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2F8ACDB">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6</w:t>
            </w:r>
          </w:p>
        </w:tc>
        <w:tc>
          <w:tcPr>
            <w:tcW w:w="7862" w:type="dxa"/>
            <w:tcBorders>
              <w:top w:val="single" w:color="auto" w:sz="4" w:space="0"/>
              <w:left w:val="nil"/>
              <w:bottom w:val="single" w:color="auto" w:sz="4" w:space="0"/>
              <w:right w:val="single" w:color="auto" w:sz="4" w:space="0"/>
            </w:tcBorders>
            <w:shd w:val="clear" w:color="auto" w:fill="auto"/>
            <w:vAlign w:val="center"/>
          </w:tcPr>
          <w:p w14:paraId="108BAED3">
            <w:pPr>
              <w:autoSpaceDE w:val="0"/>
              <w:autoSpaceDN w:val="0"/>
              <w:spacing w:line="360" w:lineRule="exact"/>
              <w:jc w:val="left"/>
              <w:rPr>
                <w:rFonts w:ascii="宋体" w:hAnsi="宋体" w:cs="宋体"/>
                <w:b/>
                <w:color w:val="auto"/>
                <w:highlight w:val="none"/>
              </w:rPr>
            </w:pPr>
            <w:r>
              <w:rPr>
                <w:rFonts w:hint="eastAsia" w:ascii="宋体" w:hAnsi="宋体" w:cs="宋体"/>
                <w:b/>
                <w:color w:val="auto"/>
                <w:highlight w:val="none"/>
              </w:rPr>
              <w:sym w:font="Wingdings" w:char="F0FE"/>
            </w:r>
            <w:r>
              <w:rPr>
                <w:rFonts w:hint="eastAsia" w:ascii="宋体" w:hAnsi="宋体" w:cs="宋体"/>
                <w:b/>
                <w:color w:val="auto"/>
                <w:highlight w:val="none"/>
              </w:rPr>
              <w:t>需要缴纳磋商保证金</w:t>
            </w:r>
          </w:p>
          <w:p w14:paraId="389EF0B7">
            <w:pPr>
              <w:autoSpaceDE w:val="0"/>
              <w:autoSpaceDN w:val="0"/>
              <w:spacing w:line="360" w:lineRule="exact"/>
              <w:jc w:val="left"/>
              <w:rPr>
                <w:rFonts w:ascii="宋体" w:hAnsi="宋体" w:cs="宋体"/>
                <w:b/>
                <w:color w:val="auto"/>
                <w:highlight w:val="none"/>
              </w:rPr>
            </w:pPr>
            <w:r>
              <w:rPr>
                <w:rFonts w:hint="eastAsia" w:ascii="宋体" w:hAnsi="宋体" w:cs="宋体"/>
                <w:b/>
                <w:color w:val="auto"/>
                <w:highlight w:val="none"/>
              </w:rPr>
              <w:t>竞标保证金：</w:t>
            </w:r>
          </w:p>
          <w:p w14:paraId="092FF172">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pacing w:val="-4"/>
                <w:highlight w:val="none"/>
              </w:rPr>
              <w:t>竞标保证金应用人民币，</w:t>
            </w:r>
            <w:r>
              <w:rPr>
                <w:rFonts w:hint="eastAsia" w:ascii="宋体" w:hAnsi="宋体" w:cs="宋体"/>
                <w:color w:val="auto"/>
                <w:kern w:val="2"/>
                <w:highlight w:val="none"/>
              </w:rPr>
              <w:t>金额为</w:t>
            </w:r>
            <w:r>
              <w:rPr>
                <w:rFonts w:hint="eastAsia" w:ascii="宋体" w:hAnsi="宋体" w:cs="宋体"/>
                <w:bCs/>
                <w:color w:val="auto"/>
                <w:highlight w:val="none"/>
              </w:rPr>
              <w:t>人民币</w:t>
            </w:r>
            <w:r>
              <w:rPr>
                <w:rFonts w:hint="eastAsia" w:ascii="宋体" w:hAnsi="宋体" w:cs="宋体"/>
                <w:color w:val="auto"/>
                <w:highlight w:val="none"/>
                <w:lang w:val="en-US" w:eastAsia="zh-CN"/>
              </w:rPr>
              <w:t>壹万伍仟</w:t>
            </w:r>
            <w:r>
              <w:rPr>
                <w:rFonts w:hint="eastAsia" w:ascii="宋体" w:hAnsi="宋体" w:cs="宋体"/>
                <w:color w:val="auto"/>
                <w:highlight w:val="none"/>
              </w:rPr>
              <w:t>元整（￥</w:t>
            </w:r>
            <w:r>
              <w:rPr>
                <w:rFonts w:hint="eastAsia" w:ascii="宋体" w:hAnsi="宋体" w:cs="宋体"/>
                <w:color w:val="auto"/>
                <w:highlight w:val="none"/>
                <w:lang w:val="en-US" w:eastAsia="zh-CN"/>
              </w:rPr>
              <w:t>15,000</w:t>
            </w:r>
            <w:r>
              <w:rPr>
                <w:rFonts w:hint="eastAsia" w:ascii="宋体" w:hAnsi="宋体" w:cs="宋体"/>
                <w:color w:val="auto"/>
                <w:highlight w:val="none"/>
              </w:rPr>
              <w:t>.00元）</w:t>
            </w:r>
            <w:r>
              <w:rPr>
                <w:rFonts w:hint="eastAsia" w:ascii="宋体" w:hAnsi="宋体" w:cs="宋体"/>
                <w:color w:val="auto"/>
                <w:kern w:val="2"/>
                <w:highlight w:val="none"/>
              </w:rPr>
              <w:t>(</w:t>
            </w:r>
            <w:r>
              <w:rPr>
                <w:rFonts w:hint="eastAsia" w:ascii="宋体" w:hAnsi="宋体" w:cs="宋体"/>
                <w:b/>
                <w:color w:val="auto"/>
                <w:highlight w:val="none"/>
              </w:rPr>
              <w:t>须足额交纳)。</w:t>
            </w:r>
          </w:p>
          <w:p w14:paraId="0EF11850">
            <w:pPr>
              <w:spacing w:line="360" w:lineRule="exact"/>
              <w:rPr>
                <w:rFonts w:ascii="宋体" w:hAnsi="宋体"/>
                <w:color w:val="auto"/>
                <w:kern w:val="2"/>
                <w:highlight w:val="none"/>
              </w:rPr>
            </w:pPr>
            <w:r>
              <w:rPr>
                <w:rFonts w:hint="eastAsia" w:ascii="宋体" w:hAnsi="宋体" w:cs="宋体"/>
                <w:color w:val="auto"/>
                <w:kern w:val="2"/>
                <w:highlight w:val="none"/>
              </w:rPr>
              <w:t>2、竞标保证金应在竞标有效期内保持有效。</w:t>
            </w:r>
          </w:p>
          <w:p w14:paraId="4E383128">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3、磋商供应商须按规定提交竞标保证金。否则，其竞标将被拒绝。</w:t>
            </w:r>
          </w:p>
          <w:p w14:paraId="11109214">
            <w:pPr>
              <w:autoSpaceDE w:val="0"/>
              <w:autoSpaceDN w:val="0"/>
              <w:spacing w:line="440" w:lineRule="exact"/>
              <w:jc w:val="left"/>
              <w:rPr>
                <w:rFonts w:ascii="宋体" w:hAnsi="宋体" w:cs="宋体"/>
                <w:color w:val="auto"/>
                <w:highlight w:val="none"/>
              </w:rPr>
            </w:pPr>
            <w:r>
              <w:rPr>
                <w:rFonts w:hint="eastAsia" w:ascii="宋体" w:hAnsi="宋体" w:cs="宋体"/>
                <w:color w:val="auto"/>
                <w:highlight w:val="none"/>
              </w:rPr>
              <w:t>4、保证金交纳方式：</w:t>
            </w:r>
          </w:p>
          <w:p w14:paraId="537275A5">
            <w:pPr>
              <w:autoSpaceDE w:val="0"/>
              <w:autoSpaceDN w:val="0"/>
              <w:spacing w:line="360" w:lineRule="exact"/>
              <w:jc w:val="left"/>
              <w:rPr>
                <w:rFonts w:hint="eastAsia" w:ascii="宋体" w:hAnsi="宋体" w:eastAsia="宋体" w:cs="宋体"/>
                <w:color w:val="auto"/>
                <w:highlight w:val="none"/>
                <w:lang w:eastAsia="zh-CN"/>
              </w:rPr>
            </w:pPr>
            <w:r>
              <w:rPr>
                <w:rFonts w:hint="eastAsia" w:ascii="宋体" w:hAnsi="宋体" w:cs="宋体"/>
                <w:color w:val="auto"/>
                <w:highlight w:val="none"/>
              </w:rPr>
              <w:t>须从供应商银行账户转出并于响应文件递交截止时间前到达指定银行账户</w:t>
            </w:r>
            <w:r>
              <w:rPr>
                <w:rFonts w:hint="eastAsia" w:ascii="宋体" w:hAnsi="宋体" w:cs="宋体"/>
                <w:color w:val="auto"/>
                <w:highlight w:val="none"/>
                <w:lang w:eastAsia="zh-CN"/>
              </w:rPr>
              <w:t>：</w:t>
            </w:r>
          </w:p>
          <w:p w14:paraId="3F712FEE">
            <w:pPr>
              <w:autoSpaceDE w:val="0"/>
              <w:autoSpaceDN w:val="0"/>
              <w:spacing w:before="100" w:line="300" w:lineRule="auto"/>
              <w:ind w:left="145" w:leftChars="69" w:right="40" w:rightChars="19" w:firstLine="270" w:firstLineChars="129"/>
              <w:jc w:val="left"/>
              <w:outlineLvl w:val="3"/>
              <w:rPr>
                <w:rFonts w:hint="eastAsia" w:ascii="宋体" w:hAnsi="宋体"/>
                <w:bCs/>
                <w:szCs w:val="21"/>
                <w:highlight w:val="none"/>
              </w:rPr>
            </w:pPr>
            <w:r>
              <w:rPr>
                <w:rFonts w:hint="eastAsia" w:ascii="宋体" w:hAnsi="宋体"/>
                <w:bCs/>
                <w:szCs w:val="21"/>
                <w:highlight w:val="none"/>
              </w:rPr>
              <w:t>开户名称：广西建隆工程咨询有限公司梧州分公司，</w:t>
            </w:r>
          </w:p>
          <w:p w14:paraId="2DDAE7E9">
            <w:pPr>
              <w:autoSpaceDE w:val="0"/>
              <w:autoSpaceDN w:val="0"/>
              <w:spacing w:before="100" w:line="300" w:lineRule="auto"/>
              <w:ind w:left="145" w:leftChars="69" w:right="40" w:rightChars="19" w:firstLine="270" w:firstLineChars="129"/>
              <w:jc w:val="left"/>
              <w:outlineLvl w:val="3"/>
              <w:rPr>
                <w:rFonts w:hint="eastAsia" w:ascii="宋体" w:hAnsi="宋体"/>
                <w:bCs/>
                <w:szCs w:val="21"/>
                <w:highlight w:val="none"/>
              </w:rPr>
            </w:pPr>
            <w:r>
              <w:rPr>
                <w:rFonts w:hint="eastAsia" w:ascii="宋体" w:hAnsi="宋体"/>
                <w:bCs/>
                <w:szCs w:val="21"/>
                <w:highlight w:val="none"/>
              </w:rPr>
              <w:t>开户银行：中国建设银行股份有限公司梧州分行大塘支行，</w:t>
            </w:r>
          </w:p>
          <w:p w14:paraId="511E3EDC">
            <w:pPr>
              <w:autoSpaceDE w:val="0"/>
              <w:autoSpaceDN w:val="0"/>
              <w:spacing w:before="100" w:line="300" w:lineRule="auto"/>
              <w:ind w:left="145" w:leftChars="69" w:right="40" w:rightChars="19" w:firstLine="270" w:firstLineChars="129"/>
              <w:jc w:val="left"/>
              <w:outlineLvl w:val="3"/>
              <w:rPr>
                <w:rFonts w:hint="eastAsia" w:hAnsi="宋体"/>
                <w:bCs/>
                <w:szCs w:val="21"/>
                <w:highlight w:val="none"/>
              </w:rPr>
            </w:pPr>
            <w:r>
              <w:rPr>
                <w:rFonts w:hint="eastAsia" w:hAnsi="宋体"/>
                <w:bCs/>
                <w:szCs w:val="21"/>
                <w:highlight w:val="none"/>
              </w:rPr>
              <w:t>银行账号：4505 0164 8659 0000 0057</w:t>
            </w:r>
          </w:p>
          <w:p w14:paraId="5FD8B3C7">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否则视为无效磋商保证金。</w:t>
            </w:r>
          </w:p>
          <w:p w14:paraId="06D8C618">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办磋商保证金缴纳手续时，请务必在银行进帐单或电汇单的用途或空白栏上注明项目名称或项目编号，以免耽误投标。</w:t>
            </w:r>
          </w:p>
          <w:p w14:paraId="4EEFA8FF">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（1）磋商保证金不足额缴纳的，或银行保函额度不足的，其响应文件无效。</w:t>
            </w:r>
          </w:p>
          <w:p w14:paraId="09FC15C8">
            <w:pPr>
              <w:autoSpaceDE w:val="0"/>
              <w:autoSpaceDN w:val="0"/>
              <w:spacing w:line="360" w:lineRule="exact"/>
              <w:jc w:val="left"/>
              <w:rPr>
                <w:rFonts w:hint="eastAsia" w:ascii="宋体" w:hAnsi="宋体" w:cs="宋体"/>
                <w:color w:val="auto"/>
                <w:highlight w:val="none"/>
              </w:rPr>
            </w:pPr>
            <w:r>
              <w:rPr>
                <w:rFonts w:hint="eastAsia" w:ascii="宋体" w:hAnsi="宋体" w:cs="宋体"/>
                <w:color w:val="auto"/>
                <w:highlight w:val="none"/>
              </w:rPr>
              <w:t>（2）磋商保证金退还（不计息）：除采购文件规定不予退还保证金的情形外，①、不是成交候选人的供应商——自中标（成交）通知书发出之日起4个工作日内由采购人或招标代理机构原路退付到各磋商供应商的账户。②、成交候选人的供应商——自采购合同签订之日起4个工作日内采购人或招标代理机构财务室原路退付到各磋商供应商的账户。</w:t>
            </w:r>
          </w:p>
          <w:p w14:paraId="3D1675AE">
            <w:pPr>
              <w:snapToGrid w:val="0"/>
              <w:spacing w:line="360" w:lineRule="auto"/>
              <w:rPr>
                <w:rFonts w:hint="eastAsia"/>
                <w:color w:val="auto"/>
                <w:highlight w:val="none"/>
              </w:rPr>
            </w:pPr>
            <w:r>
              <w:rPr>
                <w:rFonts w:hint="eastAsia" w:ascii="宋体" w:hAnsi="宋体"/>
                <w:color w:val="auto"/>
                <w:highlight w:val="none"/>
              </w:rPr>
              <w:t>（3）</w:t>
            </w:r>
            <w:r>
              <w:rPr>
                <w:rFonts w:hint="eastAsia" w:ascii="宋体" w:hAnsi="宋体" w:cs="宋体"/>
                <w:color w:val="auto"/>
                <w:highlight w:val="none"/>
              </w:rPr>
              <w:t>.磋商保证金采用支票、汇票、本票或者金融、担保机构出具的保函交纳方式的，供应商应将支票、汇票、本票或者金融、担保机构出具的保函的扫描作为磋商保证金提交凭证，放置于报价商务技术文件中，否则响应文件按无效处理。供应商必须在响应文件提交截止时间前将支票、汇票、本票或者金融、担保机构出具的保函原件提交给采购代理机构，由采购代理机构向供应商出具回执，并妥善保管。</w:t>
            </w:r>
          </w:p>
          <w:p w14:paraId="28404675">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□不需要缴纳磋商保证金</w:t>
            </w:r>
          </w:p>
        </w:tc>
      </w:tr>
      <w:tr w14:paraId="43CD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7E32447">
            <w:pPr>
              <w:spacing w:line="360" w:lineRule="atLeast"/>
              <w:jc w:val="center"/>
              <w:rPr>
                <w:rFonts w:ascii="宋体" w:hAnsi="宋体"/>
                <w:color w:val="auto"/>
                <w:kern w:val="1"/>
                <w:highlight w:val="none"/>
              </w:rPr>
            </w:pPr>
            <w:r>
              <w:rPr>
                <w:rFonts w:hint="eastAsia" w:ascii="宋体" w:hAnsi="宋体" w:cs="宋体"/>
                <w:color w:val="auto"/>
                <w:kern w:val="1"/>
                <w:highlight w:val="none"/>
              </w:rPr>
              <w:t>7</w:t>
            </w:r>
          </w:p>
        </w:tc>
        <w:tc>
          <w:tcPr>
            <w:tcW w:w="7862" w:type="dxa"/>
            <w:tcBorders>
              <w:top w:val="single" w:color="auto" w:sz="4" w:space="0"/>
              <w:left w:val="nil"/>
              <w:bottom w:val="single" w:color="auto" w:sz="4" w:space="0"/>
              <w:right w:val="single" w:color="auto" w:sz="4" w:space="0"/>
            </w:tcBorders>
            <w:shd w:val="clear" w:color="auto" w:fill="auto"/>
            <w:vAlign w:val="center"/>
          </w:tcPr>
          <w:p w14:paraId="30B33AAA">
            <w:pPr>
              <w:autoSpaceDE w:val="0"/>
              <w:autoSpaceDN w:val="0"/>
              <w:snapToGrid w:val="0"/>
              <w:spacing w:line="360" w:lineRule="auto"/>
              <w:textAlignment w:val="bottom"/>
              <w:rPr>
                <w:rFonts w:hint="eastAsia" w:ascii="宋体" w:hAnsi="宋体" w:eastAsia="宋体" w:cs="Courier New"/>
                <w:bCs/>
                <w:color w:val="auto"/>
                <w:highlight w:val="none"/>
                <w:lang w:eastAsia="zh-CN"/>
              </w:rPr>
            </w:pPr>
            <w:r>
              <w:rPr>
                <w:rFonts w:hint="eastAsia" w:ascii="宋体" w:hAnsi="宋体" w:cs="宋体"/>
                <w:b/>
                <w:color w:val="auto"/>
                <w:highlight w:val="none"/>
                <w:lang w:val="en-US" w:eastAsia="zh-CN"/>
              </w:rPr>
              <w:t>履约</w:t>
            </w:r>
            <w:r>
              <w:rPr>
                <w:rFonts w:hint="eastAsia" w:ascii="宋体" w:hAnsi="宋体" w:cs="宋体"/>
                <w:b/>
                <w:color w:val="auto"/>
                <w:highlight w:val="none"/>
              </w:rPr>
              <w:t>保证金：</w:t>
            </w:r>
            <w:r>
              <w:rPr>
                <w:rFonts w:hint="eastAsia" w:ascii="宋体" w:hAnsi="宋体" w:cs="宋体"/>
                <w:color w:val="auto"/>
                <w:highlight w:val="none"/>
              </w:rPr>
              <w:t xml:space="preserve"> 履约保证金数额不得超过采购合同金额的5%，对中小企业收取的履约保证金数额不得超过采购合同金额的2%。</w:t>
            </w:r>
          </w:p>
        </w:tc>
      </w:tr>
      <w:tr w14:paraId="4F5C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4D7FC89">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8</w:t>
            </w:r>
          </w:p>
        </w:tc>
        <w:tc>
          <w:tcPr>
            <w:tcW w:w="7862" w:type="dxa"/>
            <w:tcBorders>
              <w:top w:val="single" w:color="auto" w:sz="4" w:space="0"/>
              <w:left w:val="nil"/>
              <w:bottom w:val="single" w:color="auto" w:sz="4" w:space="0"/>
              <w:right w:val="single" w:color="auto" w:sz="4" w:space="0"/>
            </w:tcBorders>
            <w:shd w:val="clear" w:color="auto" w:fill="auto"/>
            <w:vAlign w:val="center"/>
          </w:tcPr>
          <w:p w14:paraId="29B37499">
            <w:pPr>
              <w:spacing w:line="360" w:lineRule="exact"/>
              <w:rPr>
                <w:rFonts w:hint="eastAsia"/>
                <w:color w:val="auto"/>
                <w:highlight w:val="none"/>
              </w:rPr>
            </w:pPr>
            <w:r>
              <w:rPr>
                <w:rFonts w:hint="eastAsia"/>
                <w:b/>
                <w:bCs/>
                <w:color w:val="auto"/>
                <w:highlight w:val="none"/>
              </w:rPr>
              <w:t>竞争性磋商响应文件递交截止时间</w:t>
            </w:r>
            <w:r>
              <w:rPr>
                <w:rFonts w:hint="eastAsia" w:ascii="宋体" w:hAnsi="宋体"/>
                <w:b/>
                <w:bCs/>
                <w:color w:val="auto"/>
                <w:highlight w:val="none"/>
                <w:lang w:eastAsia="zh-CN"/>
              </w:rPr>
              <w:t>2025年1月</w:t>
            </w:r>
            <w:r>
              <w:rPr>
                <w:rFonts w:hint="eastAsia" w:ascii="宋体" w:hAnsi="宋体"/>
                <w:b/>
                <w:bCs/>
                <w:color w:val="auto"/>
                <w:highlight w:val="none"/>
                <w:lang w:val="en-US" w:eastAsia="zh-CN"/>
              </w:rPr>
              <w:t>20</w:t>
            </w:r>
            <w:r>
              <w:rPr>
                <w:rFonts w:hint="eastAsia" w:ascii="宋体" w:hAnsi="宋体"/>
                <w:b/>
                <w:bCs/>
                <w:color w:val="auto"/>
                <w:highlight w:val="none"/>
                <w:lang w:eastAsia="zh-CN"/>
              </w:rPr>
              <w:t>日</w:t>
            </w:r>
            <w:r>
              <w:rPr>
                <w:rFonts w:hint="eastAsia" w:ascii="宋体" w:hAnsi="宋体"/>
                <w:b/>
                <w:bCs/>
                <w:color w:val="auto"/>
                <w:highlight w:val="none"/>
                <w:lang w:val="en-US" w:eastAsia="zh-CN"/>
              </w:rPr>
              <w:t>15</w:t>
            </w:r>
            <w:r>
              <w:rPr>
                <w:rFonts w:hint="eastAsia" w:ascii="宋体" w:hAnsi="宋体"/>
                <w:b/>
                <w:bCs/>
                <w:color w:val="auto"/>
                <w:highlight w:val="none"/>
              </w:rPr>
              <w:t>:</w:t>
            </w:r>
            <w:r>
              <w:rPr>
                <w:rFonts w:hint="eastAsia" w:ascii="宋体" w:hAnsi="宋体"/>
                <w:b/>
                <w:bCs/>
                <w:color w:val="auto"/>
                <w:highlight w:val="none"/>
                <w:lang w:val="en-US" w:eastAsia="zh-CN"/>
              </w:rPr>
              <w:t>0</w:t>
            </w:r>
            <w:r>
              <w:rPr>
                <w:rFonts w:hint="eastAsia" w:ascii="宋体" w:hAnsi="宋体"/>
                <w:b/>
                <w:bCs/>
                <w:color w:val="auto"/>
                <w:highlight w:val="none"/>
              </w:rPr>
              <w:t>0</w:t>
            </w:r>
            <w:r>
              <w:rPr>
                <w:rFonts w:hint="eastAsia" w:ascii="宋体" w:hAnsi="宋体"/>
                <w:b/>
                <w:bCs/>
                <w:color w:val="auto"/>
                <w:highlight w:val="none"/>
                <w:lang w:val="en-US" w:eastAsia="zh-CN"/>
              </w:rPr>
              <w:t>分</w:t>
            </w:r>
            <w:r>
              <w:rPr>
                <w:rFonts w:hint="eastAsia"/>
                <w:color w:val="auto"/>
                <w:highlight w:val="none"/>
              </w:rPr>
              <w:t>（此为竞标截止时间）。</w:t>
            </w:r>
          </w:p>
          <w:p w14:paraId="1739614B">
            <w:pPr>
              <w:spacing w:line="360" w:lineRule="exact"/>
              <w:rPr>
                <w:rFonts w:hint="eastAsia"/>
                <w:color w:val="auto"/>
                <w:highlight w:val="none"/>
              </w:rPr>
            </w:pPr>
            <w:r>
              <w:rPr>
                <w:rFonts w:hint="eastAsia"/>
                <w:b/>
                <w:bCs/>
                <w:color w:val="auto"/>
                <w:highlight w:val="none"/>
              </w:rPr>
              <w:t>地址：通过</w:t>
            </w:r>
            <w:r>
              <w:rPr>
                <w:rFonts w:hint="eastAsia"/>
                <w:b/>
                <w:bCs/>
                <w:color w:val="auto"/>
                <w:highlight w:val="none"/>
                <w:lang w:eastAsia="zh-CN"/>
              </w:rPr>
              <w:t>广西政府采购云平台</w:t>
            </w:r>
            <w:r>
              <w:rPr>
                <w:rFonts w:hint="eastAsia"/>
                <w:b/>
                <w:bCs/>
                <w:color w:val="auto"/>
                <w:highlight w:val="none"/>
              </w:rPr>
              <w:t>实行在线磋商</w:t>
            </w:r>
            <w:r>
              <w:rPr>
                <w:rFonts w:hint="eastAsia"/>
                <w:color w:val="auto"/>
                <w:highlight w:val="none"/>
              </w:rPr>
              <w:t>。</w:t>
            </w:r>
          </w:p>
        </w:tc>
      </w:tr>
      <w:tr w14:paraId="0D8E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29E13AE">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9</w:t>
            </w:r>
          </w:p>
        </w:tc>
        <w:tc>
          <w:tcPr>
            <w:tcW w:w="7862" w:type="dxa"/>
            <w:tcBorders>
              <w:top w:val="single" w:color="auto" w:sz="4" w:space="0"/>
              <w:left w:val="nil"/>
              <w:bottom w:val="single" w:color="auto" w:sz="4" w:space="0"/>
              <w:right w:val="single" w:color="auto" w:sz="4" w:space="0"/>
            </w:tcBorders>
            <w:shd w:val="clear" w:color="auto" w:fill="auto"/>
            <w:vAlign w:val="center"/>
          </w:tcPr>
          <w:p w14:paraId="4E616FAA">
            <w:pPr>
              <w:autoSpaceDE w:val="0"/>
              <w:autoSpaceDN w:val="0"/>
              <w:spacing w:line="360" w:lineRule="exact"/>
              <w:jc w:val="left"/>
              <w:rPr>
                <w:rFonts w:hint="eastAsia"/>
                <w:color w:val="auto"/>
                <w:highlight w:val="none"/>
              </w:rPr>
            </w:pPr>
            <w:r>
              <w:rPr>
                <w:rFonts w:hint="eastAsia"/>
                <w:b/>
                <w:bCs/>
                <w:color w:val="auto"/>
                <w:highlight w:val="none"/>
              </w:rPr>
              <w:t>磋商时间：</w:t>
            </w:r>
            <w:r>
              <w:rPr>
                <w:rFonts w:hint="eastAsia" w:ascii="宋体" w:hAnsi="宋体"/>
                <w:b/>
                <w:bCs/>
                <w:color w:val="auto"/>
                <w:highlight w:val="none"/>
                <w:lang w:eastAsia="zh-CN"/>
              </w:rPr>
              <w:t>2025年1月</w:t>
            </w:r>
            <w:r>
              <w:rPr>
                <w:rFonts w:hint="eastAsia" w:ascii="宋体" w:hAnsi="宋体"/>
                <w:b/>
                <w:bCs/>
                <w:color w:val="auto"/>
                <w:highlight w:val="none"/>
                <w:lang w:val="en-US" w:eastAsia="zh-CN"/>
              </w:rPr>
              <w:t>20</w:t>
            </w:r>
            <w:r>
              <w:rPr>
                <w:rFonts w:hint="eastAsia" w:ascii="宋体" w:hAnsi="宋体"/>
                <w:b/>
                <w:bCs/>
                <w:color w:val="auto"/>
                <w:highlight w:val="none"/>
                <w:lang w:eastAsia="zh-CN"/>
              </w:rPr>
              <w:t>日</w:t>
            </w:r>
            <w:r>
              <w:rPr>
                <w:rFonts w:hint="eastAsia" w:ascii="宋体" w:hAnsi="宋体"/>
                <w:b/>
                <w:bCs/>
                <w:color w:val="auto"/>
                <w:highlight w:val="none"/>
                <w:lang w:val="en-US" w:eastAsia="zh-CN"/>
              </w:rPr>
              <w:t>15</w:t>
            </w:r>
            <w:r>
              <w:rPr>
                <w:rFonts w:hint="eastAsia" w:ascii="宋体" w:hAnsi="宋体"/>
                <w:b/>
                <w:bCs/>
                <w:color w:val="auto"/>
                <w:highlight w:val="none"/>
              </w:rPr>
              <w:t>:</w:t>
            </w:r>
            <w:r>
              <w:rPr>
                <w:rFonts w:hint="eastAsia" w:ascii="宋体" w:hAnsi="宋体"/>
                <w:b/>
                <w:bCs/>
                <w:color w:val="auto"/>
                <w:highlight w:val="none"/>
                <w:lang w:val="en-US" w:eastAsia="zh-CN"/>
              </w:rPr>
              <w:t>0</w:t>
            </w:r>
            <w:r>
              <w:rPr>
                <w:rFonts w:hint="eastAsia" w:ascii="宋体" w:hAnsi="宋体"/>
                <w:b/>
                <w:bCs/>
                <w:color w:val="auto"/>
                <w:highlight w:val="none"/>
              </w:rPr>
              <w:t>0</w:t>
            </w:r>
            <w:r>
              <w:rPr>
                <w:rFonts w:hint="eastAsia" w:ascii="宋体" w:hAnsi="宋体"/>
                <w:b/>
                <w:bCs/>
                <w:color w:val="auto"/>
                <w:highlight w:val="none"/>
                <w:lang w:val="en-US" w:eastAsia="zh-CN"/>
              </w:rPr>
              <w:t>分</w:t>
            </w:r>
            <w:r>
              <w:rPr>
                <w:rFonts w:hint="eastAsia"/>
                <w:color w:val="auto"/>
                <w:highlight w:val="none"/>
              </w:rPr>
              <w:t>截标后（具体时间由采购代理机构另行通知）。</w:t>
            </w:r>
          </w:p>
          <w:p w14:paraId="0CE446A1">
            <w:pPr>
              <w:spacing w:line="360" w:lineRule="exact"/>
              <w:rPr>
                <w:rFonts w:hint="eastAsia"/>
                <w:color w:val="auto"/>
                <w:highlight w:val="none"/>
              </w:rPr>
            </w:pPr>
            <w:r>
              <w:rPr>
                <w:rFonts w:hint="eastAsia"/>
                <w:b/>
                <w:bCs/>
                <w:color w:val="auto"/>
                <w:highlight w:val="none"/>
              </w:rPr>
              <w:t>磋商地点：通过</w:t>
            </w:r>
            <w:r>
              <w:rPr>
                <w:rFonts w:hint="eastAsia"/>
                <w:b/>
                <w:bCs/>
                <w:color w:val="auto"/>
                <w:highlight w:val="none"/>
                <w:lang w:eastAsia="zh-CN"/>
              </w:rPr>
              <w:t>广西政府采购云平台</w:t>
            </w:r>
            <w:r>
              <w:rPr>
                <w:rFonts w:hint="eastAsia"/>
                <w:b/>
                <w:bCs/>
                <w:color w:val="auto"/>
                <w:highlight w:val="none"/>
              </w:rPr>
              <w:t>实行在线磋商。</w:t>
            </w:r>
          </w:p>
        </w:tc>
      </w:tr>
      <w:tr w14:paraId="4E1E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06CEACB">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10</w:t>
            </w:r>
          </w:p>
        </w:tc>
        <w:tc>
          <w:tcPr>
            <w:tcW w:w="7862" w:type="dxa"/>
            <w:tcBorders>
              <w:top w:val="single" w:color="auto" w:sz="4" w:space="0"/>
              <w:left w:val="nil"/>
              <w:bottom w:val="single" w:color="auto" w:sz="4" w:space="0"/>
              <w:right w:val="single" w:color="auto" w:sz="4" w:space="0"/>
            </w:tcBorders>
            <w:shd w:val="clear" w:color="auto" w:fill="auto"/>
            <w:vAlign w:val="center"/>
          </w:tcPr>
          <w:p w14:paraId="2ABDE25C">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代理服务费：</w:t>
            </w:r>
            <w:r>
              <w:rPr>
                <w:rFonts w:hint="eastAsia" w:ascii="宋体" w:hAnsi="宋体" w:cs="宋体"/>
                <w:color w:val="auto"/>
                <w:highlight w:val="none"/>
              </w:rPr>
              <w:t>代理服务费按国家发展计划委员会计价格[2002]1980号《招标代理服务费管理暂行办法》收费标准向成交供应商收取</w:t>
            </w:r>
            <w:r>
              <w:rPr>
                <w:rFonts w:hint="eastAsia" w:ascii="宋体" w:hAnsi="宋体" w:cs="宋体"/>
                <w:color w:val="auto"/>
                <w:highlight w:val="none"/>
                <w:lang w:eastAsia="zh-CN"/>
              </w:rPr>
              <w:t>，</w:t>
            </w:r>
            <w:r>
              <w:rPr>
                <w:rFonts w:hint="eastAsia"/>
                <w:color w:val="auto"/>
                <w:spacing w:val="0"/>
                <w:sz w:val="21"/>
                <w:szCs w:val="21"/>
                <w:highlight w:val="none"/>
              </w:rPr>
              <w:t>其中评标费</w:t>
            </w:r>
            <w:r>
              <w:rPr>
                <w:rFonts w:hint="eastAsia"/>
                <w:color w:val="auto"/>
                <w:spacing w:val="0"/>
                <w:sz w:val="21"/>
                <w:szCs w:val="21"/>
                <w:highlight w:val="none"/>
                <w:lang w:val="en-US" w:eastAsia="zh-CN"/>
              </w:rPr>
              <w:t>用</w:t>
            </w:r>
            <w:r>
              <w:rPr>
                <w:rFonts w:hint="eastAsia"/>
                <w:color w:val="auto"/>
                <w:spacing w:val="0"/>
                <w:sz w:val="21"/>
                <w:szCs w:val="21"/>
                <w:highlight w:val="none"/>
              </w:rPr>
              <w:t>由代理人预付后再向成交人收取。</w:t>
            </w:r>
          </w:p>
          <w:p w14:paraId="5D28D0FE">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领取成交通知书前，成交供应商应向广西建隆工程咨询有限公司一次付清代理服务费</w:t>
            </w:r>
            <w:r>
              <w:rPr>
                <w:rFonts w:hint="eastAsia" w:ascii="宋体" w:hAnsi="宋体" w:cs="宋体"/>
                <w:color w:val="auto"/>
                <w:highlight w:val="none"/>
                <w:lang w:val="en-US" w:eastAsia="zh-CN"/>
              </w:rPr>
              <w:t>用</w:t>
            </w:r>
            <w:r>
              <w:rPr>
                <w:rFonts w:hint="eastAsia" w:ascii="宋体" w:hAnsi="宋体" w:cs="宋体"/>
                <w:color w:val="auto"/>
                <w:highlight w:val="none"/>
              </w:rPr>
              <w:t>。</w:t>
            </w:r>
          </w:p>
        </w:tc>
      </w:tr>
      <w:tr w14:paraId="22D3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A584DED">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11</w:t>
            </w:r>
          </w:p>
        </w:tc>
        <w:tc>
          <w:tcPr>
            <w:tcW w:w="7862" w:type="dxa"/>
            <w:tcBorders>
              <w:top w:val="single" w:color="auto" w:sz="4" w:space="0"/>
              <w:left w:val="nil"/>
              <w:bottom w:val="single" w:color="auto" w:sz="4" w:space="0"/>
              <w:right w:val="single" w:color="auto" w:sz="4" w:space="0"/>
            </w:tcBorders>
            <w:shd w:val="clear" w:color="auto" w:fill="auto"/>
            <w:vAlign w:val="center"/>
          </w:tcPr>
          <w:p w14:paraId="29B6EA64">
            <w:pPr>
              <w:pStyle w:val="9"/>
              <w:adjustRightInd w:val="0"/>
              <w:snapToGrid w:val="0"/>
              <w:spacing w:line="320" w:lineRule="exact"/>
              <w:rPr>
                <w:rFonts w:hint="default" w:cs="宋体"/>
                <w:color w:val="auto"/>
                <w:sz w:val="21"/>
                <w:szCs w:val="21"/>
                <w:highlight w:val="none"/>
              </w:rPr>
            </w:pPr>
            <w:r>
              <w:rPr>
                <w:rFonts w:cs="宋体"/>
                <w:b/>
                <w:color w:val="auto"/>
                <w:sz w:val="21"/>
                <w:szCs w:val="21"/>
                <w:highlight w:val="none"/>
              </w:rPr>
              <w:t>注意事项：</w:t>
            </w:r>
            <w:r>
              <w:rPr>
                <w:rFonts w:cs="宋体"/>
                <w:color w:val="auto"/>
                <w:sz w:val="21"/>
                <w:szCs w:val="21"/>
                <w:highlight w:val="none"/>
              </w:rPr>
              <w:t>磋商供应商应当准备电子磋商响应文件、可以准备以介质存储的数据电文形式的电子备份磋商响应文件：</w:t>
            </w:r>
          </w:p>
          <w:p w14:paraId="4A2198B3">
            <w:pPr>
              <w:pStyle w:val="9"/>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1.电子磋商响应文件按</w:t>
            </w:r>
            <w:r>
              <w:rPr>
                <w:rFonts w:hint="eastAsia" w:cs="宋体"/>
                <w:color w:val="auto"/>
                <w:sz w:val="21"/>
                <w:szCs w:val="21"/>
                <w:highlight w:val="none"/>
                <w:lang w:eastAsia="zh-CN"/>
              </w:rPr>
              <w:t>广西政府采购云平台</w:t>
            </w:r>
            <w:r>
              <w:rPr>
                <w:rFonts w:cs="宋体"/>
                <w:color w:val="auto"/>
                <w:sz w:val="21"/>
                <w:szCs w:val="21"/>
                <w:highlight w:val="none"/>
              </w:rPr>
              <w:t>要求及本磋商文件要求制作、加密并递交。</w:t>
            </w:r>
          </w:p>
          <w:p w14:paraId="69690258">
            <w:pPr>
              <w:pStyle w:val="9"/>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2.以介质存储的数据电文形式的电子备份磋商响应文件，按</w:t>
            </w:r>
            <w:r>
              <w:rPr>
                <w:rFonts w:hint="eastAsia" w:cs="宋体"/>
                <w:color w:val="auto"/>
                <w:sz w:val="21"/>
                <w:szCs w:val="21"/>
                <w:highlight w:val="none"/>
                <w:lang w:eastAsia="zh-CN"/>
              </w:rPr>
              <w:t>广西政府采购云平台</w:t>
            </w:r>
            <w:r>
              <w:rPr>
                <w:rFonts w:cs="宋体"/>
                <w:color w:val="auto"/>
                <w:sz w:val="21"/>
                <w:szCs w:val="21"/>
                <w:highlight w:val="none"/>
              </w:rPr>
              <w:t>项目采购-电子招投标操作指南中上传的电子备份磋商响应文件格式，以U盘等形式提供，数量为1份。</w:t>
            </w:r>
          </w:p>
          <w:p w14:paraId="7EEDC381">
            <w:pPr>
              <w:pStyle w:val="9"/>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3.电子磋商响应文件启用顺序和效力。电子磋商响应文件的启用，按先后顺位分别为电子磋商响应文件、以介质存储的数据电文形式的电子备份磋商响应文件。顺位在先的磋商响应文件已按时解密的，下一顺位磋商响应文件自动失效。在下一顺位的磋商响应文件启用时，前一顺位的磋商响应文件自动失效。</w:t>
            </w:r>
          </w:p>
          <w:p w14:paraId="7DD345AF">
            <w:pPr>
              <w:pStyle w:val="9"/>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未传输递交电子磋商响应文件的，磋商无效。</w:t>
            </w:r>
          </w:p>
          <w:p w14:paraId="690B75F1">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未按规定提供相应的备份磋商响应文件，造成项目开评标活动无法进行下去的，磋商无效。</w:t>
            </w:r>
          </w:p>
        </w:tc>
      </w:tr>
      <w:tr w14:paraId="1CE2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5B08BAA">
            <w:pPr>
              <w:spacing w:line="360" w:lineRule="auto"/>
              <w:jc w:val="center"/>
              <w:rPr>
                <w:rFonts w:ascii="宋体" w:hAnsi="宋体" w:cs="宋体"/>
                <w:color w:val="auto"/>
                <w:highlight w:val="none"/>
              </w:rPr>
            </w:pPr>
            <w:r>
              <w:rPr>
                <w:rFonts w:hint="eastAsia" w:ascii="宋体" w:hAnsi="宋体" w:eastAsia="宋体" w:cs="宋体"/>
                <w:color w:val="auto"/>
                <w:sz w:val="21"/>
                <w:szCs w:val="21"/>
                <w:highlight w:val="none"/>
                <w:lang w:val="en-US" w:eastAsia="zh-CN" w:bidi="ar-SA"/>
              </w:rPr>
              <w:t>在线投标响应（电子投标）说明</w:t>
            </w:r>
          </w:p>
        </w:tc>
        <w:tc>
          <w:tcPr>
            <w:tcW w:w="7862" w:type="dxa"/>
            <w:tcBorders>
              <w:top w:val="single" w:color="auto" w:sz="4" w:space="0"/>
              <w:left w:val="nil"/>
              <w:bottom w:val="single" w:color="auto" w:sz="4" w:space="0"/>
              <w:right w:val="single" w:color="auto" w:sz="4" w:space="0"/>
            </w:tcBorders>
            <w:shd w:val="clear" w:color="auto" w:fill="auto"/>
            <w:vAlign w:val="center"/>
          </w:tcPr>
          <w:p w14:paraId="3EC66F87">
            <w:pPr>
              <w:pStyle w:val="9"/>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947AB06">
            <w:pPr>
              <w:pStyle w:val="9"/>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2DE0F801">
            <w:pPr>
              <w:pStyle w:val="9"/>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8EAC0F3">
            <w:pPr>
              <w:pStyle w:val="9"/>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F254BD6">
            <w:pPr>
              <w:pStyle w:val="9"/>
              <w:adjustRightInd w:val="0"/>
              <w:snapToGrid w:val="0"/>
              <w:spacing w:line="320" w:lineRule="exact"/>
              <w:ind w:firstLine="420" w:firstLineChars="200"/>
              <w:rPr>
                <w:rFonts w:ascii="宋体" w:hAnsi="宋体" w:cs="宋体"/>
                <w:color w:val="auto"/>
                <w:highlight w:val="none"/>
              </w:rPr>
            </w:pPr>
            <w:r>
              <w:rPr>
                <w:rFonts w:hint="eastAsia" w:ascii="宋体" w:hAnsi="宋体" w:eastAsia="宋体" w:cs="宋体"/>
                <w:color w:val="auto"/>
                <w:sz w:val="21"/>
                <w:szCs w:val="21"/>
                <w:highlight w:val="none"/>
              </w:rPr>
              <w:t>（4）供应商需要在具备有摄像头及语音功能且互联网网络状况良好的电脑登录广西政府采购云平台远程开标大厅参与本次磋商，否则后果自负。</w:t>
            </w:r>
          </w:p>
        </w:tc>
      </w:tr>
    </w:tbl>
    <w:p w14:paraId="2A0F9AB8">
      <w:pPr>
        <w:autoSpaceDE w:val="0"/>
        <w:autoSpaceDN w:val="0"/>
        <w:spacing w:before="37"/>
        <w:ind w:left="2128"/>
        <w:jc w:val="left"/>
        <w:outlineLvl w:val="1"/>
        <w:rPr>
          <w:rFonts w:ascii="宋体" w:hAnsi="宋体"/>
          <w:b/>
          <w:bCs/>
          <w:color w:val="auto"/>
          <w:highlight w:val="none"/>
        </w:rPr>
      </w:pPr>
      <w:r>
        <w:rPr>
          <w:rFonts w:hint="eastAsia" w:ascii="宋体" w:hAnsi="宋体"/>
          <w:b/>
          <w:bCs/>
          <w:color w:val="auto"/>
          <w:highlight w:val="none"/>
        </w:rPr>
        <w:t xml:space="preserve"> </w:t>
      </w:r>
    </w:p>
    <w:p w14:paraId="34C96049">
      <w:pPr>
        <w:autoSpaceDE w:val="0"/>
        <w:autoSpaceDN w:val="0"/>
        <w:jc w:val="center"/>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磋商供应商须知</w:t>
      </w:r>
    </w:p>
    <w:p w14:paraId="6A9590F8">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一、总 则</w:t>
      </w:r>
    </w:p>
    <w:p w14:paraId="7545197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 适用范围</w:t>
      </w:r>
    </w:p>
    <w:p w14:paraId="37E81DF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 本文件仅适用于本文件中所叙述的货物、服务类政府采购项目。</w:t>
      </w:r>
    </w:p>
    <w:p w14:paraId="52E5CAF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 定义</w:t>
      </w:r>
    </w:p>
    <w:p w14:paraId="668BF934">
      <w:pPr>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2.1“采购人”是指：</w:t>
      </w:r>
      <w:r>
        <w:rPr>
          <w:rFonts w:hint="eastAsia" w:ascii="宋体" w:hAnsi="宋体" w:cs="宋体"/>
          <w:color w:val="auto"/>
          <w:highlight w:val="none"/>
          <w:lang w:eastAsia="zh-CN"/>
        </w:rPr>
        <w:t>梧州市公安局交通警察支队</w:t>
      </w:r>
    </w:p>
    <w:p w14:paraId="38775F8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2.2“采购代理机构”是指：广西建隆工程咨询有限公司　。</w:t>
      </w:r>
    </w:p>
    <w:p w14:paraId="413C626B">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2.3“磋商供应商”是指响应本文件要求，参加磋商的法人或者其他组织。如果该供应商在本次磋商中成交，即成为“成交供应商”。</w:t>
      </w:r>
    </w:p>
    <w:p w14:paraId="6A1A00C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2.4“货物”是指各种形态和种类的物品，包括原材料、燃料、设备、产品等。</w:t>
      </w:r>
    </w:p>
    <w:p w14:paraId="601EC79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2.5“工程”按照招标投标法及其实施条例必须进行招标的工程建设项目以外的工程建设项目。</w:t>
      </w:r>
    </w:p>
    <w:p w14:paraId="10E64CE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2.6“服务”是指除货物和工程以外的其他政府采购对象。</w:t>
      </w:r>
    </w:p>
    <w:p w14:paraId="731879AB">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2.7“竞争性磋商响应文件”是指：供应商根据本文件要求，编制包含报价、技术和服务等所有内容的文件。</w:t>
      </w:r>
    </w:p>
    <w:p w14:paraId="7A613682">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3. 磋商供应商的基本条件</w:t>
      </w:r>
    </w:p>
    <w:p w14:paraId="57389548">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3.1符合《中华人民共和国政府釆购法》第二十二条规定；</w:t>
      </w:r>
    </w:p>
    <w:p w14:paraId="4DB37423">
      <w:pPr>
        <w:spacing w:line="360" w:lineRule="auto"/>
        <w:ind w:firstLine="315" w:firstLineChars="150"/>
        <w:rPr>
          <w:rFonts w:hint="eastAsia" w:ascii="宋体" w:hAnsi="宋体" w:cs="宋体"/>
          <w:color w:val="auto"/>
          <w:highlight w:val="none"/>
          <w:lang w:eastAsia="zh-CN"/>
        </w:rPr>
      </w:pPr>
      <w:r>
        <w:rPr>
          <w:rFonts w:hint="eastAsia" w:ascii="宋体" w:hAnsi="宋体" w:cs="宋体"/>
          <w:color w:val="auto"/>
          <w:highlight w:val="none"/>
        </w:rPr>
        <w:t>落实政府采购政策需满足的资格要求：</w:t>
      </w:r>
      <w:r>
        <w:rPr>
          <w:rFonts w:hint="eastAsia" w:ascii="宋体" w:hAnsi="宋体" w:cs="Times New Roman"/>
          <w:bCs/>
          <w:szCs w:val="21"/>
          <w:highlight w:val="none"/>
          <w:lang w:val="en-US" w:eastAsia="zh-CN"/>
        </w:rPr>
        <w:t>无</w:t>
      </w:r>
      <w:r>
        <w:rPr>
          <w:rFonts w:hint="eastAsia" w:ascii="宋体" w:hAnsi="宋体" w:cs="宋体"/>
          <w:color w:val="auto"/>
          <w:highlight w:val="none"/>
          <w:lang w:eastAsia="zh-CN"/>
        </w:rPr>
        <w:t>；</w:t>
      </w:r>
    </w:p>
    <w:p w14:paraId="521DD6A3">
      <w:pPr>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3.2单位负责人为同一人或者存在直接控股、管理关系的不同供应商，不得参加同一合同项下的政府采购活动</w:t>
      </w:r>
      <w:r>
        <w:rPr>
          <w:rFonts w:hint="eastAsia" w:ascii="宋体" w:hAnsi="宋体" w:cs="宋体"/>
          <w:color w:val="auto"/>
          <w:highlight w:val="none"/>
          <w:lang w:eastAsia="zh-CN"/>
        </w:rPr>
        <w:t>；</w:t>
      </w:r>
    </w:p>
    <w:p w14:paraId="0CB38723">
      <w:pPr>
        <w:autoSpaceDE w:val="0"/>
        <w:autoSpaceDN w:val="0"/>
        <w:spacing w:line="40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rPr>
        <w:t>3.3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highlight w:val="none"/>
          <w:lang w:eastAsia="zh-CN"/>
        </w:rPr>
        <w:t>；</w:t>
      </w:r>
    </w:p>
    <w:p w14:paraId="4640806C">
      <w:pPr>
        <w:autoSpaceDE w:val="0"/>
        <w:autoSpaceDN w:val="0"/>
        <w:spacing w:line="40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rPr>
        <w:t>3.4本项目允许分支机构或分公司参加采购，分支机构或分公司参加采购的，需提供总公司的有关文件或者制度等能证明总公司授权其独立开展业务或提供总公司出具的授权其参与本项目采购的授权文件</w:t>
      </w:r>
      <w:r>
        <w:rPr>
          <w:rFonts w:hint="eastAsia" w:ascii="宋体" w:hAnsi="宋体" w:cs="宋体"/>
          <w:color w:val="auto"/>
          <w:highlight w:val="none"/>
          <w:lang w:eastAsia="zh-CN"/>
        </w:rPr>
        <w:t>；</w:t>
      </w:r>
    </w:p>
    <w:p w14:paraId="29CABCA3">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3.5</w:t>
      </w:r>
      <w:r>
        <w:rPr>
          <w:rFonts w:hint="eastAsia" w:eastAsia="宋体"/>
          <w:color w:val="auto"/>
          <w:kern w:val="0"/>
          <w:szCs w:val="21"/>
          <w:highlight w:val="none"/>
        </w:rPr>
        <w:t>国内注册（指按国家有关规定要求注册），生产或经营本次采购货物及服务的供应商</w:t>
      </w:r>
      <w:r>
        <w:rPr>
          <w:rFonts w:hint="eastAsia" w:ascii="宋体" w:hAnsi="宋体" w:cs="宋体"/>
          <w:color w:val="auto"/>
          <w:highlight w:val="none"/>
        </w:rPr>
        <w:t>；</w:t>
      </w:r>
    </w:p>
    <w:p w14:paraId="17C95D0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3.6</w:t>
      </w:r>
      <w:r>
        <w:rPr>
          <w:rFonts w:hint="eastAsia" w:ascii="宋体" w:hAnsi="宋体" w:cs="宋体"/>
          <w:color w:val="auto"/>
          <w:highlight w:val="none"/>
        </w:rPr>
        <w:t>本项目不接受联合体竞标。</w:t>
      </w:r>
    </w:p>
    <w:p w14:paraId="2165D71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 磋商费用</w:t>
      </w:r>
    </w:p>
    <w:p w14:paraId="358EC24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4.1 磋商供应商应自行承担所有与编写和提交竞争性磋商响应文件有关的费用，不论磋商结果如何，采购人和广西建隆工程咨询有限公司在任何情况下无义务和责任承担此类费用。</w:t>
      </w:r>
    </w:p>
    <w:p w14:paraId="5D0D951C">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二、竞争性磋商响应文件的编制</w:t>
      </w:r>
    </w:p>
    <w:p w14:paraId="1E44930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 竞争性磋商响应文件编制基本要求</w:t>
      </w:r>
    </w:p>
    <w:p w14:paraId="1A57B1F6">
      <w:pPr>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5.1磋商供应商对竞争性磋商电子响应文件的编制应按</w:t>
      </w:r>
      <w:r>
        <w:rPr>
          <w:rFonts w:hint="eastAsia" w:ascii="宋体" w:hAnsi="宋体" w:cs="宋体"/>
          <w:color w:val="auto"/>
          <w:highlight w:val="none"/>
          <w:lang w:eastAsia="zh-CN"/>
        </w:rPr>
        <w:t>广西政府采购云平台</w:t>
      </w:r>
      <w:r>
        <w:rPr>
          <w:rFonts w:hint="eastAsia" w:ascii="宋体" w:hAnsi="宋体" w:cs="宋体"/>
          <w:color w:val="auto"/>
          <w:highlight w:val="none"/>
        </w:rPr>
        <w:t>要求及本磋商文件要求制作、加密并递交。</w:t>
      </w:r>
    </w:p>
    <w:p w14:paraId="0C3D2AD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磋商供应商提交的竞争性磋商响应文件以及磋商供应商与广西建隆工程咨询有限公司和采购人就有关磋商的所有来往函电均应使用中文。磋商供应商提交的支持文件和印刷的文献可以使用别的语言，但其相应内容必须附有中文翻译文本，在解释竞争性磋商响应文件时以翻译文本为主。</w:t>
      </w:r>
    </w:p>
    <w:p w14:paraId="7F07D98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5.3磋商供应商应认真阅读、并充分理解本文件的全部内容（包括所有的补充、修改内容），承诺并履行本文件中各项条款规定及要求。</w:t>
      </w:r>
    </w:p>
    <w:p w14:paraId="69BF13D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5.4竞争性磋商响应文件必须按本文件的全部内容，包括所有的补充通知及附件进行编制。</w:t>
      </w:r>
    </w:p>
    <w:p w14:paraId="1CD5938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5.5如因磋商供应商只填写和提供了本文件要求的部分内容和附件，而给评审造成困难，其可能导致的结果和责任由磋商供应商自行承担。</w:t>
      </w:r>
    </w:p>
    <w:p w14:paraId="726D757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5.6竞争性磋商响应文件的组成：竞争性磋商响应文件的组成：竞争性磋商响应文件以下文件组成（如未提供必须提供的文件，磋商小组有权拒绝其竞争性磋商响应文件）： </w:t>
      </w:r>
    </w:p>
    <w:p w14:paraId="49EBB9AC">
      <w:pPr>
        <w:autoSpaceDE w:val="0"/>
        <w:autoSpaceDN w:val="0"/>
        <w:spacing w:line="400" w:lineRule="exact"/>
        <w:ind w:firstLine="442" w:firstLineChars="200"/>
        <w:jc w:val="left"/>
        <w:rPr>
          <w:rFonts w:ascii="宋体" w:hAnsi="宋体" w:cs="宋体"/>
          <w:b/>
          <w:color w:val="auto"/>
          <w:sz w:val="22"/>
          <w:highlight w:val="none"/>
        </w:rPr>
      </w:pPr>
      <w:r>
        <w:rPr>
          <w:rFonts w:ascii="宋体" w:hAnsi="宋体" w:cs="宋体"/>
          <w:b/>
          <w:color w:val="auto"/>
          <w:sz w:val="22"/>
          <w:highlight w:val="none"/>
        </w:rPr>
        <w:t>价格文件：</w:t>
      </w:r>
    </w:p>
    <w:p w14:paraId="4EE5E2C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（1）磋商报价表（必须提供，否则竞标无效）；</w:t>
      </w:r>
    </w:p>
    <w:p w14:paraId="30C83EA0">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（2）供应商针对报价需要说明的其他文件和说明（格式自拟；</w:t>
      </w:r>
      <w:r>
        <w:rPr>
          <w:rFonts w:hint="eastAsia" w:ascii="宋体" w:hAnsi="宋体" w:cs="宋体"/>
          <w:color w:val="auto"/>
          <w:highlight w:val="none"/>
        </w:rPr>
        <w:t>如有，请提供并加盖单位公章</w:t>
      </w:r>
      <w:r>
        <w:rPr>
          <w:rFonts w:ascii="宋体" w:hAnsi="宋体" w:cs="宋体"/>
          <w:color w:val="auto"/>
          <w:highlight w:val="none"/>
        </w:rPr>
        <w:t>）</w:t>
      </w:r>
    </w:p>
    <w:p w14:paraId="5CDEAE1F">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（3）符合政府采购政策价格扣除证明材料：</w:t>
      </w:r>
    </w:p>
    <w:p w14:paraId="6D16D418">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①符合小型、微型企业政府采购政策证明材料（非小型、微型企业无需填写或提供，如提供则须按格式提供）；</w:t>
      </w:r>
    </w:p>
    <w:p w14:paraId="3403FC90">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②属监狱企业的，请提供由省级以上监狱管理局、戒毒管理局（含新疆生产建设兵团）出具的属于监狱企业的证明文件（非监狱企业无需提供）；</w:t>
      </w:r>
    </w:p>
    <w:p w14:paraId="5F423880">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③残疾人福利性单位须提供《残疾人福利性单位声明函》（格式见附件，非残疾人福利性单位无需提供；如提供，则须按格式提供）</w:t>
      </w:r>
    </w:p>
    <w:p w14:paraId="3619D3C1">
      <w:pPr>
        <w:autoSpaceDE w:val="0"/>
        <w:autoSpaceDN w:val="0"/>
        <w:spacing w:line="40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商务技术文件（内容包含资格审查资料、商务文件、技术文件）</w:t>
      </w:r>
    </w:p>
    <w:p w14:paraId="22AEDEE9">
      <w:pPr>
        <w:widowControl/>
        <w:snapToGrid w:val="0"/>
        <w:spacing w:line="400" w:lineRule="exact"/>
        <w:ind w:firstLine="482" w:firstLineChars="200"/>
        <w:textAlignment w:val="baseline"/>
        <w:rPr>
          <w:rFonts w:hint="eastAsia"/>
          <w:color w:val="auto"/>
          <w:highlight w:val="none"/>
        </w:rPr>
      </w:pPr>
      <w:r>
        <w:rPr>
          <w:rFonts w:ascii="仿宋" w:hAnsi="仿宋" w:eastAsia="仿宋"/>
          <w:b/>
          <w:color w:val="auto"/>
          <w:sz w:val="24"/>
          <w:szCs w:val="22"/>
          <w:highlight w:val="none"/>
        </w:rPr>
        <w:t>（一）资格审查资料</w:t>
      </w:r>
    </w:p>
    <w:p w14:paraId="4320391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（1）竞标函（必须提供，否则竞标无效）</w:t>
      </w:r>
    </w:p>
    <w:p w14:paraId="366AF071">
      <w:pPr>
        <w:tabs>
          <w:tab w:val="left" w:pos="1305"/>
        </w:tabs>
        <w:spacing w:line="400" w:lineRule="exact"/>
        <w:ind w:firstLine="420" w:firstLineChars="200"/>
        <w:rPr>
          <w:color w:val="auto"/>
          <w:szCs w:val="21"/>
          <w:highlight w:val="none"/>
        </w:rPr>
      </w:pPr>
      <w:r>
        <w:rPr>
          <w:rFonts w:hint="eastAsia" w:ascii="宋体" w:hAnsi="宋体" w:cs="宋体"/>
          <w:color w:val="auto"/>
          <w:highlight w:val="none"/>
        </w:rPr>
        <w:t>（2）</w:t>
      </w:r>
      <w:r>
        <w:rPr>
          <w:color w:val="auto"/>
          <w:szCs w:val="21"/>
          <w:highlight w:val="none"/>
        </w:rPr>
        <w:t>供应商的法人</w:t>
      </w:r>
      <w:r>
        <w:rPr>
          <w:rFonts w:hint="eastAsia"/>
          <w:color w:val="auto"/>
          <w:szCs w:val="21"/>
          <w:highlight w:val="none"/>
        </w:rPr>
        <w:t>（</w:t>
      </w:r>
      <w:r>
        <w:rPr>
          <w:color w:val="auto"/>
          <w:szCs w:val="21"/>
          <w:highlight w:val="none"/>
        </w:rPr>
        <w:t>负责人</w:t>
      </w:r>
      <w:r>
        <w:rPr>
          <w:rFonts w:hint="eastAsia"/>
          <w:color w:val="auto"/>
          <w:szCs w:val="21"/>
          <w:highlight w:val="none"/>
        </w:rPr>
        <w:t>）</w:t>
      </w:r>
      <w:r>
        <w:rPr>
          <w:color w:val="auto"/>
          <w:szCs w:val="21"/>
          <w:highlight w:val="none"/>
        </w:rPr>
        <w:t>或者其他组织营业执照等证明文件复印件（必须提供，</w:t>
      </w:r>
      <w:r>
        <w:rPr>
          <w:rFonts w:hint="eastAsia"/>
          <w:color w:val="auto"/>
          <w:szCs w:val="21"/>
          <w:highlight w:val="none"/>
        </w:rPr>
        <w:t>否则竞标无效</w:t>
      </w:r>
      <w:r>
        <w:rPr>
          <w:rFonts w:hint="eastAsia"/>
          <w:color w:val="auto"/>
          <w:szCs w:val="21"/>
          <w:highlight w:val="none"/>
          <w:lang w:eastAsia="zh-CN"/>
        </w:rPr>
        <w:t>。</w:t>
      </w:r>
      <w:r>
        <w:rPr>
          <w:color w:val="auto"/>
          <w:szCs w:val="21"/>
          <w:highlight w:val="none"/>
        </w:rPr>
        <w:t>自然人除外）；</w:t>
      </w:r>
    </w:p>
    <w:p w14:paraId="3CED8C3E">
      <w:pPr>
        <w:tabs>
          <w:tab w:val="left" w:pos="1305"/>
        </w:tabs>
        <w:spacing w:line="400" w:lineRule="exact"/>
        <w:ind w:firstLine="422" w:firstLineChars="200"/>
        <w:rPr>
          <w:b/>
          <w:bCs w:val="0"/>
          <w:color w:val="auto"/>
          <w:szCs w:val="21"/>
          <w:highlight w:val="none"/>
        </w:rPr>
      </w:pPr>
      <w:r>
        <w:rPr>
          <w:b/>
          <w:bCs w:val="0"/>
          <w:color w:val="auto"/>
          <w:szCs w:val="21"/>
          <w:highlight w:val="none"/>
        </w:rPr>
        <w:t>注：</w:t>
      </w:r>
      <w:r>
        <w:rPr>
          <w:rFonts w:hint="eastAsia" w:ascii="宋体" w:hAnsi="宋体" w:cs="宋体"/>
          <w:b/>
          <w:bCs w:val="0"/>
          <w:color w:val="auto"/>
          <w:szCs w:val="21"/>
          <w:highlight w:val="none"/>
        </w:rPr>
        <w:t>①</w:t>
      </w:r>
      <w:r>
        <w:rPr>
          <w:b/>
          <w:bCs w:val="0"/>
          <w:color w:val="auto"/>
          <w:szCs w:val="21"/>
          <w:highlight w:val="none"/>
        </w:rPr>
        <w:t>法人包括企业法</w:t>
      </w:r>
      <w:r>
        <w:rPr>
          <w:rFonts w:eastAsia="宋体"/>
          <w:b/>
          <w:bCs w:val="0"/>
          <w:color w:val="auto"/>
          <w:szCs w:val="21"/>
          <w:highlight w:val="none"/>
        </w:rPr>
        <w:t>人、负责人</w:t>
      </w:r>
      <w:r>
        <w:rPr>
          <w:rFonts w:hint="eastAsia" w:eastAsia="宋体"/>
          <w:b/>
          <w:bCs w:val="0"/>
          <w:color w:val="auto"/>
          <w:szCs w:val="21"/>
          <w:highlight w:val="none"/>
        </w:rPr>
        <w:t>、</w:t>
      </w:r>
      <w:r>
        <w:rPr>
          <w:b/>
          <w:bCs w:val="0"/>
          <w:color w:val="auto"/>
          <w:szCs w:val="21"/>
          <w:highlight w:val="none"/>
        </w:rPr>
        <w:t>机关法人、事业单位法人和社会团体法人；其他组织主要包括合伙企业、非企业专业服务机构、个体工商户、农村承包经营户。</w:t>
      </w:r>
      <w:r>
        <w:rPr>
          <w:rFonts w:hint="eastAsia" w:ascii="宋体" w:hAnsi="宋体" w:cs="宋体"/>
          <w:b/>
          <w:bCs w:val="0"/>
          <w:color w:val="auto"/>
          <w:szCs w:val="21"/>
          <w:highlight w:val="none"/>
        </w:rPr>
        <w:t>②</w:t>
      </w:r>
      <w:r>
        <w:rPr>
          <w:b/>
          <w:bCs w:val="0"/>
          <w:color w:val="auto"/>
          <w:szCs w:val="21"/>
          <w:highlight w:val="none"/>
        </w:rPr>
        <w:t>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6B251D">
      <w:pPr>
        <w:numPr>
          <w:ilvl w:val="0"/>
          <w:numId w:val="0"/>
        </w:numPr>
        <w:tabs>
          <w:tab w:val="left" w:pos="1305"/>
        </w:tabs>
        <w:spacing w:line="400" w:lineRule="exact"/>
        <w:ind w:firstLine="632" w:firstLineChars="300"/>
        <w:rPr>
          <w:rFonts w:hint="default" w:ascii="宋体" w:hAnsi="宋体" w:cs="Times New Roman"/>
          <w:b/>
          <w:bCs w:val="0"/>
          <w:szCs w:val="21"/>
          <w:highlight w:val="none"/>
          <w:lang w:val="en-US" w:eastAsia="zh-CN"/>
        </w:rPr>
      </w:pPr>
      <w:r>
        <w:rPr>
          <w:rFonts w:hint="eastAsia" w:ascii="宋体" w:hAnsi="宋体"/>
          <w:b/>
          <w:bCs w:val="0"/>
          <w:color w:val="auto"/>
          <w:highlight w:val="none"/>
        </w:rPr>
        <w:t>②</w:t>
      </w:r>
      <w:r>
        <w:rPr>
          <w:rFonts w:hint="eastAsia" w:ascii="宋体" w:hAnsi="宋体" w:eastAsia="宋体" w:cs="Times New Roman"/>
          <w:b/>
          <w:bCs w:val="0"/>
          <w:szCs w:val="21"/>
          <w:highlight w:val="none"/>
          <w:lang w:eastAsia="zh-CN"/>
        </w:rPr>
        <w:t>供应商</w:t>
      </w:r>
      <w:r>
        <w:rPr>
          <w:rFonts w:hint="eastAsia"/>
          <w:b/>
          <w:bCs w:val="0"/>
          <w:color w:val="auto"/>
          <w:highlight w:val="none"/>
          <w:lang w:val="en-US" w:eastAsia="zh-CN"/>
        </w:rPr>
        <w:t>为</w:t>
      </w:r>
      <w:r>
        <w:rPr>
          <w:rFonts w:hint="eastAsia" w:ascii="宋体" w:hAnsi="宋体" w:eastAsia="宋体" w:cs="Times New Roman"/>
          <w:b/>
          <w:bCs w:val="0"/>
          <w:szCs w:val="21"/>
          <w:highlight w:val="none"/>
          <w:lang w:eastAsia="zh-CN"/>
        </w:rPr>
        <w:t>中小微企业</w:t>
      </w:r>
      <w:r>
        <w:rPr>
          <w:rFonts w:hint="eastAsia" w:ascii="宋体" w:hAnsi="宋体" w:cs="Times New Roman"/>
          <w:b/>
          <w:bCs w:val="0"/>
          <w:szCs w:val="21"/>
          <w:highlight w:val="none"/>
          <w:lang w:val="en-US" w:eastAsia="zh-CN"/>
        </w:rPr>
        <w:t>应如实提供中小企业声明函；</w:t>
      </w:r>
      <w:r>
        <w:rPr>
          <w:rFonts w:ascii="宋体" w:hAnsi="宋体" w:cs="宋体"/>
          <w:b/>
          <w:bCs w:val="0"/>
          <w:color w:val="auto"/>
          <w:highlight w:val="none"/>
        </w:rPr>
        <w:t>②属监狱企业的，请提供由省级以上监狱管理局、戒毒管理局（含新疆生产建设兵团）出具的属于监狱企业的证明文件；③残疾人福利性单位须提供《残疾人福利性单位声明函》</w:t>
      </w:r>
    </w:p>
    <w:p w14:paraId="1BB18C3D">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color w:val="auto"/>
          <w:highlight w:val="none"/>
          <w:lang w:val="en-US" w:eastAsia="zh-CN"/>
        </w:rPr>
        <w:t>3</w:t>
      </w:r>
      <w:r>
        <w:rPr>
          <w:rFonts w:hint="eastAsia" w:ascii="宋体" w:hAnsi="宋体" w:cs="宋体"/>
          <w:color w:val="auto"/>
          <w:highlight w:val="none"/>
        </w:rPr>
        <w:t>）磋商供应商最近半年内任意连续三个月的依法缴纳税收或者依法减免缴纳税费的证明复印件（若为新成立的，请根据实际情况提供。） [复印件加盖单位公章，必须提供,否则竞标无效]；</w:t>
      </w:r>
    </w:p>
    <w:p w14:paraId="7184147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响应文件递交竞标供应商最近半年内任意连续三个月的依法缴纳社会保障资金或者依法免缴社会保障资金证明复印件[必须提供]（以社保部门或税局出具的参保证明或缴纳证明复印件或免参保证明复印件为准；若为新成立的，请根据实际情况提供。） [复印件加盖单位公章，必须提供,否则竞标无效。]</w:t>
      </w:r>
    </w:p>
    <w:p w14:paraId="2AC44438">
      <w:pPr>
        <w:pStyle w:val="9"/>
        <w:spacing w:line="400" w:lineRule="exact"/>
        <w:ind w:firstLine="40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lang w:val="en-US" w:eastAsia="zh-CN"/>
        </w:rPr>
        <w:t>5</w:t>
      </w:r>
      <w:r>
        <w:rPr>
          <w:rFonts w:hint="eastAsia" w:ascii="宋体" w:hAnsi="宋体" w:cs="宋体"/>
          <w:color w:val="auto"/>
          <w:highlight w:val="none"/>
        </w:rPr>
        <w:t>）供应商财务状况报告</w:t>
      </w:r>
      <w:r>
        <w:rPr>
          <w:rFonts w:hint="eastAsia" w:ascii="宋体" w:hAnsi="宋体" w:cs="宋体"/>
          <w:color w:val="auto"/>
          <w:highlight w:val="none"/>
          <w:lang w:eastAsia="zh-CN"/>
        </w:rPr>
        <w:t>：</w:t>
      </w:r>
      <w:r>
        <w:rPr>
          <w:rFonts w:hint="eastAsia" w:cs="宋体"/>
          <w:bCs/>
          <w:szCs w:val="21"/>
          <w:highlight w:val="none"/>
        </w:rPr>
        <w:t>投标人上年度</w:t>
      </w:r>
      <w:r>
        <w:rPr>
          <w:rFonts w:hint="eastAsia" w:cs="宋体"/>
          <w:bCs/>
          <w:szCs w:val="21"/>
          <w:highlight w:val="none"/>
          <w:lang w:eastAsia="zh-CN"/>
        </w:rPr>
        <w:t>的财务报</w:t>
      </w:r>
      <w:r>
        <w:rPr>
          <w:rFonts w:hint="eastAsia" w:cs="宋体"/>
          <w:bCs/>
          <w:szCs w:val="21"/>
          <w:highlight w:val="none"/>
          <w:lang w:val="en-US" w:eastAsia="zh-CN"/>
        </w:rPr>
        <w:t>表</w:t>
      </w:r>
      <w:r>
        <w:rPr>
          <w:rFonts w:hint="eastAsia" w:cs="宋体"/>
          <w:bCs/>
          <w:szCs w:val="21"/>
          <w:highlight w:val="none"/>
          <w:lang w:eastAsia="zh-CN"/>
        </w:rPr>
        <w:t>，新企业提供近3个月的财务报表（</w:t>
      </w:r>
      <w:r>
        <w:rPr>
          <w:rFonts w:hint="eastAsia" w:cs="宋体"/>
          <w:bCs/>
          <w:szCs w:val="21"/>
          <w:highlight w:val="none"/>
          <w:lang w:val="en-US" w:eastAsia="zh-CN"/>
        </w:rPr>
        <w:t>不足3个月的新企业，以新成立时间至投标月止</w:t>
      </w:r>
      <w:r>
        <w:rPr>
          <w:rFonts w:hint="eastAsia" w:cs="宋体"/>
          <w:bCs/>
          <w:szCs w:val="21"/>
          <w:highlight w:val="none"/>
          <w:lang w:eastAsia="zh-CN"/>
        </w:rPr>
        <w:t>）</w:t>
      </w:r>
      <w:r>
        <w:rPr>
          <w:rFonts w:hint="eastAsia" w:ascii="宋体" w:hAnsi="宋体" w:cs="宋体"/>
          <w:color w:val="auto"/>
          <w:highlight w:val="none"/>
        </w:rPr>
        <w:t>；（必须提供，否则响应文件按无效响应处理）</w:t>
      </w:r>
    </w:p>
    <w:p w14:paraId="0071EFA4">
      <w:pPr>
        <w:autoSpaceDE w:val="0"/>
        <w:autoSpaceDN w:val="0"/>
        <w:spacing w:line="400" w:lineRule="exact"/>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eastAsia="宋体" w:cs="宋体"/>
          <w:color w:val="auto"/>
          <w:highlight w:val="none"/>
        </w:rPr>
        <w:t>法定代表人授权书原件（委托代理时必须提供）；</w:t>
      </w:r>
    </w:p>
    <w:p w14:paraId="317C942C">
      <w:pPr>
        <w:autoSpaceDE w:val="0"/>
        <w:autoSpaceDN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）法定代表人身份证（正反面复印件）；(必须提供，加盖单位公章，否则竞标无效)</w:t>
      </w:r>
    </w:p>
    <w:p w14:paraId="6856F6A8">
      <w:pPr>
        <w:autoSpaceDE w:val="0"/>
        <w:autoSpaceDN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）无重大违法记录声明书（必须提供，加盖单位公章，否则竞标无效）；</w:t>
      </w:r>
    </w:p>
    <w:p w14:paraId="2D5127B2">
      <w:pPr>
        <w:autoSpaceDE w:val="0"/>
        <w:autoSpaceDN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）磋商文件要求的其他资格证明材料。（如有，请提供并加盖单位公章）</w:t>
      </w:r>
    </w:p>
    <w:p w14:paraId="4B090849">
      <w:pPr>
        <w:autoSpaceDE w:val="0"/>
        <w:autoSpaceDN w:val="0"/>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“总公司或省级分公司授权委托书”（当不具备独立法人资格的分支公司或营业部参与本项目投标，应提交具有独立法人资格的上级公司法人或省级保险机构负责人的授权委托书，详见《授权委托书》(备选)。）</w:t>
      </w:r>
      <w:r>
        <w:rPr>
          <w:rFonts w:hint="eastAsia" w:ascii="宋体" w:hAnsi="宋体" w:eastAsia="宋体" w:cs="宋体"/>
          <w:color w:val="auto"/>
          <w:highlight w:val="none"/>
          <w:lang w:eastAsia="zh-CN"/>
        </w:rPr>
        <w:t>。</w:t>
      </w:r>
    </w:p>
    <w:p w14:paraId="63E6C388">
      <w:pPr>
        <w:widowControl/>
        <w:snapToGrid w:val="0"/>
        <w:spacing w:line="400" w:lineRule="exact"/>
        <w:ind w:firstLine="482" w:firstLineChars="200"/>
        <w:textAlignment w:val="baseline"/>
        <w:rPr>
          <w:rFonts w:hint="eastAsia"/>
          <w:color w:val="auto"/>
          <w:highlight w:val="none"/>
        </w:rPr>
      </w:pPr>
      <w:r>
        <w:rPr>
          <w:rStyle w:val="32"/>
          <w:rFonts w:ascii="仿宋" w:hAnsi="仿宋" w:eastAsia="仿宋"/>
          <w:b/>
          <w:color w:val="auto"/>
          <w:sz w:val="24"/>
          <w:highlight w:val="none"/>
        </w:rPr>
        <w:t>（二）商务文件</w:t>
      </w:r>
    </w:p>
    <w:p w14:paraId="3D12139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（1）竞标保证金交纳证明（银行转账底单、支票、汇票、本票、网上银行或者银行、保险机构出具的保函）复印件加盖单位公章，必须提供,否则竞标无效；</w:t>
      </w:r>
    </w:p>
    <w:p w14:paraId="3FFD902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供应商类似成功案例的业绩证明［</w:t>
      </w:r>
      <w:r>
        <w:rPr>
          <w:rFonts w:hint="eastAsia" w:ascii="宋体" w:hAnsi="宋体" w:cs="宋体"/>
          <w:color w:val="auto"/>
          <w:highlight w:val="none"/>
        </w:rPr>
        <w:t>如有，请提供并加盖单位公章，</w:t>
      </w:r>
      <w:r>
        <w:rPr>
          <w:rFonts w:ascii="宋体" w:hAnsi="宋体" w:cs="宋体"/>
          <w:color w:val="auto"/>
          <w:highlight w:val="none"/>
        </w:rPr>
        <w:t>以中标（成交）通知书或合同协议书复印件为准］；</w:t>
      </w:r>
    </w:p>
    <w:p w14:paraId="51B34C4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）本竞争性磋商文件要求提供的其他资料和需要说明的问题（如有，请提供并加盖单位公章）；</w:t>
      </w:r>
    </w:p>
    <w:p w14:paraId="216E674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eastAsia="zh-CN"/>
        </w:rPr>
        <w:t>项目需求一览表</w:t>
      </w:r>
      <w:r>
        <w:rPr>
          <w:rFonts w:hint="eastAsia" w:ascii="宋体" w:hAnsi="宋体" w:cs="宋体"/>
          <w:color w:val="auto"/>
          <w:highlight w:val="none"/>
        </w:rPr>
        <w:t>中需要提供的资料（</w:t>
      </w:r>
      <w:r>
        <w:rPr>
          <w:rFonts w:hint="eastAsia" w:ascii="宋体" w:hAnsi="宋体" w:cs="宋体"/>
          <w:color w:val="auto"/>
          <w:highlight w:val="none"/>
          <w:lang w:eastAsia="zh-CN"/>
        </w:rPr>
        <w:t>项目需求一览表</w:t>
      </w:r>
      <w:r>
        <w:rPr>
          <w:rFonts w:hint="eastAsia" w:ascii="宋体" w:hAnsi="宋体" w:cs="宋体"/>
          <w:color w:val="auto"/>
          <w:highlight w:val="none"/>
        </w:rPr>
        <w:t>中有要求的则必须提供，加盖单位公章，否则竞标无效）；</w:t>
      </w:r>
    </w:p>
    <w:p w14:paraId="76A6AB5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ascii="宋体" w:hAnsi="宋体" w:cs="宋体"/>
          <w:color w:val="auto"/>
          <w:highlight w:val="none"/>
        </w:rPr>
        <w:t>供应商认为需要提供的有关资料及</w:t>
      </w:r>
      <w:r>
        <w:rPr>
          <w:rFonts w:hint="eastAsia" w:ascii="宋体" w:hAnsi="宋体" w:cs="宋体"/>
          <w:color w:val="auto"/>
          <w:highlight w:val="none"/>
        </w:rPr>
        <w:t>其它需要提供的证明材料（如有，请提供并加盖单位公章）。</w:t>
      </w:r>
    </w:p>
    <w:p w14:paraId="670EDCAF">
      <w:pPr>
        <w:autoSpaceDE w:val="0"/>
        <w:autoSpaceDN w:val="0"/>
        <w:spacing w:line="400" w:lineRule="exact"/>
        <w:ind w:firstLine="420" w:firstLineChars="200"/>
        <w:jc w:val="left"/>
        <w:rPr>
          <w:rStyle w:val="32"/>
          <w:rFonts w:hint="eastAsia"/>
          <w:color w:val="auto"/>
          <w:highlight w:val="none"/>
        </w:rPr>
      </w:pPr>
      <w:r>
        <w:rPr>
          <w:rStyle w:val="32"/>
          <w:color w:val="auto"/>
          <w:highlight w:val="none"/>
        </w:rPr>
        <w:t>（三）技术文件</w:t>
      </w:r>
    </w:p>
    <w:p w14:paraId="6F59C97B">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项目实施方案、</w:t>
      </w:r>
      <w:r>
        <w:rPr>
          <w:rFonts w:hint="eastAsia" w:ascii="宋体" w:hAnsi="宋体" w:eastAsia="宋体" w:cs="Times New Roman"/>
          <w:szCs w:val="21"/>
          <w:highlight w:val="none"/>
          <w:lang w:eastAsia="zh-CN"/>
        </w:rPr>
        <w:t>应急保障方案</w:t>
      </w:r>
      <w:r>
        <w:rPr>
          <w:rFonts w:ascii="宋体" w:hAnsi="宋体" w:cs="宋体"/>
          <w:color w:val="auto"/>
          <w:highlight w:val="none"/>
        </w:rPr>
        <w:t>；（格式自拟，必须提供）</w:t>
      </w:r>
    </w:p>
    <w:p w14:paraId="7163A3C0">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技术服务方案</w:t>
      </w:r>
      <w:r>
        <w:rPr>
          <w:rFonts w:hint="eastAsia" w:ascii="宋体" w:hAnsi="宋体" w:eastAsia="宋体" w:cs="宋体"/>
          <w:color w:val="auto"/>
          <w:highlight w:val="none"/>
        </w:rPr>
        <w:t>（</w:t>
      </w:r>
      <w:r>
        <w:rPr>
          <w:rFonts w:hint="eastAsia" w:ascii="宋体" w:hAnsi="宋体" w:cs="宋体"/>
          <w:color w:val="auto"/>
          <w:highlight w:val="none"/>
        </w:rPr>
        <w:t>格式自拟，必须提供，否则竞标无效）；</w:t>
      </w:r>
    </w:p>
    <w:p w14:paraId="1C44A7D8">
      <w:pPr>
        <w:autoSpaceDE w:val="0"/>
        <w:autoSpaceDN w:val="0"/>
        <w:spacing w:line="400" w:lineRule="exact"/>
        <w:ind w:firstLine="420" w:firstLineChars="200"/>
        <w:jc w:val="left"/>
        <w:rPr>
          <w:rFonts w:hint="eastAsia" w:ascii="宋体" w:hAnsi="宋体" w:eastAsia="宋体" w:cs="宋体"/>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szCs w:val="21"/>
          <w:highlight w:val="none"/>
        </w:rPr>
        <w:t>技术要求偏</w:t>
      </w:r>
      <w:r>
        <w:rPr>
          <w:rFonts w:hint="eastAsia" w:ascii="宋体" w:hAnsi="宋体" w:eastAsia="宋体" w:cs="宋体"/>
          <w:szCs w:val="21"/>
          <w:highlight w:val="none"/>
        </w:rPr>
        <w:t>离表（格式后附）；（必须提供，否则响应文件按无效响应处理）</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w:t>
      </w:r>
    </w:p>
    <w:p w14:paraId="6BF6F149">
      <w:pPr>
        <w:autoSpaceDE w:val="0"/>
        <w:autoSpaceDN w:val="0"/>
        <w:spacing w:line="40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注：竞标函及磋商报价表、法定代表人授权委托书、技术响应偏离情况说明表</w:t>
      </w:r>
      <w:r>
        <w:rPr>
          <w:rFonts w:hint="eastAsia" w:ascii="宋体" w:hAnsi="宋体" w:eastAsia="宋体" w:cs="宋体"/>
          <w:b/>
          <w:bCs/>
          <w:color w:val="auto"/>
          <w:highlight w:val="none"/>
        </w:rPr>
        <w:t>、服务方案</w:t>
      </w:r>
      <w:r>
        <w:rPr>
          <w:rFonts w:hint="eastAsia" w:ascii="宋体" w:hAnsi="宋体" w:cs="宋体"/>
          <w:b/>
          <w:bCs/>
          <w:color w:val="auto"/>
          <w:highlight w:val="none"/>
        </w:rPr>
        <w:t>必须由法定代表人或授权代表签名（电子投标可用电子法人章代替）并加盖单位公章，否则竞标无效。</w:t>
      </w:r>
    </w:p>
    <w:p w14:paraId="7EE4ADBF">
      <w:pPr>
        <w:adjustRightInd w:val="0"/>
        <w:snapToGrid w:val="0"/>
        <w:spacing w:line="360" w:lineRule="exact"/>
        <w:ind w:firstLine="422" w:firstLineChars="200"/>
        <w:rPr>
          <w:rFonts w:hint="eastAsia"/>
          <w:b/>
          <w:bCs/>
          <w:color w:val="auto"/>
          <w:highlight w:val="none"/>
        </w:rPr>
      </w:pPr>
      <w:r>
        <w:rPr>
          <w:rFonts w:hint="eastAsia" w:ascii="宋体" w:hAnsi="宋体" w:cs="宋体"/>
          <w:b/>
          <w:bCs/>
          <w:color w:val="auto"/>
          <w:highlight w:val="none"/>
        </w:rPr>
        <w:t>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2F6E5E4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 计量单位</w:t>
      </w:r>
    </w:p>
    <w:p w14:paraId="66BBAEA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6.1除技术要求中另有规定外，本文件所要求使用的计量单位均应采用国家法定计量单位。</w:t>
      </w:r>
    </w:p>
    <w:p w14:paraId="2E8A1C79">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三、磋商报价要求</w:t>
      </w:r>
    </w:p>
    <w:p w14:paraId="170CBA7E">
      <w:pPr>
        <w:autoSpaceDE w:val="0"/>
        <w:autoSpaceDN w:val="0"/>
        <w:spacing w:line="400" w:lineRule="exact"/>
        <w:ind w:firstLine="420" w:firstLineChars="200"/>
        <w:jc w:val="left"/>
        <w:rPr>
          <w:rFonts w:ascii="宋体" w:hAnsi="宋体" w:cs="宋体"/>
          <w:b/>
          <w:color w:val="auto"/>
          <w:highlight w:val="none"/>
        </w:rPr>
      </w:pPr>
      <w:r>
        <w:rPr>
          <w:rFonts w:hint="eastAsia" w:ascii="宋体" w:hAnsi="宋体" w:cs="宋体"/>
          <w:color w:val="auto"/>
          <w:highlight w:val="none"/>
        </w:rPr>
        <w:t>7.1磋商报价：</w:t>
      </w:r>
      <w:r>
        <w:rPr>
          <w:rFonts w:hint="eastAsia" w:ascii="宋体" w:hAnsi="宋体" w:cs="宋体"/>
          <w:b/>
          <w:color w:val="auto"/>
          <w:highlight w:val="none"/>
        </w:rPr>
        <w:t>磋商供应商须就《</w:t>
      </w:r>
      <w:r>
        <w:rPr>
          <w:rFonts w:hint="eastAsia" w:ascii="宋体" w:hAnsi="宋体" w:cs="宋体"/>
          <w:b/>
          <w:color w:val="auto"/>
          <w:highlight w:val="none"/>
          <w:lang w:eastAsia="zh-CN"/>
        </w:rPr>
        <w:t>项目需求一览表</w:t>
      </w:r>
      <w:r>
        <w:rPr>
          <w:rFonts w:hint="eastAsia" w:ascii="宋体" w:hAnsi="宋体" w:cs="宋体"/>
          <w:b/>
          <w:color w:val="auto"/>
          <w:highlight w:val="none"/>
        </w:rPr>
        <w:t>》中的全部货物和服务内容作完整唯一报价。</w:t>
      </w:r>
    </w:p>
    <w:p w14:paraId="27D0ABB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7.2对于本文件中未列明，而磋商供应商认为必需的费用也需列入总报价。在合同实施时，采购人将不予支付成交供应商没有列入的项目费用，并认为此项目的费用已包括在总报价中。</w:t>
      </w:r>
    </w:p>
    <w:p w14:paraId="7690458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7.3 成交供应商负责本项目所采购的货物、工程、服务的全部工作。</w:t>
      </w:r>
    </w:p>
    <w:p w14:paraId="591EEBDF">
      <w:pPr>
        <w:tabs>
          <w:tab w:val="left" w:pos="1305"/>
        </w:tabs>
        <w:spacing w:line="300" w:lineRule="auto"/>
        <w:ind w:firstLine="422" w:firstLineChars="200"/>
        <w:rPr>
          <w:rFonts w:ascii="宋体" w:hAnsi="宋体" w:cs="宋体"/>
          <w:b/>
          <w:color w:val="auto"/>
          <w:highlight w:val="none"/>
        </w:rPr>
      </w:pPr>
      <w:r>
        <w:rPr>
          <w:rFonts w:hint="eastAsia" w:ascii="宋体" w:hAnsi="宋体" w:cs="宋体"/>
          <w:b/>
          <w:color w:val="auto"/>
          <w:highlight w:val="none"/>
        </w:rPr>
        <w:t>四、竞争性磋商响应文件的</w:t>
      </w:r>
      <w:r>
        <w:rPr>
          <w:rFonts w:hint="eastAsia"/>
          <w:b/>
          <w:color w:val="auto"/>
          <w:highlight w:val="none"/>
        </w:rPr>
        <w:t>上传、提交、修改、撤回和解密</w:t>
      </w:r>
    </w:p>
    <w:p w14:paraId="7EDD94B2">
      <w:pPr>
        <w:adjustRightInd w:val="0"/>
        <w:snapToGrid w:val="0"/>
        <w:spacing w:line="400" w:lineRule="exact"/>
        <w:ind w:firstLine="420"/>
        <w:jc w:val="left"/>
        <w:rPr>
          <w:rFonts w:hint="eastAsia"/>
          <w:b/>
          <w:color w:val="auto"/>
          <w:highlight w:val="none"/>
        </w:rPr>
      </w:pPr>
      <w:r>
        <w:rPr>
          <w:rFonts w:hint="eastAsia" w:ascii="宋体" w:hAnsi="宋体" w:cs="宋体"/>
          <w:color w:val="auto"/>
          <w:highlight w:val="none"/>
        </w:rPr>
        <w:t xml:space="preserve">8. </w:t>
      </w:r>
      <w:r>
        <w:rPr>
          <w:rFonts w:hint="eastAsia" w:hAnsi="宋体"/>
          <w:color w:val="auto"/>
          <w:highlight w:val="none"/>
        </w:rPr>
        <w:t xml:space="preserve">▲1. </w:t>
      </w:r>
      <w:r>
        <w:rPr>
          <w:rFonts w:hint="eastAsia"/>
          <w:b/>
          <w:color w:val="auto"/>
          <w:highlight w:val="none"/>
        </w:rPr>
        <w:t>投标文件的上传、提交：见投标人须知及前附表。</w:t>
      </w:r>
    </w:p>
    <w:p w14:paraId="7C1502DC">
      <w:pPr>
        <w:adjustRightInd w:val="0"/>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8.1电子磋商响应文件中须加盖供应商公章部分均采用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1313B054">
      <w:pPr>
        <w:adjustRightInd w:val="0"/>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8.2 CA 签章上目前没有法人（负责人）或授权代表签字信息，供应商在磋商响应文件中涉及到签字的位置线下签好字然后扫描或者拍照做成PDF的格式即可。</w:t>
      </w:r>
    </w:p>
    <w:p w14:paraId="71F590D9">
      <w:pPr>
        <w:adjustRightInd w:val="0"/>
        <w:snapToGrid w:val="0"/>
        <w:spacing w:line="400" w:lineRule="exact"/>
        <w:ind w:firstLine="420"/>
        <w:jc w:val="left"/>
        <w:rPr>
          <w:rFonts w:hint="eastAsia"/>
          <w:color w:val="auto"/>
          <w:highlight w:val="none"/>
        </w:rPr>
      </w:pPr>
      <w:r>
        <w:rPr>
          <w:rFonts w:hint="eastAsia" w:ascii="宋体" w:hAnsi="宋体" w:cs="宋体"/>
          <w:color w:val="auto"/>
          <w:highlight w:val="none"/>
        </w:rPr>
        <w:t>8.3 磋商响应文件不得涂改，若有修改错漏处，须由法定代表人（负责人）或授权委托人签字。磋商响应文件因字迹潦草或表达不清所引起的后果由供应商负责。</w:t>
      </w:r>
    </w:p>
    <w:p w14:paraId="111A158C">
      <w:pPr>
        <w:adjustRightInd w:val="0"/>
        <w:snapToGrid w:val="0"/>
        <w:spacing w:line="400" w:lineRule="exact"/>
        <w:ind w:firstLine="420"/>
        <w:jc w:val="left"/>
        <w:rPr>
          <w:rFonts w:hAnsi="宋体"/>
          <w:color w:val="auto"/>
          <w:highlight w:val="none"/>
        </w:rPr>
      </w:pPr>
      <w:r>
        <w:rPr>
          <w:rFonts w:hint="eastAsia" w:ascii="宋体" w:hAnsi="宋体" w:cs="宋体"/>
          <w:color w:val="auto"/>
          <w:highlight w:val="none"/>
        </w:rPr>
        <w:t>8.4竞争性磋商响应文件的</w:t>
      </w:r>
      <w:r>
        <w:rPr>
          <w:rFonts w:hint="eastAsia" w:hAnsi="宋体" w:cs="仿宋_GB2312"/>
          <w:color w:val="auto"/>
          <w:highlight w:val="none"/>
          <w:lang w:val="zh-CN"/>
        </w:rPr>
        <w:t>修改和撤回：供应商应当在投标截止时间前完成</w:t>
      </w:r>
      <w:r>
        <w:rPr>
          <w:rFonts w:hint="eastAsia" w:ascii="宋体" w:hAnsi="宋体" w:cs="宋体"/>
          <w:color w:val="auto"/>
          <w:highlight w:val="none"/>
        </w:rPr>
        <w:t>响应</w:t>
      </w:r>
      <w:r>
        <w:rPr>
          <w:rFonts w:hint="eastAsia" w:hAnsi="宋体" w:cs="仿宋_GB2312"/>
          <w:color w:val="auto"/>
          <w:highlight w:val="none"/>
          <w:lang w:val="zh-CN"/>
        </w:rPr>
        <w:t>文件的上传、提交，并可以补充、修改或者撤回</w:t>
      </w:r>
      <w:r>
        <w:rPr>
          <w:rFonts w:hint="eastAsia" w:ascii="宋体" w:hAnsi="宋体" w:cs="宋体"/>
          <w:color w:val="auto"/>
          <w:highlight w:val="none"/>
        </w:rPr>
        <w:t>响应</w:t>
      </w:r>
      <w:r>
        <w:rPr>
          <w:rFonts w:hint="eastAsia" w:hAnsi="宋体" w:cs="仿宋_GB2312"/>
          <w:color w:val="auto"/>
          <w:highlight w:val="none"/>
          <w:lang w:val="zh-CN"/>
        </w:rPr>
        <w:t>文件。补充或者修改投标文件的，应当先行撤回原文件，补充、修改后重新上传、提交。投标截止时间前未完成上传、提交的，视为撤回</w:t>
      </w:r>
      <w:r>
        <w:rPr>
          <w:rFonts w:hint="eastAsia" w:ascii="宋体" w:hAnsi="宋体" w:cs="宋体"/>
          <w:color w:val="auto"/>
          <w:highlight w:val="none"/>
        </w:rPr>
        <w:t>响应</w:t>
      </w:r>
      <w:r>
        <w:rPr>
          <w:rFonts w:hint="eastAsia" w:hAnsi="宋体" w:cs="仿宋_GB2312"/>
          <w:color w:val="auto"/>
          <w:highlight w:val="none"/>
          <w:lang w:val="zh-CN"/>
        </w:rPr>
        <w:t>文件。投标截止时间后提交的</w:t>
      </w:r>
      <w:r>
        <w:rPr>
          <w:rFonts w:hint="eastAsia" w:ascii="宋体" w:hAnsi="宋体" w:cs="宋体"/>
          <w:color w:val="auto"/>
          <w:highlight w:val="none"/>
        </w:rPr>
        <w:t>响应</w:t>
      </w:r>
      <w:r>
        <w:rPr>
          <w:rFonts w:hint="eastAsia" w:hAnsi="宋体" w:cs="仿宋_GB2312"/>
          <w:color w:val="auto"/>
          <w:highlight w:val="none"/>
          <w:lang w:val="zh-CN"/>
        </w:rPr>
        <w:t>文件，“广西政府采购云平台”将予以拒收。投标截止时间后，投标供应商不得撤回、修改投标文件。</w:t>
      </w:r>
    </w:p>
    <w:p w14:paraId="1205675C">
      <w:pPr>
        <w:adjustRightInd w:val="0"/>
        <w:snapToGrid w:val="0"/>
        <w:spacing w:line="400" w:lineRule="exact"/>
        <w:ind w:firstLine="441" w:firstLineChars="210"/>
        <w:rPr>
          <w:rFonts w:hAnsi="宋体"/>
          <w:color w:val="auto"/>
          <w:spacing w:val="-4"/>
          <w:highlight w:val="none"/>
        </w:rPr>
      </w:pPr>
      <w:r>
        <w:rPr>
          <w:rFonts w:hint="eastAsia" w:ascii="宋体" w:hAnsi="宋体" w:cs="宋体"/>
          <w:color w:val="auto"/>
          <w:highlight w:val="none"/>
        </w:rPr>
        <w:t>8.5</w:t>
      </w:r>
      <w:r>
        <w:rPr>
          <w:rFonts w:hint="eastAsia"/>
          <w:snapToGrid w:val="0"/>
          <w:color w:val="auto"/>
          <w:highlight w:val="none"/>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14:paraId="218F5B5F">
      <w:pPr>
        <w:tabs>
          <w:tab w:val="left" w:pos="1305"/>
        </w:tabs>
        <w:spacing w:line="300" w:lineRule="auto"/>
        <w:ind w:firstLine="420" w:firstLineChars="200"/>
        <w:rPr>
          <w:rFonts w:ascii="宋体" w:hAnsi="宋体" w:cs="宋体"/>
          <w:color w:val="auto"/>
          <w:highlight w:val="none"/>
        </w:rPr>
      </w:pPr>
      <w:r>
        <w:rPr>
          <w:rFonts w:hint="eastAsia" w:ascii="宋体" w:hAnsi="宋体" w:cs="宋体"/>
          <w:color w:val="auto"/>
          <w:highlight w:val="none"/>
        </w:rPr>
        <w:t>8.6</w:t>
      </w:r>
      <w:r>
        <w:rPr>
          <w:rFonts w:hint="eastAsia" w:hAnsi="宋体"/>
          <w:color w:val="auto"/>
          <w:spacing w:val="-4"/>
          <w:highlight w:val="none"/>
        </w:rPr>
        <w:t>投标人已经被推荐为第一中标候选供应商后撤回投标或放弃中标的，其投标保证金将不予退还，并上缴国库，给采购人造成损失的，还应当赔偿损失，并作为不良行为记录在案。</w:t>
      </w:r>
    </w:p>
    <w:p w14:paraId="16B4D2F8">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五、开标</w:t>
      </w:r>
    </w:p>
    <w:p w14:paraId="6B99413F">
      <w:pPr>
        <w:autoSpaceDE w:val="0"/>
        <w:autoSpaceDN w:val="0"/>
        <w:spacing w:line="400" w:lineRule="exact"/>
        <w:ind w:firstLine="422" w:firstLineChars="200"/>
        <w:jc w:val="left"/>
        <w:rPr>
          <w:rFonts w:ascii="宋体" w:hAnsi="宋体" w:cs="宋体"/>
          <w:color w:val="auto"/>
          <w:highlight w:val="none"/>
        </w:rPr>
      </w:pPr>
      <w:r>
        <w:rPr>
          <w:rFonts w:hint="eastAsia" w:ascii="宋体" w:hAnsi="宋体" w:cs="宋体"/>
          <w:b/>
          <w:bCs/>
          <w:color w:val="auto"/>
          <w:highlight w:val="none"/>
        </w:rPr>
        <w:t>9、开标流程</w:t>
      </w:r>
      <w:r>
        <w:rPr>
          <w:rFonts w:hint="eastAsia" w:ascii="宋体" w:hAnsi="宋体" w:cs="宋体"/>
          <w:color w:val="auto"/>
          <w:highlight w:val="none"/>
        </w:rPr>
        <w:t xml:space="preserve"> </w:t>
      </w:r>
    </w:p>
    <w:p w14:paraId="08E297A4">
      <w:pPr>
        <w:spacing w:line="380" w:lineRule="exact"/>
        <w:ind w:firstLine="424" w:firstLineChars="202"/>
        <w:rPr>
          <w:rFonts w:ascii="宋体" w:hAnsi="宋体"/>
          <w:color w:val="auto"/>
          <w:highlight w:val="none"/>
        </w:rPr>
      </w:pPr>
      <w:r>
        <w:rPr>
          <w:rFonts w:hint="eastAsia" w:ascii="宋体" w:hAnsi="宋体" w:cs="宋体"/>
          <w:color w:val="auto"/>
          <w:highlight w:val="none"/>
        </w:rPr>
        <w:t>9.l</w:t>
      </w:r>
      <w:r>
        <w:rPr>
          <w:rFonts w:hint="eastAsia" w:ascii="宋体" w:hAnsi="宋体"/>
          <w:color w:val="auto"/>
          <w:highlight w:val="none"/>
        </w:rPr>
        <w:t>电子开标会由本代理机构主持</w:t>
      </w:r>
    </w:p>
    <w:p w14:paraId="765A7F12">
      <w:pPr>
        <w:spacing w:line="380" w:lineRule="exact"/>
        <w:ind w:firstLine="424" w:firstLineChars="202"/>
        <w:rPr>
          <w:rFonts w:ascii="宋体" w:hAnsi="宋体"/>
          <w:color w:val="auto"/>
          <w:highlight w:val="none"/>
        </w:rPr>
      </w:pPr>
      <w:r>
        <w:rPr>
          <w:rFonts w:hint="eastAsia" w:ascii="宋体" w:hAnsi="宋体"/>
          <w:color w:val="auto"/>
          <w:highlight w:val="none"/>
        </w:rPr>
        <w:t>9.2本代理机构工作人员向各投标供应商发出电子加密投标文件【开始解密】通知，由供应商按招标文件规定的时间内自行进行投标文件解密。投标供应商未在规定时间内完成解密的，系统默认自动放弃。</w:t>
      </w:r>
    </w:p>
    <w:p w14:paraId="457C2F77">
      <w:pPr>
        <w:spacing w:line="380" w:lineRule="exact"/>
        <w:ind w:firstLine="424" w:firstLineChars="202"/>
        <w:rPr>
          <w:rFonts w:ascii="宋体" w:hAnsi="宋体"/>
          <w:color w:val="auto"/>
          <w:highlight w:val="none"/>
        </w:rPr>
      </w:pPr>
      <w:r>
        <w:rPr>
          <w:rFonts w:hint="eastAsia" w:ascii="宋体" w:hAnsi="宋体"/>
          <w:color w:val="auto"/>
          <w:highlight w:val="none"/>
        </w:rPr>
        <w:t>9.3投标文件解密结束，开启报价文件。投标供应商在线制作投标文件时填写的报价金额与解密后“电子加密投标文件”中《开标一览表》填写的金额不一致的，以解密后“电子加密投标文件”中《开标一览表》填写的金额为准，投标供应商拒绝接受此调整的，按无效投标处理。</w:t>
      </w:r>
    </w:p>
    <w:p w14:paraId="1A86CF31">
      <w:pPr>
        <w:spacing w:line="380" w:lineRule="exact"/>
        <w:ind w:firstLine="424" w:firstLineChars="202"/>
        <w:rPr>
          <w:rFonts w:ascii="宋体" w:hAnsi="宋体"/>
          <w:color w:val="auto"/>
          <w:highlight w:val="none"/>
        </w:rPr>
      </w:pPr>
      <w:r>
        <w:rPr>
          <w:rFonts w:hint="eastAsia" w:ascii="宋体" w:hAnsi="宋体"/>
          <w:color w:val="auto"/>
          <w:highlight w:val="none"/>
        </w:rPr>
        <w:t>9.4进入资格文件审查环节，招标采购单位依法对投标供应商的资格进行审查。</w:t>
      </w:r>
    </w:p>
    <w:p w14:paraId="78A442C8">
      <w:pPr>
        <w:spacing w:line="380" w:lineRule="exact"/>
        <w:ind w:firstLine="424" w:firstLineChars="202"/>
        <w:rPr>
          <w:rFonts w:ascii="宋体" w:hAnsi="宋体"/>
          <w:color w:val="auto"/>
          <w:highlight w:val="none"/>
        </w:rPr>
      </w:pPr>
      <w:r>
        <w:rPr>
          <w:rFonts w:hint="eastAsia" w:ascii="宋体" w:hAnsi="宋体"/>
          <w:color w:val="auto"/>
          <w:highlight w:val="none"/>
        </w:rPr>
        <w:t>9.5开启资格审查通过的投标供应商的商务技术文件及商务技术进入评审。</w:t>
      </w:r>
    </w:p>
    <w:p w14:paraId="019800E7">
      <w:pPr>
        <w:spacing w:line="380" w:lineRule="exact"/>
        <w:ind w:firstLine="424" w:firstLineChars="202"/>
        <w:rPr>
          <w:rFonts w:ascii="宋体" w:hAnsi="宋体"/>
          <w:color w:val="auto"/>
          <w:highlight w:val="none"/>
        </w:rPr>
      </w:pPr>
      <w:r>
        <w:rPr>
          <w:rFonts w:hint="eastAsia" w:ascii="宋体" w:hAnsi="宋体"/>
          <w:color w:val="auto"/>
          <w:highlight w:val="none"/>
        </w:rPr>
        <w:t>注：①当整个招标项目的投标人不足3家的不开标，本代理机构将按政府采购管理的有关规定处理。</w:t>
      </w:r>
    </w:p>
    <w:p w14:paraId="608CEA55">
      <w:pPr>
        <w:spacing w:line="380" w:lineRule="exact"/>
        <w:ind w:firstLine="424" w:firstLineChars="202"/>
        <w:rPr>
          <w:rFonts w:ascii="宋体" w:hAnsi="宋体"/>
          <w:color w:val="auto"/>
          <w:highlight w:val="none"/>
        </w:rPr>
      </w:pPr>
      <w:r>
        <w:rPr>
          <w:rFonts w:hint="eastAsia" w:ascii="宋体" w:hAnsi="宋体"/>
          <w:color w:val="auto"/>
          <w:highlight w:val="none"/>
        </w:rPr>
        <w:t>②开标后,某分标投标人不足3家的，本代理机构将按政府采购管理的有关规定处理。</w:t>
      </w:r>
    </w:p>
    <w:p w14:paraId="7C35D69D">
      <w:pPr>
        <w:tabs>
          <w:tab w:val="left" w:pos="1305"/>
        </w:tabs>
        <w:spacing w:line="400" w:lineRule="exact"/>
        <w:ind w:firstLine="413" w:firstLineChars="196"/>
        <w:rPr>
          <w:rFonts w:ascii="宋体" w:hAnsi="宋体" w:cs="宋体"/>
          <w:color w:val="auto"/>
          <w:highlight w:val="none"/>
        </w:rPr>
      </w:pPr>
      <w:r>
        <w:rPr>
          <w:rFonts w:hint="eastAsia"/>
          <w:b/>
          <w:color w:val="auto"/>
          <w:kern w:val="1"/>
          <w:highlight w:val="none"/>
        </w:rPr>
        <w:t>特别说明：如遇“</w:t>
      </w:r>
      <w:r>
        <w:rPr>
          <w:rFonts w:hint="eastAsia"/>
          <w:b/>
          <w:color w:val="auto"/>
          <w:kern w:val="1"/>
          <w:highlight w:val="none"/>
          <w:lang w:eastAsia="zh-CN"/>
        </w:rPr>
        <w:t>广西政府采购云平台</w:t>
      </w:r>
      <w:r>
        <w:rPr>
          <w:rFonts w:hint="eastAsia"/>
          <w:b/>
          <w:color w:val="auto"/>
          <w:kern w:val="1"/>
          <w:highlight w:val="none"/>
        </w:rPr>
        <w:t>”电子化开标或评审程序调整的，按调整后程序执行。</w:t>
      </w:r>
    </w:p>
    <w:p w14:paraId="42D7CC48">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六、磋商及最后报价</w:t>
      </w:r>
    </w:p>
    <w:p w14:paraId="73FABF2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 磋商及最后报价</w:t>
      </w:r>
    </w:p>
    <w:p w14:paraId="4BA132F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10.1磋商小组将对响应文件进行评审，并根据磋商文件规定的程序、评定成交的标准等事项与实质性响应磋商文件要求的供应商进行磋商。未实质性响应磋商文件的响应文件按无效处理，磋商小组应当告知有关供应商。</w:t>
      </w:r>
    </w:p>
    <w:p w14:paraId="1FCBC5A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10.2磋商小组所有成员将集中与单一供应商分别进行磋商，并给予所有参加磋商的供应商平等的磋商机会。</w:t>
      </w:r>
    </w:p>
    <w:p w14:paraId="1CFCE54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10.3在磋商过程中，磋商小组可以根据磋商文件和磋商情况实质性变动采购需求中的技术、服务要求以及合同草案条款，但不得变动磋商文件中的其他内容。实质性变动的内容，须经采购人代表确认。</w:t>
      </w:r>
    </w:p>
    <w:p w14:paraId="47A1476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10.4对磋商文件作出的实质性变动是磋商文件的有效组成部分，磋商小组应当及时以书面形式同时通知所有参加磋商的供应商。</w:t>
      </w:r>
    </w:p>
    <w:p w14:paraId="36D672F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10.5磋商供应商应当按照磋商文件的变动情况和磋商小组的要求重新提交响应文件，并由其法定代表人或授权代表签字或者加盖公章。由授权代表签字的，应当附法定代表人授权书。供应商为自然人的，应当由本人签字。</w:t>
      </w:r>
    </w:p>
    <w:p w14:paraId="2CCB3E9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10.6磋商文件能够详细列明采购标的的技术、服务要求的，磋商结束后，磋商小组应当要求所有继续参加磋商的供应商在规定时间内提交最后报价，提交最后报价的供应商不得少于3家（政府采购法律法规规定可以为2家的情况除外）。</w:t>
      </w:r>
    </w:p>
    <w:p w14:paraId="1C39D76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10.7磋商文件不能详细列明采购标的的技术、服务要求，需经磋商由供应商提供最终设计方案或解决方案的，磋商结束后，磋商小组应当按照少数服从多数的原则投票推荐3家以上供应商的设计方案或者解决方案（政府采购法律法规规定可以为2家的情况除外），并要求其在规定时间内提交最后报价。</w:t>
      </w:r>
    </w:p>
    <w:p w14:paraId="3E379785">
      <w:pPr>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10.8磋商供应商重新提交的响应文件、最后报价等均为竞争性磋商响应文件的有效组成部分，与竞争性磋商响应文件同具法律效力。磋商供应商应在规定时间内将上述文件密封递交至磋商小组，逾时不交的，视同放弃磋商，磋商响应无效。</w:t>
      </w:r>
    </w:p>
    <w:p w14:paraId="599B7FD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10.9在采购过程中符合竞争要求的磋商供应商或者报价未超过采购预算的磋商供应商不足3家的（政府采购法律法规规定可以为2家的情况除外），采购人或者采购代理机构将终止竞争性磋商采购活动，发布项目终止公告并说明原因，重新开展采购活动。</w:t>
      </w:r>
    </w:p>
    <w:p w14:paraId="76F0466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10.10本项目政府采购预算详见《竞争性磋商公告》及《磋商供应商须知前附表》。</w:t>
      </w:r>
    </w:p>
    <w:p w14:paraId="501A7D0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11.竞标无效</w:t>
      </w:r>
    </w:p>
    <w:p w14:paraId="377DE82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11.1竞争性磋商响应文件如有下列情况之一，将视为未实质性响应磋商文件，按竞标无效处理：</w:t>
      </w:r>
    </w:p>
    <w:p w14:paraId="7674D6E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（1）应交未交或不足额交竞标保证金的；</w:t>
      </w:r>
    </w:p>
    <w:p w14:paraId="3AD56C9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（2）未按采购文件规定要求密封、签署、盖章的；</w:t>
      </w:r>
    </w:p>
    <w:p w14:paraId="0DCA21D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（3）不具备采购文件中规定资格要求的；</w:t>
      </w:r>
    </w:p>
    <w:p w14:paraId="4A8D154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（4）采购项目完成期限、质保期、付款方式等不符合采购文件要求的；</w:t>
      </w:r>
    </w:p>
    <w:p w14:paraId="50A63A2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（5）竞标产品明显不符合采购文件规定的技术规格、技术标准、检验标准等要求的；</w:t>
      </w:r>
    </w:p>
    <w:p w14:paraId="1E3C395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（6）竞争性磋商响应文件附有采购人不能接受的条件的；</w:t>
      </w:r>
    </w:p>
    <w:p w14:paraId="688F90B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（7）不符合法律、法规和采购文件中规定的其他实质性要求的。</w:t>
      </w:r>
    </w:p>
    <w:p w14:paraId="3587291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（8）未按第六章“竞争性磋商响应文件格式”中的“附件”的格式要求填写的；</w:t>
      </w:r>
    </w:p>
    <w:p w14:paraId="359ECB9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（9）竞标报价超过采购预算的；</w:t>
      </w:r>
    </w:p>
    <w:p w14:paraId="1615B4D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（10）未按规定报名的。</w:t>
      </w:r>
    </w:p>
    <w:p w14:paraId="6B2E568C">
      <w:pPr>
        <w:tabs>
          <w:tab w:val="left" w:pos="540"/>
        </w:tabs>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特别说明：政采云公司如对电子化磋商及评审程序有调整的，按调整后的程序操作。</w:t>
      </w:r>
    </w:p>
    <w:p w14:paraId="64491E75">
      <w:pPr>
        <w:adjustRightInd w:val="0"/>
        <w:snapToGrid w:val="0"/>
        <w:spacing w:line="360" w:lineRule="exact"/>
        <w:ind w:firstLine="420"/>
        <w:rPr>
          <w:rFonts w:ascii="宋体" w:hAnsi="宋体" w:cs="宋体"/>
          <w:b/>
          <w:bCs/>
          <w:color w:val="auto"/>
          <w:highlight w:val="none"/>
        </w:rPr>
      </w:pPr>
      <w:r>
        <w:rPr>
          <w:rFonts w:hint="eastAsia" w:ascii="宋体" w:hAnsi="宋体" w:cs="宋体"/>
          <w:b/>
          <w:bCs/>
          <w:color w:val="auto"/>
          <w:highlight w:val="none"/>
        </w:rPr>
        <w:t>12.采购过程中出现以下情形，导致电子交易平台无法正常运行，或者无法保证电子交易的公平、公正和安全时，采购组织机构可中止电子交易活动：</w:t>
      </w:r>
    </w:p>
    <w:p w14:paraId="79E550FA">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 xml:space="preserve">12.1电子交易平台发生故障而无法登录访问的； </w:t>
      </w:r>
    </w:p>
    <w:p w14:paraId="501698AC">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12.2电子交易平台应用或数据库出现错误，不能进行正常操作的；</w:t>
      </w:r>
    </w:p>
    <w:p w14:paraId="78451E07">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12.3电子交易平台发现严重安全漏洞，有潜在泄密危险的；</w:t>
      </w:r>
    </w:p>
    <w:p w14:paraId="5948DB08">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 xml:space="preserve">12.4病毒发作导致不能进行正常操作的； </w:t>
      </w:r>
    </w:p>
    <w:p w14:paraId="7D2CEF44">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12.5其他无法保证电子交易的公平、公正和安全的情况。</w:t>
      </w:r>
    </w:p>
    <w:p w14:paraId="123C3D5C">
      <w:pPr>
        <w:adjustRightInd w:val="0"/>
        <w:snapToGrid w:val="0"/>
        <w:spacing w:line="360" w:lineRule="exact"/>
        <w:ind w:firstLine="420"/>
        <w:rPr>
          <w:rFonts w:hint="eastAsia"/>
          <w:color w:val="auto"/>
          <w:highlight w:val="none"/>
        </w:rPr>
      </w:pPr>
      <w:r>
        <w:rPr>
          <w:rFonts w:hint="eastAsia" w:ascii="宋体" w:hAnsi="宋体" w:cs="宋体"/>
          <w:b/>
          <w:bCs/>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52049F1">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六、确定成交供应商</w:t>
      </w:r>
    </w:p>
    <w:p w14:paraId="0DB0F952">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b/>
          <w:color w:val="auto"/>
          <w:highlight w:val="none"/>
        </w:rPr>
        <w:t xml:space="preserve"> </w:t>
      </w:r>
      <w:r>
        <w:rPr>
          <w:rFonts w:hint="eastAsia" w:ascii="宋体" w:hAnsi="宋体" w:cs="宋体"/>
          <w:color w:val="auto"/>
          <w:highlight w:val="none"/>
        </w:rPr>
        <w:t>确定成交供应商办法</w:t>
      </w:r>
    </w:p>
    <w:p w14:paraId="637FC3C8">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12.1本项目的评标原则、评定办法、成交候选供应商推荐及成交供应商确定原则详见“第六章 评标办法”。</w:t>
      </w:r>
    </w:p>
    <w:p w14:paraId="0C5F9239">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12.2磋商小组将在质量和服务均能满足采购文件实质性响应要求的前提下，</w:t>
      </w:r>
      <w:r>
        <w:rPr>
          <w:rFonts w:hint="eastAsia" w:ascii="宋体" w:hAnsi="宋体"/>
          <w:color w:val="auto"/>
          <w:kern w:val="2"/>
          <w:highlight w:val="none"/>
        </w:rPr>
        <w:t>根据综合得分由高到低排列次序，</w:t>
      </w:r>
      <w:r>
        <w:rPr>
          <w:rFonts w:hint="eastAsia" w:ascii="宋体" w:hAnsi="宋体" w:cs="宋体"/>
          <w:color w:val="auto"/>
          <w:highlight w:val="none"/>
        </w:rPr>
        <w:t>推荐前三名为成交候选供应商（政府采购法律法规规定可以为2家的情况除外），并编写评审报告。</w:t>
      </w:r>
    </w:p>
    <w:p w14:paraId="6675D1E5">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12.3采购人将在收到评审报告后5个工作日内，按照成交供应商确定原则从评审报告提出的成交候选供应商中确定成交供应商。</w:t>
      </w:r>
    </w:p>
    <w:p w14:paraId="32E03CEA">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12.4采购人确定成交供应商后，采购代理机构将在中国政府采购网、广西壮族自治区政府采购网、梧州市政府采购网</w:t>
      </w:r>
      <w:r>
        <w:rPr>
          <w:rFonts w:hint="eastAsia" w:ascii="宋体" w:hAnsi="宋体" w:cs="宋体"/>
          <w:color w:val="auto"/>
          <w:highlight w:val="none"/>
          <w:lang w:eastAsia="zh-CN"/>
        </w:rPr>
        <w:t>、中国政府采购网</w:t>
      </w:r>
      <w:r>
        <w:rPr>
          <w:rFonts w:hint="eastAsia" w:ascii="宋体" w:hAnsi="宋体" w:cs="宋体"/>
          <w:color w:val="auto"/>
          <w:highlight w:val="none"/>
        </w:rPr>
        <w:t>上公告成交结果，同时向成交供应商发出成交通知书。</w:t>
      </w:r>
    </w:p>
    <w:p w14:paraId="0D77B482">
      <w:pPr>
        <w:autoSpaceDE w:val="0"/>
        <w:autoSpaceDN w:val="0"/>
        <w:spacing w:line="400" w:lineRule="exact"/>
        <w:ind w:firstLine="422" w:firstLineChars="200"/>
        <w:jc w:val="left"/>
        <w:rPr>
          <w:rFonts w:ascii="宋体" w:hAnsi="宋体" w:cs="宋体"/>
          <w:b/>
          <w:strike/>
          <w:color w:val="auto"/>
          <w:highlight w:val="none"/>
        </w:rPr>
      </w:pPr>
      <w:r>
        <w:rPr>
          <w:rFonts w:hint="eastAsia" w:ascii="宋体" w:hAnsi="宋体" w:cs="宋体"/>
          <w:b/>
          <w:color w:val="auto"/>
          <w:highlight w:val="none"/>
        </w:rPr>
        <w:t>七、签订合同</w:t>
      </w:r>
    </w:p>
    <w:p w14:paraId="4F9ABB4C">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13.成交供应商在收到成交通知书后，按规定与采购人签订政府采购合同。</w:t>
      </w:r>
    </w:p>
    <w:p w14:paraId="7E54DF76">
      <w:pPr>
        <w:autoSpaceDE w:val="0"/>
        <w:autoSpaceDN w:val="0"/>
        <w:spacing w:line="400" w:lineRule="exact"/>
        <w:ind w:firstLine="413" w:firstLineChars="196"/>
        <w:jc w:val="left"/>
        <w:rPr>
          <w:rFonts w:ascii="宋体" w:hAnsi="宋体" w:cs="宋体"/>
          <w:b/>
          <w:color w:val="auto"/>
          <w:sz w:val="22"/>
          <w:szCs w:val="22"/>
          <w:highlight w:val="none"/>
        </w:rPr>
      </w:pPr>
      <w:r>
        <w:rPr>
          <w:rFonts w:hint="eastAsia" w:ascii="宋体" w:hAnsi="宋体" w:cs="宋体"/>
          <w:b/>
          <w:color w:val="auto"/>
          <w:highlight w:val="none"/>
        </w:rPr>
        <w:t>八、</w:t>
      </w:r>
      <w:r>
        <w:rPr>
          <w:rFonts w:hint="eastAsia" w:ascii="宋体" w:hAnsi="宋体" w:cs="宋体"/>
          <w:b/>
          <w:color w:val="auto"/>
          <w:sz w:val="22"/>
          <w:szCs w:val="22"/>
          <w:highlight w:val="none"/>
        </w:rPr>
        <w:t>质疑和投诉</w:t>
      </w:r>
      <w:r>
        <w:rPr>
          <w:rFonts w:hint="eastAsia" w:ascii="宋体" w:hAnsi="宋体" w:cs="宋体"/>
          <w:b/>
          <w:color w:val="auto"/>
          <w:sz w:val="22"/>
          <w:szCs w:val="22"/>
          <w:highlight w:val="none"/>
        </w:rPr>
        <w:tab/>
      </w:r>
    </w:p>
    <w:p w14:paraId="0A58750C">
      <w:pPr>
        <w:autoSpaceDE w:val="0"/>
        <w:autoSpaceDN w:val="0"/>
        <w:spacing w:line="400" w:lineRule="exact"/>
        <w:ind w:firstLine="411" w:firstLineChars="196"/>
        <w:jc w:val="left"/>
        <w:rPr>
          <w:rFonts w:ascii="宋体" w:hAnsi="宋体" w:cs="宋体"/>
          <w:b/>
          <w:color w:val="auto"/>
          <w:sz w:val="22"/>
          <w:szCs w:val="22"/>
          <w:highlight w:val="none"/>
        </w:rPr>
      </w:pPr>
      <w:r>
        <w:rPr>
          <w:rFonts w:hint="eastAsia" w:ascii="宋体" w:hAnsi="宋体" w:cs="宋体"/>
          <w:color w:val="auto"/>
          <w:highlight w:val="none"/>
        </w:rPr>
        <w:t>14.1、竞标人认为竞争性磋商文件、竞标过程或成交结果使自己的合法权益受到损害的，应当在知道或者应知其权益受到损害之日起七个工作日内，以书面形式向采购代理机构提出质疑。采购代理机构应认真做好质疑处理工作。</w:t>
      </w:r>
    </w:p>
    <w:p w14:paraId="1953A502">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14.2、竞标人对采购代理机构的答复不满意或者采购代理机构未在规定的时间内作出答复的，可以在答复期满后十五个工作日内向梧州市政府采购监督管理机构投诉。</w:t>
      </w:r>
    </w:p>
    <w:p w14:paraId="3ACB74B0">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14.3、竞标人提出质疑、投诉，应当遵守中华人民共和国财政部令第94号《政府采购质疑和投诉办法》的相关规定，且采用书面形式。质疑书、投诉书实行实名制，均应明确阐述招标文件、招标过程或成交结果中使自己合法权益受到损害的实质性内容，并提供相关事实、依据和证据及其来源。</w:t>
      </w:r>
    </w:p>
    <w:p w14:paraId="144E80EB">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14.4、供应商应在法定质疑期内一次性提出针对同一采购程序环节的质疑。</w:t>
      </w:r>
    </w:p>
    <w:p w14:paraId="0559E2FA">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14.5、递交质疑函的联系方式：</w:t>
      </w:r>
    </w:p>
    <w:p w14:paraId="302202EA">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广西建隆工程咨询有限公司　（采购代理机构）</w:t>
      </w:r>
    </w:p>
    <w:p w14:paraId="6400A6E8">
      <w:pPr>
        <w:widowControl/>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梧州市水木兰山小区7号楼地层3号铺</w:t>
      </w:r>
    </w:p>
    <w:p w14:paraId="5F6FD4B0">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联系电话：</w:t>
      </w:r>
      <w:r>
        <w:rPr>
          <w:rFonts w:hint="eastAsia" w:ascii="宋体" w:hAnsi="宋体" w:cs="宋体"/>
          <w:color w:val="auto"/>
          <w:highlight w:val="none"/>
          <w:lang w:eastAsia="zh-CN"/>
        </w:rPr>
        <w:t>0774-3856100</w:t>
      </w:r>
      <w:r>
        <w:rPr>
          <w:rFonts w:hint="eastAsia" w:ascii="宋体" w:hAnsi="宋体" w:cs="宋体"/>
          <w:color w:val="auto"/>
          <w:highlight w:val="none"/>
        </w:rPr>
        <w:t xml:space="preserve"> </w:t>
      </w:r>
    </w:p>
    <w:p w14:paraId="1A0FE193">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九、适用法律</w:t>
      </w:r>
    </w:p>
    <w:p w14:paraId="0559665E">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15.采购当事人的一切活动均适用于《中华人民共和国政府采购法》及相关规定。</w:t>
      </w:r>
    </w:p>
    <w:p w14:paraId="3E33DE91">
      <w:pPr>
        <w:autoSpaceDE w:val="0"/>
        <w:autoSpaceDN w:val="0"/>
        <w:spacing w:before="37"/>
        <w:ind w:left="2128"/>
        <w:jc w:val="left"/>
        <w:outlineLvl w:val="1"/>
        <w:rPr>
          <w:rFonts w:ascii="宋体" w:hAnsi="宋体"/>
          <w:b/>
          <w:bCs/>
          <w:color w:val="auto"/>
          <w:highlight w:val="none"/>
        </w:rPr>
      </w:pPr>
      <w:r>
        <w:rPr>
          <w:rFonts w:hint="eastAsia" w:ascii="宋体" w:hAnsi="宋体"/>
          <w:b/>
          <w:bCs/>
          <w:color w:val="auto"/>
          <w:highlight w:val="none"/>
        </w:rPr>
        <w:t xml:space="preserve"> </w:t>
      </w:r>
    </w:p>
    <w:p w14:paraId="357E0C4D">
      <w:pPr>
        <w:pStyle w:val="3"/>
        <w:jc w:val="center"/>
        <w:rPr>
          <w:rFonts w:hint="eastAsia" w:eastAsia="黑体"/>
          <w:bCs w:val="0"/>
          <w:color w:val="auto"/>
          <w:highlight w:val="none"/>
          <w:lang w:eastAsia="zh-CN"/>
        </w:rPr>
      </w:pPr>
      <w:r>
        <w:rPr>
          <w:rFonts w:cs="Arial"/>
          <w:bCs w:val="0"/>
          <w:color w:val="auto"/>
          <w:sz w:val="21"/>
          <w:szCs w:val="21"/>
          <w:highlight w:val="none"/>
        </w:rPr>
        <w:br w:type="page"/>
      </w:r>
      <w:r>
        <w:rPr>
          <w:rFonts w:hint="eastAsia" w:ascii="黑体" w:hAnsi="宋体" w:cs="黑体"/>
          <w:bCs w:val="0"/>
          <w:color w:val="auto"/>
          <w:highlight w:val="none"/>
        </w:rPr>
        <w:t>第三章</w:t>
      </w:r>
      <w:r>
        <w:rPr>
          <w:bCs w:val="0"/>
          <w:color w:val="auto"/>
          <w:highlight w:val="none"/>
        </w:rPr>
        <w:t xml:space="preserve">  </w:t>
      </w:r>
      <w:r>
        <w:rPr>
          <w:rFonts w:hint="eastAsia" w:ascii="黑体" w:hAnsi="宋体" w:cs="黑体"/>
          <w:bCs w:val="0"/>
          <w:color w:val="auto"/>
          <w:highlight w:val="none"/>
          <w:lang w:val="en-US" w:eastAsia="zh-CN"/>
        </w:rPr>
        <w:t>采购</w:t>
      </w:r>
      <w:r>
        <w:rPr>
          <w:rFonts w:hint="eastAsia" w:ascii="黑体" w:hAnsi="宋体" w:cs="黑体"/>
          <w:bCs w:val="0"/>
          <w:color w:val="auto"/>
          <w:highlight w:val="none"/>
          <w:lang w:eastAsia="zh-CN"/>
        </w:rPr>
        <w:t>需求一览表项目</w:t>
      </w:r>
    </w:p>
    <w:p w14:paraId="09BF3681">
      <w:pPr>
        <w:pStyle w:val="4"/>
        <w:pageBreakBefore w:val="0"/>
        <w:widowControl w:val="0"/>
        <w:kinsoku/>
        <w:wordWrap/>
        <w:overflowPunct/>
        <w:topLinePunct w:val="0"/>
        <w:autoSpaceDE/>
        <w:autoSpaceDN/>
        <w:bidi w:val="0"/>
        <w:adjustRightInd/>
        <w:snapToGrid/>
        <w:spacing w:line="360" w:lineRule="auto"/>
        <w:ind w:firstLine="562"/>
        <w:textAlignment w:val="auto"/>
        <w:rPr>
          <w:rFonts w:hint="eastAsia"/>
          <w:highlight w:val="none"/>
          <w:lang w:val="en-US" w:eastAsia="zh-CN"/>
        </w:rPr>
      </w:pPr>
      <w:r>
        <w:rPr>
          <w:rFonts w:hint="eastAsia"/>
          <w:highlight w:val="none"/>
          <w:lang w:val="en-US" w:eastAsia="zh-CN"/>
        </w:rPr>
        <w:t>说明：</w:t>
      </w:r>
    </w:p>
    <w:p w14:paraId="3092F121">
      <w:pPr>
        <w:pStyle w:val="4"/>
        <w:pageBreakBefore w:val="0"/>
        <w:widowControl w:val="0"/>
        <w:kinsoku/>
        <w:wordWrap/>
        <w:overflowPunct/>
        <w:topLinePunct w:val="0"/>
        <w:autoSpaceDE/>
        <w:autoSpaceDN/>
        <w:bidi w:val="0"/>
        <w:adjustRightInd/>
        <w:snapToGrid/>
        <w:spacing w:line="360" w:lineRule="auto"/>
        <w:ind w:firstLine="562"/>
        <w:textAlignment w:val="auto"/>
        <w:rPr>
          <w:rFonts w:hint="eastAsia"/>
          <w:highlight w:val="none"/>
          <w:lang w:val="en-US" w:eastAsia="zh-CN"/>
        </w:rPr>
      </w:pPr>
      <w:r>
        <w:rPr>
          <w:rFonts w:hint="eastAsia"/>
          <w:highlight w:val="none"/>
          <w:lang w:val="en-US" w:eastAsia="zh-CN"/>
        </w:rPr>
        <w:t>1.本一览表中标“ ★ ”的系本项目中与系统性能相关紧密的技术指标、功能项目条款，其将作为系统性能的重要评分因素，不作为投标无效的要求。</w:t>
      </w:r>
    </w:p>
    <w:p w14:paraId="78B697A2">
      <w:pPr>
        <w:pStyle w:val="4"/>
        <w:pageBreakBefore w:val="0"/>
        <w:widowControl w:val="0"/>
        <w:kinsoku/>
        <w:wordWrap/>
        <w:overflowPunct/>
        <w:topLinePunct w:val="0"/>
        <w:autoSpaceDE/>
        <w:autoSpaceDN/>
        <w:bidi w:val="0"/>
        <w:adjustRightInd/>
        <w:snapToGrid/>
        <w:spacing w:line="360" w:lineRule="auto"/>
        <w:ind w:firstLine="562"/>
        <w:textAlignment w:val="auto"/>
        <w:rPr>
          <w:rFonts w:hint="eastAsia"/>
          <w:highlight w:val="none"/>
          <w:lang w:val="en-US" w:eastAsia="zh-CN"/>
        </w:rPr>
      </w:pPr>
      <w:r>
        <w:rPr>
          <w:rFonts w:hint="eastAsia"/>
          <w:highlight w:val="none"/>
          <w:lang w:val="en-US" w:eastAsia="zh-CN"/>
        </w:rPr>
        <w:t>2.采购需求中出现的品牌、型号或者生产厂家仅起参考作用，不属于指定品牌、型号或者生产厂家的情形。投标人可参照或者选用其他相当的品牌、型号或者生产厂家替代，但选用的投标产品参数性能必须满足要求。</w:t>
      </w:r>
    </w:p>
    <w:p w14:paraId="0C5290B0">
      <w:pPr>
        <w:pStyle w:val="4"/>
        <w:pageBreakBefore w:val="0"/>
        <w:widowControl w:val="0"/>
        <w:kinsoku/>
        <w:wordWrap/>
        <w:overflowPunct/>
        <w:topLinePunct w:val="0"/>
        <w:autoSpaceDE/>
        <w:autoSpaceDN/>
        <w:bidi w:val="0"/>
        <w:adjustRightInd/>
        <w:snapToGrid/>
        <w:spacing w:line="360" w:lineRule="auto"/>
        <w:ind w:firstLine="562"/>
        <w:textAlignment w:val="auto"/>
        <w:rPr>
          <w:rFonts w:hint="eastAsia"/>
          <w:highlight w:val="none"/>
          <w:lang w:val="en-US" w:eastAsia="zh-CN"/>
        </w:rPr>
      </w:pPr>
      <w:r>
        <w:rPr>
          <w:rFonts w:hint="eastAsia"/>
          <w:highlight w:val="none"/>
          <w:lang w:val="en-US" w:eastAsia="zh-CN"/>
        </w:rPr>
        <w:t>3.投标人必须自行为其投标产品侵犯他人的知识产权或者专利成果的行为承担相应法律责任。</w:t>
      </w:r>
    </w:p>
    <w:p w14:paraId="1B4CDF0D">
      <w:pPr>
        <w:pStyle w:val="4"/>
        <w:pageBreakBefore w:val="0"/>
        <w:widowControl w:val="0"/>
        <w:kinsoku/>
        <w:wordWrap/>
        <w:overflowPunct/>
        <w:topLinePunct w:val="0"/>
        <w:autoSpaceDE/>
        <w:autoSpaceDN/>
        <w:bidi w:val="0"/>
        <w:adjustRightInd/>
        <w:snapToGrid/>
        <w:spacing w:line="360" w:lineRule="auto"/>
        <w:ind w:firstLine="562"/>
        <w:textAlignment w:val="auto"/>
        <w:rPr>
          <w:rFonts w:hint="eastAsia"/>
          <w:highlight w:val="none"/>
          <w:lang w:val="en-US" w:eastAsia="zh-CN"/>
        </w:rPr>
      </w:pPr>
      <w:r>
        <w:rPr>
          <w:rFonts w:hint="eastAsia"/>
          <w:highlight w:val="none"/>
          <w:lang w:val="en-US" w:eastAsia="zh-CN"/>
        </w:rPr>
        <w:t>4.未尽事宜甲乙双方将在合同中予以补充和完善。</w:t>
      </w:r>
    </w:p>
    <w:p w14:paraId="676C6171">
      <w:pPr>
        <w:bidi w:val="0"/>
        <w:jc w:val="left"/>
        <w:rPr>
          <w:rFonts w:hint="default" w:eastAsia="宋体"/>
          <w:b/>
          <w:bCs/>
          <w:sz w:val="32"/>
          <w:szCs w:val="32"/>
          <w:highlight w:val="none"/>
          <w:lang w:val="en-US" w:eastAsia="zh-CN"/>
        </w:rPr>
      </w:pPr>
      <w:r>
        <w:rPr>
          <w:rFonts w:hint="eastAsia"/>
          <w:b/>
          <w:bCs/>
          <w:sz w:val="32"/>
          <w:szCs w:val="32"/>
          <w:highlight w:val="none"/>
          <w:lang w:val="en-US" w:eastAsia="zh-CN"/>
        </w:rPr>
        <w:t>一、服务</w:t>
      </w:r>
      <w:r>
        <w:rPr>
          <w:rFonts w:hint="eastAsia"/>
          <w:b/>
          <w:bCs/>
          <w:sz w:val="32"/>
          <w:szCs w:val="32"/>
          <w:highlight w:val="none"/>
        </w:rPr>
        <w:t>范围</w:t>
      </w:r>
      <w:r>
        <w:rPr>
          <w:rFonts w:hint="eastAsia"/>
          <w:b/>
          <w:bCs/>
          <w:sz w:val="32"/>
          <w:szCs w:val="32"/>
          <w:highlight w:val="none"/>
          <w:lang w:val="en-US" w:eastAsia="zh-CN"/>
        </w:rPr>
        <w:t>及要求</w:t>
      </w:r>
    </w:p>
    <w:p w14:paraId="7DEF2EFD">
      <w:pPr>
        <w:pStyle w:val="4"/>
        <w:pageBreakBefore w:val="0"/>
        <w:widowControl w:val="0"/>
        <w:kinsoku/>
        <w:wordWrap/>
        <w:overflowPunct/>
        <w:topLinePunct w:val="0"/>
        <w:autoSpaceDE/>
        <w:autoSpaceDN/>
        <w:bidi w:val="0"/>
        <w:adjustRightInd/>
        <w:snapToGrid/>
        <w:spacing w:line="360" w:lineRule="auto"/>
        <w:ind w:firstLine="560"/>
        <w:textAlignment w:val="auto"/>
        <w:rPr>
          <w:highlight w:val="none"/>
        </w:rPr>
      </w:pPr>
      <w:r>
        <w:rPr>
          <w:rFonts w:hint="eastAsia"/>
          <w:highlight w:val="none"/>
          <w:lang w:val="en-US" w:eastAsia="zh-CN"/>
        </w:rPr>
        <w:t>1、</w:t>
      </w:r>
      <w:r>
        <w:rPr>
          <w:rFonts w:hint="eastAsia"/>
          <w:highlight w:val="none"/>
        </w:rPr>
        <w:t>在梧州布置4台无人机智慧机场，分别在梧州苍郁高速大坡检查站、苍梧南高速出口、保村互通、岑溪横垌检查站各布置一台。高速公路现场环境复杂，巡航作业半径为8公里，应急处置半径为3公里，可覆盖广昆高速、包茂高速、梧州绕城高速部分路段，包括大坡服务区、河步立交、梧州南互通、保村互通、岑溪横垌等交通枢纽点，并可支援覆盖梧州高铁南站等城区交通管理。</w:t>
      </w:r>
    </w:p>
    <w:tbl>
      <w:tblPr>
        <w:tblStyle w:val="19"/>
        <w:tblW w:w="7942" w:type="dxa"/>
        <w:jc w:val="center"/>
        <w:tblLayout w:type="fixed"/>
        <w:tblCellMar>
          <w:top w:w="0" w:type="dxa"/>
          <w:left w:w="108" w:type="dxa"/>
          <w:bottom w:w="0" w:type="dxa"/>
          <w:right w:w="108" w:type="dxa"/>
        </w:tblCellMar>
      </w:tblPr>
      <w:tblGrid>
        <w:gridCol w:w="4374"/>
        <w:gridCol w:w="1749"/>
        <w:gridCol w:w="1819"/>
      </w:tblGrid>
      <w:tr w14:paraId="4038D177">
        <w:tblPrEx>
          <w:tblCellMar>
            <w:top w:w="0" w:type="dxa"/>
            <w:left w:w="108" w:type="dxa"/>
            <w:bottom w:w="0" w:type="dxa"/>
            <w:right w:w="108" w:type="dxa"/>
          </w:tblCellMar>
        </w:tblPrEx>
        <w:trPr>
          <w:trHeight w:val="426" w:hRule="atLeast"/>
          <w:jc w:val="center"/>
        </w:trPr>
        <w:tc>
          <w:tcPr>
            <w:tcW w:w="4374" w:type="dxa"/>
            <w:tcBorders>
              <w:top w:val="single" w:color="auto" w:sz="4" w:space="0"/>
              <w:left w:val="single" w:color="auto" w:sz="4" w:space="0"/>
              <w:bottom w:val="single" w:color="auto" w:sz="4" w:space="0"/>
              <w:right w:val="single" w:color="auto" w:sz="4" w:space="0"/>
            </w:tcBorders>
            <w:noWrap/>
            <w:vAlign w:val="center"/>
          </w:tcPr>
          <w:p w14:paraId="61B40911">
            <w:pPr>
              <w:widowControl/>
              <w:spacing w:line="0" w:lineRule="atLeast"/>
              <w:jc w:val="center"/>
              <w:rPr>
                <w:rFonts w:ascii="宋体" w:hAnsi="宋体" w:eastAsia="宋体"/>
                <w:szCs w:val="24"/>
                <w:highlight w:val="none"/>
              </w:rPr>
            </w:pPr>
            <w:r>
              <w:rPr>
                <w:rFonts w:hint="eastAsia" w:ascii="宋体" w:hAnsi="宋体"/>
                <w:szCs w:val="24"/>
                <w:highlight w:val="none"/>
              </w:rPr>
              <w:t>无人机服务点位</w:t>
            </w:r>
          </w:p>
        </w:tc>
        <w:tc>
          <w:tcPr>
            <w:tcW w:w="1749" w:type="dxa"/>
            <w:tcBorders>
              <w:top w:val="single" w:color="auto" w:sz="4" w:space="0"/>
              <w:left w:val="nil"/>
              <w:bottom w:val="single" w:color="auto" w:sz="4" w:space="0"/>
              <w:right w:val="single" w:color="auto" w:sz="4" w:space="0"/>
            </w:tcBorders>
            <w:noWrap/>
            <w:vAlign w:val="center"/>
          </w:tcPr>
          <w:p w14:paraId="0B198F5D">
            <w:pPr>
              <w:widowControl/>
              <w:spacing w:line="0" w:lineRule="atLeast"/>
              <w:jc w:val="center"/>
              <w:rPr>
                <w:rFonts w:ascii="宋体" w:hAnsi="宋体"/>
                <w:szCs w:val="24"/>
                <w:highlight w:val="none"/>
              </w:rPr>
            </w:pPr>
            <w:r>
              <w:rPr>
                <w:rFonts w:hint="eastAsia" w:ascii="宋体" w:hAnsi="宋体"/>
                <w:szCs w:val="24"/>
                <w:highlight w:val="none"/>
              </w:rPr>
              <w:t>经度</w:t>
            </w:r>
          </w:p>
        </w:tc>
        <w:tc>
          <w:tcPr>
            <w:tcW w:w="1819" w:type="dxa"/>
            <w:tcBorders>
              <w:top w:val="single" w:color="auto" w:sz="4" w:space="0"/>
              <w:left w:val="nil"/>
              <w:bottom w:val="single" w:color="auto" w:sz="4" w:space="0"/>
              <w:right w:val="single" w:color="auto" w:sz="4" w:space="0"/>
            </w:tcBorders>
            <w:noWrap/>
            <w:vAlign w:val="center"/>
          </w:tcPr>
          <w:p w14:paraId="410E89CB">
            <w:pPr>
              <w:widowControl/>
              <w:spacing w:line="0" w:lineRule="atLeast"/>
              <w:jc w:val="center"/>
              <w:rPr>
                <w:rFonts w:ascii="宋体" w:hAnsi="宋体"/>
                <w:szCs w:val="24"/>
                <w:highlight w:val="none"/>
              </w:rPr>
            </w:pPr>
            <w:r>
              <w:rPr>
                <w:rFonts w:hint="eastAsia" w:ascii="宋体" w:hAnsi="宋体"/>
                <w:szCs w:val="24"/>
                <w:highlight w:val="none"/>
              </w:rPr>
              <w:t>纬度</w:t>
            </w:r>
          </w:p>
        </w:tc>
      </w:tr>
      <w:tr w14:paraId="1C9E34A9">
        <w:tblPrEx>
          <w:tblCellMar>
            <w:top w:w="0" w:type="dxa"/>
            <w:left w:w="108" w:type="dxa"/>
            <w:bottom w:w="0" w:type="dxa"/>
            <w:right w:w="108" w:type="dxa"/>
          </w:tblCellMar>
        </w:tblPrEx>
        <w:trPr>
          <w:trHeight w:val="370" w:hRule="atLeast"/>
          <w:jc w:val="center"/>
        </w:trPr>
        <w:tc>
          <w:tcPr>
            <w:tcW w:w="4374" w:type="dxa"/>
            <w:tcBorders>
              <w:top w:val="nil"/>
              <w:left w:val="single" w:color="auto" w:sz="4" w:space="0"/>
              <w:bottom w:val="single" w:color="auto" w:sz="4" w:space="0"/>
              <w:right w:val="single" w:color="auto" w:sz="4" w:space="0"/>
            </w:tcBorders>
            <w:noWrap/>
            <w:vAlign w:val="center"/>
          </w:tcPr>
          <w:p w14:paraId="544C0F3D">
            <w:pPr>
              <w:widowControl/>
              <w:spacing w:line="0" w:lineRule="atLeast"/>
              <w:jc w:val="center"/>
              <w:rPr>
                <w:rFonts w:ascii="宋体" w:hAnsi="宋体"/>
                <w:szCs w:val="24"/>
                <w:highlight w:val="none"/>
              </w:rPr>
            </w:pPr>
            <w:r>
              <w:rPr>
                <w:rFonts w:hint="eastAsia" w:ascii="宋体" w:hAnsi="宋体"/>
                <w:szCs w:val="24"/>
                <w:highlight w:val="none"/>
              </w:rPr>
              <w:t>梧州苍郁高速大坡检查站</w:t>
            </w:r>
          </w:p>
        </w:tc>
        <w:tc>
          <w:tcPr>
            <w:tcW w:w="1749" w:type="dxa"/>
            <w:tcBorders>
              <w:top w:val="nil"/>
              <w:left w:val="nil"/>
              <w:bottom w:val="single" w:color="auto" w:sz="4" w:space="0"/>
              <w:right w:val="single" w:color="auto" w:sz="4" w:space="0"/>
            </w:tcBorders>
            <w:noWrap/>
            <w:vAlign w:val="center"/>
          </w:tcPr>
          <w:p w14:paraId="1DAE9B4B">
            <w:pPr>
              <w:widowControl/>
              <w:spacing w:line="0" w:lineRule="atLeast"/>
              <w:jc w:val="center"/>
              <w:rPr>
                <w:rFonts w:ascii="宋体" w:hAnsi="宋体"/>
                <w:szCs w:val="24"/>
                <w:highlight w:val="none"/>
              </w:rPr>
            </w:pPr>
            <w:r>
              <w:rPr>
                <w:rFonts w:hint="eastAsia" w:ascii="宋体" w:hAnsi="宋体"/>
                <w:szCs w:val="24"/>
                <w:highlight w:val="none"/>
              </w:rPr>
              <w:t>111.30394</w:t>
            </w:r>
          </w:p>
        </w:tc>
        <w:tc>
          <w:tcPr>
            <w:tcW w:w="1819" w:type="dxa"/>
            <w:tcBorders>
              <w:top w:val="nil"/>
              <w:left w:val="nil"/>
              <w:bottom w:val="single" w:color="auto" w:sz="4" w:space="0"/>
              <w:right w:val="single" w:color="auto" w:sz="4" w:space="0"/>
            </w:tcBorders>
            <w:noWrap/>
            <w:vAlign w:val="center"/>
          </w:tcPr>
          <w:p w14:paraId="67A2F6F1">
            <w:pPr>
              <w:widowControl/>
              <w:spacing w:line="0" w:lineRule="atLeast"/>
              <w:jc w:val="center"/>
              <w:rPr>
                <w:rFonts w:ascii="宋体" w:hAnsi="宋体"/>
                <w:szCs w:val="24"/>
                <w:highlight w:val="none"/>
              </w:rPr>
            </w:pPr>
            <w:r>
              <w:rPr>
                <w:rFonts w:hint="eastAsia" w:ascii="宋体" w:hAnsi="宋体"/>
                <w:szCs w:val="24"/>
                <w:highlight w:val="none"/>
              </w:rPr>
              <w:t>23.329017</w:t>
            </w:r>
          </w:p>
        </w:tc>
      </w:tr>
      <w:tr w14:paraId="5FE076D3">
        <w:tblPrEx>
          <w:tblCellMar>
            <w:top w:w="0" w:type="dxa"/>
            <w:left w:w="108" w:type="dxa"/>
            <w:bottom w:w="0" w:type="dxa"/>
            <w:right w:w="108" w:type="dxa"/>
          </w:tblCellMar>
        </w:tblPrEx>
        <w:trPr>
          <w:trHeight w:val="370" w:hRule="atLeast"/>
          <w:jc w:val="center"/>
        </w:trPr>
        <w:tc>
          <w:tcPr>
            <w:tcW w:w="4374" w:type="dxa"/>
            <w:tcBorders>
              <w:top w:val="nil"/>
              <w:left w:val="single" w:color="auto" w:sz="4" w:space="0"/>
              <w:bottom w:val="single" w:color="auto" w:sz="4" w:space="0"/>
              <w:right w:val="single" w:color="auto" w:sz="4" w:space="0"/>
            </w:tcBorders>
            <w:noWrap/>
            <w:vAlign w:val="center"/>
          </w:tcPr>
          <w:p w14:paraId="67A150EA">
            <w:pPr>
              <w:widowControl/>
              <w:spacing w:line="0" w:lineRule="atLeast"/>
              <w:jc w:val="center"/>
              <w:rPr>
                <w:rFonts w:ascii="宋体" w:hAnsi="宋体"/>
                <w:szCs w:val="24"/>
                <w:highlight w:val="none"/>
              </w:rPr>
            </w:pPr>
            <w:r>
              <w:rPr>
                <w:rFonts w:hint="eastAsia" w:ascii="宋体" w:hAnsi="宋体"/>
                <w:szCs w:val="24"/>
                <w:highlight w:val="none"/>
              </w:rPr>
              <w:t>苍梧南高速出口</w:t>
            </w:r>
          </w:p>
        </w:tc>
        <w:tc>
          <w:tcPr>
            <w:tcW w:w="1749" w:type="dxa"/>
            <w:tcBorders>
              <w:top w:val="nil"/>
              <w:left w:val="nil"/>
              <w:bottom w:val="single" w:color="auto" w:sz="4" w:space="0"/>
              <w:right w:val="single" w:color="auto" w:sz="4" w:space="0"/>
            </w:tcBorders>
            <w:noWrap/>
            <w:vAlign w:val="center"/>
          </w:tcPr>
          <w:p w14:paraId="332135B8">
            <w:pPr>
              <w:widowControl/>
              <w:spacing w:line="0" w:lineRule="atLeast"/>
              <w:jc w:val="center"/>
              <w:rPr>
                <w:rFonts w:ascii="宋体" w:hAnsi="宋体"/>
                <w:szCs w:val="24"/>
                <w:highlight w:val="none"/>
              </w:rPr>
            </w:pPr>
            <w:r>
              <w:rPr>
                <w:rFonts w:hint="eastAsia" w:ascii="宋体" w:hAnsi="宋体"/>
                <w:szCs w:val="24"/>
                <w:highlight w:val="none"/>
              </w:rPr>
              <w:t>111.23051</w:t>
            </w:r>
          </w:p>
        </w:tc>
        <w:tc>
          <w:tcPr>
            <w:tcW w:w="1819" w:type="dxa"/>
            <w:tcBorders>
              <w:top w:val="nil"/>
              <w:left w:val="nil"/>
              <w:bottom w:val="single" w:color="auto" w:sz="4" w:space="0"/>
              <w:right w:val="single" w:color="auto" w:sz="4" w:space="0"/>
            </w:tcBorders>
            <w:noWrap/>
            <w:vAlign w:val="center"/>
          </w:tcPr>
          <w:p w14:paraId="65BBE70D">
            <w:pPr>
              <w:widowControl/>
              <w:spacing w:line="0" w:lineRule="atLeast"/>
              <w:jc w:val="center"/>
              <w:rPr>
                <w:rFonts w:ascii="宋体" w:hAnsi="宋体"/>
                <w:szCs w:val="24"/>
                <w:highlight w:val="none"/>
              </w:rPr>
            </w:pPr>
            <w:r>
              <w:rPr>
                <w:rFonts w:hint="eastAsia" w:ascii="宋体" w:hAnsi="宋体"/>
                <w:szCs w:val="24"/>
                <w:highlight w:val="none"/>
              </w:rPr>
              <w:t>23.384555</w:t>
            </w:r>
          </w:p>
        </w:tc>
      </w:tr>
      <w:tr w14:paraId="070ADB1D">
        <w:tblPrEx>
          <w:tblCellMar>
            <w:top w:w="0" w:type="dxa"/>
            <w:left w:w="108" w:type="dxa"/>
            <w:bottom w:w="0" w:type="dxa"/>
            <w:right w:w="108" w:type="dxa"/>
          </w:tblCellMar>
        </w:tblPrEx>
        <w:trPr>
          <w:trHeight w:val="435" w:hRule="atLeast"/>
          <w:jc w:val="center"/>
        </w:trPr>
        <w:tc>
          <w:tcPr>
            <w:tcW w:w="4374" w:type="dxa"/>
            <w:tcBorders>
              <w:top w:val="nil"/>
              <w:left w:val="single" w:color="auto" w:sz="4" w:space="0"/>
              <w:bottom w:val="single" w:color="auto" w:sz="4" w:space="0"/>
              <w:right w:val="single" w:color="auto" w:sz="4" w:space="0"/>
            </w:tcBorders>
            <w:noWrap/>
            <w:vAlign w:val="center"/>
          </w:tcPr>
          <w:p w14:paraId="7F8E8598">
            <w:pPr>
              <w:widowControl/>
              <w:spacing w:line="0" w:lineRule="atLeast"/>
              <w:jc w:val="center"/>
              <w:rPr>
                <w:rFonts w:ascii="宋体" w:hAnsi="宋体"/>
                <w:szCs w:val="24"/>
                <w:highlight w:val="none"/>
              </w:rPr>
            </w:pPr>
            <w:r>
              <w:rPr>
                <w:rFonts w:hint="eastAsia" w:ascii="宋体" w:hAnsi="宋体"/>
                <w:szCs w:val="24"/>
                <w:highlight w:val="none"/>
              </w:rPr>
              <w:t>龙圩区保村</w:t>
            </w:r>
          </w:p>
        </w:tc>
        <w:tc>
          <w:tcPr>
            <w:tcW w:w="1749" w:type="dxa"/>
            <w:tcBorders>
              <w:top w:val="nil"/>
              <w:left w:val="nil"/>
              <w:bottom w:val="single" w:color="auto" w:sz="4" w:space="0"/>
              <w:right w:val="single" w:color="auto" w:sz="4" w:space="0"/>
            </w:tcBorders>
            <w:noWrap/>
            <w:vAlign w:val="center"/>
          </w:tcPr>
          <w:p w14:paraId="12CE8C52">
            <w:pPr>
              <w:widowControl/>
              <w:spacing w:line="0" w:lineRule="atLeast"/>
              <w:jc w:val="center"/>
              <w:rPr>
                <w:rFonts w:ascii="宋体" w:hAnsi="宋体"/>
                <w:szCs w:val="24"/>
                <w:highlight w:val="none"/>
              </w:rPr>
            </w:pPr>
            <w:r>
              <w:rPr>
                <w:rFonts w:hint="eastAsia" w:ascii="宋体" w:hAnsi="宋体"/>
                <w:szCs w:val="24"/>
                <w:highlight w:val="none"/>
              </w:rPr>
              <w:t>111.20053</w:t>
            </w:r>
          </w:p>
        </w:tc>
        <w:tc>
          <w:tcPr>
            <w:tcW w:w="1819" w:type="dxa"/>
            <w:tcBorders>
              <w:top w:val="nil"/>
              <w:left w:val="nil"/>
              <w:bottom w:val="single" w:color="auto" w:sz="4" w:space="0"/>
              <w:right w:val="single" w:color="auto" w:sz="4" w:space="0"/>
            </w:tcBorders>
            <w:noWrap/>
            <w:vAlign w:val="center"/>
          </w:tcPr>
          <w:p w14:paraId="1F17F32D">
            <w:pPr>
              <w:widowControl/>
              <w:spacing w:line="0" w:lineRule="atLeast"/>
              <w:jc w:val="center"/>
              <w:rPr>
                <w:rFonts w:ascii="宋体" w:hAnsi="宋体"/>
                <w:szCs w:val="24"/>
                <w:highlight w:val="none"/>
              </w:rPr>
            </w:pPr>
            <w:r>
              <w:rPr>
                <w:rFonts w:hint="eastAsia" w:ascii="宋体" w:hAnsi="宋体"/>
                <w:szCs w:val="24"/>
                <w:highlight w:val="none"/>
              </w:rPr>
              <w:t>23.362131</w:t>
            </w:r>
          </w:p>
        </w:tc>
      </w:tr>
      <w:tr w14:paraId="63A60046">
        <w:tblPrEx>
          <w:tblCellMar>
            <w:top w:w="0" w:type="dxa"/>
            <w:left w:w="108" w:type="dxa"/>
            <w:bottom w:w="0" w:type="dxa"/>
            <w:right w:w="108" w:type="dxa"/>
          </w:tblCellMar>
        </w:tblPrEx>
        <w:trPr>
          <w:trHeight w:val="402" w:hRule="atLeast"/>
          <w:jc w:val="center"/>
        </w:trPr>
        <w:tc>
          <w:tcPr>
            <w:tcW w:w="4374" w:type="dxa"/>
            <w:tcBorders>
              <w:top w:val="nil"/>
              <w:left w:val="single" w:color="auto" w:sz="4" w:space="0"/>
              <w:bottom w:val="single" w:color="auto" w:sz="4" w:space="0"/>
              <w:right w:val="single" w:color="auto" w:sz="4" w:space="0"/>
            </w:tcBorders>
            <w:noWrap/>
            <w:vAlign w:val="center"/>
          </w:tcPr>
          <w:p w14:paraId="534BEA56">
            <w:pPr>
              <w:widowControl/>
              <w:spacing w:line="0" w:lineRule="atLeast"/>
              <w:jc w:val="center"/>
              <w:rPr>
                <w:rFonts w:ascii="宋体" w:hAnsi="宋体"/>
                <w:szCs w:val="24"/>
                <w:highlight w:val="none"/>
              </w:rPr>
            </w:pPr>
            <w:r>
              <w:rPr>
                <w:rFonts w:hint="eastAsia" w:ascii="宋体" w:hAnsi="宋体"/>
                <w:szCs w:val="24"/>
                <w:highlight w:val="none"/>
              </w:rPr>
              <w:t>岑溪横垌检查站</w:t>
            </w:r>
          </w:p>
        </w:tc>
        <w:tc>
          <w:tcPr>
            <w:tcW w:w="1749" w:type="dxa"/>
            <w:tcBorders>
              <w:top w:val="nil"/>
              <w:left w:val="nil"/>
              <w:bottom w:val="single" w:color="auto" w:sz="4" w:space="0"/>
              <w:right w:val="single" w:color="auto" w:sz="4" w:space="0"/>
            </w:tcBorders>
            <w:noWrap/>
            <w:vAlign w:val="center"/>
          </w:tcPr>
          <w:p w14:paraId="7916897D">
            <w:pPr>
              <w:widowControl/>
              <w:spacing w:line="0" w:lineRule="atLeast"/>
              <w:jc w:val="center"/>
              <w:rPr>
                <w:rFonts w:ascii="宋体" w:hAnsi="宋体"/>
                <w:szCs w:val="24"/>
                <w:highlight w:val="none"/>
              </w:rPr>
            </w:pPr>
            <w:r>
              <w:rPr>
                <w:rFonts w:ascii="宋体" w:hAnsi="宋体"/>
                <w:szCs w:val="24"/>
                <w:highlight w:val="none"/>
              </w:rPr>
              <w:t>111.26167</w:t>
            </w:r>
          </w:p>
        </w:tc>
        <w:tc>
          <w:tcPr>
            <w:tcW w:w="1819" w:type="dxa"/>
            <w:tcBorders>
              <w:top w:val="nil"/>
              <w:left w:val="nil"/>
              <w:bottom w:val="single" w:color="auto" w:sz="4" w:space="0"/>
              <w:right w:val="single" w:color="auto" w:sz="4" w:space="0"/>
            </w:tcBorders>
            <w:noWrap/>
            <w:vAlign w:val="center"/>
          </w:tcPr>
          <w:p w14:paraId="38336315">
            <w:pPr>
              <w:widowControl/>
              <w:spacing w:line="0" w:lineRule="atLeast"/>
              <w:jc w:val="center"/>
              <w:rPr>
                <w:rFonts w:ascii="宋体" w:hAnsi="宋体"/>
                <w:szCs w:val="24"/>
                <w:highlight w:val="none"/>
              </w:rPr>
            </w:pPr>
            <w:r>
              <w:rPr>
                <w:rFonts w:ascii="宋体" w:hAnsi="宋体"/>
                <w:szCs w:val="24"/>
                <w:highlight w:val="none"/>
              </w:rPr>
              <w:t>22.898027</w:t>
            </w:r>
          </w:p>
        </w:tc>
      </w:tr>
    </w:tbl>
    <w:p w14:paraId="280C1ED7">
      <w:pPr>
        <w:pStyle w:val="4"/>
        <w:ind w:firstLine="0" w:firstLineChars="0"/>
        <w:jc w:val="center"/>
        <w:rPr>
          <w:highlight w:val="none"/>
        </w:rPr>
      </w:pPr>
    </w:p>
    <w:p w14:paraId="1F808DA1">
      <w:pPr>
        <w:spacing w:line="360" w:lineRule="auto"/>
        <w:ind w:firstLine="420" w:firstLineChars="200"/>
        <w:jc w:val="left"/>
        <w:rPr>
          <w:rFonts w:hint="eastAsia" w:ascii="宋体" w:hAnsi="宋体" w:cs="宋体"/>
          <w:highlight w:val="none"/>
        </w:rPr>
      </w:pPr>
      <w:r>
        <w:rPr>
          <w:rFonts w:hint="eastAsia" w:ascii="宋体" w:hAnsi="宋体" w:cs="宋体"/>
          <w:highlight w:val="none"/>
        </w:rPr>
        <w:t>2.为了适应道路交通管理实际需要，对所有高速公路和国省干线公路实现视频监控全覆盖。以省市际、高速公路出入口、互通立交、跨线桥为重点，加大卡口设备密度，加快建设联网步伐，形成覆盖全国、全省和各地市的布控包围圈”的要求。在梧州市地界处高速路段高位视频监控，加大监控密度，扩展视频监控覆盖范围，加大道路交通安全管控力度，增加综合分析研判能力。提高交通管理科技含量和信息化、现代化水平。</w:t>
      </w:r>
    </w:p>
    <w:p w14:paraId="21C61EE0">
      <w:pPr>
        <w:spacing w:line="360" w:lineRule="auto"/>
        <w:ind w:firstLine="420" w:firstLineChars="200"/>
        <w:jc w:val="left"/>
        <w:rPr>
          <w:rFonts w:hint="eastAsia" w:ascii="宋体" w:hAnsi="宋体" w:cs="宋体"/>
          <w:highlight w:val="none"/>
        </w:rPr>
      </w:pPr>
      <w:r>
        <w:rPr>
          <w:rFonts w:hint="eastAsia" w:ascii="宋体" w:hAnsi="宋体" w:cs="宋体"/>
          <w:highlight w:val="none"/>
        </w:rPr>
        <w:t>通过建设高位视频监控点位，获取指定位置的视频图像，掌握高速公路中的大场景和远距离的车流概况。</w:t>
      </w:r>
    </w:p>
    <w:p w14:paraId="1478D5D3">
      <w:pPr>
        <w:jc w:val="center"/>
        <w:rPr>
          <w:rFonts w:ascii="宋体" w:hAnsi="宋体" w:eastAsia="宋体"/>
          <w:sz w:val="28"/>
          <w:szCs w:val="28"/>
          <w:highlight w:val="none"/>
        </w:rPr>
      </w:pPr>
      <w:r>
        <w:rPr>
          <w:rFonts w:hint="eastAsia" w:ascii="宋体" w:hAnsi="宋体"/>
          <w:sz w:val="28"/>
          <w:szCs w:val="28"/>
          <w:highlight w:val="none"/>
          <w:lang w:val="en-US" w:eastAsia="zh-CN"/>
        </w:rPr>
        <w:t>高空监控点</w:t>
      </w:r>
      <w:r>
        <w:rPr>
          <w:rFonts w:hint="eastAsia" w:ascii="宋体" w:hAnsi="宋体"/>
          <w:sz w:val="28"/>
          <w:szCs w:val="28"/>
          <w:highlight w:val="none"/>
        </w:rPr>
        <w:t>布点</w:t>
      </w:r>
    </w:p>
    <w:tbl>
      <w:tblPr>
        <w:tblStyle w:val="19"/>
        <w:tblW w:w="7899" w:type="dxa"/>
        <w:jc w:val="center"/>
        <w:tblLayout w:type="fixed"/>
        <w:tblCellMar>
          <w:top w:w="0" w:type="dxa"/>
          <w:left w:w="108" w:type="dxa"/>
          <w:bottom w:w="0" w:type="dxa"/>
          <w:right w:w="108" w:type="dxa"/>
        </w:tblCellMar>
      </w:tblPr>
      <w:tblGrid>
        <w:gridCol w:w="864"/>
        <w:gridCol w:w="7035"/>
      </w:tblGrid>
      <w:tr w14:paraId="724DAA75">
        <w:tblPrEx>
          <w:tblCellMar>
            <w:top w:w="0" w:type="dxa"/>
            <w:left w:w="108" w:type="dxa"/>
            <w:bottom w:w="0" w:type="dxa"/>
            <w:right w:w="108" w:type="dxa"/>
          </w:tblCellMar>
        </w:tblPrEx>
        <w:trPr>
          <w:trHeight w:val="469"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0B28A337">
            <w:pPr>
              <w:widowControl/>
              <w:jc w:val="center"/>
              <w:textAlignment w:val="center"/>
              <w:rPr>
                <w:rFonts w:ascii="宋体" w:hAnsi="宋体" w:eastAsia="宋体"/>
                <w:szCs w:val="24"/>
                <w:highlight w:val="none"/>
              </w:rPr>
            </w:pPr>
            <w:r>
              <w:rPr>
                <w:rFonts w:hint="eastAsia" w:ascii="宋体" w:hAnsi="宋体"/>
                <w:szCs w:val="24"/>
                <w:highlight w:val="none"/>
              </w:rPr>
              <w:t>序号</w:t>
            </w:r>
          </w:p>
        </w:tc>
        <w:tc>
          <w:tcPr>
            <w:tcW w:w="7035" w:type="dxa"/>
            <w:tcBorders>
              <w:top w:val="single" w:color="000000" w:sz="4" w:space="0"/>
              <w:left w:val="nil"/>
              <w:bottom w:val="single" w:color="000000" w:sz="4" w:space="0"/>
              <w:right w:val="single" w:color="000000" w:sz="4" w:space="0"/>
            </w:tcBorders>
            <w:noWrap/>
            <w:vAlign w:val="center"/>
          </w:tcPr>
          <w:p w14:paraId="17F9A781">
            <w:pPr>
              <w:widowControl/>
              <w:jc w:val="center"/>
              <w:textAlignment w:val="center"/>
              <w:rPr>
                <w:rFonts w:ascii="宋体" w:hAnsi="宋体"/>
                <w:szCs w:val="24"/>
                <w:highlight w:val="none"/>
              </w:rPr>
            </w:pPr>
            <w:r>
              <w:rPr>
                <w:rFonts w:hint="eastAsia" w:ascii="宋体" w:hAnsi="宋体"/>
                <w:color w:val="auto"/>
                <w:szCs w:val="24"/>
                <w:highlight w:val="none"/>
                <w:lang w:val="en-US" w:eastAsia="zh-CN"/>
              </w:rPr>
              <w:t>将设置</w:t>
            </w:r>
            <w:r>
              <w:rPr>
                <w:rFonts w:hint="eastAsia" w:ascii="宋体" w:hAnsi="宋体"/>
                <w:color w:val="auto"/>
                <w:szCs w:val="24"/>
                <w:highlight w:val="none"/>
                <w:lang w:eastAsia="zh-CN"/>
              </w:rPr>
              <w:t>高空监控</w:t>
            </w:r>
            <w:r>
              <w:rPr>
                <w:rFonts w:hint="eastAsia" w:ascii="宋体" w:hAnsi="宋体"/>
                <w:color w:val="auto"/>
                <w:szCs w:val="24"/>
                <w:highlight w:val="none"/>
              </w:rPr>
              <w:t>点位</w:t>
            </w:r>
          </w:p>
        </w:tc>
      </w:tr>
      <w:tr w14:paraId="46D55021">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345AE677">
            <w:pPr>
              <w:widowControl/>
              <w:jc w:val="center"/>
              <w:textAlignment w:val="center"/>
              <w:rPr>
                <w:rFonts w:ascii="宋体" w:hAnsi="宋体"/>
                <w:szCs w:val="24"/>
                <w:highlight w:val="none"/>
              </w:rPr>
            </w:pPr>
            <w:r>
              <w:rPr>
                <w:rFonts w:hint="eastAsia" w:ascii="宋体" w:hAnsi="宋体"/>
                <w:szCs w:val="24"/>
                <w:highlight w:val="none"/>
              </w:rPr>
              <w:t>1</w:t>
            </w:r>
          </w:p>
        </w:tc>
        <w:tc>
          <w:tcPr>
            <w:tcW w:w="7035" w:type="dxa"/>
            <w:tcBorders>
              <w:top w:val="single" w:color="000000" w:sz="4" w:space="0"/>
              <w:left w:val="nil"/>
              <w:bottom w:val="single" w:color="000000" w:sz="4" w:space="0"/>
              <w:right w:val="single" w:color="000000" w:sz="4" w:space="0"/>
            </w:tcBorders>
            <w:noWrap/>
            <w:vAlign w:val="center"/>
          </w:tcPr>
          <w:p w14:paraId="748726DA">
            <w:pPr>
              <w:widowControl/>
              <w:jc w:val="center"/>
              <w:textAlignment w:val="center"/>
              <w:rPr>
                <w:rFonts w:ascii="宋体" w:hAnsi="宋体"/>
                <w:szCs w:val="24"/>
                <w:highlight w:val="none"/>
              </w:rPr>
            </w:pPr>
            <w:r>
              <w:rPr>
                <w:rFonts w:hint="eastAsia" w:ascii="宋体" w:hAnsi="宋体"/>
                <w:szCs w:val="24"/>
                <w:highlight w:val="none"/>
              </w:rPr>
              <w:t>苍梧大坡高速服务区</w:t>
            </w:r>
          </w:p>
        </w:tc>
      </w:tr>
      <w:tr w14:paraId="7F5E6FF5">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5305A92C">
            <w:pPr>
              <w:widowControl/>
              <w:jc w:val="center"/>
              <w:textAlignment w:val="center"/>
              <w:rPr>
                <w:rFonts w:ascii="宋体" w:hAnsi="宋体"/>
                <w:szCs w:val="24"/>
                <w:highlight w:val="none"/>
              </w:rPr>
            </w:pPr>
            <w:r>
              <w:rPr>
                <w:rFonts w:hint="eastAsia" w:ascii="宋体" w:hAnsi="宋体"/>
                <w:szCs w:val="24"/>
                <w:highlight w:val="none"/>
              </w:rPr>
              <w:t>2</w:t>
            </w:r>
          </w:p>
        </w:tc>
        <w:tc>
          <w:tcPr>
            <w:tcW w:w="7035" w:type="dxa"/>
            <w:tcBorders>
              <w:top w:val="single" w:color="000000" w:sz="4" w:space="0"/>
              <w:left w:val="nil"/>
              <w:bottom w:val="single" w:color="000000" w:sz="4" w:space="0"/>
              <w:right w:val="single" w:color="000000" w:sz="4" w:space="0"/>
            </w:tcBorders>
            <w:noWrap/>
            <w:vAlign w:val="center"/>
          </w:tcPr>
          <w:p w14:paraId="5A9D4A69">
            <w:pPr>
              <w:widowControl/>
              <w:jc w:val="center"/>
              <w:textAlignment w:val="center"/>
              <w:rPr>
                <w:rFonts w:ascii="宋体" w:hAnsi="宋体"/>
                <w:szCs w:val="24"/>
                <w:highlight w:val="none"/>
              </w:rPr>
            </w:pPr>
            <w:r>
              <w:rPr>
                <w:rFonts w:hint="eastAsia" w:ascii="宋体" w:hAnsi="宋体"/>
                <w:szCs w:val="24"/>
                <w:highlight w:val="none"/>
              </w:rPr>
              <w:t>梧州苍梧县龙圩保村</w:t>
            </w:r>
          </w:p>
        </w:tc>
      </w:tr>
      <w:tr w14:paraId="23911383">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3EDC576E">
            <w:pPr>
              <w:widowControl/>
              <w:jc w:val="center"/>
              <w:textAlignment w:val="center"/>
              <w:rPr>
                <w:rFonts w:ascii="宋体" w:hAnsi="宋体"/>
                <w:szCs w:val="24"/>
                <w:highlight w:val="none"/>
              </w:rPr>
            </w:pPr>
            <w:r>
              <w:rPr>
                <w:rFonts w:hint="eastAsia" w:ascii="宋体" w:hAnsi="宋体"/>
                <w:szCs w:val="24"/>
                <w:highlight w:val="none"/>
              </w:rPr>
              <w:t>3</w:t>
            </w:r>
          </w:p>
        </w:tc>
        <w:tc>
          <w:tcPr>
            <w:tcW w:w="7035" w:type="dxa"/>
            <w:tcBorders>
              <w:top w:val="single" w:color="000000" w:sz="4" w:space="0"/>
              <w:left w:val="nil"/>
              <w:bottom w:val="single" w:color="000000" w:sz="4" w:space="0"/>
              <w:right w:val="single" w:color="000000" w:sz="4" w:space="0"/>
            </w:tcBorders>
            <w:noWrap/>
            <w:vAlign w:val="center"/>
          </w:tcPr>
          <w:p w14:paraId="5D3277F1">
            <w:pPr>
              <w:widowControl/>
              <w:jc w:val="center"/>
              <w:textAlignment w:val="center"/>
              <w:rPr>
                <w:rFonts w:ascii="宋体" w:hAnsi="宋体"/>
                <w:szCs w:val="24"/>
                <w:highlight w:val="none"/>
              </w:rPr>
            </w:pPr>
            <w:r>
              <w:rPr>
                <w:rFonts w:hint="eastAsia" w:ascii="宋体" w:hAnsi="宋体"/>
                <w:szCs w:val="24"/>
                <w:highlight w:val="none"/>
              </w:rPr>
              <w:t>梧州南收费站</w:t>
            </w:r>
          </w:p>
        </w:tc>
      </w:tr>
      <w:tr w14:paraId="12E8AA81">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52388507">
            <w:pPr>
              <w:widowControl/>
              <w:jc w:val="center"/>
              <w:textAlignment w:val="center"/>
              <w:rPr>
                <w:rFonts w:ascii="宋体" w:hAnsi="宋体"/>
                <w:szCs w:val="24"/>
                <w:highlight w:val="none"/>
              </w:rPr>
            </w:pPr>
            <w:r>
              <w:rPr>
                <w:rFonts w:hint="eastAsia" w:ascii="宋体" w:hAnsi="宋体"/>
                <w:szCs w:val="24"/>
                <w:highlight w:val="none"/>
              </w:rPr>
              <w:t>4</w:t>
            </w:r>
          </w:p>
        </w:tc>
        <w:tc>
          <w:tcPr>
            <w:tcW w:w="7035" w:type="dxa"/>
            <w:tcBorders>
              <w:top w:val="single" w:color="000000" w:sz="4" w:space="0"/>
              <w:left w:val="nil"/>
              <w:bottom w:val="single" w:color="000000" w:sz="4" w:space="0"/>
              <w:right w:val="single" w:color="000000" w:sz="4" w:space="0"/>
            </w:tcBorders>
            <w:noWrap/>
            <w:vAlign w:val="center"/>
          </w:tcPr>
          <w:p w14:paraId="6A6A46BF">
            <w:pPr>
              <w:widowControl/>
              <w:jc w:val="center"/>
              <w:textAlignment w:val="center"/>
              <w:rPr>
                <w:rFonts w:ascii="宋体" w:hAnsi="宋体"/>
                <w:szCs w:val="24"/>
                <w:highlight w:val="none"/>
              </w:rPr>
            </w:pPr>
            <w:r>
              <w:rPr>
                <w:rFonts w:hint="eastAsia" w:ascii="宋体" w:hAnsi="宋体"/>
                <w:szCs w:val="24"/>
                <w:highlight w:val="none"/>
              </w:rPr>
              <w:t>旺甫洋塘村（古塝枢纽）</w:t>
            </w:r>
          </w:p>
        </w:tc>
      </w:tr>
      <w:tr w14:paraId="4BA9D574">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69C9480A">
            <w:pPr>
              <w:widowControl/>
              <w:jc w:val="center"/>
              <w:textAlignment w:val="center"/>
              <w:rPr>
                <w:rFonts w:ascii="宋体" w:hAnsi="宋体"/>
                <w:szCs w:val="24"/>
                <w:highlight w:val="none"/>
              </w:rPr>
            </w:pPr>
            <w:r>
              <w:rPr>
                <w:rFonts w:hint="eastAsia" w:ascii="宋体" w:hAnsi="宋体"/>
                <w:szCs w:val="24"/>
                <w:highlight w:val="none"/>
              </w:rPr>
              <w:t>5</w:t>
            </w:r>
          </w:p>
        </w:tc>
        <w:tc>
          <w:tcPr>
            <w:tcW w:w="7035" w:type="dxa"/>
            <w:tcBorders>
              <w:top w:val="single" w:color="000000" w:sz="4" w:space="0"/>
              <w:left w:val="nil"/>
              <w:bottom w:val="single" w:color="000000" w:sz="4" w:space="0"/>
              <w:right w:val="single" w:color="000000" w:sz="4" w:space="0"/>
            </w:tcBorders>
            <w:noWrap/>
            <w:vAlign w:val="center"/>
          </w:tcPr>
          <w:p w14:paraId="3FC50711">
            <w:pPr>
              <w:widowControl/>
              <w:jc w:val="center"/>
              <w:textAlignment w:val="center"/>
              <w:rPr>
                <w:rFonts w:ascii="宋体" w:hAnsi="宋体"/>
                <w:szCs w:val="24"/>
                <w:highlight w:val="none"/>
              </w:rPr>
            </w:pPr>
            <w:r>
              <w:rPr>
                <w:rFonts w:hint="eastAsia" w:ascii="宋体" w:hAnsi="宋体"/>
                <w:szCs w:val="24"/>
                <w:highlight w:val="none"/>
              </w:rPr>
              <w:t>夏郢服务区</w:t>
            </w:r>
          </w:p>
        </w:tc>
      </w:tr>
      <w:tr w14:paraId="4C8E2560">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2BDC738E">
            <w:pPr>
              <w:widowControl/>
              <w:jc w:val="center"/>
              <w:textAlignment w:val="center"/>
              <w:rPr>
                <w:rFonts w:ascii="宋体" w:hAnsi="宋体"/>
                <w:szCs w:val="24"/>
                <w:highlight w:val="none"/>
              </w:rPr>
            </w:pPr>
            <w:r>
              <w:rPr>
                <w:rFonts w:hint="eastAsia" w:ascii="宋体" w:hAnsi="宋体"/>
                <w:szCs w:val="24"/>
                <w:highlight w:val="none"/>
              </w:rPr>
              <w:t>6</w:t>
            </w:r>
          </w:p>
        </w:tc>
        <w:tc>
          <w:tcPr>
            <w:tcW w:w="7035" w:type="dxa"/>
            <w:tcBorders>
              <w:top w:val="single" w:color="000000" w:sz="4" w:space="0"/>
              <w:left w:val="nil"/>
              <w:bottom w:val="single" w:color="000000" w:sz="4" w:space="0"/>
              <w:right w:val="single" w:color="000000" w:sz="4" w:space="0"/>
            </w:tcBorders>
            <w:noWrap/>
            <w:vAlign w:val="center"/>
          </w:tcPr>
          <w:p w14:paraId="610F047C">
            <w:pPr>
              <w:widowControl/>
              <w:jc w:val="center"/>
              <w:textAlignment w:val="center"/>
              <w:rPr>
                <w:rFonts w:ascii="宋体" w:hAnsi="宋体"/>
                <w:szCs w:val="24"/>
                <w:highlight w:val="none"/>
              </w:rPr>
            </w:pPr>
            <w:r>
              <w:rPr>
                <w:rFonts w:hint="eastAsia" w:ascii="宋体" w:hAnsi="宋体"/>
                <w:szCs w:val="24"/>
                <w:highlight w:val="none"/>
              </w:rPr>
              <w:t>岭脚天堂垌（冲尾隧道）</w:t>
            </w:r>
          </w:p>
        </w:tc>
      </w:tr>
      <w:tr w14:paraId="345B3661">
        <w:tblPrEx>
          <w:tblCellMar>
            <w:top w:w="0" w:type="dxa"/>
            <w:left w:w="108" w:type="dxa"/>
            <w:bottom w:w="0" w:type="dxa"/>
            <w:right w:w="108" w:type="dxa"/>
          </w:tblCellMar>
        </w:tblPrEx>
        <w:trPr>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noWrap/>
            <w:vAlign w:val="center"/>
          </w:tcPr>
          <w:p w14:paraId="25275D13">
            <w:pPr>
              <w:widowControl/>
              <w:jc w:val="center"/>
              <w:textAlignment w:val="center"/>
              <w:rPr>
                <w:rFonts w:ascii="宋体" w:hAnsi="宋体"/>
                <w:szCs w:val="24"/>
                <w:highlight w:val="none"/>
              </w:rPr>
            </w:pPr>
            <w:r>
              <w:rPr>
                <w:rFonts w:hint="eastAsia" w:ascii="宋体" w:hAnsi="宋体"/>
                <w:szCs w:val="24"/>
                <w:highlight w:val="none"/>
              </w:rPr>
              <w:t>7</w:t>
            </w:r>
          </w:p>
        </w:tc>
        <w:tc>
          <w:tcPr>
            <w:tcW w:w="7035" w:type="dxa"/>
            <w:tcBorders>
              <w:top w:val="single" w:color="000000" w:sz="4" w:space="0"/>
              <w:left w:val="nil"/>
              <w:bottom w:val="single" w:color="000000" w:sz="4" w:space="0"/>
              <w:right w:val="single" w:color="000000" w:sz="4" w:space="0"/>
            </w:tcBorders>
            <w:noWrap/>
            <w:vAlign w:val="center"/>
          </w:tcPr>
          <w:p w14:paraId="52A9A601">
            <w:pPr>
              <w:widowControl/>
              <w:jc w:val="center"/>
              <w:textAlignment w:val="center"/>
              <w:rPr>
                <w:rFonts w:ascii="宋体" w:hAnsi="宋体"/>
                <w:szCs w:val="24"/>
                <w:highlight w:val="none"/>
              </w:rPr>
            </w:pPr>
            <w:r>
              <w:rPr>
                <w:rFonts w:hint="eastAsia" w:ascii="宋体" w:hAnsi="宋体"/>
                <w:szCs w:val="24"/>
                <w:highlight w:val="none"/>
              </w:rPr>
              <w:t>倒水仁义儒良（仁义桂江大桥）</w:t>
            </w:r>
          </w:p>
        </w:tc>
      </w:tr>
    </w:tbl>
    <w:p w14:paraId="0104EE73">
      <w:pPr>
        <w:numPr>
          <w:ilvl w:val="0"/>
          <w:numId w:val="1"/>
        </w:numPr>
        <w:bidi w:val="0"/>
        <w:ind w:left="420" w:leftChars="0" w:firstLine="0" w:firstLineChars="0"/>
        <w:jc w:val="left"/>
        <w:rPr>
          <w:rFonts w:hint="eastAsia"/>
          <w:b/>
          <w:bCs/>
          <w:sz w:val="32"/>
          <w:szCs w:val="32"/>
          <w:highlight w:val="none"/>
          <w:lang w:val="en-US" w:eastAsia="zh-CN"/>
        </w:rPr>
      </w:pPr>
      <w:r>
        <w:rPr>
          <w:rFonts w:hint="eastAsia"/>
          <w:b/>
          <w:bCs/>
          <w:sz w:val="32"/>
          <w:szCs w:val="32"/>
          <w:highlight w:val="none"/>
          <w:lang w:val="en-US" w:eastAsia="zh-CN"/>
        </w:rPr>
        <w:t>项目需求清单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980"/>
        <w:gridCol w:w="5910"/>
        <w:gridCol w:w="1076"/>
      </w:tblGrid>
      <w:tr w14:paraId="251F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noWrap w:val="0"/>
            <w:vAlign w:val="center"/>
          </w:tcPr>
          <w:p w14:paraId="6974DFD1">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80" w:type="dxa"/>
            <w:shd w:val="clear" w:color="auto" w:fill="FFFFFF"/>
            <w:noWrap w:val="0"/>
            <w:vAlign w:val="center"/>
          </w:tcPr>
          <w:p w14:paraId="0211507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5910" w:type="dxa"/>
            <w:shd w:val="clear" w:color="auto" w:fill="FFFFFF"/>
            <w:noWrap w:val="0"/>
            <w:vAlign w:val="center"/>
          </w:tcPr>
          <w:p w14:paraId="7D6C06C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b/>
                <w:bCs/>
                <w:i w:val="0"/>
                <w:iCs w:val="0"/>
                <w:color w:val="000000"/>
                <w:kern w:val="0"/>
                <w:sz w:val="20"/>
                <w:szCs w:val="20"/>
                <w:highlight w:val="none"/>
                <w:u w:val="none"/>
                <w:lang w:val="en-US" w:eastAsia="zh-CN" w:bidi="ar"/>
              </w:rPr>
              <w:t>参考型号规格或配置技术参数</w:t>
            </w:r>
          </w:p>
        </w:tc>
        <w:tc>
          <w:tcPr>
            <w:tcW w:w="1076" w:type="dxa"/>
            <w:noWrap w:val="0"/>
            <w:vAlign w:val="top"/>
          </w:tcPr>
          <w:p w14:paraId="520D5187">
            <w:pPr>
              <w:spacing w:line="560" w:lineRule="exact"/>
              <w:jc w:val="left"/>
              <w:rPr>
                <w:rFonts w:hint="eastAsia" w:ascii="楷体" w:hAnsi="楷体" w:eastAsia="楷体"/>
                <w:kern w:val="2"/>
                <w:sz w:val="32"/>
                <w:szCs w:val="32"/>
                <w:highlight w:val="none"/>
                <w:vertAlign w:val="baseline"/>
              </w:rPr>
            </w:pPr>
          </w:p>
        </w:tc>
      </w:tr>
      <w:tr w14:paraId="10A0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2B9DDE03">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1</w:t>
            </w:r>
          </w:p>
        </w:tc>
        <w:tc>
          <w:tcPr>
            <w:tcW w:w="980" w:type="dxa"/>
            <w:vMerge w:val="restart"/>
            <w:noWrap w:val="0"/>
            <w:vAlign w:val="center"/>
          </w:tcPr>
          <w:p w14:paraId="76B2007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无人机智慧机场服务</w:t>
            </w:r>
          </w:p>
        </w:tc>
        <w:tc>
          <w:tcPr>
            <w:tcW w:w="5910" w:type="dxa"/>
            <w:noWrap w:val="0"/>
            <w:vAlign w:val="top"/>
          </w:tcPr>
          <w:p w14:paraId="2A01ED17">
            <w:pPr>
              <w:keepNext w:val="0"/>
              <w:keepLines w:val="0"/>
              <w:widowControl/>
              <w:suppressLineNumbers w:val="0"/>
              <w:jc w:val="left"/>
              <w:textAlignment w:val="top"/>
              <w:rPr>
                <w:rFonts w:hint="eastAsia" w:ascii="宋体" w:hAnsi="宋体" w:eastAsia="宋体" w:cs="宋体"/>
                <w:i w:val="0"/>
                <w:iCs w:val="0"/>
                <w:color w:val="000000"/>
                <w:kern w:val="2"/>
                <w:sz w:val="20"/>
                <w:szCs w:val="20"/>
                <w:highlight w:val="none"/>
                <w:u w:val="none"/>
                <w:lang w:val="en-US" w:eastAsia="zh-CN" w:bidi="ar-SA"/>
              </w:rPr>
            </w:pPr>
            <w:r>
              <w:rPr>
                <w:rStyle w:val="37"/>
                <w:kern w:val="2"/>
                <w:highlight w:val="none"/>
                <w:lang w:val="en-US" w:eastAsia="zh-CN" w:bidi="ar"/>
              </w:rPr>
              <w:t>（一）无人机飞行服务包</w:t>
            </w:r>
            <w:r>
              <w:rPr>
                <w:rStyle w:val="37"/>
                <w:kern w:val="2"/>
                <w:highlight w:val="none"/>
                <w:lang w:val="en-US" w:eastAsia="zh-CN" w:bidi="ar"/>
              </w:rPr>
              <w:br w:type="textWrapping"/>
            </w:r>
            <w:r>
              <w:rPr>
                <w:rStyle w:val="37"/>
                <w:kern w:val="2"/>
                <w:highlight w:val="none"/>
                <w:lang w:val="en-US" w:eastAsia="zh-CN" w:bidi="ar"/>
              </w:rPr>
              <w:t>含4台无人机智慧机场，配套4</w:t>
            </w:r>
            <w:r>
              <w:rPr>
                <w:rStyle w:val="37"/>
                <w:i w:val="0"/>
                <w:iCs w:val="0"/>
                <w:kern w:val="2"/>
                <w:highlight w:val="none"/>
                <w:lang w:val="en-US" w:eastAsia="zh-CN" w:bidi="ar"/>
              </w:rPr>
              <w:t>台无人机及</w:t>
            </w:r>
            <w:r>
              <w:rPr>
                <w:rStyle w:val="37"/>
                <w:rFonts w:hint="eastAsia"/>
                <w:i w:val="0"/>
                <w:iCs w:val="0"/>
                <w:kern w:val="2"/>
                <w:highlight w:val="none"/>
                <w:lang w:val="en-US" w:eastAsia="zh-CN" w:bidi="ar"/>
              </w:rPr>
              <w:t>专业</w:t>
            </w:r>
            <w:r>
              <w:rPr>
                <w:rStyle w:val="37"/>
                <w:i w:val="0"/>
                <w:iCs w:val="0"/>
                <w:kern w:val="2"/>
                <w:highlight w:val="none"/>
                <w:lang w:val="en-US" w:eastAsia="zh-CN" w:bidi="ar"/>
              </w:rPr>
              <w:t>镜头，智慧机场安装在指定地点。一年起降不少于3000架次（单次飞行时长约40分钟）的无人机飞行架次，一年总飞行时长不少于2000小时。</w:t>
            </w:r>
            <w:r>
              <w:rPr>
                <w:rStyle w:val="37"/>
                <w:i w:val="0"/>
                <w:iCs w:val="0"/>
                <w:kern w:val="2"/>
                <w:highlight w:val="none"/>
                <w:lang w:val="en-US" w:eastAsia="zh-CN" w:bidi="ar"/>
              </w:rPr>
              <w:br w:type="textWrapping"/>
            </w:r>
            <w:r>
              <w:rPr>
                <w:rStyle w:val="37"/>
                <w:kern w:val="2"/>
                <w:highlight w:val="none"/>
                <w:lang w:val="en-US" w:eastAsia="zh-CN" w:bidi="ar"/>
              </w:rPr>
              <w:t>（1）无人机智慧机场参数：</w:t>
            </w:r>
            <w:r>
              <w:rPr>
                <w:rStyle w:val="37"/>
                <w:kern w:val="2"/>
                <w:highlight w:val="none"/>
                <w:lang w:val="en-US" w:eastAsia="zh-CN" w:bidi="ar"/>
              </w:rPr>
              <w:br w:type="textWrapping"/>
            </w:r>
            <w:r>
              <w:rPr>
                <w:rStyle w:val="37"/>
                <w:kern w:val="2"/>
                <w:highlight w:val="none"/>
                <w:lang w:val="en-US" w:eastAsia="zh-CN" w:bidi="ar"/>
              </w:rPr>
              <w:t>1.尺寸：长：1500~1700 mm；宽：1500~1700 mm；高：1500~1700 mm。</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2.重量：600KG—700KG。</w:t>
            </w:r>
            <w:r>
              <w:rPr>
                <w:rStyle w:val="37"/>
                <w:kern w:val="2"/>
                <w:highlight w:val="none"/>
                <w:lang w:val="en-US" w:eastAsia="zh-CN" w:bidi="ar"/>
              </w:rPr>
              <w:br w:type="textWrapping"/>
            </w:r>
            <w:r>
              <w:rPr>
                <w:rStyle w:val="37"/>
                <w:kern w:val="2"/>
                <w:highlight w:val="none"/>
                <w:lang w:val="en-US" w:eastAsia="zh-CN" w:bidi="ar"/>
              </w:rPr>
              <w:t>3.额定功率（最大）：</w:t>
            </w:r>
            <w:r>
              <w:rPr>
                <w:rStyle w:val="37"/>
                <w:color w:val="auto"/>
                <w:kern w:val="2"/>
                <w:highlight w:val="none"/>
                <w:lang w:bidi="ar"/>
              </w:rPr>
              <w:t>≤</w:t>
            </w:r>
            <w:r>
              <w:rPr>
                <w:rStyle w:val="37"/>
                <w:kern w:val="2"/>
                <w:highlight w:val="none"/>
                <w:lang w:val="en-US" w:eastAsia="zh-CN" w:bidi="ar"/>
              </w:rPr>
              <w:t>4000W</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4.作业间隔：3分钟—5分钟;</w:t>
            </w:r>
            <w:r>
              <w:rPr>
                <w:rStyle w:val="37"/>
                <w:kern w:val="2"/>
                <w:highlight w:val="none"/>
                <w:lang w:val="en-US" w:eastAsia="zh-CN" w:bidi="ar"/>
              </w:rPr>
              <w:br w:type="textWrapping"/>
            </w:r>
            <w:r>
              <w:rPr>
                <w:rStyle w:val="37"/>
                <w:kern w:val="2"/>
                <w:highlight w:val="none"/>
                <w:lang w:val="en-US" w:eastAsia="zh-CN" w:bidi="ar"/>
              </w:rPr>
              <w:t>5.换电池方式:机械臂（配合移动电池仓）</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6.工作温度:零下20至零上60度</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7.防护等级:≥IP54</w:t>
            </w:r>
            <w:r>
              <w:rPr>
                <w:rStyle w:val="37"/>
                <w:kern w:val="2"/>
                <w:highlight w:val="none"/>
                <w:lang w:val="en-US" w:eastAsia="zh-CN" w:bidi="ar"/>
              </w:rPr>
              <w:br w:type="textWrapping"/>
            </w:r>
            <w:r>
              <w:rPr>
                <w:rStyle w:val="37"/>
                <w:kern w:val="2"/>
                <w:highlight w:val="none"/>
                <w:lang w:val="en-US" w:eastAsia="zh-CN" w:bidi="ar"/>
              </w:rPr>
              <w:t>8.精准降落:视觉</w:t>
            </w:r>
            <w:r>
              <w:rPr>
                <w:rStyle w:val="37"/>
                <w:kern w:val="2"/>
                <w:highlight w:val="none"/>
                <w:lang w:val="en-US" w:eastAsia="zh-CN" w:bidi="ar"/>
              </w:rPr>
              <w:br w:type="textWrapping"/>
            </w:r>
            <w:r>
              <w:rPr>
                <w:rStyle w:val="37"/>
                <w:kern w:val="2"/>
                <w:highlight w:val="none"/>
                <w:lang w:val="en-US" w:eastAsia="zh-CN" w:bidi="ar"/>
              </w:rPr>
              <w:t>9.降落精度:±5cm</w:t>
            </w:r>
            <w:r>
              <w:rPr>
                <w:rStyle w:val="37"/>
                <w:kern w:val="2"/>
                <w:highlight w:val="none"/>
                <w:lang w:val="en-US" w:eastAsia="zh-CN" w:bidi="ar"/>
              </w:rPr>
              <w:br w:type="textWrapping"/>
            </w:r>
            <w:r>
              <w:rPr>
                <w:rStyle w:val="37"/>
                <w:kern w:val="2"/>
                <w:highlight w:val="none"/>
                <w:lang w:val="en-US" w:eastAsia="zh-CN" w:bidi="ar"/>
              </w:rPr>
              <w:t>10.信号传输:4/5G 光纤</w:t>
            </w:r>
            <w:r>
              <w:rPr>
                <w:rStyle w:val="37"/>
                <w:kern w:val="2"/>
                <w:highlight w:val="none"/>
                <w:lang w:val="en-US" w:eastAsia="zh-CN" w:bidi="ar"/>
              </w:rPr>
              <w:br w:type="textWrapping"/>
            </w:r>
            <w:r>
              <w:rPr>
                <w:rStyle w:val="37"/>
                <w:kern w:val="2"/>
                <w:highlight w:val="none"/>
                <w:lang w:val="en-US" w:eastAsia="zh-CN" w:bidi="ar"/>
              </w:rPr>
              <w:t>11.抗风等级：</w:t>
            </w:r>
            <w:r>
              <w:rPr>
                <w:rStyle w:val="37"/>
                <w:rFonts w:hint="default"/>
                <w:kern w:val="2"/>
                <w:highlight w:val="none"/>
                <w:lang w:val="en-US" w:eastAsia="zh-CN" w:bidi="ar"/>
              </w:rPr>
              <w:t>≥</w:t>
            </w:r>
            <w:r>
              <w:rPr>
                <w:rStyle w:val="37"/>
                <w:kern w:val="2"/>
                <w:highlight w:val="none"/>
                <w:lang w:val="en-US" w:eastAsia="zh-CN" w:bidi="ar"/>
              </w:rPr>
              <w:t>7级</w:t>
            </w:r>
            <w:r>
              <w:rPr>
                <w:rStyle w:val="37"/>
                <w:kern w:val="2"/>
                <w:highlight w:val="none"/>
                <w:lang w:val="en-US" w:eastAsia="zh-CN" w:bidi="ar"/>
              </w:rPr>
              <w:br w:type="textWrapping"/>
            </w:r>
            <w:r>
              <w:rPr>
                <w:rStyle w:val="37"/>
                <w:kern w:val="2"/>
                <w:highlight w:val="none"/>
                <w:lang w:val="en-US" w:eastAsia="zh-CN" w:bidi="ar"/>
              </w:rPr>
              <w:t>12.机械手重复定位精度：±0.05mm</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13.安全防护：欠压-过载-短路保护</w:t>
            </w:r>
            <w:r>
              <w:rPr>
                <w:rStyle w:val="37"/>
                <w:kern w:val="2"/>
                <w:highlight w:val="none"/>
                <w:lang w:val="en-US" w:eastAsia="zh-CN" w:bidi="ar"/>
              </w:rPr>
              <w:br w:type="textWrapping"/>
            </w:r>
            <w:r>
              <w:rPr>
                <w:rStyle w:val="37"/>
                <w:kern w:val="2"/>
                <w:highlight w:val="none"/>
                <w:lang w:val="en-US" w:eastAsia="zh-CN" w:bidi="ar"/>
              </w:rPr>
              <w:t>14.安全标准：GB4943</w:t>
            </w:r>
            <w:r>
              <w:rPr>
                <w:rStyle w:val="37"/>
                <w:kern w:val="2"/>
                <w:highlight w:val="none"/>
                <w:lang w:val="en-US" w:eastAsia="zh-CN" w:bidi="ar"/>
              </w:rPr>
              <w:br w:type="textWrapping"/>
            </w:r>
            <w:r>
              <w:rPr>
                <w:rStyle w:val="37"/>
                <w:kern w:val="2"/>
                <w:highlight w:val="none"/>
                <w:lang w:val="en-US" w:eastAsia="zh-CN" w:bidi="ar"/>
              </w:rPr>
              <w:t>15.无故障运行:</w:t>
            </w:r>
            <w:r>
              <w:rPr>
                <w:rStyle w:val="37"/>
                <w:color w:val="auto"/>
                <w:kern w:val="2"/>
                <w:highlight w:val="none"/>
                <w:lang w:bidi="ar"/>
              </w:rPr>
              <w:t>≤</w:t>
            </w:r>
            <w:r>
              <w:rPr>
                <w:rStyle w:val="37"/>
                <w:kern w:val="2"/>
                <w:highlight w:val="none"/>
                <w:lang w:val="en-US" w:eastAsia="zh-CN" w:bidi="ar"/>
              </w:rPr>
              <w:t>10000次</w:t>
            </w:r>
            <w:r>
              <w:rPr>
                <w:rStyle w:val="37"/>
                <w:kern w:val="2"/>
                <w:highlight w:val="none"/>
                <w:lang w:val="en-US" w:eastAsia="zh-CN" w:bidi="ar"/>
              </w:rPr>
              <w:br w:type="textWrapping"/>
            </w:r>
            <w:r>
              <w:rPr>
                <w:rStyle w:val="37"/>
                <w:kern w:val="2"/>
                <w:highlight w:val="none"/>
                <w:lang w:val="en-US" w:eastAsia="zh-CN" w:bidi="ar"/>
              </w:rPr>
              <w:t>16.作业覆盖半径:</w:t>
            </w:r>
            <w:r>
              <w:rPr>
                <w:rStyle w:val="37"/>
                <w:color w:val="auto"/>
                <w:kern w:val="2"/>
                <w:highlight w:val="none"/>
                <w:lang w:bidi="ar"/>
              </w:rPr>
              <w:t>≤</w:t>
            </w:r>
            <w:r>
              <w:rPr>
                <w:rStyle w:val="37"/>
                <w:kern w:val="2"/>
                <w:highlight w:val="none"/>
                <w:lang w:val="en-US" w:eastAsia="zh-CN" w:bidi="ar"/>
              </w:rPr>
              <w:t>15KM</w:t>
            </w:r>
            <w:r>
              <w:rPr>
                <w:rStyle w:val="37"/>
                <w:kern w:val="2"/>
                <w:highlight w:val="none"/>
                <w:lang w:val="en-US" w:eastAsia="zh-CN" w:bidi="ar"/>
              </w:rPr>
              <w:br w:type="textWrapping"/>
            </w:r>
            <w:r>
              <w:rPr>
                <w:rStyle w:val="37"/>
                <w:kern w:val="2"/>
                <w:highlight w:val="none"/>
                <w:lang w:val="en-US" w:eastAsia="zh-CN" w:bidi="ar"/>
              </w:rPr>
              <w:t>（2）无人机参数：</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1.尺寸：长：400~850 mm；宽：400~700 mm；高：400~450 mm</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2.对称电机轴距:≥850 mm</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3.重量（含下置单云台支架）:3.5~6.5 kg</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4.最大载重:≥2.5 kg</w:t>
            </w:r>
            <w:r>
              <w:rPr>
                <w:rStyle w:val="37"/>
                <w:kern w:val="2"/>
                <w:highlight w:val="none"/>
                <w:lang w:val="en-US" w:eastAsia="zh-CN" w:bidi="ar"/>
              </w:rPr>
              <w:br w:type="textWrapping"/>
            </w:r>
            <w:r>
              <w:rPr>
                <w:rStyle w:val="37"/>
                <w:kern w:val="2"/>
                <w:highlight w:val="none"/>
                <w:lang w:val="en-US" w:eastAsia="zh-CN" w:bidi="ar"/>
              </w:rPr>
              <w:t>5.最大起飞重量:≥8.5 kg</w:t>
            </w:r>
            <w:r>
              <w:rPr>
                <w:rStyle w:val="37"/>
                <w:kern w:val="2"/>
                <w:highlight w:val="none"/>
                <w:lang w:val="en-US" w:eastAsia="zh-CN" w:bidi="ar"/>
              </w:rPr>
              <w:br w:type="textWrapping"/>
            </w:r>
            <w:r>
              <w:rPr>
                <w:rStyle w:val="37"/>
                <w:kern w:val="2"/>
                <w:highlight w:val="none"/>
                <w:lang w:val="en-US" w:eastAsia="zh-CN" w:bidi="ar"/>
              </w:rPr>
              <w:t>6.工作频率:2.400-2.500 GHz;5.600-5.850 GHz</w:t>
            </w:r>
            <w:r>
              <w:rPr>
                <w:rStyle w:val="37"/>
                <w:kern w:val="2"/>
                <w:highlight w:val="none"/>
                <w:lang w:val="en-US" w:eastAsia="zh-CN" w:bidi="ar"/>
              </w:rPr>
              <w:br w:type="textWrapping"/>
            </w:r>
            <w:r>
              <w:rPr>
                <w:rStyle w:val="37"/>
                <w:kern w:val="2"/>
                <w:highlight w:val="none"/>
                <w:lang w:val="en-US" w:eastAsia="zh-CN" w:bidi="ar"/>
              </w:rPr>
              <w:t>7.发射功率（EIRP）:2.400-2.500 GHz：28~30 dBm（FCC）;17~19 dBm（CE）17~19 dBm（SRRC）;17~19dBm（MIC）。5.600-5.850 GHz：28~30 dBm（FCC）；11~13dBm（CE）28~30 dBm（SRRC）</w:t>
            </w:r>
            <w:r>
              <w:rPr>
                <w:rStyle w:val="37"/>
                <w:kern w:val="2"/>
                <w:highlight w:val="none"/>
                <w:lang w:val="en-US" w:eastAsia="zh-CN" w:bidi="ar"/>
              </w:rPr>
              <w:br w:type="textWrapping"/>
            </w:r>
            <w:r>
              <w:rPr>
                <w:rFonts w:hint="eastAsia" w:ascii="宋体" w:hAnsi="宋体" w:cs="宋体"/>
                <w:color w:val="auto"/>
                <w:kern w:val="0"/>
                <w:sz w:val="20"/>
                <w:szCs w:val="20"/>
                <w:highlight w:val="none"/>
                <w:lang w:bidi="ar"/>
              </w:rPr>
              <w:t>★</w:t>
            </w:r>
            <w:r>
              <w:rPr>
                <w:rStyle w:val="37"/>
                <w:kern w:val="2"/>
                <w:highlight w:val="none"/>
                <w:lang w:val="en-US" w:eastAsia="zh-CN" w:bidi="ar"/>
              </w:rPr>
              <w:t>8.悬停精度（P-GPS）：垂直：±0.1 m（视觉定位正常工作时）±0.5 m（GPS 正常工作时）±0.1 m（RTK 定位正常工作时）水平：±0.3 m（视觉定位正常工作时）±1.5 m（GPS 正常工作时）±0.1 m（RTK 定位正常工作时）</w:t>
            </w:r>
            <w:r>
              <w:rPr>
                <w:rStyle w:val="37"/>
                <w:kern w:val="2"/>
                <w:highlight w:val="none"/>
                <w:lang w:val="en-US" w:eastAsia="zh-CN" w:bidi="ar"/>
              </w:rPr>
              <w:br w:type="textWrapping"/>
            </w:r>
            <w:r>
              <w:rPr>
                <w:rStyle w:val="37"/>
                <w:kern w:val="2"/>
                <w:highlight w:val="none"/>
                <w:lang w:val="en-US" w:eastAsia="zh-CN" w:bidi="ar"/>
              </w:rPr>
              <w:t>9.RTK 位置精度:在 RTK FIX 时：1 cm + 1 ppm（水平）1.5 cm + 1 ppm（垂直）</w:t>
            </w:r>
            <w:r>
              <w:rPr>
                <w:rStyle w:val="37"/>
                <w:kern w:val="2"/>
                <w:highlight w:val="none"/>
                <w:lang w:val="en-US" w:eastAsia="zh-CN" w:bidi="ar"/>
              </w:rPr>
              <w:br w:type="textWrapping"/>
            </w:r>
            <w:r>
              <w:rPr>
                <w:rStyle w:val="37"/>
                <w:kern w:val="2"/>
                <w:highlight w:val="none"/>
                <w:lang w:val="en-US" w:eastAsia="zh-CN" w:bidi="ar"/>
              </w:rPr>
              <w:t>10.最大旋转角速度：俯仰轴：≥300°/s；航向轴：</w:t>
            </w:r>
            <w:r>
              <w:rPr>
                <w:rStyle w:val="37"/>
                <w:rFonts w:hint="default"/>
                <w:kern w:val="2"/>
                <w:highlight w:val="none"/>
                <w:lang w:val="en-US" w:eastAsia="zh-CN" w:bidi="ar"/>
              </w:rPr>
              <w:t xml:space="preserve">≥ </w:t>
            </w:r>
            <w:r>
              <w:rPr>
                <w:rStyle w:val="37"/>
                <w:kern w:val="2"/>
                <w:highlight w:val="none"/>
                <w:lang w:val="en-US" w:eastAsia="zh-CN" w:bidi="ar"/>
              </w:rPr>
              <w:t>100°/s</w:t>
            </w:r>
            <w:r>
              <w:rPr>
                <w:rStyle w:val="37"/>
                <w:kern w:val="2"/>
                <w:highlight w:val="none"/>
                <w:lang w:val="en-US" w:eastAsia="zh-CN" w:bidi="ar"/>
              </w:rPr>
              <w:br w:type="textWrapping"/>
            </w:r>
            <w:r>
              <w:rPr>
                <w:rStyle w:val="37"/>
                <w:kern w:val="2"/>
                <w:highlight w:val="none"/>
                <w:lang w:val="en-US" w:eastAsia="zh-CN" w:bidi="ar"/>
              </w:rPr>
              <w:t>11.最大俯仰角度：25°~30°</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12.最大上升速度：5~6 m/s</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13.最大下降速度（垂直）：4~6 m/s</w:t>
            </w:r>
            <w:r>
              <w:rPr>
                <w:rStyle w:val="37"/>
                <w:kern w:val="2"/>
                <w:highlight w:val="none"/>
                <w:lang w:val="en-US" w:eastAsia="zh-CN" w:bidi="ar"/>
              </w:rPr>
              <w:br w:type="textWrapping"/>
            </w:r>
            <w:r>
              <w:rPr>
                <w:rStyle w:val="37"/>
                <w:kern w:val="2"/>
                <w:highlight w:val="none"/>
                <w:lang w:val="en-US" w:eastAsia="zh-CN" w:bidi="ar"/>
              </w:rPr>
              <w:t>14.最大倾斜下降速度：≥ 6.5 m/s</w:t>
            </w:r>
            <w:r>
              <w:rPr>
                <w:rStyle w:val="37"/>
                <w:kern w:val="2"/>
                <w:highlight w:val="none"/>
                <w:lang w:val="en-US" w:eastAsia="zh-CN" w:bidi="ar"/>
              </w:rPr>
              <w:br w:type="textWrapping"/>
            </w:r>
            <w:r>
              <w:rPr>
                <w:rStyle w:val="37"/>
                <w:kern w:val="2"/>
                <w:highlight w:val="none"/>
                <w:lang w:val="en-US" w:eastAsia="zh-CN" w:bidi="ar"/>
              </w:rPr>
              <w:t>15.最大水平飞行速度：17~23 m/s</w:t>
            </w:r>
            <w:r>
              <w:rPr>
                <w:rStyle w:val="37"/>
                <w:kern w:val="2"/>
                <w:highlight w:val="none"/>
                <w:lang w:val="en-US" w:eastAsia="zh-CN" w:bidi="ar"/>
              </w:rPr>
              <w:br w:type="textWrapping"/>
            </w:r>
            <w:r>
              <w:rPr>
                <w:rStyle w:val="37"/>
                <w:kern w:val="2"/>
                <w:highlight w:val="none"/>
                <w:lang w:val="en-US" w:eastAsia="zh-CN" w:bidi="ar"/>
              </w:rPr>
              <w:t>16.最大飞行海拔高度：5000~7000 m</w:t>
            </w:r>
            <w:r>
              <w:rPr>
                <w:rStyle w:val="37"/>
                <w:kern w:val="2"/>
                <w:highlight w:val="none"/>
                <w:lang w:val="en-US" w:eastAsia="zh-CN" w:bidi="ar"/>
              </w:rPr>
              <w:br w:type="textWrapping"/>
            </w:r>
            <w:r>
              <w:rPr>
                <w:rStyle w:val="37"/>
                <w:kern w:val="2"/>
                <w:highlight w:val="none"/>
                <w:lang w:val="en-US" w:eastAsia="zh-CN" w:bidi="ar"/>
              </w:rPr>
              <w:t>17.最大可承受风速：≥14.5 m/s （7级风）</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18.最大飞行时间:≥50 min</w:t>
            </w:r>
            <w:r>
              <w:rPr>
                <w:rStyle w:val="37"/>
                <w:kern w:val="2"/>
                <w:highlight w:val="none"/>
                <w:lang w:val="en-US" w:eastAsia="zh-CN" w:bidi="ar"/>
              </w:rPr>
              <w:br w:type="textWrapping"/>
            </w:r>
            <w:r>
              <w:rPr>
                <w:rStyle w:val="37"/>
                <w:kern w:val="2"/>
                <w:highlight w:val="none"/>
                <w:lang w:val="en-US" w:eastAsia="zh-CN" w:bidi="ar"/>
              </w:rPr>
              <w:t>19.IP 防护等级:≥IP 45</w:t>
            </w:r>
            <w:r>
              <w:rPr>
                <w:rStyle w:val="37"/>
                <w:kern w:val="2"/>
                <w:highlight w:val="none"/>
                <w:lang w:val="en-US" w:eastAsia="zh-CN" w:bidi="ar"/>
              </w:rPr>
              <w:br w:type="textWrapping"/>
            </w:r>
            <w:r>
              <w:rPr>
                <w:rStyle w:val="37"/>
                <w:kern w:val="2"/>
                <w:highlight w:val="none"/>
                <w:lang w:val="en-US" w:eastAsia="zh-CN" w:bidi="ar"/>
              </w:rPr>
              <w:t>20.GNSS:GPS + GLONASS + BeiDou + Galileo</w:t>
            </w:r>
            <w:r>
              <w:rPr>
                <w:rStyle w:val="37"/>
                <w:kern w:val="2"/>
                <w:highlight w:val="none"/>
                <w:lang w:val="en-US" w:eastAsia="zh-CN" w:bidi="ar"/>
              </w:rPr>
              <w:br w:type="textWrapping"/>
            </w:r>
            <w:r>
              <w:rPr>
                <w:rStyle w:val="37"/>
                <w:rFonts w:hint="eastAsia"/>
                <w:kern w:val="2"/>
                <w:highlight w:val="none"/>
                <w:lang w:val="en-US" w:eastAsia="zh-CN" w:bidi="ar"/>
              </w:rPr>
              <w:t>★</w:t>
            </w:r>
            <w:r>
              <w:rPr>
                <w:rStyle w:val="37"/>
                <w:kern w:val="2"/>
                <w:highlight w:val="none"/>
                <w:lang w:val="en-US" w:eastAsia="zh-CN" w:bidi="ar"/>
              </w:rPr>
              <w:t>21.工作环境温度:-20~50°C</w:t>
            </w:r>
            <w:r>
              <w:rPr>
                <w:rStyle w:val="37"/>
                <w:kern w:val="2"/>
                <w:highlight w:val="none"/>
                <w:lang w:val="en-US" w:eastAsia="zh-CN" w:bidi="ar"/>
              </w:rPr>
              <w:br w:type="textWrapping"/>
            </w:r>
            <w:r>
              <w:rPr>
                <w:rStyle w:val="37"/>
                <w:kern w:val="2"/>
                <w:highlight w:val="none"/>
                <w:lang w:val="en-US" w:eastAsia="zh-CN" w:bidi="ar"/>
              </w:rPr>
              <w:t>22.支持云台安装方式:下置单云台、上置单云台、下置双云台、下置单云台+上置单云台、下置双云台+上置单云台</w:t>
            </w:r>
          </w:p>
        </w:tc>
        <w:tc>
          <w:tcPr>
            <w:tcW w:w="1076" w:type="dxa"/>
            <w:noWrap w:val="0"/>
            <w:vAlign w:val="top"/>
          </w:tcPr>
          <w:p w14:paraId="529C0306">
            <w:pPr>
              <w:spacing w:line="560" w:lineRule="exact"/>
              <w:jc w:val="left"/>
              <w:rPr>
                <w:rFonts w:hint="eastAsia" w:ascii="楷体" w:hAnsi="楷体" w:eastAsia="楷体"/>
                <w:kern w:val="2"/>
                <w:sz w:val="32"/>
                <w:szCs w:val="32"/>
                <w:highlight w:val="none"/>
                <w:vertAlign w:val="baseline"/>
              </w:rPr>
            </w:pPr>
          </w:p>
        </w:tc>
      </w:tr>
      <w:tr w14:paraId="472B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6E93DB6E">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2</w:t>
            </w:r>
          </w:p>
        </w:tc>
        <w:tc>
          <w:tcPr>
            <w:tcW w:w="980" w:type="dxa"/>
            <w:vMerge w:val="continue"/>
            <w:noWrap w:val="0"/>
            <w:vAlign w:val="top"/>
          </w:tcPr>
          <w:p w14:paraId="6450F0DA">
            <w:pPr>
              <w:spacing w:line="560" w:lineRule="exact"/>
              <w:jc w:val="left"/>
              <w:rPr>
                <w:rFonts w:hint="eastAsia" w:ascii="楷体" w:hAnsi="楷体" w:eastAsia="楷体"/>
                <w:kern w:val="2"/>
                <w:sz w:val="32"/>
                <w:szCs w:val="32"/>
                <w:highlight w:val="none"/>
                <w:vertAlign w:val="baseline"/>
              </w:rPr>
            </w:pPr>
          </w:p>
        </w:tc>
        <w:tc>
          <w:tcPr>
            <w:tcW w:w="5910" w:type="dxa"/>
            <w:noWrap w:val="0"/>
            <w:vAlign w:val="center"/>
          </w:tcPr>
          <w:p w14:paraId="3FFED0A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（二）无人机运营指挥中心服务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提供无人机远程飞控平台，可实现规划航线，上传航线后按任务自动飞行，最高可实现1080P实时视频回传。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可实现对无人机远程操控，飞行过程中可操控云台摄像头进行转向、变焦等操作，自动执飞过程中可暂停任务，手工接管无人机进行远程操控。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可提供无人机回传画面多屏显示。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（1）云台相机参数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云台：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1.重量：678±5 g/828±5 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2.尺寸：长：150~170 mm；宽：110~135 mm；高：150~165 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3.防水等级：≥IP 43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4.人眼安全等级：Class 1M（IEC 60825-1:2014）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5.工作温度：-20℃ 至 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6.存储温度：-20℃ 至 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7.角度抖动量：±0.01°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8.安装方式：可拆式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9.可控转动范围：俯仰：－120°~ +30°平移：±320°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10.结构设计范围：俯仰：－132.5°~+42.5° 平移：±330°横滚：-90°~+60°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变焦相机：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1.传感器：1/1.7" CMOS，有效像素 2000 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2.镜头：DFOV：66.6°-4°，焦距：6.80-120.00 mm（等效焦距：31.0-555.0 mm）光圈：f/2.8-f/11（正常），f/1.6-f/11（夜景）对焦距离：1 m 至无穷远（广角），8 m 至无穷远（长焦）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3.对焦模式：MF/AF-C/AF-S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4.曝光模式：程序自动曝光，手动曝光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5.曝光补偿：±3.0 （以1/3为步长）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6.测光模式：点测光、中央重点测光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7.测光锁定：支持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8.电子快门速度：1 ~ 1/8000 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9.ISO范围：视频：100 – 25600；照片：100 - 25600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10.视频分辨率：3840x2160@30fps / 1920x1080@30fps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11.视频格式：MP4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12.视频字幕：支持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13.最大照片尺寸：5184 × 3888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14.照片格式：JPEG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广角相机：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1.传感器：1/2.3" CMOS，有效像素1200万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2.镜头：DFOV：82.9°焦距：4.5 mm（等效焦距：24 mm）光圈：f/2.8对焦距离：1 m至无穷远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3.曝光模式：自动曝光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4.自动曝光：±3.0 （以1/3为步长）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5.测光模式：点测光、中央重点测光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6.测光锁定：支持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7.快门速度：1 ~ 1/8000 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8.ISO范围：视频：100 – 25600；照片：100 - 25600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9.视频分辨率：</w:t>
            </w:r>
            <w:r>
              <w:rPr>
                <w:rStyle w:val="37"/>
                <w:color w:val="auto"/>
                <w:kern w:val="2"/>
                <w:highlight w:val="none"/>
                <w:lang w:bidi="ar"/>
              </w:rPr>
              <w:t>≤</w:t>
            </w:r>
            <w:r>
              <w:rPr>
                <w:rFonts w:hint="eastAsia" w:ascii="宋体" w:hAnsi="宋体" w:eastAsia="宋体" w:cs="宋体"/>
                <w:i w:val="0"/>
                <w:iCs w:val="0"/>
                <w:color w:val="000000"/>
                <w:kern w:val="0"/>
                <w:sz w:val="20"/>
                <w:szCs w:val="20"/>
                <w:highlight w:val="none"/>
                <w:u w:val="none"/>
                <w:lang w:val="en-US" w:eastAsia="zh-CN" w:bidi="ar"/>
              </w:rPr>
              <w:t>1920×1080@30fps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10.视频格式：MP4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11.视频字幕：支持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12.最大照片尺寸：4056×3040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13.照片格式：JPEG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热成像相机：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1.热成像传感器类型：非制冷氧化钒（VOx）微测热辐射计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2.镜头：DFOV：40.6°焦距：13.5 mm （ 等效焦距：58 mm）光圈：f/1.0对焦距离：5 m 至无穷远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3.数字变焦：1x，2x，4x，8x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4.视频分辨率：640×512 @ 30 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5.视频格式：MP4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6.照片分辨率：640×512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7.照片格式：R-JPEG* (16 bit)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8.像元间距：</w:t>
            </w:r>
            <w:r>
              <w:rPr>
                <w:rStyle w:val="37"/>
                <w:color w:val="auto"/>
                <w:kern w:val="2"/>
                <w:highlight w:val="none"/>
                <w:lang w:bidi="ar"/>
              </w:rPr>
              <w:t>≤</w:t>
            </w:r>
            <w:r>
              <w:rPr>
                <w:rFonts w:hint="eastAsia" w:ascii="宋体" w:hAnsi="宋体" w:eastAsia="宋体" w:cs="宋体"/>
                <w:i w:val="0"/>
                <w:iCs w:val="0"/>
                <w:color w:val="000000"/>
                <w:kern w:val="0"/>
                <w:sz w:val="20"/>
                <w:szCs w:val="20"/>
                <w:highlight w:val="none"/>
                <w:u w:val="none"/>
                <w:lang w:val="en-US" w:eastAsia="zh-CN" w:bidi="ar"/>
              </w:rPr>
              <w:t>12 μm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9.波长范围：8-14 μm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10.灵敏度（NETD）：≤50 mK @ f/1.0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11.测温方式：点测温、区域测温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12.测温范围：-40℃ 至 150℃（高增益模式）；-40℃ 至 550℃（低增益模式）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13.高温警报：支持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14.FFC：自动/手动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15.调色盘：白热/熔岩/铁红/热铁/医疗/北极/彩虹1/彩虹2/描红/黑热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激光测距仪：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1.波长：</w:t>
            </w:r>
            <w:r>
              <w:rPr>
                <w:rStyle w:val="37"/>
                <w:color w:val="auto"/>
                <w:kern w:val="2"/>
                <w:highlight w:val="none"/>
                <w:lang w:bidi="ar"/>
              </w:rPr>
              <w:t>≤</w:t>
            </w:r>
            <w:r>
              <w:rPr>
                <w:rFonts w:hint="eastAsia" w:ascii="宋体" w:hAnsi="宋体" w:eastAsia="宋体" w:cs="宋体"/>
                <w:i w:val="0"/>
                <w:iCs w:val="0"/>
                <w:color w:val="000000"/>
                <w:kern w:val="0"/>
                <w:sz w:val="20"/>
                <w:szCs w:val="20"/>
                <w:highlight w:val="none"/>
                <w:u w:val="none"/>
                <w:lang w:val="en-US" w:eastAsia="zh-CN" w:bidi="ar"/>
              </w:rPr>
              <w:t>905 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2.测量范围：3-1200 m（直径12 m、20%反射率的垂直反射面）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3.测量精度：±(0.2m+D×0.15%)，其中 D 表示与垂直反射面之间的距离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其他功能：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1.混合光学变焦：</w:t>
            </w:r>
            <w:r>
              <w:rPr>
                <w:rStyle w:val="37"/>
                <w:color w:val="auto"/>
                <w:kern w:val="2"/>
                <w:highlight w:val="none"/>
                <w:lang w:bidi="ar"/>
              </w:rPr>
              <w:t>≤</w:t>
            </w:r>
            <w:r>
              <w:rPr>
                <w:rFonts w:hint="eastAsia" w:ascii="宋体" w:hAnsi="宋体" w:eastAsia="宋体" w:cs="宋体"/>
                <w:i w:val="0"/>
                <w:iCs w:val="0"/>
                <w:color w:val="000000"/>
                <w:kern w:val="0"/>
                <w:sz w:val="20"/>
                <w:szCs w:val="20"/>
                <w:highlight w:val="none"/>
                <w:u w:val="none"/>
                <w:lang w:val="en-US" w:eastAsia="zh-CN" w:bidi="ar"/>
              </w:rPr>
              <w:t>23×（DFOV：4°，等效焦距：556.2mm）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2.最大变焦倍数：</w:t>
            </w:r>
            <w:r>
              <w:rPr>
                <w:rStyle w:val="37"/>
                <w:color w:val="auto"/>
                <w:kern w:val="2"/>
                <w:highlight w:val="none"/>
                <w:lang w:bidi="ar"/>
              </w:rPr>
              <w:t>≤</w:t>
            </w:r>
            <w:r>
              <w:rPr>
                <w:rFonts w:hint="eastAsia" w:ascii="宋体" w:hAnsi="宋体" w:eastAsia="宋体" w:cs="宋体"/>
                <w:i w:val="0"/>
                <w:iCs w:val="0"/>
                <w:color w:val="000000"/>
                <w:kern w:val="0"/>
                <w:sz w:val="20"/>
                <w:szCs w:val="20"/>
                <w:highlight w:val="none"/>
                <w:u w:val="none"/>
                <w:lang w:val="en-US" w:eastAsia="zh-CN" w:bidi="ar"/>
              </w:rPr>
              <w:t>200×（DFOV：0.5°，等效焦距：4800mm）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3.联动拍摄：变焦、广角、热成像相机同时拍照/录像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4.指点对准：用户在广角/热成像相机的画面上双击兴趣点，系统自动转动云台把兴趣点置于变焦相机画面中心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5.夜景模式：支持（变焦相机）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6.时间戳水印：包含日期、时间、经纬度</w:t>
            </w:r>
          </w:p>
        </w:tc>
        <w:tc>
          <w:tcPr>
            <w:tcW w:w="1076" w:type="dxa"/>
            <w:noWrap w:val="0"/>
            <w:vAlign w:val="top"/>
          </w:tcPr>
          <w:p w14:paraId="11E8F492">
            <w:pPr>
              <w:spacing w:line="560" w:lineRule="exact"/>
              <w:jc w:val="left"/>
              <w:rPr>
                <w:rFonts w:hint="eastAsia" w:ascii="楷体" w:hAnsi="楷体" w:eastAsia="楷体"/>
                <w:kern w:val="2"/>
                <w:sz w:val="32"/>
                <w:szCs w:val="32"/>
                <w:highlight w:val="none"/>
                <w:vertAlign w:val="baseline"/>
              </w:rPr>
            </w:pPr>
          </w:p>
        </w:tc>
      </w:tr>
      <w:tr w14:paraId="7B9F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67ACC11B">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3</w:t>
            </w:r>
          </w:p>
        </w:tc>
        <w:tc>
          <w:tcPr>
            <w:tcW w:w="980" w:type="dxa"/>
            <w:vMerge w:val="continue"/>
            <w:noWrap w:val="0"/>
            <w:vAlign w:val="top"/>
          </w:tcPr>
          <w:p w14:paraId="4413332C">
            <w:pPr>
              <w:spacing w:line="560" w:lineRule="exact"/>
              <w:jc w:val="left"/>
              <w:rPr>
                <w:rFonts w:hint="eastAsia" w:ascii="楷体" w:hAnsi="楷体" w:eastAsia="楷体"/>
                <w:kern w:val="2"/>
                <w:sz w:val="32"/>
                <w:szCs w:val="32"/>
                <w:highlight w:val="none"/>
                <w:vertAlign w:val="baseline"/>
              </w:rPr>
            </w:pPr>
          </w:p>
        </w:tc>
        <w:tc>
          <w:tcPr>
            <w:tcW w:w="5910" w:type="dxa"/>
            <w:noWrap w:val="0"/>
            <w:vAlign w:val="center"/>
          </w:tcPr>
          <w:p w14:paraId="70B13E17">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（三）视频存储下载服务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提供无人机巡航视频数据下载服务，无人机完成执飞任务后，5分钟内可在回看视频信息。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每台无人机提供1T存储空间。提供视频数据备份保存30天，高清照片备份保存180天的服务。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每个智慧机场配置100M网络服务，无人机配置4G/5G流量卡，确保无人机视频传输。</w:t>
            </w:r>
          </w:p>
        </w:tc>
        <w:tc>
          <w:tcPr>
            <w:tcW w:w="1076" w:type="dxa"/>
            <w:noWrap w:val="0"/>
            <w:vAlign w:val="top"/>
          </w:tcPr>
          <w:p w14:paraId="0C685716">
            <w:pPr>
              <w:spacing w:line="560" w:lineRule="exact"/>
              <w:jc w:val="left"/>
              <w:rPr>
                <w:rFonts w:hint="eastAsia" w:ascii="楷体" w:hAnsi="楷体" w:eastAsia="楷体"/>
                <w:kern w:val="2"/>
                <w:sz w:val="32"/>
                <w:szCs w:val="32"/>
                <w:highlight w:val="none"/>
                <w:vertAlign w:val="baseline"/>
              </w:rPr>
            </w:pPr>
          </w:p>
        </w:tc>
      </w:tr>
      <w:tr w14:paraId="68CB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03021BD8">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4</w:t>
            </w:r>
          </w:p>
        </w:tc>
        <w:tc>
          <w:tcPr>
            <w:tcW w:w="980" w:type="dxa"/>
            <w:vMerge w:val="continue"/>
            <w:noWrap w:val="0"/>
            <w:vAlign w:val="top"/>
          </w:tcPr>
          <w:p w14:paraId="7A6EC03D">
            <w:pPr>
              <w:spacing w:line="560" w:lineRule="exact"/>
              <w:jc w:val="left"/>
              <w:rPr>
                <w:rFonts w:hint="eastAsia" w:ascii="楷体" w:hAnsi="楷体" w:eastAsia="楷体"/>
                <w:kern w:val="2"/>
                <w:sz w:val="32"/>
                <w:szCs w:val="32"/>
                <w:highlight w:val="none"/>
                <w:vertAlign w:val="baseline"/>
              </w:rPr>
            </w:pPr>
          </w:p>
        </w:tc>
        <w:tc>
          <w:tcPr>
            <w:tcW w:w="5910" w:type="dxa"/>
            <w:noWrap w:val="0"/>
            <w:vAlign w:val="center"/>
          </w:tcPr>
          <w:p w14:paraId="0D50272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（四）航线服务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提供1飞手执勤，提供常态化及应急执飞服务，包括无人机机场日常执飞、应急执飞、专项行动配合、节假日高速值班等。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禁飞区航线申请另行规定。</w:t>
            </w:r>
          </w:p>
        </w:tc>
        <w:tc>
          <w:tcPr>
            <w:tcW w:w="1076" w:type="dxa"/>
            <w:noWrap w:val="0"/>
            <w:vAlign w:val="top"/>
          </w:tcPr>
          <w:p w14:paraId="08B1851B">
            <w:pPr>
              <w:spacing w:line="560" w:lineRule="exact"/>
              <w:jc w:val="left"/>
              <w:rPr>
                <w:rFonts w:hint="eastAsia" w:ascii="楷体" w:hAnsi="楷体" w:eastAsia="楷体"/>
                <w:kern w:val="2"/>
                <w:sz w:val="32"/>
                <w:szCs w:val="32"/>
                <w:highlight w:val="none"/>
                <w:vertAlign w:val="baseline"/>
              </w:rPr>
            </w:pPr>
          </w:p>
        </w:tc>
      </w:tr>
      <w:tr w14:paraId="3068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4E114EE2">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5</w:t>
            </w:r>
          </w:p>
        </w:tc>
        <w:tc>
          <w:tcPr>
            <w:tcW w:w="980" w:type="dxa"/>
            <w:vMerge w:val="continue"/>
            <w:noWrap w:val="0"/>
            <w:vAlign w:val="top"/>
          </w:tcPr>
          <w:p w14:paraId="4A9CBFB0">
            <w:pPr>
              <w:spacing w:line="560" w:lineRule="exact"/>
              <w:jc w:val="left"/>
              <w:rPr>
                <w:rFonts w:hint="eastAsia" w:ascii="楷体" w:hAnsi="楷体" w:eastAsia="楷体"/>
                <w:kern w:val="2"/>
                <w:sz w:val="32"/>
                <w:szCs w:val="32"/>
                <w:highlight w:val="none"/>
                <w:vertAlign w:val="baseline"/>
              </w:rPr>
            </w:pPr>
          </w:p>
        </w:tc>
        <w:tc>
          <w:tcPr>
            <w:tcW w:w="5910" w:type="dxa"/>
            <w:noWrap w:val="0"/>
            <w:vAlign w:val="center"/>
          </w:tcPr>
          <w:p w14:paraId="737D7A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（五）高位监控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提供7个高位监控服务，费用包含400万像素40倍光学变倍智能网络高清球机、设备安装、杆塔挂载、一年维护、10M专线费用、电费、8T存储空间费用。</w:t>
            </w:r>
          </w:p>
        </w:tc>
        <w:tc>
          <w:tcPr>
            <w:tcW w:w="1076" w:type="dxa"/>
            <w:noWrap w:val="0"/>
            <w:vAlign w:val="top"/>
          </w:tcPr>
          <w:p w14:paraId="4AA3873B">
            <w:pPr>
              <w:spacing w:line="560" w:lineRule="exact"/>
              <w:jc w:val="left"/>
              <w:rPr>
                <w:rFonts w:hint="eastAsia" w:ascii="楷体" w:hAnsi="楷体" w:eastAsia="楷体"/>
                <w:kern w:val="2"/>
                <w:sz w:val="32"/>
                <w:szCs w:val="32"/>
                <w:highlight w:val="none"/>
                <w:vertAlign w:val="baseline"/>
              </w:rPr>
            </w:pPr>
          </w:p>
        </w:tc>
      </w:tr>
      <w:tr w14:paraId="71F4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1B7E9F17">
            <w:pPr>
              <w:keepNext w:val="0"/>
              <w:keepLines w:val="0"/>
              <w:widowControl/>
              <w:suppressLineNumbers w:val="0"/>
              <w:jc w:val="center"/>
              <w:textAlignment w:val="center"/>
              <w:rPr>
                <w:rFonts w:hint="eastAsia" w:ascii="楷体" w:hAnsi="楷体" w:eastAsia="楷体"/>
                <w:kern w:val="2"/>
                <w:sz w:val="32"/>
                <w:szCs w:val="32"/>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6</w:t>
            </w:r>
          </w:p>
        </w:tc>
        <w:tc>
          <w:tcPr>
            <w:tcW w:w="980" w:type="dxa"/>
            <w:vMerge w:val="continue"/>
            <w:noWrap w:val="0"/>
            <w:vAlign w:val="top"/>
          </w:tcPr>
          <w:p w14:paraId="371D9CFC">
            <w:pPr>
              <w:spacing w:line="560" w:lineRule="exact"/>
              <w:jc w:val="left"/>
              <w:rPr>
                <w:rFonts w:hint="eastAsia" w:ascii="楷体" w:hAnsi="楷体" w:eastAsia="楷体"/>
                <w:kern w:val="2"/>
                <w:sz w:val="32"/>
                <w:szCs w:val="32"/>
                <w:highlight w:val="none"/>
                <w:vertAlign w:val="baseline"/>
              </w:rPr>
            </w:pPr>
          </w:p>
        </w:tc>
        <w:tc>
          <w:tcPr>
            <w:tcW w:w="5910" w:type="dxa"/>
            <w:noWrap w:val="0"/>
            <w:vAlign w:val="center"/>
          </w:tcPr>
          <w:p w14:paraId="1AE5715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（六）精准执法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协助进行占用应急车道、不按车道行驶、高速路上下客等违法行为抓拍取证，并对危害道路安全的行为进行远程劝导，每年至少纠正违法并采集数据13000份，并上传公安交通管理综合应用平台，并派驻1个专员驻点录入中心协助完成数据录入工作。提供相关数据录入图片、视频等数据备份2年服务。</w:t>
            </w:r>
          </w:p>
        </w:tc>
        <w:tc>
          <w:tcPr>
            <w:tcW w:w="1076" w:type="dxa"/>
            <w:noWrap w:val="0"/>
            <w:vAlign w:val="top"/>
          </w:tcPr>
          <w:p w14:paraId="30E7BC47">
            <w:pPr>
              <w:spacing w:line="560" w:lineRule="exact"/>
              <w:jc w:val="left"/>
              <w:rPr>
                <w:rFonts w:hint="eastAsia" w:ascii="楷体" w:hAnsi="楷体" w:eastAsia="楷体"/>
                <w:kern w:val="2"/>
                <w:sz w:val="32"/>
                <w:szCs w:val="32"/>
                <w:highlight w:val="none"/>
                <w:vertAlign w:val="baseline"/>
              </w:rPr>
            </w:pPr>
          </w:p>
        </w:tc>
      </w:tr>
      <w:tr w14:paraId="4202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center"/>
          </w:tcPr>
          <w:p w14:paraId="05F81CB1">
            <w:pPr>
              <w:jc w:val="center"/>
              <w:rPr>
                <w:rFonts w:hint="eastAsia" w:ascii="楷体" w:hAnsi="楷体" w:eastAsia="楷体"/>
                <w:kern w:val="2"/>
                <w:sz w:val="32"/>
                <w:szCs w:val="32"/>
                <w:highlight w:val="none"/>
                <w:vertAlign w:val="baseline"/>
              </w:rPr>
            </w:pPr>
          </w:p>
        </w:tc>
        <w:tc>
          <w:tcPr>
            <w:tcW w:w="980" w:type="dxa"/>
            <w:noWrap w:val="0"/>
            <w:vAlign w:val="top"/>
          </w:tcPr>
          <w:p w14:paraId="7722B16B">
            <w:pPr>
              <w:spacing w:line="560" w:lineRule="exact"/>
              <w:jc w:val="left"/>
              <w:rPr>
                <w:rFonts w:hint="eastAsia" w:ascii="楷体" w:hAnsi="楷体" w:eastAsia="楷体"/>
                <w:kern w:val="2"/>
                <w:sz w:val="32"/>
                <w:szCs w:val="32"/>
                <w:highlight w:val="none"/>
                <w:vertAlign w:val="baseline"/>
              </w:rPr>
            </w:pPr>
          </w:p>
        </w:tc>
        <w:tc>
          <w:tcPr>
            <w:tcW w:w="5910" w:type="dxa"/>
            <w:noWrap w:val="0"/>
            <w:vAlign w:val="top"/>
          </w:tcPr>
          <w:p w14:paraId="58FE00C9">
            <w:pPr>
              <w:spacing w:line="560" w:lineRule="exact"/>
              <w:jc w:val="left"/>
              <w:rPr>
                <w:rFonts w:hint="eastAsia" w:ascii="楷体" w:hAnsi="楷体" w:eastAsia="楷体"/>
                <w:kern w:val="2"/>
                <w:sz w:val="32"/>
                <w:szCs w:val="32"/>
                <w:highlight w:val="none"/>
                <w:vertAlign w:val="baseline"/>
              </w:rPr>
            </w:pPr>
          </w:p>
        </w:tc>
        <w:tc>
          <w:tcPr>
            <w:tcW w:w="1076" w:type="dxa"/>
            <w:noWrap w:val="0"/>
            <w:vAlign w:val="top"/>
          </w:tcPr>
          <w:p w14:paraId="0F5C0BD5">
            <w:pPr>
              <w:spacing w:line="560" w:lineRule="exact"/>
              <w:jc w:val="left"/>
              <w:rPr>
                <w:rFonts w:hint="eastAsia" w:ascii="楷体" w:hAnsi="楷体" w:eastAsia="楷体"/>
                <w:kern w:val="2"/>
                <w:sz w:val="32"/>
                <w:szCs w:val="32"/>
                <w:highlight w:val="none"/>
                <w:vertAlign w:val="baseline"/>
              </w:rPr>
            </w:pPr>
          </w:p>
        </w:tc>
      </w:tr>
    </w:tbl>
    <w:p w14:paraId="27929704">
      <w:pPr>
        <w:pStyle w:val="4"/>
        <w:numPr>
          <w:ilvl w:val="0"/>
          <w:numId w:val="0"/>
        </w:numPr>
        <w:ind w:left="420" w:leftChars="0"/>
        <w:rPr>
          <w:rFonts w:hint="eastAsia"/>
          <w:highlight w:val="none"/>
          <w:lang w:val="en-US" w:eastAsia="zh-CN"/>
        </w:rPr>
      </w:pPr>
    </w:p>
    <w:p w14:paraId="4DF32968">
      <w:pPr>
        <w:bidi w:val="0"/>
        <w:jc w:val="left"/>
        <w:rPr>
          <w:rFonts w:hint="eastAsia"/>
          <w:b/>
          <w:bCs/>
          <w:sz w:val="32"/>
          <w:szCs w:val="32"/>
          <w:highlight w:val="none"/>
          <w:lang w:val="en-US" w:eastAsia="zh-CN"/>
        </w:rPr>
      </w:pPr>
      <w:r>
        <w:rPr>
          <w:rFonts w:hint="eastAsia"/>
          <w:b/>
          <w:bCs/>
          <w:sz w:val="32"/>
          <w:szCs w:val="32"/>
          <w:highlight w:val="none"/>
          <w:lang w:val="en-US" w:eastAsia="zh-CN"/>
        </w:rPr>
        <w:t>三、技术商务要求</w:t>
      </w:r>
    </w:p>
    <w:p w14:paraId="37515D74">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highlight w:val="none"/>
        </w:rPr>
      </w:pPr>
      <w:r>
        <w:rPr>
          <w:rFonts w:hint="eastAsia" w:ascii="仿宋" w:hAnsi="仿宋" w:eastAsia="仿宋"/>
          <w:sz w:val="32"/>
          <w:szCs w:val="32"/>
          <w:highlight w:val="none"/>
        </w:rPr>
        <w:t>（1）技术</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要求</w:t>
      </w:r>
    </w:p>
    <w:p w14:paraId="482CA48E">
      <w:pPr>
        <w:pStyle w:val="4"/>
        <w:pageBreakBefore w:val="0"/>
        <w:widowControl w:val="0"/>
        <w:kinsoku/>
        <w:wordWrap/>
        <w:overflowPunct/>
        <w:topLinePunct w:val="0"/>
        <w:autoSpaceDE/>
        <w:autoSpaceDN/>
        <w:bidi w:val="0"/>
        <w:adjustRightInd/>
        <w:snapToGrid/>
        <w:spacing w:line="360" w:lineRule="auto"/>
        <w:ind w:firstLine="562"/>
        <w:textAlignment w:val="auto"/>
        <w:rPr>
          <w:highlight w:val="none"/>
        </w:rPr>
      </w:pPr>
      <w:r>
        <w:rPr>
          <w:rFonts w:hint="eastAsia"/>
          <w:b/>
          <w:bCs/>
          <w:highlight w:val="none"/>
        </w:rPr>
        <w:t>1.无人值守部署：</w:t>
      </w:r>
      <w:r>
        <w:rPr>
          <w:rFonts w:hint="eastAsia"/>
          <w:highlight w:val="none"/>
        </w:rPr>
        <w:t>自动机库部署作业现场，现场无人化作业。实现无人机全自动起飞-精准自动降落-回收停放-电池更换与管理。无需携带无人机到作业现场，满足应急及突发等事件及时响应的需要。</w:t>
      </w:r>
    </w:p>
    <w:p w14:paraId="62D0C03B">
      <w:pPr>
        <w:pStyle w:val="4"/>
        <w:pageBreakBefore w:val="0"/>
        <w:widowControl w:val="0"/>
        <w:kinsoku/>
        <w:wordWrap/>
        <w:overflowPunct/>
        <w:topLinePunct w:val="0"/>
        <w:autoSpaceDE/>
        <w:autoSpaceDN/>
        <w:bidi w:val="0"/>
        <w:adjustRightInd/>
        <w:snapToGrid/>
        <w:spacing w:line="360" w:lineRule="auto"/>
        <w:ind w:firstLine="562"/>
        <w:textAlignment w:val="auto"/>
        <w:rPr>
          <w:highlight w:val="none"/>
        </w:rPr>
      </w:pPr>
      <w:r>
        <w:rPr>
          <w:rFonts w:hint="eastAsia"/>
          <w:b/>
          <w:bCs/>
          <w:highlight w:val="none"/>
        </w:rPr>
        <w:t>2.分钟级换电连续作业：</w:t>
      </w:r>
      <w:r>
        <w:rPr>
          <w:rFonts w:hint="eastAsia"/>
          <w:highlight w:val="none"/>
        </w:rPr>
        <w:t>智能机库+工业机械臂+电源管理系统，多组电池循环，机械臂更换，实现无人机不间断作业。无人机返航回库后三分即完成换电。</w:t>
      </w:r>
    </w:p>
    <w:p w14:paraId="470AEBE0">
      <w:pPr>
        <w:pStyle w:val="4"/>
        <w:pageBreakBefore w:val="0"/>
        <w:widowControl w:val="0"/>
        <w:kinsoku/>
        <w:wordWrap/>
        <w:overflowPunct/>
        <w:topLinePunct w:val="0"/>
        <w:autoSpaceDE/>
        <w:autoSpaceDN/>
        <w:bidi w:val="0"/>
        <w:adjustRightInd/>
        <w:snapToGrid/>
        <w:spacing w:line="360" w:lineRule="auto"/>
        <w:ind w:firstLine="562"/>
        <w:textAlignment w:val="auto"/>
        <w:rPr>
          <w:highlight w:val="none"/>
        </w:rPr>
      </w:pPr>
      <w:r>
        <w:rPr>
          <w:rFonts w:hint="eastAsia"/>
          <w:b/>
          <w:bCs/>
          <w:highlight w:val="none"/>
        </w:rPr>
        <w:t>3.集中管理平台：</w:t>
      </w:r>
      <w:r>
        <w:rPr>
          <w:rFonts w:hint="eastAsia"/>
          <w:highlight w:val="none"/>
        </w:rPr>
        <w:t>私有云部署系统，远程作业任务管理。即使远在数百公里外，也可轻松对调度辖区所有自动机场，对无人机作业路线、时间、频次进行编辑，远程对无人机进行操作和管控。</w:t>
      </w:r>
    </w:p>
    <w:p w14:paraId="2835D7DF">
      <w:pPr>
        <w:pStyle w:val="4"/>
        <w:pageBreakBefore w:val="0"/>
        <w:widowControl w:val="0"/>
        <w:kinsoku/>
        <w:wordWrap/>
        <w:overflowPunct/>
        <w:topLinePunct w:val="0"/>
        <w:autoSpaceDE/>
        <w:autoSpaceDN/>
        <w:bidi w:val="0"/>
        <w:adjustRightInd/>
        <w:snapToGrid/>
        <w:spacing w:line="360" w:lineRule="auto"/>
        <w:ind w:firstLine="562"/>
        <w:textAlignment w:val="auto"/>
        <w:rPr>
          <w:highlight w:val="none"/>
        </w:rPr>
      </w:pPr>
      <w:r>
        <w:rPr>
          <w:rFonts w:hint="eastAsia"/>
          <w:b/>
          <w:bCs/>
          <w:highlight w:val="none"/>
        </w:rPr>
        <w:t>4.自动飞行：</w:t>
      </w:r>
      <w:r>
        <w:rPr>
          <w:rFonts w:hint="eastAsia"/>
          <w:highlight w:val="none"/>
        </w:rPr>
        <w:t>AI机载控制盒，搭载行业场景自动飞行算法，实现无人机自主起飞、自主巡检、精准降落。无需人工操控，自动飞行作业，只需设定巡检、巡逻路线，远程一键执行飞行作业。</w:t>
      </w:r>
    </w:p>
    <w:p w14:paraId="30D1D777">
      <w:pPr>
        <w:pStyle w:val="4"/>
        <w:pageBreakBefore w:val="0"/>
        <w:widowControl w:val="0"/>
        <w:kinsoku/>
        <w:wordWrap/>
        <w:overflowPunct/>
        <w:topLinePunct w:val="0"/>
        <w:autoSpaceDE/>
        <w:autoSpaceDN/>
        <w:bidi w:val="0"/>
        <w:adjustRightInd/>
        <w:snapToGrid/>
        <w:spacing w:line="360" w:lineRule="auto"/>
        <w:ind w:firstLine="562"/>
        <w:textAlignment w:val="auto"/>
        <w:rPr>
          <w:highlight w:val="none"/>
        </w:rPr>
      </w:pPr>
      <w:r>
        <w:rPr>
          <w:b/>
          <w:bCs/>
          <w:highlight w:val="none"/>
        </w:rPr>
        <w:t>5</w:t>
      </w:r>
      <w:r>
        <w:rPr>
          <w:rFonts w:hint="eastAsia"/>
          <w:b/>
          <w:bCs/>
          <w:highlight w:val="none"/>
        </w:rPr>
        <w:t>.支持5G信号传输：</w:t>
      </w:r>
      <w:r>
        <w:rPr>
          <w:rFonts w:hint="eastAsia"/>
          <w:highlight w:val="none"/>
        </w:rPr>
        <w:t>通过5G/4G (网络)网联实时控制无人机飞行轨迹、云台角度等，5G网络低延时、大带宽、定位精准，可结合通信基站资源合理布置无人机机场实现最大范围的无人机通信覆盖。</w:t>
      </w:r>
    </w:p>
    <w:p w14:paraId="07DA049F">
      <w:pPr>
        <w:pStyle w:val="4"/>
        <w:pageBreakBefore w:val="0"/>
        <w:widowControl w:val="0"/>
        <w:kinsoku/>
        <w:wordWrap/>
        <w:overflowPunct/>
        <w:topLinePunct w:val="0"/>
        <w:autoSpaceDE/>
        <w:autoSpaceDN/>
        <w:bidi w:val="0"/>
        <w:adjustRightInd/>
        <w:snapToGrid/>
        <w:spacing w:line="360" w:lineRule="auto"/>
        <w:ind w:firstLine="562"/>
        <w:textAlignment w:val="auto"/>
        <w:rPr>
          <w:rFonts w:ascii="仿宋" w:hAnsi="仿宋" w:eastAsia="仿宋"/>
          <w:sz w:val="32"/>
          <w:szCs w:val="32"/>
          <w:highlight w:val="none"/>
        </w:rPr>
      </w:pPr>
      <w:r>
        <w:rPr>
          <w:b/>
          <w:bCs/>
          <w:highlight w:val="none"/>
        </w:rPr>
        <w:t>6</w:t>
      </w:r>
      <w:r>
        <w:rPr>
          <w:rFonts w:hint="eastAsia"/>
          <w:b/>
          <w:bCs/>
          <w:highlight w:val="none"/>
        </w:rPr>
        <w:t>.工业级可靠性：</w:t>
      </w:r>
      <w:r>
        <w:rPr>
          <w:rFonts w:hint="eastAsia"/>
          <w:highlight w:val="none"/>
        </w:rPr>
        <w:t>适应各种地形、空气、天气环境，外部IP54防水防尘、内部工业空调+湿度调节装置，恒温恒湿，实现全天候作业。</w:t>
      </w:r>
    </w:p>
    <w:p w14:paraId="59722F96">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（2）商务</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要求</w:t>
      </w:r>
    </w:p>
    <w:p w14:paraId="3303CF00">
      <w:pPr>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仿宋_GB2312" w:eastAsia="宋体" w:cs="仿宋_GB2312"/>
          <w:color w:val="000000"/>
          <w:sz w:val="21"/>
          <w:szCs w:val="21"/>
          <w:highlight w:val="none"/>
          <w:lang w:val="en-US" w:eastAsia="zh-CN" w:bidi="ar-SA"/>
        </w:rPr>
      </w:pPr>
      <w:r>
        <w:rPr>
          <w:rFonts w:hint="eastAsia" w:ascii="Calibri" w:hAnsi="仿宋_GB2312" w:eastAsia="宋体" w:cs="仿宋_GB2312"/>
          <w:color w:val="000000"/>
          <w:sz w:val="21"/>
          <w:szCs w:val="21"/>
          <w:highlight w:val="none"/>
          <w:lang w:val="en-US" w:eastAsia="zh-CN" w:bidi="ar-SA"/>
        </w:rPr>
        <w:t>1、服务期限及地点:</w:t>
      </w:r>
    </w:p>
    <w:p w14:paraId="51D0078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Calibri" w:hAnsi="仿宋_GB2312" w:eastAsia="宋体" w:cs="仿宋_GB2312"/>
          <w:color w:val="000000"/>
          <w:sz w:val="21"/>
          <w:szCs w:val="21"/>
          <w:highlight w:val="none"/>
          <w:lang w:val="en-US" w:eastAsia="zh-CN" w:bidi="ar-SA"/>
        </w:rPr>
      </w:pPr>
      <w:r>
        <w:rPr>
          <w:rFonts w:hint="eastAsia" w:hAnsi="仿宋_GB2312" w:cs="仿宋_GB2312"/>
          <w:color w:val="000000"/>
          <w:sz w:val="21"/>
          <w:szCs w:val="21"/>
          <w:highlight w:val="none"/>
          <w:lang w:val="en-US" w:eastAsia="zh-CN" w:bidi="ar-SA"/>
        </w:rPr>
        <w:t>（1）建设</w:t>
      </w:r>
      <w:r>
        <w:rPr>
          <w:rFonts w:hint="eastAsia" w:ascii="Calibri" w:hAnsi="仿宋_GB2312" w:eastAsia="宋体" w:cs="仿宋_GB2312"/>
          <w:color w:val="000000"/>
          <w:sz w:val="21"/>
          <w:szCs w:val="21"/>
          <w:highlight w:val="none"/>
          <w:lang w:val="en-US" w:eastAsia="zh-CN" w:bidi="ar-SA"/>
        </w:rPr>
        <w:t>期限:合同签订后</w:t>
      </w:r>
      <w:r>
        <w:rPr>
          <w:rFonts w:hint="eastAsia" w:hAnsi="仿宋_GB2312" w:cs="仿宋_GB2312"/>
          <w:color w:val="000000"/>
          <w:sz w:val="21"/>
          <w:szCs w:val="21"/>
          <w:highlight w:val="none"/>
          <w:lang w:val="en-US" w:eastAsia="zh-CN" w:bidi="ar-SA"/>
        </w:rPr>
        <w:t>60</w:t>
      </w:r>
      <w:r>
        <w:rPr>
          <w:rFonts w:hint="eastAsia" w:ascii="Calibri" w:hAnsi="仿宋_GB2312" w:eastAsia="宋体" w:cs="仿宋_GB2312"/>
          <w:color w:val="000000"/>
          <w:sz w:val="21"/>
          <w:szCs w:val="21"/>
          <w:highlight w:val="none"/>
          <w:lang w:val="en-US" w:eastAsia="zh-CN" w:bidi="ar-SA"/>
        </w:rPr>
        <w:t>日内完成软硬件设备的调试安装</w:t>
      </w:r>
      <w:r>
        <w:rPr>
          <w:rFonts w:hint="eastAsia" w:hAnsi="仿宋_GB2312" w:cs="仿宋_GB2312"/>
          <w:color w:val="000000"/>
          <w:sz w:val="21"/>
          <w:szCs w:val="21"/>
          <w:highlight w:val="none"/>
          <w:lang w:val="en-US" w:eastAsia="zh-CN" w:bidi="ar-SA"/>
        </w:rPr>
        <w:t>；</w:t>
      </w:r>
    </w:p>
    <w:p w14:paraId="13FCA0EE">
      <w:pPr>
        <w:pStyle w:val="4"/>
        <w:pageBreakBefore w:val="0"/>
        <w:widowControl w:val="0"/>
        <w:kinsoku/>
        <w:wordWrap/>
        <w:overflowPunct/>
        <w:topLinePunct w:val="0"/>
        <w:autoSpaceDE/>
        <w:autoSpaceDN/>
        <w:bidi w:val="0"/>
        <w:adjustRightInd/>
        <w:snapToGrid/>
        <w:spacing w:line="360" w:lineRule="auto"/>
        <w:textAlignment w:val="auto"/>
        <w:rPr>
          <w:rFonts w:hint="eastAsia" w:hAnsi="仿宋_GB2312" w:cs="仿宋_GB2312"/>
          <w:highlight w:val="none"/>
        </w:rPr>
      </w:pPr>
      <w:r>
        <w:rPr>
          <w:rFonts w:hint="eastAsia" w:hAnsi="仿宋_GB2312" w:cs="仿宋_GB2312"/>
          <w:highlight w:val="none"/>
          <w:lang w:eastAsia="zh-CN"/>
        </w:rPr>
        <w:t>（</w:t>
      </w:r>
      <w:r>
        <w:rPr>
          <w:rFonts w:hint="eastAsia" w:hAnsi="仿宋_GB2312" w:cs="仿宋_GB2312"/>
          <w:highlight w:val="none"/>
          <w:lang w:val="en-US" w:eastAsia="zh-CN"/>
        </w:rPr>
        <w:t>2</w:t>
      </w:r>
      <w:r>
        <w:rPr>
          <w:rFonts w:hint="eastAsia" w:hAnsi="仿宋_GB2312" w:cs="仿宋_GB2312"/>
          <w:highlight w:val="none"/>
          <w:lang w:eastAsia="zh-CN"/>
        </w:rPr>
        <w:t>）</w:t>
      </w:r>
      <w:r>
        <w:rPr>
          <w:rFonts w:hint="eastAsia" w:hAnsi="仿宋_GB2312" w:cs="仿宋_GB2312"/>
          <w:highlight w:val="none"/>
        </w:rPr>
        <w:t>服务期</w:t>
      </w:r>
      <w:r>
        <w:rPr>
          <w:rFonts w:hint="eastAsia" w:hAnsi="仿宋_GB2312" w:cs="仿宋_GB2312"/>
          <w:highlight w:val="none"/>
          <w:lang w:val="en-US" w:eastAsia="zh-CN"/>
        </w:rPr>
        <w:t>限</w:t>
      </w:r>
      <w:r>
        <w:rPr>
          <w:rFonts w:hint="eastAsia" w:hAnsi="仿宋_GB2312" w:cs="仿宋_GB2312"/>
          <w:highlight w:val="none"/>
          <w:lang w:eastAsia="zh-CN"/>
        </w:rPr>
        <w:t>：</w:t>
      </w:r>
      <w:r>
        <w:rPr>
          <w:rFonts w:hint="eastAsia" w:hAnsi="仿宋_GB2312" w:cs="仿宋_GB2312"/>
          <w:highlight w:val="none"/>
          <w:lang w:val="en-US" w:eastAsia="zh-CN"/>
        </w:rPr>
        <w:t>自提供服务之日起，1年；</w:t>
      </w:r>
    </w:p>
    <w:p w14:paraId="1AC39871">
      <w:pPr>
        <w:pStyle w:val="4"/>
        <w:pageBreakBefore w:val="0"/>
        <w:widowControl w:val="0"/>
        <w:kinsoku/>
        <w:wordWrap/>
        <w:overflowPunct/>
        <w:topLinePunct w:val="0"/>
        <w:autoSpaceDE/>
        <w:autoSpaceDN/>
        <w:bidi w:val="0"/>
        <w:adjustRightInd/>
        <w:snapToGrid/>
        <w:spacing w:line="360" w:lineRule="auto"/>
        <w:textAlignment w:val="auto"/>
        <w:rPr>
          <w:rFonts w:hint="eastAsia" w:ascii="Calibri" w:hAnsi="仿宋_GB2312" w:eastAsia="宋体" w:cs="仿宋_GB2312"/>
          <w:color w:val="000000"/>
          <w:sz w:val="21"/>
          <w:szCs w:val="21"/>
          <w:highlight w:val="none"/>
          <w:lang w:val="en-US" w:eastAsia="zh-CN" w:bidi="ar-SA"/>
        </w:rPr>
      </w:pPr>
      <w:r>
        <w:rPr>
          <w:rFonts w:hint="eastAsia" w:hAnsi="仿宋_GB2312" w:cs="仿宋_GB2312"/>
          <w:highlight w:val="none"/>
          <w:lang w:eastAsia="zh-CN"/>
        </w:rPr>
        <w:t>（</w:t>
      </w:r>
      <w:r>
        <w:rPr>
          <w:rFonts w:hint="eastAsia" w:hAnsi="仿宋_GB2312" w:cs="仿宋_GB2312"/>
          <w:highlight w:val="none"/>
          <w:lang w:val="en-US" w:eastAsia="zh-CN"/>
        </w:rPr>
        <w:t>3</w:t>
      </w:r>
      <w:r>
        <w:rPr>
          <w:rFonts w:hint="eastAsia" w:hAnsi="仿宋_GB2312" w:cs="仿宋_GB2312"/>
          <w:highlight w:val="none"/>
          <w:lang w:eastAsia="zh-CN"/>
        </w:rPr>
        <w:t>）</w:t>
      </w:r>
      <w:r>
        <w:rPr>
          <w:rFonts w:hint="eastAsia" w:hAnsi="仿宋_GB2312" w:cs="仿宋_GB2312"/>
          <w:highlight w:val="none"/>
        </w:rPr>
        <w:t>地点：</w:t>
      </w:r>
      <w:r>
        <w:rPr>
          <w:rFonts w:hint="eastAsia" w:ascii="Calibri" w:hAnsi="仿宋_GB2312" w:eastAsia="宋体" w:cs="仿宋_GB2312"/>
          <w:color w:val="000000"/>
          <w:sz w:val="21"/>
          <w:szCs w:val="21"/>
          <w:highlight w:val="none"/>
          <w:lang w:val="en-US" w:eastAsia="zh-CN" w:bidi="ar-SA"/>
        </w:rPr>
        <w:t>广西采购人指定地点。</w:t>
      </w:r>
    </w:p>
    <w:p w14:paraId="0EA13E82">
      <w:pPr>
        <w:pStyle w:val="4"/>
        <w:pageBreakBefore w:val="0"/>
        <w:widowControl w:val="0"/>
        <w:kinsoku/>
        <w:wordWrap/>
        <w:overflowPunct/>
        <w:topLinePunct w:val="0"/>
        <w:autoSpaceDE/>
        <w:autoSpaceDN/>
        <w:bidi w:val="0"/>
        <w:adjustRightInd/>
        <w:snapToGrid/>
        <w:spacing w:line="360" w:lineRule="auto"/>
        <w:textAlignment w:val="auto"/>
        <w:rPr>
          <w:rFonts w:hint="eastAsia" w:hAnsi="仿宋_GB2312" w:cs="仿宋_GB2312"/>
          <w:highlight w:val="none"/>
        </w:rPr>
      </w:pPr>
      <w:r>
        <w:rPr>
          <w:rFonts w:hint="eastAsia" w:hAnsi="仿宋_GB2312" w:cs="仿宋_GB2312"/>
          <w:color w:val="000000"/>
          <w:sz w:val="21"/>
          <w:szCs w:val="21"/>
          <w:highlight w:val="none"/>
          <w:lang w:val="en-US" w:eastAsia="zh-CN" w:bidi="ar-SA"/>
        </w:rPr>
        <w:t>（4）其他要求：竞标报价必须包含满足本次竞标全部采购需求所应提供的服务，以及伴随的货物和工程（如有）的价格;包含竞标服务、货物、工程的成本、运输（含保险）、安装（如有）、调试、检验、技术服务、培训、税费、飞行保证保险（服务期限一年，在服务期内由于意外导致的设备损坏，可享受免费维修/置换服务）、宽带网络和用电的运行费用等所有费用。</w:t>
      </w:r>
    </w:p>
    <w:p w14:paraId="18FFFD03">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hAnsi="仿宋_GB2312" w:cs="仿宋_GB2312"/>
          <w:highlight w:val="none"/>
        </w:rPr>
      </w:pPr>
      <w:r>
        <w:rPr>
          <w:rFonts w:hint="eastAsia" w:hAnsi="仿宋_GB2312" w:cs="仿宋_GB2312"/>
          <w:highlight w:val="none"/>
          <w:lang w:val="en-US" w:eastAsia="zh-CN"/>
        </w:rPr>
        <w:t>2、</w:t>
      </w:r>
      <w:r>
        <w:rPr>
          <w:rFonts w:hint="eastAsia" w:hAnsi="仿宋_GB2312" w:cs="仿宋_GB2312"/>
          <w:highlight w:val="none"/>
        </w:rPr>
        <w:t>服务要求：</w:t>
      </w:r>
    </w:p>
    <w:p w14:paraId="1727503F">
      <w:pPr>
        <w:pStyle w:val="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仿宋_GB2312" w:cs="仿宋_GB2312"/>
          <w:highlight w:val="none"/>
        </w:rPr>
      </w:pPr>
      <w:r>
        <w:rPr>
          <w:rFonts w:hint="eastAsia" w:hAnsi="仿宋_GB2312" w:cs="仿宋_GB2312"/>
          <w:highlight w:val="none"/>
        </w:rPr>
        <w:t>本</w:t>
      </w:r>
      <w:r>
        <w:rPr>
          <w:rFonts w:hint="eastAsia" w:hAnsi="仿宋_GB2312" w:cs="仿宋_GB2312"/>
          <w:sz w:val="21"/>
          <w:szCs w:val="21"/>
          <w:highlight w:val="none"/>
        </w:rPr>
        <w:t>项目整</w:t>
      </w:r>
      <w:r>
        <w:rPr>
          <w:rFonts w:hint="eastAsia" w:hAnsi="仿宋_GB2312" w:cs="仿宋_GB2312"/>
          <w:highlight w:val="none"/>
        </w:rPr>
        <w:t>体建设一个无人机智慧机场应用体系，一个无人机智慧飞行系统，四个无人机智慧机场，七个高位监控点。</w:t>
      </w:r>
    </w:p>
    <w:p w14:paraId="719FB2B5">
      <w:pPr>
        <w:pStyle w:val="4"/>
        <w:pageBreakBefore w:val="0"/>
        <w:widowControl w:val="0"/>
        <w:kinsoku/>
        <w:wordWrap/>
        <w:overflowPunct/>
        <w:topLinePunct w:val="0"/>
        <w:autoSpaceDE/>
        <w:autoSpaceDN/>
        <w:bidi w:val="0"/>
        <w:adjustRightInd/>
        <w:snapToGrid/>
        <w:spacing w:line="360" w:lineRule="auto"/>
        <w:ind w:firstLine="560"/>
        <w:textAlignment w:val="auto"/>
        <w:rPr>
          <w:rFonts w:hAnsi="仿宋_GB2312" w:cs="仿宋_GB2312"/>
          <w:highlight w:val="none"/>
        </w:rPr>
      </w:pPr>
      <w:r>
        <w:rPr>
          <w:rFonts w:hint="eastAsia" w:hAnsi="仿宋_GB2312" w:cs="仿宋_GB2312"/>
          <w:highlight w:val="none"/>
        </w:rPr>
        <w:t>前端建设部署：建设一个无人机智慧机场监控系统，打造无人机运营指挥中心。在梧州市建设4个无人机智慧机场，实现无人机飞行覆盖梧州市部分高速道路，提供最高4K的可见光视频航拍数据采集及照片采集。建设七个高位监控点位，用于监控高速重点路段，与无人机智慧机场形成联动。</w:t>
      </w:r>
    </w:p>
    <w:p w14:paraId="00B57E4E">
      <w:pPr>
        <w:pStyle w:val="4"/>
        <w:pageBreakBefore w:val="0"/>
        <w:widowControl w:val="0"/>
        <w:kinsoku/>
        <w:wordWrap/>
        <w:overflowPunct/>
        <w:topLinePunct w:val="0"/>
        <w:autoSpaceDE/>
        <w:autoSpaceDN/>
        <w:bidi w:val="0"/>
        <w:adjustRightInd/>
        <w:snapToGrid/>
        <w:spacing w:line="360" w:lineRule="auto"/>
        <w:ind w:firstLine="560"/>
        <w:textAlignment w:val="auto"/>
        <w:rPr>
          <w:rFonts w:hAnsi="仿宋_GB2312" w:cs="仿宋_GB2312"/>
          <w:highlight w:val="none"/>
        </w:rPr>
      </w:pPr>
      <w:r>
        <w:rPr>
          <w:rFonts w:hint="eastAsia" w:hAnsi="仿宋_GB2312" w:cs="仿宋_GB2312"/>
          <w:highlight w:val="none"/>
        </w:rPr>
        <w:t>前端设备通过互联网传送视频数据，将数据传输到无人机运营指挥中心存储，且无人机运营指挥中心通过互联网对前端机场进行统一的指挥调度和巡航需求的响应。</w:t>
      </w:r>
    </w:p>
    <w:p w14:paraId="29F6E5FF">
      <w:pPr>
        <w:pStyle w:val="4"/>
        <w:pageBreakBefore w:val="0"/>
        <w:widowControl w:val="0"/>
        <w:kinsoku/>
        <w:wordWrap/>
        <w:overflowPunct/>
        <w:topLinePunct w:val="0"/>
        <w:autoSpaceDE/>
        <w:autoSpaceDN/>
        <w:bidi w:val="0"/>
        <w:adjustRightInd/>
        <w:snapToGrid/>
        <w:spacing w:line="360" w:lineRule="auto"/>
        <w:ind w:firstLine="560"/>
        <w:textAlignment w:val="auto"/>
        <w:rPr>
          <w:rFonts w:hAnsi="仿宋_GB2312" w:cs="仿宋_GB2312"/>
          <w:highlight w:val="none"/>
        </w:rPr>
      </w:pPr>
      <w:r>
        <w:rPr>
          <w:rFonts w:hint="eastAsia" w:hAnsi="仿宋_GB2312" w:cs="仿宋_GB2312"/>
          <w:highlight w:val="none"/>
        </w:rPr>
        <w:t>无人机指挥中心通过无人机智慧机场应用体系，开展无人机实时监控及任务调度。</w:t>
      </w:r>
    </w:p>
    <w:p w14:paraId="0B3E1733">
      <w:pPr>
        <w:pStyle w:val="4"/>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cs="宋体"/>
          <w:b/>
          <w:color w:val="auto"/>
          <w:sz w:val="32"/>
          <w:szCs w:val="32"/>
          <w:highlight w:val="none"/>
        </w:rPr>
      </w:pPr>
      <w:r>
        <w:rPr>
          <w:rFonts w:hint="eastAsia" w:hAnsi="仿宋_GB2312" w:cs="仿宋_GB2312"/>
          <w:highlight w:val="none"/>
        </w:rPr>
        <w:t>项目具体服务内容如下：无人机飞行服务包、无人机运营指挥中心服务、视频存储下载服务、航线服务、高位监控、精准执法。</w:t>
      </w:r>
    </w:p>
    <w:p w14:paraId="27C487FA">
      <w:pPr>
        <w:pStyle w:val="4"/>
        <w:pageBreakBefore w:val="0"/>
        <w:widowControl w:val="0"/>
        <w:kinsoku/>
        <w:wordWrap/>
        <w:overflowPunct/>
        <w:topLinePunct w:val="0"/>
        <w:autoSpaceDE/>
        <w:autoSpaceDN/>
        <w:bidi w:val="0"/>
        <w:adjustRightInd/>
        <w:snapToGrid/>
        <w:spacing w:line="360" w:lineRule="auto"/>
        <w:ind w:firstLine="560"/>
        <w:textAlignment w:val="auto"/>
        <w:rPr>
          <w:rFonts w:hint="eastAsia" w:hAnsi="仿宋_GB2312" w:cs="仿宋_GB2312"/>
          <w:highlight w:val="none"/>
        </w:rPr>
      </w:pPr>
      <w:r>
        <w:rPr>
          <w:rFonts w:hint="eastAsia" w:hAnsi="仿宋_GB2312" w:cs="仿宋_GB2312"/>
          <w:highlight w:val="none"/>
          <w:lang w:val="en-US" w:eastAsia="zh-CN"/>
        </w:rPr>
        <w:t>3、</w:t>
      </w:r>
      <w:r>
        <w:rPr>
          <w:rFonts w:hint="eastAsia" w:hAnsi="仿宋_GB2312" w:cs="仿宋_GB2312"/>
          <w:highlight w:val="none"/>
        </w:rPr>
        <w:t>付款条件：协议生效后，固定费用按季度进行付款，服务期每满一个季度后，20个工作日内支付一个季度的服务费。</w:t>
      </w:r>
    </w:p>
    <w:p w14:paraId="1C59098E">
      <w:pPr>
        <w:pStyle w:val="4"/>
        <w:pageBreakBefore w:val="0"/>
        <w:widowControl w:val="0"/>
        <w:kinsoku/>
        <w:wordWrap/>
        <w:overflowPunct/>
        <w:topLinePunct w:val="0"/>
        <w:autoSpaceDE/>
        <w:autoSpaceDN/>
        <w:bidi w:val="0"/>
        <w:adjustRightInd/>
        <w:snapToGrid/>
        <w:spacing w:line="360" w:lineRule="auto"/>
        <w:ind w:firstLine="560"/>
        <w:textAlignment w:val="auto"/>
        <w:rPr>
          <w:rFonts w:hint="eastAsia"/>
          <w:highlight w:val="none"/>
          <w:lang w:val="zh-CN"/>
        </w:rPr>
      </w:pPr>
      <w:r>
        <w:rPr>
          <w:rFonts w:hint="eastAsia"/>
          <w:highlight w:val="none"/>
        </w:rPr>
        <w:t>售后服务：具有本地化服务支撑能力，提供应急响应方案、故障申告途径及绿色通道，售后服务人员不少于3人，且至少包含1名无人机飞手，一般故障能够在30分钟内响应，24小时内完成故障处理。</w:t>
      </w:r>
    </w:p>
    <w:p w14:paraId="106E5318">
      <w:pPr>
        <w:pStyle w:val="36"/>
        <w:rPr>
          <w:rFonts w:hint="eastAsia" w:ascii="宋体" w:hAnsi="宋体" w:cs="宋体"/>
          <w:b/>
          <w:color w:val="auto"/>
          <w:sz w:val="32"/>
          <w:szCs w:val="32"/>
          <w:highlight w:val="none"/>
        </w:rPr>
      </w:pPr>
    </w:p>
    <w:p w14:paraId="301F8DAF">
      <w:pPr>
        <w:pStyle w:val="36"/>
        <w:rPr>
          <w:rFonts w:hint="eastAsia" w:ascii="宋体" w:hAnsi="宋体" w:cs="宋体"/>
          <w:b/>
          <w:color w:val="auto"/>
          <w:sz w:val="32"/>
          <w:szCs w:val="32"/>
          <w:highlight w:val="none"/>
        </w:rPr>
      </w:pPr>
    </w:p>
    <w:p w14:paraId="23971D50">
      <w:pPr>
        <w:pStyle w:val="36"/>
        <w:rPr>
          <w:rFonts w:hint="eastAsia" w:ascii="宋体" w:hAnsi="宋体" w:cs="宋体"/>
          <w:b/>
          <w:color w:val="auto"/>
          <w:sz w:val="32"/>
          <w:szCs w:val="32"/>
          <w:highlight w:val="none"/>
        </w:rPr>
      </w:pPr>
    </w:p>
    <w:p w14:paraId="30AB400E">
      <w:pPr>
        <w:pStyle w:val="36"/>
        <w:rPr>
          <w:rFonts w:hint="eastAsia" w:ascii="宋体" w:hAnsi="宋体" w:cs="宋体"/>
          <w:b/>
          <w:color w:val="auto"/>
          <w:sz w:val="32"/>
          <w:szCs w:val="32"/>
          <w:highlight w:val="none"/>
        </w:rPr>
      </w:pPr>
    </w:p>
    <w:p w14:paraId="46B72F02">
      <w:pPr>
        <w:pStyle w:val="36"/>
        <w:rPr>
          <w:rFonts w:hint="eastAsia" w:ascii="宋体" w:hAnsi="宋体" w:cs="宋体"/>
          <w:b/>
          <w:color w:val="auto"/>
          <w:sz w:val="32"/>
          <w:szCs w:val="32"/>
          <w:highlight w:val="none"/>
        </w:rPr>
      </w:pPr>
    </w:p>
    <w:p w14:paraId="44EE0711">
      <w:pPr>
        <w:pStyle w:val="36"/>
        <w:rPr>
          <w:rFonts w:hint="eastAsia" w:ascii="宋体" w:hAnsi="宋体" w:cs="宋体"/>
          <w:b/>
          <w:color w:val="auto"/>
          <w:sz w:val="32"/>
          <w:szCs w:val="32"/>
          <w:highlight w:val="none"/>
        </w:rPr>
      </w:pPr>
    </w:p>
    <w:p w14:paraId="1B13FC55">
      <w:pPr>
        <w:pStyle w:val="36"/>
        <w:rPr>
          <w:rFonts w:hint="eastAsia" w:ascii="宋体" w:hAnsi="宋体" w:cs="宋体"/>
          <w:b/>
          <w:color w:val="auto"/>
          <w:sz w:val="32"/>
          <w:szCs w:val="32"/>
          <w:highlight w:val="none"/>
        </w:rPr>
      </w:pPr>
    </w:p>
    <w:p w14:paraId="163D6BFC">
      <w:pPr>
        <w:pStyle w:val="36"/>
        <w:rPr>
          <w:rFonts w:hint="eastAsia" w:ascii="宋体" w:hAnsi="宋体" w:cs="宋体"/>
          <w:b/>
          <w:color w:val="auto"/>
          <w:sz w:val="32"/>
          <w:szCs w:val="32"/>
          <w:highlight w:val="none"/>
        </w:rPr>
      </w:pPr>
    </w:p>
    <w:p w14:paraId="6565C0BE">
      <w:pPr>
        <w:pStyle w:val="36"/>
        <w:rPr>
          <w:rFonts w:hint="eastAsia" w:ascii="宋体" w:hAnsi="宋体" w:cs="宋体"/>
          <w:b/>
          <w:color w:val="auto"/>
          <w:sz w:val="32"/>
          <w:szCs w:val="32"/>
          <w:highlight w:val="none"/>
        </w:rPr>
      </w:pPr>
    </w:p>
    <w:p w14:paraId="645C763E">
      <w:pPr>
        <w:pStyle w:val="36"/>
        <w:rPr>
          <w:rFonts w:hint="eastAsia" w:ascii="宋体" w:hAnsi="宋体" w:cs="宋体"/>
          <w:b/>
          <w:color w:val="auto"/>
          <w:sz w:val="32"/>
          <w:szCs w:val="32"/>
          <w:highlight w:val="none"/>
        </w:rPr>
      </w:pPr>
    </w:p>
    <w:p w14:paraId="63C581E9">
      <w:pPr>
        <w:pStyle w:val="36"/>
        <w:rPr>
          <w:rFonts w:hint="eastAsia" w:ascii="宋体" w:hAnsi="宋体" w:cs="宋体"/>
          <w:b/>
          <w:color w:val="auto"/>
          <w:sz w:val="32"/>
          <w:szCs w:val="32"/>
          <w:highlight w:val="none"/>
        </w:rPr>
      </w:pPr>
    </w:p>
    <w:p w14:paraId="660452A7">
      <w:pPr>
        <w:spacing w:line="360" w:lineRule="auto"/>
        <w:jc w:val="center"/>
        <w:outlineLvl w:val="0"/>
        <w:rPr>
          <w:rFonts w:hint="eastAsia" w:ascii="宋体" w:hAnsi="宋体" w:cs="宋体"/>
          <w:b/>
          <w:color w:val="auto"/>
          <w:sz w:val="32"/>
          <w:szCs w:val="32"/>
          <w:highlight w:val="none"/>
        </w:rPr>
      </w:pPr>
    </w:p>
    <w:p w14:paraId="7A7C6E73">
      <w:pPr>
        <w:spacing w:line="360" w:lineRule="auto"/>
        <w:jc w:val="center"/>
        <w:outlineLvl w:val="0"/>
        <w:rPr>
          <w:rFonts w:ascii="宋体" w:hAnsi="宋体"/>
          <w:b/>
          <w:color w:val="auto"/>
          <w:sz w:val="32"/>
          <w:szCs w:val="32"/>
          <w:highlight w:val="none"/>
        </w:rPr>
      </w:pPr>
      <w:r>
        <w:rPr>
          <w:rFonts w:hint="eastAsia" w:ascii="宋体" w:hAnsi="宋体" w:cs="宋体"/>
          <w:b/>
          <w:color w:val="auto"/>
          <w:sz w:val="32"/>
          <w:szCs w:val="32"/>
          <w:highlight w:val="none"/>
        </w:rPr>
        <w:t>第四章</w:t>
      </w:r>
      <w:r>
        <w:rPr>
          <w:rFonts w:hint="eastAsia" w:ascii="宋体" w:hAnsi="宋体"/>
          <w:b/>
          <w:color w:val="auto"/>
          <w:sz w:val="32"/>
          <w:szCs w:val="32"/>
          <w:highlight w:val="none"/>
        </w:rPr>
        <w:t xml:space="preserve">  </w:t>
      </w:r>
      <w:r>
        <w:rPr>
          <w:rFonts w:hint="eastAsia" w:ascii="宋体" w:hAnsi="宋体" w:cs="宋体"/>
          <w:b/>
          <w:color w:val="auto"/>
          <w:sz w:val="32"/>
          <w:szCs w:val="32"/>
          <w:highlight w:val="none"/>
        </w:rPr>
        <w:t>合同基本条款及合同书（格式）</w:t>
      </w:r>
    </w:p>
    <w:p w14:paraId="2003DE97">
      <w:pPr>
        <w:ind w:firstLine="480"/>
        <w:jc w:val="center"/>
        <w:rPr>
          <w:rFonts w:hint="eastAsia" w:ascii="宋体" w:hAnsi="宋体"/>
          <w:sz w:val="30"/>
          <w:highlight w:val="none"/>
        </w:rPr>
      </w:pPr>
      <w:r>
        <w:rPr>
          <w:rFonts w:hint="eastAsia" w:ascii="宋体" w:hAnsi="宋体"/>
          <w:sz w:val="30"/>
          <w:highlight w:val="none"/>
        </w:rPr>
        <w:t>《梧州市政府采购合同》</w:t>
      </w:r>
    </w:p>
    <w:p w14:paraId="5D0330B2">
      <w:pPr>
        <w:ind w:firstLine="480"/>
        <w:jc w:val="center"/>
        <w:rPr>
          <w:rFonts w:hint="eastAsia" w:ascii="宋体" w:hAnsi="宋体"/>
          <w:sz w:val="30"/>
          <w:highlight w:val="none"/>
        </w:rPr>
      </w:pPr>
      <w:r>
        <w:rPr>
          <w:rFonts w:hint="eastAsia" w:ascii="宋体" w:hAnsi="宋体"/>
          <w:sz w:val="30"/>
          <w:highlight w:val="none"/>
        </w:rPr>
        <w:t>（适用服务类）</w:t>
      </w:r>
    </w:p>
    <w:p w14:paraId="2115438D">
      <w:pPr>
        <w:snapToGrid w:val="0"/>
        <w:spacing w:line="400" w:lineRule="exact"/>
        <w:ind w:right="480" w:firstLine="5250" w:firstLineChars="2500"/>
        <w:rPr>
          <w:rFonts w:hint="eastAsia" w:ascii="宋体" w:hAnsi="宋体"/>
          <w:bCs/>
          <w:szCs w:val="21"/>
          <w:highlight w:val="none"/>
          <w:u w:val="single"/>
        </w:rPr>
      </w:pPr>
      <w:r>
        <w:rPr>
          <w:rFonts w:hint="eastAsia" w:ascii="宋体" w:hAnsi="宋体"/>
          <w:bCs/>
          <w:szCs w:val="21"/>
          <w:highlight w:val="none"/>
        </w:rPr>
        <w:t>合同编号：</w:t>
      </w:r>
      <w:r>
        <w:rPr>
          <w:rFonts w:hint="eastAsia" w:ascii="宋体" w:hAnsi="宋体"/>
          <w:bCs/>
          <w:szCs w:val="21"/>
          <w:highlight w:val="none"/>
          <w:u w:val="single"/>
        </w:rPr>
        <w:t xml:space="preserve">                     </w:t>
      </w:r>
    </w:p>
    <w:p w14:paraId="0A9C0F0A">
      <w:pPr>
        <w:snapToGrid w:val="0"/>
        <w:spacing w:line="360" w:lineRule="exact"/>
        <w:rPr>
          <w:rFonts w:hint="eastAsia" w:ascii="宋体" w:hAnsi="宋体"/>
          <w:szCs w:val="21"/>
          <w:highlight w:val="none"/>
        </w:rPr>
      </w:pPr>
    </w:p>
    <w:p w14:paraId="602E0CA0">
      <w:pPr>
        <w:snapToGrid w:val="0"/>
        <w:spacing w:line="360" w:lineRule="exact"/>
        <w:rPr>
          <w:rFonts w:hint="eastAsia" w:ascii="宋体" w:hAnsi="宋体"/>
          <w:szCs w:val="21"/>
          <w:highlight w:val="none"/>
          <w:u w:val="single"/>
        </w:rPr>
      </w:pPr>
      <w:r>
        <w:rPr>
          <w:rFonts w:hint="eastAsia" w:ascii="宋体" w:hAnsi="宋体"/>
          <w:szCs w:val="21"/>
          <w:highlight w:val="none"/>
        </w:rPr>
        <w:t>采购单位（甲方）</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pacing w:val="-20"/>
          <w:szCs w:val="21"/>
          <w:highlight w:val="none"/>
        </w:rPr>
        <w:t>采 购 计 划 号</w:t>
      </w:r>
      <w:r>
        <w:rPr>
          <w:rFonts w:hint="eastAsia" w:ascii="宋体" w:hAnsi="宋体"/>
          <w:szCs w:val="21"/>
          <w:highlight w:val="none"/>
          <w:u w:val="single"/>
        </w:rPr>
        <w:t xml:space="preserve">             </w:t>
      </w:r>
    </w:p>
    <w:p w14:paraId="7FB4307D">
      <w:pPr>
        <w:snapToGrid w:val="0"/>
        <w:spacing w:line="360" w:lineRule="exact"/>
        <w:rPr>
          <w:rFonts w:hint="eastAsia" w:ascii="宋体" w:hAnsi="宋体"/>
          <w:szCs w:val="21"/>
          <w:highlight w:val="none"/>
          <w:u w:val="single"/>
        </w:rPr>
      </w:pPr>
      <w:r>
        <w:rPr>
          <w:rFonts w:hint="eastAsia" w:ascii="宋体" w:hAnsi="宋体"/>
          <w:szCs w:val="21"/>
          <w:highlight w:val="none"/>
        </w:rPr>
        <w:t>供 应 商（乙方）</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pacing w:val="-20"/>
          <w:szCs w:val="21"/>
          <w:highlight w:val="none"/>
        </w:rPr>
        <w:t>招  标  编  号</w:t>
      </w:r>
      <w:r>
        <w:rPr>
          <w:rFonts w:hint="eastAsia" w:ascii="宋体" w:hAnsi="宋体"/>
          <w:szCs w:val="21"/>
          <w:highlight w:val="none"/>
          <w:u w:val="single"/>
        </w:rPr>
        <w:t xml:space="preserve">             </w:t>
      </w:r>
    </w:p>
    <w:p w14:paraId="3415588A">
      <w:pPr>
        <w:snapToGrid w:val="0"/>
        <w:spacing w:line="360" w:lineRule="exact"/>
        <w:rPr>
          <w:rFonts w:hint="eastAsia" w:ascii="宋体" w:hAnsi="宋体"/>
          <w:szCs w:val="21"/>
          <w:highlight w:val="none"/>
          <w:u w:val="single"/>
        </w:rPr>
      </w:pPr>
      <w:r>
        <w:rPr>
          <w:rFonts w:hint="eastAsia" w:ascii="宋体" w:hAnsi="宋体"/>
          <w:szCs w:val="21"/>
          <w:highlight w:val="none"/>
        </w:rPr>
        <w:t xml:space="preserve">签  订  地  点  </w:t>
      </w:r>
      <w:r>
        <w:rPr>
          <w:rFonts w:hint="eastAsia" w:ascii="宋体" w:hAnsi="宋体"/>
          <w:szCs w:val="21"/>
          <w:highlight w:val="none"/>
          <w:u w:val="single"/>
        </w:rPr>
        <w:t xml:space="preserve">                          </w:t>
      </w:r>
      <w:r>
        <w:rPr>
          <w:rFonts w:hint="eastAsia" w:ascii="宋体" w:hAnsi="宋体"/>
          <w:szCs w:val="21"/>
          <w:highlight w:val="none"/>
        </w:rPr>
        <w:t xml:space="preserve">  签 订 时 间</w:t>
      </w:r>
      <w:r>
        <w:rPr>
          <w:rFonts w:hint="eastAsia" w:ascii="宋体" w:hAnsi="宋体"/>
          <w:szCs w:val="21"/>
          <w:highlight w:val="none"/>
          <w:u w:val="single"/>
        </w:rPr>
        <w:t xml:space="preserve">             </w:t>
      </w:r>
    </w:p>
    <w:p w14:paraId="09FC282F">
      <w:pPr>
        <w:snapToGrid w:val="0"/>
        <w:spacing w:line="360" w:lineRule="exact"/>
        <w:ind w:firstLine="420" w:firstLineChars="200"/>
        <w:rPr>
          <w:rFonts w:hint="eastAsia" w:ascii="宋体" w:hAnsi="宋体"/>
          <w:szCs w:val="21"/>
          <w:highlight w:val="none"/>
        </w:rPr>
      </w:pPr>
    </w:p>
    <w:p w14:paraId="1DF05293">
      <w:pPr>
        <w:spacing w:line="420" w:lineRule="exact"/>
        <w:ind w:firstLine="359" w:firstLineChars="171"/>
        <w:rPr>
          <w:rFonts w:hint="eastAsia" w:ascii="宋体" w:hAnsi="宋体"/>
          <w:szCs w:val="20"/>
          <w:highlight w:val="none"/>
        </w:rPr>
      </w:pPr>
      <w:r>
        <w:rPr>
          <w:rFonts w:hint="eastAsia" w:ascii="宋体" w:hAnsi="宋体"/>
          <w:szCs w:val="20"/>
          <w:highlight w:val="none"/>
        </w:rPr>
        <w:t>根据《中华人民共和国政府采购法》、《中华人民共和国合同法》等法律、法规规定，按照竞争性磋商文件（以下简称“磋商文件”）规定条款和成交供应商竞争性磋商响应文件（以下简称“响应文件”）及其承诺，甲乙双方签订本合同</w:t>
      </w:r>
      <w:r>
        <w:rPr>
          <w:rFonts w:hint="eastAsia" w:ascii="宋体" w:hAnsi="Courier New"/>
          <w:szCs w:val="20"/>
          <w:highlight w:val="none"/>
        </w:rPr>
        <w:t>。</w:t>
      </w:r>
    </w:p>
    <w:p w14:paraId="596A1BF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第一条　合同标的</w:t>
      </w:r>
    </w:p>
    <w:p w14:paraId="78AB86A5">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1、项目一览表</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340"/>
        <w:gridCol w:w="1260"/>
        <w:gridCol w:w="1260"/>
        <w:gridCol w:w="1440"/>
        <w:gridCol w:w="1260"/>
      </w:tblGrid>
      <w:tr w14:paraId="1541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0"/>
            <w:vAlign w:val="center"/>
          </w:tcPr>
          <w:p w14:paraId="53BF9D53">
            <w:pPr>
              <w:snapToGrid w:val="0"/>
              <w:spacing w:line="360" w:lineRule="exact"/>
              <w:jc w:val="center"/>
              <w:rPr>
                <w:rFonts w:hint="eastAsia" w:ascii="宋体" w:hAnsi="宋体"/>
                <w:szCs w:val="21"/>
                <w:highlight w:val="none"/>
              </w:rPr>
            </w:pPr>
            <w:r>
              <w:rPr>
                <w:rFonts w:hint="eastAsia" w:ascii="宋体" w:hAnsi="宋体"/>
                <w:szCs w:val="21"/>
                <w:highlight w:val="none"/>
              </w:rPr>
              <w:t>序号</w:t>
            </w:r>
          </w:p>
        </w:tc>
        <w:tc>
          <w:tcPr>
            <w:tcW w:w="1080" w:type="dxa"/>
            <w:noWrap w:val="0"/>
            <w:vAlign w:val="center"/>
          </w:tcPr>
          <w:p w14:paraId="453267A2">
            <w:pPr>
              <w:snapToGrid w:val="0"/>
              <w:spacing w:line="360" w:lineRule="exact"/>
              <w:jc w:val="center"/>
              <w:rPr>
                <w:rFonts w:hint="eastAsia" w:ascii="宋体" w:hAnsi="宋体"/>
                <w:szCs w:val="21"/>
                <w:highlight w:val="none"/>
              </w:rPr>
            </w:pPr>
            <w:r>
              <w:rPr>
                <w:rFonts w:hint="eastAsia" w:ascii="宋体" w:hAnsi="宋体"/>
                <w:szCs w:val="21"/>
                <w:highlight w:val="none"/>
              </w:rPr>
              <w:t>名称</w:t>
            </w:r>
          </w:p>
        </w:tc>
        <w:tc>
          <w:tcPr>
            <w:tcW w:w="2340" w:type="dxa"/>
            <w:noWrap w:val="0"/>
            <w:vAlign w:val="center"/>
          </w:tcPr>
          <w:p w14:paraId="524F7A1D">
            <w:pPr>
              <w:snapToGrid w:val="0"/>
              <w:spacing w:line="360" w:lineRule="exact"/>
              <w:jc w:val="center"/>
              <w:rPr>
                <w:rFonts w:hint="eastAsia" w:ascii="宋体" w:hAnsi="宋体"/>
                <w:szCs w:val="21"/>
                <w:highlight w:val="none"/>
              </w:rPr>
            </w:pPr>
            <w:r>
              <w:rPr>
                <w:rFonts w:hint="eastAsia" w:ascii="Times New Roman" w:hAnsi="宋体"/>
                <w:highlight w:val="none"/>
              </w:rPr>
              <w:t>服务项目要求(或技术参数需求)</w:t>
            </w:r>
          </w:p>
        </w:tc>
        <w:tc>
          <w:tcPr>
            <w:tcW w:w="1260" w:type="dxa"/>
            <w:noWrap w:val="0"/>
            <w:vAlign w:val="center"/>
          </w:tcPr>
          <w:p w14:paraId="4571B994">
            <w:pPr>
              <w:snapToGrid w:val="0"/>
              <w:spacing w:line="360" w:lineRule="exact"/>
              <w:jc w:val="center"/>
              <w:rPr>
                <w:rFonts w:hint="eastAsia" w:ascii="宋体" w:hAnsi="宋体"/>
                <w:szCs w:val="21"/>
                <w:highlight w:val="none"/>
              </w:rPr>
            </w:pPr>
            <w:r>
              <w:rPr>
                <w:rFonts w:hint="eastAsia" w:ascii="宋体" w:hAnsi="宋体"/>
                <w:szCs w:val="21"/>
                <w:highlight w:val="none"/>
              </w:rPr>
              <w:t>数  量</w:t>
            </w:r>
          </w:p>
        </w:tc>
        <w:tc>
          <w:tcPr>
            <w:tcW w:w="1260" w:type="dxa"/>
            <w:noWrap w:val="0"/>
            <w:vAlign w:val="center"/>
          </w:tcPr>
          <w:p w14:paraId="46FF2E65">
            <w:pPr>
              <w:snapToGrid w:val="0"/>
              <w:spacing w:line="360" w:lineRule="exact"/>
              <w:jc w:val="center"/>
              <w:rPr>
                <w:rFonts w:hint="eastAsia" w:ascii="宋体" w:hAnsi="宋体"/>
                <w:szCs w:val="21"/>
                <w:highlight w:val="none"/>
              </w:rPr>
            </w:pPr>
            <w:r>
              <w:rPr>
                <w:rFonts w:hint="eastAsia" w:ascii="宋体" w:hAnsi="宋体"/>
                <w:szCs w:val="21"/>
                <w:highlight w:val="none"/>
              </w:rPr>
              <w:t>单位</w:t>
            </w:r>
          </w:p>
        </w:tc>
        <w:tc>
          <w:tcPr>
            <w:tcW w:w="1440" w:type="dxa"/>
            <w:noWrap w:val="0"/>
            <w:vAlign w:val="center"/>
          </w:tcPr>
          <w:p w14:paraId="1119DFCB">
            <w:pPr>
              <w:snapToGrid w:val="0"/>
              <w:spacing w:line="360" w:lineRule="exact"/>
              <w:jc w:val="center"/>
              <w:rPr>
                <w:rFonts w:hint="eastAsia" w:ascii="宋体" w:hAnsi="宋体"/>
                <w:szCs w:val="21"/>
                <w:highlight w:val="none"/>
              </w:rPr>
            </w:pPr>
            <w:r>
              <w:rPr>
                <w:rFonts w:hint="eastAsia" w:ascii="宋体" w:hAnsi="宋体"/>
                <w:szCs w:val="21"/>
                <w:highlight w:val="none"/>
              </w:rPr>
              <w:t>单  价</w:t>
            </w:r>
          </w:p>
          <w:p w14:paraId="00F3AF25">
            <w:pPr>
              <w:snapToGrid w:val="0"/>
              <w:spacing w:line="360" w:lineRule="exact"/>
              <w:jc w:val="center"/>
              <w:rPr>
                <w:rFonts w:hint="eastAsia" w:ascii="宋体" w:hAnsi="宋体"/>
                <w:szCs w:val="21"/>
                <w:highlight w:val="none"/>
              </w:rPr>
            </w:pPr>
            <w:r>
              <w:rPr>
                <w:rFonts w:hint="eastAsia" w:ascii="宋体" w:hAnsi="宋体"/>
                <w:szCs w:val="21"/>
                <w:highlight w:val="none"/>
              </w:rPr>
              <w:t>（元）</w:t>
            </w:r>
          </w:p>
        </w:tc>
        <w:tc>
          <w:tcPr>
            <w:tcW w:w="1260" w:type="dxa"/>
            <w:noWrap w:val="0"/>
            <w:vAlign w:val="center"/>
          </w:tcPr>
          <w:p w14:paraId="7F22E555">
            <w:pPr>
              <w:snapToGrid w:val="0"/>
              <w:spacing w:line="360" w:lineRule="exact"/>
              <w:jc w:val="center"/>
              <w:rPr>
                <w:rFonts w:hint="eastAsia" w:ascii="宋体" w:hAnsi="宋体"/>
                <w:szCs w:val="21"/>
                <w:highlight w:val="none"/>
              </w:rPr>
            </w:pPr>
            <w:r>
              <w:rPr>
                <w:rFonts w:hint="eastAsia" w:ascii="宋体" w:hAnsi="宋体"/>
                <w:szCs w:val="21"/>
                <w:highlight w:val="none"/>
              </w:rPr>
              <w:t>金  额</w:t>
            </w:r>
          </w:p>
          <w:p w14:paraId="6551DD21">
            <w:pPr>
              <w:snapToGrid w:val="0"/>
              <w:spacing w:line="360" w:lineRule="exact"/>
              <w:jc w:val="center"/>
              <w:rPr>
                <w:rFonts w:hint="eastAsia" w:ascii="宋体" w:hAnsi="宋体"/>
                <w:szCs w:val="21"/>
                <w:highlight w:val="none"/>
              </w:rPr>
            </w:pPr>
            <w:r>
              <w:rPr>
                <w:rFonts w:hint="eastAsia" w:ascii="宋体" w:hAnsi="宋体"/>
                <w:szCs w:val="21"/>
                <w:highlight w:val="none"/>
              </w:rPr>
              <w:t>（元）</w:t>
            </w:r>
          </w:p>
        </w:tc>
      </w:tr>
      <w:tr w14:paraId="687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1BD2C56A">
            <w:pPr>
              <w:snapToGrid w:val="0"/>
              <w:spacing w:line="360" w:lineRule="exact"/>
              <w:jc w:val="center"/>
              <w:rPr>
                <w:rFonts w:hint="eastAsia" w:ascii="宋体" w:hAnsi="宋体"/>
                <w:szCs w:val="21"/>
                <w:highlight w:val="none"/>
              </w:rPr>
            </w:pPr>
          </w:p>
        </w:tc>
        <w:tc>
          <w:tcPr>
            <w:tcW w:w="1080" w:type="dxa"/>
            <w:noWrap w:val="0"/>
            <w:vAlign w:val="center"/>
          </w:tcPr>
          <w:p w14:paraId="66CBB210">
            <w:pPr>
              <w:snapToGrid w:val="0"/>
              <w:spacing w:line="360" w:lineRule="exact"/>
              <w:jc w:val="center"/>
              <w:rPr>
                <w:rFonts w:hint="eastAsia" w:ascii="宋体" w:hAnsi="宋体"/>
                <w:szCs w:val="21"/>
                <w:highlight w:val="none"/>
              </w:rPr>
            </w:pPr>
          </w:p>
        </w:tc>
        <w:tc>
          <w:tcPr>
            <w:tcW w:w="2340" w:type="dxa"/>
            <w:noWrap w:val="0"/>
            <w:vAlign w:val="center"/>
          </w:tcPr>
          <w:p w14:paraId="1573540D">
            <w:pPr>
              <w:snapToGrid w:val="0"/>
              <w:spacing w:line="360" w:lineRule="exact"/>
              <w:jc w:val="center"/>
              <w:rPr>
                <w:rFonts w:hint="eastAsia" w:ascii="宋体" w:hAnsi="宋体"/>
                <w:szCs w:val="21"/>
                <w:highlight w:val="none"/>
              </w:rPr>
            </w:pPr>
          </w:p>
        </w:tc>
        <w:tc>
          <w:tcPr>
            <w:tcW w:w="1260" w:type="dxa"/>
            <w:noWrap w:val="0"/>
            <w:vAlign w:val="top"/>
          </w:tcPr>
          <w:p w14:paraId="46FA88ED">
            <w:pPr>
              <w:snapToGrid w:val="0"/>
              <w:spacing w:line="360" w:lineRule="exact"/>
              <w:jc w:val="center"/>
              <w:rPr>
                <w:rFonts w:hint="eastAsia" w:ascii="宋体" w:hAnsi="宋体"/>
                <w:szCs w:val="21"/>
                <w:highlight w:val="none"/>
              </w:rPr>
            </w:pPr>
          </w:p>
        </w:tc>
        <w:tc>
          <w:tcPr>
            <w:tcW w:w="1260" w:type="dxa"/>
            <w:noWrap w:val="0"/>
            <w:vAlign w:val="top"/>
          </w:tcPr>
          <w:p w14:paraId="10D7AF34">
            <w:pPr>
              <w:snapToGrid w:val="0"/>
              <w:spacing w:line="360" w:lineRule="exact"/>
              <w:jc w:val="center"/>
              <w:rPr>
                <w:rFonts w:hint="eastAsia" w:ascii="宋体" w:hAnsi="宋体"/>
                <w:szCs w:val="21"/>
                <w:highlight w:val="none"/>
              </w:rPr>
            </w:pPr>
          </w:p>
        </w:tc>
        <w:tc>
          <w:tcPr>
            <w:tcW w:w="1440" w:type="dxa"/>
            <w:noWrap w:val="0"/>
            <w:vAlign w:val="center"/>
          </w:tcPr>
          <w:p w14:paraId="10A1D2CE">
            <w:pPr>
              <w:snapToGrid w:val="0"/>
              <w:spacing w:line="360" w:lineRule="exact"/>
              <w:jc w:val="center"/>
              <w:rPr>
                <w:rFonts w:hint="eastAsia" w:ascii="宋体" w:hAnsi="宋体"/>
                <w:szCs w:val="21"/>
                <w:highlight w:val="none"/>
              </w:rPr>
            </w:pPr>
          </w:p>
        </w:tc>
        <w:tc>
          <w:tcPr>
            <w:tcW w:w="1260" w:type="dxa"/>
            <w:noWrap w:val="0"/>
            <w:vAlign w:val="center"/>
          </w:tcPr>
          <w:p w14:paraId="0D086D6B">
            <w:pPr>
              <w:snapToGrid w:val="0"/>
              <w:spacing w:line="360" w:lineRule="exact"/>
              <w:jc w:val="center"/>
              <w:rPr>
                <w:rFonts w:hint="eastAsia" w:ascii="宋体" w:hAnsi="宋体"/>
                <w:szCs w:val="21"/>
                <w:highlight w:val="none"/>
              </w:rPr>
            </w:pPr>
          </w:p>
        </w:tc>
      </w:tr>
      <w:tr w14:paraId="3A17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73B37D46">
            <w:pPr>
              <w:snapToGrid w:val="0"/>
              <w:spacing w:line="360" w:lineRule="exact"/>
              <w:jc w:val="center"/>
              <w:rPr>
                <w:rFonts w:hint="eastAsia" w:ascii="宋体" w:hAnsi="宋体"/>
                <w:szCs w:val="21"/>
                <w:highlight w:val="none"/>
              </w:rPr>
            </w:pPr>
          </w:p>
        </w:tc>
        <w:tc>
          <w:tcPr>
            <w:tcW w:w="1080" w:type="dxa"/>
            <w:noWrap w:val="0"/>
            <w:vAlign w:val="center"/>
          </w:tcPr>
          <w:p w14:paraId="7B6012F2">
            <w:pPr>
              <w:snapToGrid w:val="0"/>
              <w:spacing w:line="360" w:lineRule="exact"/>
              <w:jc w:val="center"/>
              <w:rPr>
                <w:rFonts w:hint="eastAsia" w:ascii="宋体" w:hAnsi="宋体"/>
                <w:szCs w:val="21"/>
                <w:highlight w:val="none"/>
              </w:rPr>
            </w:pPr>
          </w:p>
        </w:tc>
        <w:tc>
          <w:tcPr>
            <w:tcW w:w="2340" w:type="dxa"/>
            <w:noWrap w:val="0"/>
            <w:vAlign w:val="center"/>
          </w:tcPr>
          <w:p w14:paraId="2AB28310">
            <w:pPr>
              <w:snapToGrid w:val="0"/>
              <w:spacing w:line="360" w:lineRule="exact"/>
              <w:jc w:val="center"/>
              <w:rPr>
                <w:rFonts w:hint="eastAsia" w:ascii="宋体" w:hAnsi="宋体"/>
                <w:szCs w:val="21"/>
                <w:highlight w:val="none"/>
              </w:rPr>
            </w:pPr>
          </w:p>
        </w:tc>
        <w:tc>
          <w:tcPr>
            <w:tcW w:w="1260" w:type="dxa"/>
            <w:noWrap w:val="0"/>
            <w:vAlign w:val="top"/>
          </w:tcPr>
          <w:p w14:paraId="68520B1C">
            <w:pPr>
              <w:snapToGrid w:val="0"/>
              <w:spacing w:line="360" w:lineRule="exact"/>
              <w:jc w:val="center"/>
              <w:rPr>
                <w:rFonts w:hint="eastAsia" w:ascii="宋体" w:hAnsi="宋体"/>
                <w:szCs w:val="21"/>
                <w:highlight w:val="none"/>
              </w:rPr>
            </w:pPr>
          </w:p>
        </w:tc>
        <w:tc>
          <w:tcPr>
            <w:tcW w:w="1260" w:type="dxa"/>
            <w:noWrap w:val="0"/>
            <w:vAlign w:val="top"/>
          </w:tcPr>
          <w:p w14:paraId="7663762D">
            <w:pPr>
              <w:snapToGrid w:val="0"/>
              <w:spacing w:line="360" w:lineRule="exact"/>
              <w:jc w:val="center"/>
              <w:rPr>
                <w:rFonts w:hint="eastAsia" w:ascii="宋体" w:hAnsi="宋体"/>
                <w:szCs w:val="21"/>
                <w:highlight w:val="none"/>
              </w:rPr>
            </w:pPr>
          </w:p>
        </w:tc>
        <w:tc>
          <w:tcPr>
            <w:tcW w:w="1440" w:type="dxa"/>
            <w:noWrap w:val="0"/>
            <w:vAlign w:val="center"/>
          </w:tcPr>
          <w:p w14:paraId="0D565CA4">
            <w:pPr>
              <w:snapToGrid w:val="0"/>
              <w:spacing w:line="360" w:lineRule="exact"/>
              <w:jc w:val="center"/>
              <w:rPr>
                <w:rFonts w:hint="eastAsia" w:ascii="宋体" w:hAnsi="宋体"/>
                <w:szCs w:val="21"/>
                <w:highlight w:val="none"/>
              </w:rPr>
            </w:pPr>
          </w:p>
        </w:tc>
        <w:tc>
          <w:tcPr>
            <w:tcW w:w="1260" w:type="dxa"/>
            <w:noWrap w:val="0"/>
            <w:vAlign w:val="center"/>
          </w:tcPr>
          <w:p w14:paraId="2AA0F680">
            <w:pPr>
              <w:snapToGrid w:val="0"/>
              <w:spacing w:line="360" w:lineRule="exact"/>
              <w:jc w:val="center"/>
              <w:rPr>
                <w:rFonts w:hint="eastAsia" w:ascii="宋体" w:hAnsi="宋体"/>
                <w:szCs w:val="21"/>
                <w:highlight w:val="none"/>
              </w:rPr>
            </w:pPr>
          </w:p>
        </w:tc>
      </w:tr>
      <w:tr w14:paraId="513E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471369D6">
            <w:pPr>
              <w:snapToGrid w:val="0"/>
              <w:spacing w:line="360" w:lineRule="exact"/>
              <w:jc w:val="center"/>
              <w:rPr>
                <w:rFonts w:hint="eastAsia" w:ascii="宋体" w:hAnsi="宋体"/>
                <w:szCs w:val="21"/>
                <w:highlight w:val="none"/>
              </w:rPr>
            </w:pPr>
          </w:p>
        </w:tc>
        <w:tc>
          <w:tcPr>
            <w:tcW w:w="1080" w:type="dxa"/>
            <w:noWrap w:val="0"/>
            <w:vAlign w:val="center"/>
          </w:tcPr>
          <w:p w14:paraId="4623698D">
            <w:pPr>
              <w:snapToGrid w:val="0"/>
              <w:spacing w:line="360" w:lineRule="exact"/>
              <w:jc w:val="center"/>
              <w:rPr>
                <w:rFonts w:hint="eastAsia" w:ascii="宋体" w:hAnsi="宋体"/>
                <w:szCs w:val="21"/>
                <w:highlight w:val="none"/>
              </w:rPr>
            </w:pPr>
          </w:p>
        </w:tc>
        <w:tc>
          <w:tcPr>
            <w:tcW w:w="2340" w:type="dxa"/>
            <w:noWrap w:val="0"/>
            <w:vAlign w:val="center"/>
          </w:tcPr>
          <w:p w14:paraId="0C80611A">
            <w:pPr>
              <w:snapToGrid w:val="0"/>
              <w:spacing w:line="360" w:lineRule="exact"/>
              <w:jc w:val="center"/>
              <w:rPr>
                <w:rFonts w:hint="eastAsia" w:ascii="宋体" w:hAnsi="宋体"/>
                <w:szCs w:val="21"/>
                <w:highlight w:val="none"/>
              </w:rPr>
            </w:pPr>
          </w:p>
        </w:tc>
        <w:tc>
          <w:tcPr>
            <w:tcW w:w="1260" w:type="dxa"/>
            <w:noWrap w:val="0"/>
            <w:vAlign w:val="top"/>
          </w:tcPr>
          <w:p w14:paraId="361DE928">
            <w:pPr>
              <w:snapToGrid w:val="0"/>
              <w:spacing w:line="360" w:lineRule="exact"/>
              <w:jc w:val="center"/>
              <w:rPr>
                <w:rFonts w:hint="eastAsia" w:ascii="宋体" w:hAnsi="宋体"/>
                <w:szCs w:val="21"/>
                <w:highlight w:val="none"/>
              </w:rPr>
            </w:pPr>
          </w:p>
        </w:tc>
        <w:tc>
          <w:tcPr>
            <w:tcW w:w="1260" w:type="dxa"/>
            <w:noWrap w:val="0"/>
            <w:vAlign w:val="top"/>
          </w:tcPr>
          <w:p w14:paraId="7D4C4382">
            <w:pPr>
              <w:snapToGrid w:val="0"/>
              <w:spacing w:line="360" w:lineRule="exact"/>
              <w:jc w:val="center"/>
              <w:rPr>
                <w:rFonts w:hint="eastAsia" w:ascii="宋体" w:hAnsi="宋体"/>
                <w:szCs w:val="21"/>
                <w:highlight w:val="none"/>
              </w:rPr>
            </w:pPr>
          </w:p>
        </w:tc>
        <w:tc>
          <w:tcPr>
            <w:tcW w:w="1440" w:type="dxa"/>
            <w:noWrap w:val="0"/>
            <w:vAlign w:val="center"/>
          </w:tcPr>
          <w:p w14:paraId="2AD0E7E9">
            <w:pPr>
              <w:snapToGrid w:val="0"/>
              <w:spacing w:line="360" w:lineRule="exact"/>
              <w:jc w:val="center"/>
              <w:rPr>
                <w:rFonts w:hint="eastAsia" w:ascii="宋体" w:hAnsi="宋体"/>
                <w:szCs w:val="21"/>
                <w:highlight w:val="none"/>
              </w:rPr>
            </w:pPr>
          </w:p>
        </w:tc>
        <w:tc>
          <w:tcPr>
            <w:tcW w:w="1260" w:type="dxa"/>
            <w:noWrap w:val="0"/>
            <w:vAlign w:val="center"/>
          </w:tcPr>
          <w:p w14:paraId="4E9F44B8">
            <w:pPr>
              <w:snapToGrid w:val="0"/>
              <w:spacing w:line="360" w:lineRule="exact"/>
              <w:jc w:val="center"/>
              <w:rPr>
                <w:rFonts w:hint="eastAsia" w:ascii="宋体" w:hAnsi="宋体"/>
                <w:szCs w:val="21"/>
                <w:highlight w:val="none"/>
              </w:rPr>
            </w:pPr>
          </w:p>
        </w:tc>
      </w:tr>
      <w:tr w14:paraId="6A5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noWrap w:val="0"/>
            <w:vAlign w:val="center"/>
          </w:tcPr>
          <w:p w14:paraId="56968295">
            <w:pPr>
              <w:snapToGrid w:val="0"/>
              <w:spacing w:line="360" w:lineRule="exact"/>
              <w:rPr>
                <w:rFonts w:hint="eastAsia" w:ascii="宋体" w:hAnsi="宋体"/>
                <w:szCs w:val="21"/>
                <w:highlight w:val="none"/>
              </w:rPr>
            </w:pPr>
            <w:r>
              <w:rPr>
                <w:rFonts w:hint="eastAsia" w:ascii="宋体" w:hAnsi="宋体"/>
                <w:szCs w:val="21"/>
                <w:highlight w:val="none"/>
              </w:rPr>
              <w:t xml:space="preserve">人民币合计金额（大写）                          （小写）                 </w:t>
            </w:r>
          </w:p>
        </w:tc>
      </w:tr>
    </w:tbl>
    <w:p w14:paraId="5ACC7361">
      <w:pPr>
        <w:snapToGrid w:val="0"/>
        <w:spacing w:line="360" w:lineRule="exact"/>
        <w:ind w:right="420" w:firstLine="420" w:firstLineChars="200"/>
        <w:rPr>
          <w:rFonts w:hint="eastAsia" w:ascii="宋体" w:hAnsi="宋体"/>
          <w:szCs w:val="21"/>
          <w:highlight w:val="none"/>
        </w:rPr>
      </w:pPr>
      <w:r>
        <w:rPr>
          <w:rFonts w:hint="eastAsia" w:ascii="宋体" w:hAnsi="宋体"/>
          <w:szCs w:val="21"/>
          <w:highlight w:val="none"/>
        </w:rPr>
        <w:t>2、合同合计金额包括服务成果价款[</w:t>
      </w:r>
      <w:r>
        <w:rPr>
          <w:rFonts w:hint="eastAsia" w:ascii="Times New Roman" w:hAnsi="宋体"/>
          <w:highlight w:val="none"/>
        </w:rPr>
        <w:t>（详见报价表）</w:t>
      </w:r>
      <w:r>
        <w:rPr>
          <w:rFonts w:hint="eastAsia" w:ascii="宋体" w:hAnsi="宋体"/>
          <w:szCs w:val="21"/>
          <w:highlight w:val="none"/>
        </w:rPr>
        <w:t>，以及为实现服务成果所包括的备件、专用工具、安装、调试、检验、技术培训及技术资料、评审、论证等全部费用]。如磋商文件、响应文件对其另有规定的，从其规定。</w:t>
      </w:r>
    </w:p>
    <w:p w14:paraId="2BFBF30D">
      <w:pPr>
        <w:snapToGrid w:val="0"/>
        <w:spacing w:line="360" w:lineRule="exact"/>
        <w:ind w:firstLine="422" w:firstLineChars="200"/>
        <w:rPr>
          <w:rFonts w:hint="eastAsia" w:ascii="宋体" w:hAnsi="宋体"/>
          <w:szCs w:val="21"/>
          <w:highlight w:val="none"/>
        </w:rPr>
      </w:pPr>
      <w:r>
        <w:rPr>
          <w:rFonts w:hint="eastAsia" w:ascii="宋体" w:hAnsi="宋体"/>
          <w:b/>
          <w:szCs w:val="21"/>
          <w:highlight w:val="none"/>
        </w:rPr>
        <w:t>第二条　质量保证</w:t>
      </w:r>
    </w:p>
    <w:p w14:paraId="5EA1ED78">
      <w:pPr>
        <w:numPr>
          <w:ilvl w:val="0"/>
          <w:numId w:val="2"/>
        </w:numPr>
        <w:snapToGrid w:val="0"/>
        <w:spacing w:line="360" w:lineRule="exact"/>
        <w:rPr>
          <w:rFonts w:hint="eastAsia" w:ascii="宋体" w:hAnsi="宋体"/>
          <w:szCs w:val="21"/>
          <w:highlight w:val="none"/>
        </w:rPr>
      </w:pPr>
      <w:r>
        <w:rPr>
          <w:rFonts w:hint="eastAsia" w:ascii="宋体" w:hAnsi="宋体"/>
          <w:szCs w:val="21"/>
          <w:highlight w:val="none"/>
        </w:rPr>
        <w:t>乙方所提供的服务成果、数量、</w:t>
      </w:r>
      <w:r>
        <w:rPr>
          <w:rFonts w:hint="eastAsia" w:ascii="Times New Roman" w:hAnsi="宋体"/>
          <w:highlight w:val="none"/>
        </w:rPr>
        <w:t>项目技术参数</w:t>
      </w:r>
      <w:r>
        <w:rPr>
          <w:rFonts w:hint="eastAsia" w:ascii="宋体" w:hAnsi="宋体"/>
          <w:szCs w:val="21"/>
          <w:highlight w:val="none"/>
        </w:rPr>
        <w:t>等质量必须与磋商文件、响应文件和承诺相一致。</w:t>
      </w:r>
    </w:p>
    <w:p w14:paraId="049EC98D">
      <w:pPr>
        <w:snapToGrid w:val="0"/>
        <w:spacing w:line="360" w:lineRule="exact"/>
        <w:rPr>
          <w:rFonts w:hint="eastAsia" w:ascii="宋体" w:hAnsi="宋体"/>
          <w:szCs w:val="21"/>
          <w:highlight w:val="none"/>
        </w:rPr>
      </w:pPr>
      <w:r>
        <w:rPr>
          <w:rFonts w:hint="eastAsia" w:ascii="宋体" w:hAnsi="宋体"/>
          <w:szCs w:val="21"/>
          <w:highlight w:val="none"/>
        </w:rPr>
        <w:t>乙方所提供的服务成果在正常使用和保养条件下，其使用寿命期内各项指标均达到质量要求。涉及的节能和环保产品必须是列入政府采购清单的产品。</w:t>
      </w:r>
    </w:p>
    <w:p w14:paraId="3F55C894">
      <w:pPr>
        <w:snapToGrid w:val="0"/>
        <w:spacing w:line="360" w:lineRule="exact"/>
        <w:ind w:firstLine="422" w:firstLineChars="200"/>
        <w:rPr>
          <w:rFonts w:hint="eastAsia" w:ascii="宋体" w:hAnsi="宋体"/>
          <w:szCs w:val="21"/>
          <w:highlight w:val="none"/>
        </w:rPr>
      </w:pPr>
      <w:r>
        <w:rPr>
          <w:rFonts w:hint="eastAsia" w:ascii="宋体" w:hAnsi="宋体"/>
          <w:b/>
          <w:szCs w:val="21"/>
          <w:highlight w:val="none"/>
        </w:rPr>
        <w:t>第三条　权力保证</w:t>
      </w:r>
    </w:p>
    <w:p w14:paraId="76DD7FEC">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乙方应保证所提供服务成果（</w:t>
      </w:r>
      <w:r>
        <w:rPr>
          <w:rFonts w:hint="eastAsia" w:ascii="Times New Roman" w:hAnsi="Times New Roman"/>
          <w:highlight w:val="none"/>
        </w:rPr>
        <w:t>或其任何一部分）</w:t>
      </w:r>
      <w:r>
        <w:rPr>
          <w:rFonts w:hint="eastAsia" w:ascii="宋体" w:hAnsi="宋体"/>
          <w:szCs w:val="21"/>
          <w:highlight w:val="none"/>
        </w:rPr>
        <w:t>在使用时不会侵犯任何第三方的专利权、商标权、</w:t>
      </w:r>
      <w:r>
        <w:rPr>
          <w:rFonts w:hint="eastAsia" w:ascii="Times New Roman" w:hAnsi="Times New Roman"/>
          <w:highlight w:val="none"/>
        </w:rPr>
        <w:t>著作权、</w:t>
      </w:r>
      <w:r>
        <w:rPr>
          <w:rFonts w:hint="eastAsia" w:ascii="宋体" w:hAnsi="宋体"/>
          <w:szCs w:val="21"/>
          <w:highlight w:val="none"/>
        </w:rPr>
        <w:t>工业设计权或其他权利。</w:t>
      </w:r>
    </w:p>
    <w:p w14:paraId="7F743785">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乙方应按</w:t>
      </w:r>
      <w:r>
        <w:rPr>
          <w:rFonts w:hint="eastAsia" w:ascii="Times New Roman" w:hAnsi="宋体"/>
          <w:highlight w:val="none"/>
        </w:rPr>
        <w:t>磋商文件</w:t>
      </w:r>
      <w:r>
        <w:rPr>
          <w:rFonts w:hint="eastAsia" w:ascii="宋体" w:hAnsi="宋体"/>
          <w:szCs w:val="21"/>
          <w:highlight w:val="none"/>
        </w:rPr>
        <w:t>规定的时间向甲方提供使用服务成果的有关技术资料。</w:t>
      </w:r>
    </w:p>
    <w:p w14:paraId="1C6377AA">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5916B0">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乙方保证所交付的服务成果的所有权完全属于乙方且无任何抵押、质押、查封等产权瑕疵。</w:t>
      </w:r>
      <w:r>
        <w:rPr>
          <w:rFonts w:hint="eastAsia" w:ascii="Times New Roman" w:hAnsi="宋体"/>
          <w:highlight w:val="none"/>
        </w:rPr>
        <w:t>如乙方所交付服务成果有产权瑕疵的，视为乙方违约，按照本合同第十二条约定处理。但在已经全部支付完合同款后才发现有产权瑕疵的，乙方除了支付违约金还应负担甲方由此产生的一切损失。</w:t>
      </w:r>
    </w:p>
    <w:p w14:paraId="09C94468">
      <w:pPr>
        <w:snapToGrid w:val="0"/>
        <w:spacing w:line="360" w:lineRule="exact"/>
        <w:ind w:firstLine="422" w:firstLineChars="200"/>
        <w:rPr>
          <w:rFonts w:hint="eastAsia" w:ascii="宋体" w:hAnsi="宋体"/>
          <w:szCs w:val="21"/>
          <w:highlight w:val="none"/>
        </w:rPr>
      </w:pPr>
      <w:r>
        <w:rPr>
          <w:rFonts w:hint="eastAsia" w:ascii="宋体" w:hAnsi="宋体"/>
          <w:b/>
          <w:szCs w:val="21"/>
          <w:highlight w:val="none"/>
        </w:rPr>
        <w:t>第四条　交付和验收</w:t>
      </w:r>
    </w:p>
    <w:p w14:paraId="1DF575DB">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1、提交服务成果时间：____________________________,服务地点：__________________________。</w:t>
      </w:r>
    </w:p>
    <w:p w14:paraId="206D7AF0">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2、乙方提供不符合磋商文件、响应文件和本合同规定的服务成果，甲方有权拒绝接受。</w:t>
      </w:r>
    </w:p>
    <w:p w14:paraId="2E0955B6">
      <w:pPr>
        <w:snapToGrid w:val="0"/>
        <w:spacing w:line="360" w:lineRule="exact"/>
        <w:ind w:firstLine="420" w:firstLineChars="200"/>
        <w:rPr>
          <w:rFonts w:hint="eastAsia" w:ascii="宋体" w:hAnsi="宋体"/>
          <w:szCs w:val="21"/>
          <w:highlight w:val="none"/>
        </w:rPr>
      </w:pPr>
      <w:r>
        <w:rPr>
          <w:rFonts w:hint="eastAsia" w:ascii="Times New Roman" w:hAnsi="宋体"/>
          <w:highlight w:val="none"/>
        </w:rPr>
        <w:t>3、乙方必须按</w:t>
      </w:r>
      <w:r>
        <w:rPr>
          <w:rFonts w:hint="eastAsia" w:ascii="宋体" w:hAnsi="宋体"/>
          <w:szCs w:val="21"/>
          <w:highlight w:val="none"/>
        </w:rPr>
        <w:t>响应文件</w:t>
      </w:r>
      <w:r>
        <w:rPr>
          <w:rFonts w:hint="eastAsia" w:ascii="Times New Roman" w:hAnsi="宋体"/>
          <w:highlight w:val="none"/>
        </w:rPr>
        <w:t>承诺的服务响应条款向甲方提供服务。</w:t>
      </w:r>
    </w:p>
    <w:p w14:paraId="6C2FAEF0">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4、</w:t>
      </w:r>
      <w:r>
        <w:rPr>
          <w:rFonts w:hint="eastAsia" w:ascii="Times New Roman" w:hAnsi="宋体"/>
          <w:highlight w:val="none"/>
        </w:rPr>
        <w:t>乙方应对提交的服务成果作出全面检查和整理，并列出清单，作为甲方验收和使用的技术条件依据，清单应随提交的服务成果交给甲方。</w:t>
      </w:r>
    </w:p>
    <w:p w14:paraId="2872C157">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5、</w:t>
      </w:r>
      <w:r>
        <w:rPr>
          <w:rFonts w:hint="eastAsia" w:ascii="Times New Roman" w:hAnsi="宋体"/>
          <w:highlight w:val="none"/>
        </w:rPr>
        <w:t>乙方在指定地点提交服务成果后（调试完成），甲方应在七个工作日内依据</w:t>
      </w:r>
      <w:r>
        <w:rPr>
          <w:rFonts w:hint="eastAsia" w:ascii="宋体" w:hAnsi="宋体"/>
          <w:szCs w:val="21"/>
          <w:highlight w:val="none"/>
        </w:rPr>
        <w:t>磋商文件</w:t>
      </w:r>
      <w:r>
        <w:rPr>
          <w:rFonts w:hint="eastAsia" w:ascii="Times New Roman" w:hAnsi="宋体"/>
          <w:highlight w:val="none"/>
        </w:rPr>
        <w:t>、乙方的</w:t>
      </w:r>
      <w:r>
        <w:rPr>
          <w:rFonts w:hint="eastAsia" w:ascii="宋体" w:hAnsi="宋体"/>
          <w:szCs w:val="21"/>
          <w:highlight w:val="none"/>
        </w:rPr>
        <w:t>响应文件</w:t>
      </w:r>
      <w:r>
        <w:rPr>
          <w:rFonts w:hint="eastAsia" w:ascii="Times New Roman" w:hAnsi="宋体"/>
          <w:highlight w:val="none"/>
        </w:rPr>
        <w:t>等组织验收。</w:t>
      </w:r>
      <w:r>
        <w:rPr>
          <w:rFonts w:hint="eastAsia" w:ascii="宋体" w:hAnsi="宋体"/>
          <w:szCs w:val="21"/>
          <w:highlight w:val="none"/>
        </w:rPr>
        <w:t>逾期不验收的，乙方可视同验收合格。验收合格后由甲乙双方签署</w:t>
      </w:r>
      <w:r>
        <w:rPr>
          <w:rFonts w:hint="eastAsia" w:ascii="Times New Roman" w:hAnsi="宋体"/>
          <w:highlight w:val="none"/>
        </w:rPr>
        <w:t>服务成果</w:t>
      </w:r>
      <w:r>
        <w:rPr>
          <w:rFonts w:hint="eastAsia" w:ascii="宋体" w:hAnsi="宋体"/>
          <w:szCs w:val="21"/>
          <w:highlight w:val="none"/>
        </w:rPr>
        <w:t>验收单并加盖采购单位公章，甲乙双方各执一份。</w:t>
      </w:r>
    </w:p>
    <w:p w14:paraId="36270EC9">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3D29542">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7、甲方对验收有异议的，在验收后五个工作日内以书面形式向乙方提出，乙方应自收到甲方书面异议后</w:t>
      </w:r>
      <w:r>
        <w:rPr>
          <w:rFonts w:hint="eastAsia" w:ascii="宋体" w:hAnsi="宋体"/>
          <w:szCs w:val="21"/>
          <w:highlight w:val="none"/>
          <w:u w:val="single"/>
        </w:rPr>
        <w:t xml:space="preserve">    </w:t>
      </w:r>
      <w:r>
        <w:rPr>
          <w:rFonts w:hint="eastAsia" w:ascii="宋体" w:hAnsi="宋体"/>
          <w:szCs w:val="21"/>
          <w:highlight w:val="none"/>
        </w:rPr>
        <w:t>日内及时予以解决。</w:t>
      </w:r>
    </w:p>
    <w:p w14:paraId="5F06BC24">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第五条　培训</w:t>
      </w:r>
    </w:p>
    <w:p w14:paraId="006B80DC">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1、甲方应提供必要的培训条件（如场地、电源、水源等）。</w:t>
      </w:r>
    </w:p>
    <w:p w14:paraId="696ECAFC">
      <w:pPr>
        <w:snapToGrid w:val="0"/>
        <w:spacing w:line="360" w:lineRule="exact"/>
        <w:ind w:firstLine="420" w:firstLineChars="200"/>
        <w:rPr>
          <w:rFonts w:hint="eastAsia" w:ascii="宋体" w:hAnsi="宋体"/>
          <w:szCs w:val="21"/>
          <w:highlight w:val="none"/>
          <w:u w:val="single"/>
        </w:rPr>
      </w:pPr>
      <w:r>
        <w:rPr>
          <w:rFonts w:hint="eastAsia" w:ascii="宋体" w:hAnsi="宋体"/>
          <w:szCs w:val="21"/>
          <w:highlight w:val="none"/>
        </w:rPr>
        <w:t>2、乙方负责甲方有关人员的培训。培训时间、地点：</w:t>
      </w:r>
      <w:r>
        <w:rPr>
          <w:rFonts w:hint="eastAsia" w:ascii="宋体" w:hAnsi="宋体"/>
          <w:szCs w:val="21"/>
          <w:highlight w:val="none"/>
          <w:u w:val="single"/>
        </w:rPr>
        <w:t xml:space="preserve">                 </w:t>
      </w:r>
      <w:r>
        <w:rPr>
          <w:rFonts w:hint="eastAsia" w:ascii="宋体" w:hAnsi="宋体"/>
          <w:szCs w:val="21"/>
          <w:highlight w:val="none"/>
        </w:rPr>
        <w:t xml:space="preserve">  。</w:t>
      </w:r>
    </w:p>
    <w:p w14:paraId="69922624">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第六条  售后服务、</w:t>
      </w:r>
      <w:r>
        <w:rPr>
          <w:rFonts w:hint="eastAsia" w:ascii="Times New Roman" w:hAnsi="宋体"/>
          <w:highlight w:val="none"/>
        </w:rPr>
        <w:t>质量</w:t>
      </w:r>
      <w:r>
        <w:rPr>
          <w:rFonts w:hint="eastAsia" w:ascii="Times New Roman" w:hAnsi="宋体"/>
          <w:b/>
          <w:highlight w:val="none"/>
        </w:rPr>
        <w:t>保证期</w:t>
      </w:r>
    </w:p>
    <w:p w14:paraId="655A2F78">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Times New Roman" w:hAnsi="宋体"/>
          <w:highlight w:val="none"/>
        </w:rPr>
        <w:t>乙方提供服务的质量保证期为：</w:t>
      </w:r>
      <w:r>
        <w:rPr>
          <w:rFonts w:hint="eastAsia" w:ascii="Times New Roman" w:hAnsi="宋体"/>
          <w:highlight w:val="none"/>
          <w:u w:val="single"/>
        </w:rPr>
        <w:t xml:space="preserve">　　　　　　   </w:t>
      </w:r>
      <w:r>
        <w:rPr>
          <w:rFonts w:hint="eastAsia" w:ascii="Times New Roman" w:hAnsi="宋体"/>
          <w:highlight w:val="none"/>
        </w:rPr>
        <w:t>（自提交服务成果验收合格之日起计），</w:t>
      </w:r>
      <w:r>
        <w:rPr>
          <w:rFonts w:hint="eastAsia" w:ascii="宋体" w:hAnsi="宋体"/>
          <w:szCs w:val="21"/>
          <w:highlight w:val="none"/>
        </w:rPr>
        <w:t>以及按照磋商文件、响应文件和本合同所附的《技术服务、培训、售后服务承诺书》，为甲方提供售后服务。</w:t>
      </w:r>
    </w:p>
    <w:p w14:paraId="4A7BCEB2">
      <w:pPr>
        <w:snapToGrid w:val="0"/>
        <w:spacing w:line="360" w:lineRule="exact"/>
        <w:ind w:firstLine="420" w:firstLineChars="200"/>
        <w:rPr>
          <w:rFonts w:hint="eastAsia" w:ascii="宋体" w:hAnsi="宋体"/>
          <w:szCs w:val="21"/>
          <w:highlight w:val="none"/>
          <w:u w:val="single"/>
        </w:rPr>
      </w:pPr>
      <w:r>
        <w:rPr>
          <w:rFonts w:hint="eastAsia" w:ascii="宋体" w:hAnsi="宋体"/>
          <w:szCs w:val="21"/>
          <w:highlight w:val="none"/>
        </w:rPr>
        <w:t>2、乙方提供的服务承诺和售后服务及</w:t>
      </w:r>
      <w:r>
        <w:rPr>
          <w:rFonts w:hint="eastAsia" w:ascii="Times New Roman" w:hAnsi="宋体"/>
          <w:highlight w:val="none"/>
        </w:rPr>
        <w:t>质量保证期</w:t>
      </w:r>
      <w:r>
        <w:rPr>
          <w:rFonts w:hint="eastAsia" w:ascii="宋体" w:hAnsi="宋体"/>
          <w:szCs w:val="21"/>
          <w:highlight w:val="none"/>
        </w:rPr>
        <w:t>责任等其它具体约定事项。（见合同附件）</w:t>
      </w:r>
    </w:p>
    <w:p w14:paraId="0A266FBE">
      <w:pPr>
        <w:snapToGrid w:val="0"/>
        <w:spacing w:line="360" w:lineRule="exact"/>
        <w:ind w:firstLine="422" w:firstLineChars="200"/>
        <w:rPr>
          <w:rFonts w:hint="eastAsia" w:ascii="宋体" w:hAnsi="宋体"/>
          <w:szCs w:val="21"/>
          <w:highlight w:val="none"/>
        </w:rPr>
      </w:pPr>
      <w:r>
        <w:rPr>
          <w:rFonts w:hint="eastAsia" w:ascii="宋体" w:hAnsi="宋体"/>
          <w:b/>
          <w:szCs w:val="21"/>
          <w:highlight w:val="none"/>
        </w:rPr>
        <w:t>第七条　付款方式</w:t>
      </w:r>
    </w:p>
    <w:p w14:paraId="54D6A96D">
      <w:pPr>
        <w:snapToGrid w:val="0"/>
        <w:spacing w:before="120" w:after="120" w:line="360" w:lineRule="exact"/>
        <w:ind w:firstLine="359" w:firstLineChars="171"/>
        <w:rPr>
          <w:rFonts w:hint="eastAsia" w:ascii="宋体" w:hAnsi="宋体"/>
          <w:szCs w:val="20"/>
          <w:highlight w:val="none"/>
        </w:rPr>
      </w:pPr>
      <w:r>
        <w:rPr>
          <w:rFonts w:hint="eastAsia" w:ascii="宋体" w:hAnsi="宋体"/>
          <w:bCs/>
          <w:szCs w:val="20"/>
          <w:highlight w:val="none"/>
        </w:rPr>
        <w:t>1、</w:t>
      </w:r>
      <w:r>
        <w:rPr>
          <w:rFonts w:hint="eastAsia" w:ascii="宋体" w:hAnsi="宋体"/>
          <w:szCs w:val="20"/>
          <w:highlight w:val="none"/>
        </w:rPr>
        <w:t>当采购的服务成果数量与实际使用数量不一致时，乙方应根据实际使用量提供服务成果，合同的最终结算金额按实际使用量乘以成交单价进行计算。</w:t>
      </w:r>
    </w:p>
    <w:p w14:paraId="30729245">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2、资金性质：</w:t>
      </w:r>
      <w:r>
        <w:rPr>
          <w:rFonts w:hint="eastAsia" w:ascii="宋体" w:hAnsi="宋体"/>
          <w:szCs w:val="21"/>
          <w:highlight w:val="none"/>
          <w:u w:val="single"/>
        </w:rPr>
        <w:t xml:space="preserve">        </w:t>
      </w:r>
      <w:r>
        <w:rPr>
          <w:rFonts w:hint="eastAsia" w:ascii="宋体" w:hAnsi="宋体"/>
          <w:szCs w:val="21"/>
          <w:highlight w:val="none"/>
        </w:rPr>
        <w:t xml:space="preserve"> 。</w:t>
      </w:r>
    </w:p>
    <w:p w14:paraId="1243A884">
      <w:pPr>
        <w:spacing w:line="440" w:lineRule="exact"/>
        <w:ind w:firstLine="420"/>
        <w:outlineLvl w:val="0"/>
        <w:rPr>
          <w:rFonts w:hint="eastAsia" w:ascii="宋体" w:hAnsi="宋体"/>
          <w:szCs w:val="20"/>
          <w:highlight w:val="none"/>
        </w:rPr>
      </w:pPr>
      <w:r>
        <w:rPr>
          <w:rFonts w:hint="eastAsia" w:ascii="宋体" w:hAnsi="宋体"/>
          <w:szCs w:val="20"/>
          <w:highlight w:val="none"/>
        </w:rPr>
        <w:t xml:space="preserve">3、付款方式： </w:t>
      </w:r>
    </w:p>
    <w:p w14:paraId="4818590E">
      <w:pPr>
        <w:spacing w:line="420" w:lineRule="exact"/>
        <w:ind w:firstLine="359" w:firstLineChars="171"/>
        <w:rPr>
          <w:rFonts w:hint="eastAsia" w:ascii="宋体" w:hAnsi="宋体"/>
          <w:szCs w:val="20"/>
          <w:highlight w:val="none"/>
        </w:rPr>
      </w:pPr>
      <w:r>
        <w:rPr>
          <w:rFonts w:hint="eastAsia" w:ascii="宋体" w:hAnsi="宋体"/>
          <w:szCs w:val="20"/>
          <w:highlight w:val="none"/>
        </w:rPr>
        <w:t>1）本合同价款采用费用包干合同方式确定。</w:t>
      </w:r>
    </w:p>
    <w:p w14:paraId="64A75E1D">
      <w:pPr>
        <w:spacing w:line="420" w:lineRule="exact"/>
        <w:ind w:firstLine="359" w:firstLineChars="171"/>
        <w:rPr>
          <w:rFonts w:ascii="宋体" w:hAnsi="宋体"/>
          <w:szCs w:val="20"/>
          <w:highlight w:val="none"/>
        </w:rPr>
      </w:pPr>
      <w:r>
        <w:rPr>
          <w:rFonts w:hint="eastAsia" w:ascii="宋体" w:hAnsi="宋体"/>
          <w:szCs w:val="20"/>
          <w:highlight w:val="none"/>
        </w:rPr>
        <w:t>2）竣工验收合格后，</w:t>
      </w:r>
      <w:r>
        <w:rPr>
          <w:rFonts w:hint="eastAsia" w:ascii="宋体" w:hAnsi="宋体"/>
          <w:szCs w:val="20"/>
          <w:highlight w:val="none"/>
          <w:u w:val="single"/>
        </w:rPr>
        <w:t xml:space="preserve">                 </w:t>
      </w:r>
      <w:r>
        <w:rPr>
          <w:rFonts w:hint="eastAsia" w:ascii="宋体" w:hAnsi="宋体"/>
          <w:szCs w:val="20"/>
          <w:highlight w:val="none"/>
        </w:rPr>
        <w:t>。</w:t>
      </w:r>
    </w:p>
    <w:p w14:paraId="29B80E4A">
      <w:pPr>
        <w:snapToGrid w:val="0"/>
        <w:spacing w:line="360" w:lineRule="exact"/>
        <w:ind w:left="-61" w:leftChars="-29" w:firstLine="517" w:firstLineChars="245"/>
        <w:rPr>
          <w:rFonts w:hint="eastAsia" w:ascii="宋体" w:hAnsi="宋体"/>
          <w:b/>
          <w:szCs w:val="21"/>
          <w:highlight w:val="none"/>
        </w:rPr>
      </w:pPr>
      <w:r>
        <w:rPr>
          <w:rFonts w:hint="eastAsia" w:ascii="宋体" w:hAnsi="宋体"/>
          <w:b/>
          <w:szCs w:val="21"/>
          <w:highlight w:val="none"/>
        </w:rPr>
        <w:t>第八条　质量保证金</w:t>
      </w:r>
    </w:p>
    <w:p w14:paraId="4A2C7EFE">
      <w:pPr>
        <w:spacing w:line="420" w:lineRule="exact"/>
        <w:ind w:firstLine="359" w:firstLineChars="171"/>
        <w:rPr>
          <w:rFonts w:hint="eastAsia" w:ascii="宋体" w:hAnsi="宋体"/>
          <w:szCs w:val="21"/>
          <w:highlight w:val="none"/>
        </w:rPr>
      </w:pPr>
      <w:r>
        <w:rPr>
          <w:rFonts w:hint="eastAsia" w:ascii="宋体" w:hAnsi="宋体"/>
          <w:szCs w:val="20"/>
          <w:highlight w:val="none"/>
        </w:rPr>
        <w:t>质量保证金在质保期满后无质量问题的，10天内</w:t>
      </w:r>
      <w:r>
        <w:rPr>
          <w:rFonts w:hint="eastAsia" w:ascii="宋体" w:hAnsi="宋体"/>
          <w:szCs w:val="21"/>
          <w:highlight w:val="none"/>
        </w:rPr>
        <w:t>无息返还。</w:t>
      </w:r>
    </w:p>
    <w:p w14:paraId="0AB4BFA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第九条  税费</w:t>
      </w:r>
    </w:p>
    <w:p w14:paraId="7D1B8175">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本合同执行中相关的一切税费均由乙方负担。</w:t>
      </w:r>
    </w:p>
    <w:p w14:paraId="394244A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第十条  服务成果质量保证及售后服务</w:t>
      </w:r>
    </w:p>
    <w:p w14:paraId="7D894321">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 乙方应按磋商文件规定的采购服务内容，其数量、服务</w:t>
      </w:r>
      <w:r>
        <w:rPr>
          <w:rFonts w:hint="eastAsia" w:ascii="Times New Roman" w:hAnsi="宋体"/>
          <w:highlight w:val="none"/>
        </w:rPr>
        <w:t>项目要求(技术参数需求)</w:t>
      </w:r>
      <w:r>
        <w:rPr>
          <w:rFonts w:hint="eastAsia" w:ascii="宋体" w:hAnsi="宋体"/>
          <w:szCs w:val="21"/>
          <w:highlight w:val="none"/>
        </w:rPr>
        <w:t>等质量必须为无瑕疵的服务成果。</w:t>
      </w:r>
      <w:r>
        <w:rPr>
          <w:rFonts w:hint="eastAsia" w:ascii="Times New Roman" w:hAnsi="宋体"/>
          <w:highlight w:val="none"/>
        </w:rPr>
        <w:t>乙方提供</w:t>
      </w:r>
      <w:r>
        <w:rPr>
          <w:rFonts w:hint="eastAsia" w:ascii="宋体" w:hAnsi="宋体"/>
          <w:szCs w:val="21"/>
          <w:highlight w:val="none"/>
        </w:rPr>
        <w:t>服务成果</w:t>
      </w:r>
      <w:r>
        <w:rPr>
          <w:rFonts w:hint="eastAsia" w:ascii="Times New Roman" w:hAnsi="宋体"/>
          <w:highlight w:val="none"/>
        </w:rPr>
        <w:t>的质量保证期按交付服务成果验收合格之日起计（期限见《项目需求》中的要求）。在保证期内因服务成果本身的质量问题发生故障，乙方应对服务出现的问题负责处理解决并承担一切费用。对达不到技术要求者，根据实际情况，经双方协商，可按以下办法处理</w:t>
      </w:r>
      <w:r>
        <w:rPr>
          <w:rFonts w:hint="eastAsia" w:ascii="宋体" w:hAnsi="宋体"/>
          <w:szCs w:val="21"/>
          <w:highlight w:val="none"/>
        </w:rPr>
        <w:t>：</w:t>
      </w:r>
    </w:p>
    <w:p w14:paraId="0EEB88F3">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⑴更换：由乙方承担所发生的全部费用。</w:t>
      </w:r>
    </w:p>
    <w:p w14:paraId="66766DBC">
      <w:pPr>
        <w:snapToGrid w:val="0"/>
        <w:spacing w:before="120" w:after="120" w:line="360" w:lineRule="exact"/>
        <w:ind w:firstLine="420"/>
        <w:rPr>
          <w:rFonts w:hint="eastAsia" w:ascii="宋体" w:hAnsi="宋体"/>
          <w:szCs w:val="20"/>
          <w:highlight w:val="none"/>
        </w:rPr>
      </w:pPr>
      <w:r>
        <w:rPr>
          <w:rFonts w:hint="eastAsia" w:ascii="宋体" w:hAnsi="宋体"/>
          <w:szCs w:val="20"/>
          <w:highlight w:val="none"/>
        </w:rPr>
        <w:t>⑵贬值处理：由甲乙双方合议定价。</w:t>
      </w:r>
    </w:p>
    <w:p w14:paraId="52EF4261">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⑶退服务成果处理：乙方应退还甲方支付的合同款，同时应承担该服务成果的直接费用（运输、保险、检验、货款利息及银行手续费等）。</w:t>
      </w:r>
    </w:p>
    <w:p w14:paraId="6B58B35B">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2. 如在使用过程中发生质量问题，乙方在接到甲方通知后在</w:t>
      </w:r>
      <w:r>
        <w:rPr>
          <w:rFonts w:hint="eastAsia" w:ascii="宋体" w:hAnsi="宋体"/>
          <w:szCs w:val="20"/>
          <w:highlight w:val="none"/>
          <w:u w:val="single"/>
        </w:rPr>
        <w:t xml:space="preserve">    </w:t>
      </w:r>
      <w:r>
        <w:rPr>
          <w:rFonts w:hint="eastAsia" w:ascii="宋体" w:hAnsi="宋体"/>
          <w:szCs w:val="20"/>
          <w:highlight w:val="none"/>
        </w:rPr>
        <w:t>小时内到达甲方现场。</w:t>
      </w:r>
    </w:p>
    <w:p w14:paraId="33E693BF">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3. 在质保期内，乙方应对服务成果出现的质量及安全问题负责处理解决并承担一切费用。</w:t>
      </w:r>
    </w:p>
    <w:p w14:paraId="199DC988">
      <w:pPr>
        <w:snapToGrid w:val="0"/>
        <w:spacing w:before="120" w:after="120" w:line="360" w:lineRule="exact"/>
        <w:ind w:firstLine="413" w:firstLineChars="196"/>
        <w:rPr>
          <w:rFonts w:hint="eastAsia" w:ascii="宋体" w:hAnsi="宋体"/>
          <w:b/>
          <w:szCs w:val="20"/>
          <w:highlight w:val="none"/>
        </w:rPr>
      </w:pPr>
      <w:r>
        <w:rPr>
          <w:rFonts w:hint="eastAsia" w:ascii="宋体" w:hAnsi="宋体"/>
          <w:b/>
          <w:szCs w:val="20"/>
          <w:highlight w:val="none"/>
        </w:rPr>
        <w:t>第十一条  服务成果的调试和验收</w:t>
      </w:r>
    </w:p>
    <w:p w14:paraId="1F16078E">
      <w:pPr>
        <w:snapToGrid w:val="0"/>
        <w:spacing w:before="120" w:after="120" w:line="360" w:lineRule="exact"/>
        <w:ind w:firstLine="420" w:firstLineChars="200"/>
        <w:jc w:val="left"/>
        <w:rPr>
          <w:rFonts w:hint="eastAsia" w:ascii="宋体" w:hAnsi="宋体"/>
          <w:szCs w:val="20"/>
          <w:highlight w:val="none"/>
        </w:rPr>
      </w:pPr>
      <w:r>
        <w:rPr>
          <w:rFonts w:hint="eastAsia" w:ascii="宋体" w:hAnsi="宋体"/>
          <w:szCs w:val="20"/>
          <w:highlight w:val="none"/>
        </w:rPr>
        <w:t>1. 甲方对乙方提交的</w:t>
      </w:r>
      <w:r>
        <w:rPr>
          <w:rFonts w:hint="eastAsia" w:ascii="宋体" w:hAnsi="宋体"/>
          <w:b/>
          <w:szCs w:val="20"/>
          <w:highlight w:val="none"/>
        </w:rPr>
        <w:t>服务成果</w:t>
      </w:r>
      <w:r>
        <w:rPr>
          <w:rFonts w:hint="eastAsia" w:ascii="宋体" w:hAnsi="宋体"/>
          <w:szCs w:val="20"/>
          <w:highlight w:val="none"/>
        </w:rPr>
        <w:t>依据磋商文件上的技术规格要求和国家有关质量标准进行现场初步验收，外观、说明书符合磋商文件技术要求的，给予签收，初步验收不合格的不予签收。</w:t>
      </w:r>
      <w:r>
        <w:rPr>
          <w:rFonts w:hint="eastAsia" w:ascii="宋体" w:hAnsi="宋体"/>
          <w:bCs/>
          <w:szCs w:val="20"/>
          <w:highlight w:val="none"/>
        </w:rPr>
        <w:t>甲方应当在</w:t>
      </w:r>
      <w:r>
        <w:rPr>
          <w:rFonts w:hint="eastAsia" w:ascii="宋体" w:hAnsi="宋体"/>
          <w:b/>
          <w:szCs w:val="20"/>
          <w:highlight w:val="none"/>
        </w:rPr>
        <w:t>服务成果</w:t>
      </w:r>
      <w:r>
        <w:rPr>
          <w:rFonts w:hint="eastAsia" w:ascii="宋体" w:hAnsi="宋体"/>
          <w:bCs/>
          <w:szCs w:val="20"/>
          <w:highlight w:val="none"/>
        </w:rPr>
        <w:t>（安装、调试完）后七个工作日内进行验收</w:t>
      </w:r>
      <w:r>
        <w:rPr>
          <w:rFonts w:hint="eastAsia" w:ascii="宋体" w:hAnsi="宋体"/>
          <w:szCs w:val="20"/>
          <w:highlight w:val="none"/>
        </w:rPr>
        <w:t>。</w:t>
      </w:r>
    </w:p>
    <w:p w14:paraId="352BB1D0">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2. 乙方交付</w:t>
      </w:r>
      <w:r>
        <w:rPr>
          <w:rFonts w:hint="eastAsia" w:ascii="宋体" w:hAnsi="宋体"/>
          <w:b/>
          <w:szCs w:val="20"/>
          <w:highlight w:val="none"/>
        </w:rPr>
        <w:t>服务成果</w:t>
      </w:r>
      <w:r>
        <w:rPr>
          <w:rFonts w:hint="eastAsia" w:ascii="宋体" w:hAnsi="宋体"/>
          <w:szCs w:val="20"/>
          <w:highlight w:val="none"/>
        </w:rPr>
        <w:t>前应对</w:t>
      </w:r>
      <w:r>
        <w:rPr>
          <w:rFonts w:hint="eastAsia" w:ascii="宋体" w:hAnsi="宋体"/>
          <w:b/>
          <w:szCs w:val="20"/>
          <w:highlight w:val="none"/>
        </w:rPr>
        <w:t>服务成果</w:t>
      </w:r>
      <w:r>
        <w:rPr>
          <w:rFonts w:hint="eastAsia" w:ascii="宋体" w:hAnsi="宋体"/>
          <w:szCs w:val="20"/>
          <w:highlight w:val="none"/>
        </w:rPr>
        <w:t>作出全面检查和对验收文件进行整理，并列出清单，作为甲方收</w:t>
      </w:r>
      <w:r>
        <w:rPr>
          <w:rFonts w:hint="eastAsia" w:ascii="宋体" w:hAnsi="宋体"/>
          <w:b/>
          <w:szCs w:val="20"/>
          <w:highlight w:val="none"/>
        </w:rPr>
        <w:t>服务成果</w:t>
      </w:r>
      <w:r>
        <w:rPr>
          <w:rFonts w:hint="eastAsia" w:ascii="宋体" w:hAnsi="宋体"/>
          <w:szCs w:val="20"/>
          <w:highlight w:val="none"/>
        </w:rPr>
        <w:t>验收和使用的技术条件依据，检验的结果应随</w:t>
      </w:r>
      <w:r>
        <w:rPr>
          <w:rFonts w:hint="eastAsia" w:ascii="宋体" w:hAnsi="宋体"/>
          <w:b/>
          <w:szCs w:val="20"/>
          <w:highlight w:val="none"/>
        </w:rPr>
        <w:t>服务成果</w:t>
      </w:r>
      <w:r>
        <w:rPr>
          <w:rFonts w:hint="eastAsia" w:ascii="宋体" w:hAnsi="宋体"/>
          <w:szCs w:val="20"/>
          <w:highlight w:val="none"/>
        </w:rPr>
        <w:t>交甲方。</w:t>
      </w:r>
    </w:p>
    <w:p w14:paraId="2969C831">
      <w:pPr>
        <w:snapToGrid w:val="0"/>
        <w:spacing w:before="120" w:after="120" w:line="360" w:lineRule="exact"/>
        <w:ind w:firstLine="420" w:firstLineChars="200"/>
        <w:rPr>
          <w:rFonts w:hint="eastAsia" w:ascii="宋体" w:hAnsi="宋体"/>
          <w:szCs w:val="20"/>
          <w:highlight w:val="none"/>
          <w:u w:val="single"/>
        </w:rPr>
      </w:pPr>
      <w:r>
        <w:rPr>
          <w:rFonts w:hint="eastAsia" w:ascii="宋体" w:hAnsi="宋体"/>
          <w:szCs w:val="20"/>
          <w:highlight w:val="none"/>
        </w:rPr>
        <w:t>3. 甲方对乙方提供的</w:t>
      </w:r>
      <w:r>
        <w:rPr>
          <w:rFonts w:hint="eastAsia" w:ascii="宋体" w:hAnsi="宋体"/>
          <w:b/>
          <w:szCs w:val="20"/>
          <w:highlight w:val="none"/>
        </w:rPr>
        <w:t>服务成果</w:t>
      </w:r>
      <w:r>
        <w:rPr>
          <w:rFonts w:hint="eastAsia" w:ascii="宋体" w:hAnsi="宋体"/>
          <w:szCs w:val="20"/>
          <w:highlight w:val="none"/>
        </w:rPr>
        <w:t>在使用前进行调试时，乙方需负责安装并培训甲方的使用操作人员，并协助甲方一起调试，直到符合技术要求，甲方才做最终验收。</w:t>
      </w:r>
    </w:p>
    <w:p w14:paraId="771EE082">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4. 对技术复杂的</w:t>
      </w:r>
      <w:r>
        <w:rPr>
          <w:rFonts w:hint="eastAsia" w:ascii="宋体" w:hAnsi="宋体"/>
          <w:b/>
          <w:szCs w:val="20"/>
          <w:highlight w:val="none"/>
        </w:rPr>
        <w:t>服务成果</w:t>
      </w:r>
      <w:r>
        <w:rPr>
          <w:rFonts w:hint="eastAsia" w:ascii="宋体" w:hAnsi="宋体"/>
          <w:szCs w:val="20"/>
          <w:highlight w:val="none"/>
        </w:rPr>
        <w:t>，甲方应请国家认可的专业检测机构参与初步验收及最终验收，并由其出具质量检测报告。</w:t>
      </w:r>
    </w:p>
    <w:p w14:paraId="22F97B24">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5. 验收时乙方必须在现场，验收完毕后作出验收结果报告；验收费用由乙方负责。</w:t>
      </w:r>
    </w:p>
    <w:p w14:paraId="5D563966">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第十二条　违约责任</w:t>
      </w:r>
    </w:p>
    <w:p w14:paraId="033D8368">
      <w:pPr>
        <w:snapToGrid w:val="0"/>
        <w:spacing w:line="360" w:lineRule="exact"/>
        <w:ind w:firstLine="525" w:firstLineChars="250"/>
        <w:rPr>
          <w:rFonts w:hint="eastAsia" w:ascii="宋体" w:hAnsi="宋体"/>
          <w:szCs w:val="21"/>
          <w:highlight w:val="none"/>
        </w:rPr>
      </w:pPr>
      <w:r>
        <w:rPr>
          <w:rFonts w:hint="eastAsia" w:ascii="宋体" w:hAnsi="宋体"/>
          <w:szCs w:val="21"/>
          <w:highlight w:val="none"/>
        </w:rPr>
        <w:t>1、乙方所提供的服务成果、数量、服务</w:t>
      </w:r>
      <w:r>
        <w:rPr>
          <w:rFonts w:hint="eastAsia" w:ascii="Times New Roman" w:hAnsi="宋体"/>
          <w:highlight w:val="none"/>
        </w:rPr>
        <w:t>项目要求(技术参数需求)</w:t>
      </w:r>
      <w:r>
        <w:rPr>
          <w:rFonts w:hint="eastAsia" w:ascii="宋体" w:hAnsi="宋体"/>
          <w:szCs w:val="21"/>
          <w:highlight w:val="none"/>
        </w:rPr>
        <w:t xml:space="preserve">等质量不合格的，应及时更换，更换不及时的按逾期交货处罚；因质量问题甲方不同意接收的或特殊情况甲方同意接收的，乙方应向甲方支付违约货款额 5%违约金并赔偿甲方经济损失。                                       </w:t>
      </w:r>
    </w:p>
    <w:p w14:paraId="73948500">
      <w:pPr>
        <w:snapToGrid w:val="0"/>
        <w:spacing w:line="360" w:lineRule="exact"/>
        <w:ind w:firstLine="472" w:firstLineChars="225"/>
        <w:rPr>
          <w:rFonts w:hint="eastAsia" w:ascii="宋体" w:hAnsi="宋体"/>
          <w:szCs w:val="21"/>
          <w:highlight w:val="none"/>
        </w:rPr>
      </w:pPr>
      <w:r>
        <w:rPr>
          <w:rFonts w:hint="eastAsia" w:ascii="宋体" w:hAnsi="宋体"/>
          <w:szCs w:val="21"/>
          <w:highlight w:val="none"/>
        </w:rPr>
        <w:t>2、乙方提供的服务成果如侵犯了第三方合法权益而引发的任何纠纷或诉讼，均由乙方负责交涉并承担全部责任。</w:t>
      </w:r>
    </w:p>
    <w:p w14:paraId="5319B485">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3、甲方无故延期接收服务成果、乙方逾期交货的，每天向对方偿付违约货款额3‰违约金，但违约金累计不得超过违约货款额</w:t>
      </w:r>
      <w:r>
        <w:rPr>
          <w:rFonts w:hint="eastAsia" w:ascii="宋体" w:hAnsi="宋体"/>
          <w:szCs w:val="21"/>
          <w:highlight w:val="none"/>
          <w:u w:val="single"/>
        </w:rPr>
        <w:t>5%</w:t>
      </w:r>
      <w:r>
        <w:rPr>
          <w:rFonts w:hint="eastAsia" w:ascii="宋体" w:hAnsi="宋体"/>
          <w:szCs w:val="21"/>
          <w:highlight w:val="none"/>
        </w:rPr>
        <w:t>，超过</w:t>
      </w:r>
      <w:r>
        <w:rPr>
          <w:rFonts w:hint="eastAsia" w:ascii="宋体" w:hAnsi="宋体"/>
          <w:szCs w:val="21"/>
          <w:highlight w:val="none"/>
          <w:u w:val="single"/>
        </w:rPr>
        <w:t xml:space="preserve">     </w:t>
      </w:r>
      <w:r>
        <w:rPr>
          <w:rFonts w:hint="eastAsia" w:ascii="宋体" w:hAnsi="宋体"/>
          <w:szCs w:val="21"/>
          <w:highlight w:val="none"/>
        </w:rPr>
        <w:t>天对方有权解除合同，违约方承担因此给对方造成经济损失；甲方延期付货款的，每天向乙方偿付延期货款额</w:t>
      </w:r>
      <w:r>
        <w:rPr>
          <w:rFonts w:hint="eastAsia" w:ascii="宋体" w:hAnsi="宋体"/>
          <w:szCs w:val="21"/>
          <w:highlight w:val="none"/>
          <w:u w:val="single"/>
        </w:rPr>
        <w:t xml:space="preserve">3‰ </w:t>
      </w:r>
      <w:r>
        <w:rPr>
          <w:rFonts w:hint="eastAsia" w:ascii="宋体" w:hAnsi="宋体"/>
          <w:szCs w:val="21"/>
          <w:highlight w:val="none"/>
        </w:rPr>
        <w:t>滞纳金，但滞纳金累计不得超过延期货款额</w:t>
      </w:r>
      <w:r>
        <w:rPr>
          <w:rFonts w:hint="eastAsia" w:ascii="宋体" w:hAnsi="宋体"/>
          <w:szCs w:val="21"/>
          <w:highlight w:val="none"/>
          <w:u w:val="single"/>
        </w:rPr>
        <w:t>5%</w:t>
      </w:r>
      <w:r>
        <w:rPr>
          <w:rFonts w:hint="eastAsia" w:ascii="宋体" w:hAnsi="宋体"/>
          <w:szCs w:val="21"/>
          <w:highlight w:val="none"/>
        </w:rPr>
        <w:t>。</w:t>
      </w:r>
    </w:p>
    <w:p w14:paraId="48B2D48D">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4、乙方未按本合同和响应文件中规定的售后服务承诺提供售后服务的，乙方应按本合同合计金额</w:t>
      </w:r>
      <w:r>
        <w:rPr>
          <w:rFonts w:hint="eastAsia" w:ascii="宋体" w:hAnsi="宋体"/>
          <w:szCs w:val="21"/>
          <w:highlight w:val="none"/>
          <w:u w:val="single"/>
        </w:rPr>
        <w:t xml:space="preserve"> 5%</w:t>
      </w:r>
      <w:r>
        <w:rPr>
          <w:rFonts w:hint="eastAsia" w:ascii="宋体" w:hAnsi="宋体"/>
          <w:szCs w:val="21"/>
          <w:highlight w:val="none"/>
        </w:rPr>
        <w:t>向甲方支付违约金。</w:t>
      </w:r>
    </w:p>
    <w:p w14:paraId="4775BBD2">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5、乙方提供的服务成果在质量保证期内，因服务成果的设计、工艺或材料的缺陷和其它质量原因造成的问题，由乙方负责，费用从质量保证金中扣除，不足另补。</w:t>
      </w:r>
    </w:p>
    <w:p w14:paraId="47F5D161">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6、其它违约行为按违约货款额5% 收取违约金并赔偿经济损失。</w:t>
      </w:r>
    </w:p>
    <w:p w14:paraId="13D39FD7">
      <w:pPr>
        <w:snapToGrid w:val="0"/>
        <w:spacing w:before="120" w:after="120" w:line="360" w:lineRule="exact"/>
        <w:ind w:firstLine="413" w:firstLineChars="196"/>
        <w:rPr>
          <w:rFonts w:hint="eastAsia" w:ascii="宋体" w:hAnsi="宋体"/>
          <w:b/>
          <w:szCs w:val="20"/>
          <w:highlight w:val="none"/>
        </w:rPr>
      </w:pPr>
      <w:r>
        <w:rPr>
          <w:rFonts w:hint="eastAsia" w:ascii="宋体" w:hAnsi="宋体"/>
          <w:b/>
          <w:szCs w:val="20"/>
          <w:highlight w:val="none"/>
        </w:rPr>
        <w:t>第十三条  不可抗力事件处理</w:t>
      </w:r>
    </w:p>
    <w:p w14:paraId="01E8E19E">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1. 在合同有效期内，任何一方因不可抗力事件导致不能履行合同，则合同履行期可延长，其延长期与不可抗力影响期相同。</w:t>
      </w:r>
    </w:p>
    <w:p w14:paraId="6916B3F5">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2. 不可抗力事件发生后，应立即通知对方，并寄送有关权威机构出具的证明。</w:t>
      </w:r>
    </w:p>
    <w:p w14:paraId="09BD6C29">
      <w:pPr>
        <w:snapToGrid w:val="0"/>
        <w:spacing w:before="120" w:after="120" w:line="360" w:lineRule="exact"/>
        <w:ind w:firstLine="420" w:firstLineChars="200"/>
        <w:rPr>
          <w:rFonts w:hint="eastAsia" w:ascii="宋体" w:hAnsi="宋体"/>
          <w:szCs w:val="20"/>
          <w:highlight w:val="none"/>
        </w:rPr>
      </w:pPr>
      <w:r>
        <w:rPr>
          <w:rFonts w:hint="eastAsia" w:ascii="宋体" w:hAnsi="宋体"/>
          <w:szCs w:val="20"/>
          <w:highlight w:val="none"/>
        </w:rPr>
        <w:t>3. 不可抗力事件延续一百二十天以上，双方应通过友好协商，确定是否继续履行合同。</w:t>
      </w:r>
    </w:p>
    <w:p w14:paraId="0E65A16A">
      <w:pPr>
        <w:snapToGrid w:val="0"/>
        <w:spacing w:line="360" w:lineRule="exact"/>
        <w:ind w:firstLine="422" w:firstLineChars="200"/>
        <w:rPr>
          <w:rFonts w:hint="eastAsia" w:ascii="宋体" w:hAnsi="宋体"/>
          <w:szCs w:val="21"/>
          <w:highlight w:val="none"/>
        </w:rPr>
      </w:pPr>
      <w:r>
        <w:rPr>
          <w:rFonts w:hint="eastAsia" w:ascii="宋体" w:hAnsi="宋体"/>
          <w:b/>
          <w:szCs w:val="21"/>
          <w:highlight w:val="none"/>
        </w:rPr>
        <w:t>第十四条  合同争议解决</w:t>
      </w:r>
    </w:p>
    <w:p w14:paraId="36C34782">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1、因服务成果质量问题发生争议的，应邀请国家认可的质量检测机构对服务成果质量进行鉴定。服务成果符合标准的，鉴定费由甲方承担；服务成果不符合标准的，鉴定费由乙方承担。</w:t>
      </w:r>
    </w:p>
    <w:p w14:paraId="75299648">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2、因履行本合同引起的或与本合同有关的争议，甲乙双方应首先通过友好协商解决，如果协商不能解决，可向仲裁委员会申请仲裁或向人民法院提起诉讼。</w:t>
      </w:r>
    </w:p>
    <w:p w14:paraId="66419F3E">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3、诉讼期间，本合同继续履行。</w:t>
      </w:r>
    </w:p>
    <w:p w14:paraId="757A4376">
      <w:pPr>
        <w:snapToGrid w:val="0"/>
        <w:spacing w:before="120" w:after="120" w:line="360" w:lineRule="exact"/>
        <w:ind w:firstLine="413" w:firstLineChars="196"/>
        <w:rPr>
          <w:rFonts w:hint="eastAsia" w:ascii="宋体" w:hAnsi="宋体"/>
          <w:b/>
          <w:szCs w:val="20"/>
          <w:highlight w:val="none"/>
        </w:rPr>
      </w:pPr>
      <w:r>
        <w:rPr>
          <w:rFonts w:hint="eastAsia" w:ascii="宋体" w:hAnsi="宋体"/>
          <w:b/>
          <w:szCs w:val="20"/>
          <w:highlight w:val="none"/>
        </w:rPr>
        <w:t>第十五条  诉讼</w:t>
      </w:r>
    </w:p>
    <w:p w14:paraId="742A5527">
      <w:pPr>
        <w:snapToGrid w:val="0"/>
        <w:spacing w:before="120" w:after="120" w:line="360" w:lineRule="exact"/>
        <w:ind w:firstLine="119" w:firstLineChars="57"/>
        <w:rPr>
          <w:rFonts w:hint="eastAsia" w:ascii="宋体" w:hAnsi="宋体"/>
          <w:szCs w:val="20"/>
          <w:highlight w:val="none"/>
        </w:rPr>
      </w:pPr>
      <w:r>
        <w:rPr>
          <w:rFonts w:hint="eastAsia" w:ascii="宋体" w:hAnsi="宋体"/>
          <w:szCs w:val="20"/>
          <w:highlight w:val="none"/>
        </w:rPr>
        <w:t xml:space="preserve">   双方在执行合同中所发生的一切争议，应通过协商解决。如果协商不能解决，可向仲裁委员会申请仲裁或向人民法院提起诉讼。</w:t>
      </w:r>
    </w:p>
    <w:p w14:paraId="39B958BB">
      <w:pPr>
        <w:snapToGrid w:val="0"/>
        <w:spacing w:before="120" w:after="120" w:line="360" w:lineRule="exact"/>
        <w:ind w:left="561" w:leftChars="267"/>
        <w:rPr>
          <w:rFonts w:hint="eastAsia" w:ascii="宋体" w:hAnsi="宋体"/>
          <w:b/>
          <w:szCs w:val="20"/>
          <w:highlight w:val="none"/>
        </w:rPr>
      </w:pPr>
      <w:r>
        <w:rPr>
          <w:rFonts w:hint="eastAsia" w:ascii="宋体" w:hAnsi="宋体"/>
          <w:b/>
          <w:szCs w:val="20"/>
          <w:highlight w:val="none"/>
        </w:rPr>
        <w:t>第十六条  合同生效及其它</w:t>
      </w:r>
    </w:p>
    <w:p w14:paraId="64071CA8">
      <w:pPr>
        <w:snapToGrid w:val="0"/>
        <w:spacing w:before="120" w:after="120" w:line="360" w:lineRule="exact"/>
        <w:ind w:left="561" w:leftChars="267"/>
        <w:rPr>
          <w:rFonts w:hint="eastAsia" w:ascii="宋体" w:hAnsi="宋体"/>
          <w:b/>
          <w:szCs w:val="20"/>
          <w:highlight w:val="none"/>
        </w:rPr>
      </w:pPr>
      <w:r>
        <w:rPr>
          <w:rFonts w:hint="eastAsia" w:ascii="宋体" w:hAnsi="宋体"/>
          <w:b/>
          <w:szCs w:val="20"/>
          <w:highlight w:val="none"/>
        </w:rPr>
        <w:t>1．合同经双方法定代表人或授权代表签字并加盖单位公章后生效。</w:t>
      </w:r>
    </w:p>
    <w:p w14:paraId="49D556A4">
      <w:pPr>
        <w:snapToGrid w:val="0"/>
        <w:spacing w:before="120" w:after="120" w:line="360" w:lineRule="exact"/>
        <w:ind w:left="561" w:leftChars="267"/>
        <w:rPr>
          <w:rFonts w:hint="eastAsia" w:ascii="宋体" w:hAnsi="宋体"/>
          <w:b/>
          <w:szCs w:val="20"/>
          <w:highlight w:val="none"/>
        </w:rPr>
      </w:pPr>
      <w:r>
        <w:rPr>
          <w:rFonts w:hint="eastAsia" w:ascii="宋体" w:hAnsi="宋体"/>
          <w:b/>
          <w:szCs w:val="20"/>
          <w:highlight w:val="none"/>
        </w:rPr>
        <w:t>2．合同执行中涉及采购资金和采购内容修改或补充的，须经财政部门审批，并签书面补充协议报财政部门备案，方可作为主合同不可分割的一部分。</w:t>
      </w:r>
    </w:p>
    <w:p w14:paraId="32D9AED7">
      <w:pPr>
        <w:snapToGrid w:val="0"/>
        <w:spacing w:before="120" w:after="120" w:line="360" w:lineRule="exact"/>
        <w:ind w:left="561" w:leftChars="267"/>
        <w:rPr>
          <w:rFonts w:hint="eastAsia" w:ascii="宋体" w:hAnsi="宋体"/>
          <w:b/>
          <w:szCs w:val="20"/>
          <w:highlight w:val="none"/>
        </w:rPr>
      </w:pPr>
      <w:r>
        <w:rPr>
          <w:rFonts w:hint="eastAsia" w:ascii="宋体" w:hAnsi="宋体"/>
          <w:b/>
          <w:szCs w:val="20"/>
          <w:highlight w:val="none"/>
        </w:rPr>
        <w:t>3．本合同未尽事宜，遵照《合同法》有关条文执行。</w:t>
      </w:r>
    </w:p>
    <w:p w14:paraId="67918F84">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第十七条　合同的变更、终止与转让</w:t>
      </w:r>
    </w:p>
    <w:p w14:paraId="4A482883">
      <w:pPr>
        <w:snapToGrid w:val="0"/>
        <w:spacing w:line="360" w:lineRule="exact"/>
        <w:ind w:firstLine="525" w:firstLineChars="250"/>
        <w:rPr>
          <w:rFonts w:hint="eastAsia" w:ascii="宋体" w:hAnsi="宋体"/>
          <w:szCs w:val="21"/>
          <w:highlight w:val="none"/>
        </w:rPr>
      </w:pPr>
      <w:r>
        <w:rPr>
          <w:rFonts w:hint="eastAsia" w:ascii="宋体" w:hAnsi="宋体"/>
          <w:szCs w:val="21"/>
          <w:highlight w:val="none"/>
        </w:rPr>
        <w:t>1、除《中华人民共和国政府采购法》第五十条规定的情形外，本合同一经签订，甲乙双方不得擅自变更、中止或终止。</w:t>
      </w:r>
    </w:p>
    <w:p w14:paraId="4060C617">
      <w:pPr>
        <w:snapToGrid w:val="0"/>
        <w:spacing w:before="120" w:after="120" w:line="360" w:lineRule="exact"/>
        <w:ind w:firstLine="516" w:firstLineChars="246"/>
        <w:rPr>
          <w:rFonts w:hint="eastAsia" w:ascii="宋体" w:hAnsi="宋体"/>
          <w:b/>
          <w:szCs w:val="20"/>
          <w:highlight w:val="none"/>
        </w:rPr>
      </w:pPr>
      <w:r>
        <w:rPr>
          <w:rFonts w:hint="eastAsia" w:ascii="宋体" w:hAnsi="宋体"/>
          <w:szCs w:val="20"/>
          <w:highlight w:val="none"/>
        </w:rPr>
        <w:t>2、乙方不得擅自转让其应履行的合同义务。</w:t>
      </w:r>
    </w:p>
    <w:p w14:paraId="30E25ECF">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第十八条　签订本合同依据</w:t>
      </w:r>
    </w:p>
    <w:p w14:paraId="54EEC97E">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1、磋商文件；2、乙方提供的响应文件；</w:t>
      </w:r>
    </w:p>
    <w:p w14:paraId="51FC37E0">
      <w:pPr>
        <w:snapToGrid w:val="0"/>
        <w:spacing w:line="360" w:lineRule="exact"/>
        <w:ind w:firstLine="420" w:firstLineChars="200"/>
        <w:rPr>
          <w:rFonts w:hint="eastAsia" w:ascii="宋体" w:hAnsi="宋体"/>
          <w:szCs w:val="21"/>
          <w:highlight w:val="none"/>
          <w:u w:val="single"/>
        </w:rPr>
      </w:pPr>
      <w:r>
        <w:rPr>
          <w:rFonts w:hint="eastAsia" w:ascii="宋体" w:hAnsi="宋体"/>
          <w:szCs w:val="21"/>
          <w:highlight w:val="none"/>
        </w:rPr>
        <w:t>3、磋商书；4、成交通知书。</w:t>
      </w:r>
    </w:p>
    <w:p w14:paraId="2B7EC332">
      <w:pPr>
        <w:snapToGrid w:val="0"/>
        <w:spacing w:line="340" w:lineRule="exact"/>
        <w:ind w:firstLine="420" w:firstLineChars="200"/>
        <w:rPr>
          <w:rFonts w:hint="eastAsia" w:ascii="宋体" w:hAnsi="宋体"/>
          <w:szCs w:val="21"/>
          <w:highlight w:val="none"/>
        </w:rPr>
      </w:pPr>
      <w:r>
        <w:rPr>
          <w:rFonts w:hint="eastAsia" w:ascii="宋体" w:hAnsi="宋体"/>
          <w:szCs w:val="21"/>
          <w:highlight w:val="none"/>
        </w:rPr>
        <w:t>第十九条　本合同一式四份，具有同等法律效力，政府采购监督管理办公室一份、招标代理公司一份、甲乙双方各一份（可根据需要另增加）。</w:t>
      </w:r>
    </w:p>
    <w:p w14:paraId="110838FE">
      <w:pPr>
        <w:snapToGrid w:val="0"/>
        <w:spacing w:before="120" w:after="120" w:line="340" w:lineRule="exact"/>
        <w:ind w:firstLine="420" w:firstLineChars="200"/>
        <w:rPr>
          <w:rFonts w:hint="eastAsia" w:ascii="宋体" w:hAnsi="宋体"/>
          <w:szCs w:val="21"/>
          <w:highlight w:val="none"/>
        </w:rPr>
      </w:pPr>
      <w:r>
        <w:rPr>
          <w:rFonts w:hint="eastAsia" w:ascii="宋体" w:hAnsi="宋体"/>
          <w:szCs w:val="21"/>
          <w:highlight w:val="none"/>
        </w:rPr>
        <w:t>本合同甲乙双方签字盖章后生效，自签订之日起七个工作日内，采购人或采购代理机构应当将合同副本报同级财政部门备案。</w:t>
      </w:r>
    </w:p>
    <w:p w14:paraId="35FBD1AF">
      <w:pPr>
        <w:snapToGrid w:val="0"/>
        <w:spacing w:line="360" w:lineRule="exact"/>
        <w:ind w:firstLine="420" w:firstLineChars="200"/>
        <w:rPr>
          <w:rFonts w:hint="eastAsia" w:ascii="宋体" w:hAnsi="宋体"/>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14:paraId="4259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noWrap w:val="0"/>
            <w:vAlign w:val="center"/>
          </w:tcPr>
          <w:p w14:paraId="7C01533D">
            <w:pPr>
              <w:snapToGrid w:val="0"/>
              <w:spacing w:line="400" w:lineRule="exact"/>
              <w:rPr>
                <w:rFonts w:hint="eastAsia" w:ascii="宋体" w:hAnsi="宋体"/>
                <w:szCs w:val="21"/>
                <w:highlight w:val="none"/>
              </w:rPr>
            </w:pPr>
            <w:r>
              <w:rPr>
                <w:rFonts w:hint="eastAsia" w:ascii="宋体" w:hAnsi="宋体"/>
                <w:szCs w:val="21"/>
                <w:highlight w:val="none"/>
              </w:rPr>
              <w:t xml:space="preserve">甲方（采购单位）（章）           </w:t>
            </w:r>
          </w:p>
          <w:p w14:paraId="1CB54CE0">
            <w:pPr>
              <w:snapToGrid w:val="0"/>
              <w:spacing w:line="400" w:lineRule="exact"/>
              <w:rPr>
                <w:rFonts w:hint="eastAsia" w:ascii="宋体" w:hAnsi="宋体"/>
                <w:szCs w:val="21"/>
                <w:highlight w:val="none"/>
              </w:rPr>
            </w:pPr>
          </w:p>
          <w:p w14:paraId="69502AF1">
            <w:pPr>
              <w:snapToGrid w:val="0"/>
              <w:spacing w:line="400" w:lineRule="exact"/>
              <w:rPr>
                <w:rFonts w:hint="eastAsia" w:ascii="宋体" w:hAnsi="宋体"/>
                <w:szCs w:val="21"/>
                <w:highlight w:val="none"/>
              </w:rPr>
            </w:pPr>
          </w:p>
          <w:p w14:paraId="16366E70">
            <w:pPr>
              <w:snapToGrid w:val="0"/>
              <w:spacing w:line="400" w:lineRule="exact"/>
              <w:ind w:firstLine="945" w:firstLineChars="450"/>
              <w:jc w:val="right"/>
              <w:rPr>
                <w:rFonts w:hint="eastAsia" w:ascii="宋体" w:hAnsi="宋体"/>
                <w:szCs w:val="21"/>
                <w:highlight w:val="none"/>
              </w:rPr>
            </w:pPr>
            <w:r>
              <w:rPr>
                <w:rFonts w:hint="eastAsia" w:ascii="宋体" w:hAnsi="宋体"/>
                <w:szCs w:val="21"/>
                <w:highlight w:val="none"/>
              </w:rPr>
              <w:t>年   月   日</w:t>
            </w:r>
          </w:p>
        </w:tc>
        <w:tc>
          <w:tcPr>
            <w:tcW w:w="4680" w:type="dxa"/>
            <w:noWrap w:val="0"/>
            <w:vAlign w:val="center"/>
          </w:tcPr>
          <w:p w14:paraId="705BB601">
            <w:pPr>
              <w:snapToGrid w:val="0"/>
              <w:spacing w:line="400" w:lineRule="exact"/>
              <w:rPr>
                <w:rFonts w:hint="eastAsia" w:ascii="宋体" w:hAnsi="宋体"/>
                <w:szCs w:val="21"/>
                <w:highlight w:val="none"/>
              </w:rPr>
            </w:pPr>
            <w:r>
              <w:rPr>
                <w:rFonts w:hint="eastAsia" w:ascii="宋体" w:hAnsi="宋体"/>
                <w:szCs w:val="21"/>
                <w:highlight w:val="none"/>
              </w:rPr>
              <w:t xml:space="preserve">乙方（供应商）（章）              </w:t>
            </w:r>
          </w:p>
          <w:p w14:paraId="0BFB2CA0">
            <w:pPr>
              <w:snapToGrid w:val="0"/>
              <w:spacing w:line="400" w:lineRule="exact"/>
              <w:rPr>
                <w:rFonts w:hint="eastAsia" w:ascii="宋体" w:hAnsi="宋体"/>
                <w:szCs w:val="21"/>
                <w:highlight w:val="none"/>
              </w:rPr>
            </w:pPr>
          </w:p>
          <w:p w14:paraId="789B561F">
            <w:pPr>
              <w:snapToGrid w:val="0"/>
              <w:spacing w:line="400" w:lineRule="exact"/>
              <w:rPr>
                <w:rFonts w:hint="eastAsia" w:ascii="宋体" w:hAnsi="宋体"/>
                <w:szCs w:val="21"/>
                <w:highlight w:val="none"/>
              </w:rPr>
            </w:pPr>
          </w:p>
          <w:p w14:paraId="56383FD4">
            <w:pPr>
              <w:snapToGrid w:val="0"/>
              <w:spacing w:line="400" w:lineRule="exact"/>
              <w:jc w:val="right"/>
              <w:rPr>
                <w:rFonts w:hint="eastAsia" w:ascii="宋体" w:hAnsi="宋体"/>
                <w:szCs w:val="21"/>
                <w:highlight w:val="none"/>
              </w:rPr>
            </w:pPr>
            <w:r>
              <w:rPr>
                <w:rFonts w:hint="eastAsia" w:ascii="宋体" w:hAnsi="宋体"/>
                <w:szCs w:val="21"/>
                <w:highlight w:val="none"/>
              </w:rPr>
              <w:t xml:space="preserve"> 年   月   日</w:t>
            </w:r>
          </w:p>
        </w:tc>
      </w:tr>
      <w:tr w14:paraId="53AA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788" w:type="dxa"/>
            <w:noWrap w:val="0"/>
            <w:vAlign w:val="center"/>
          </w:tcPr>
          <w:p w14:paraId="2BFA39AE">
            <w:pPr>
              <w:snapToGrid w:val="0"/>
              <w:spacing w:line="400" w:lineRule="exact"/>
              <w:rPr>
                <w:rFonts w:hint="eastAsia" w:ascii="宋体" w:hAnsi="宋体"/>
                <w:szCs w:val="21"/>
                <w:highlight w:val="none"/>
              </w:rPr>
            </w:pPr>
            <w:r>
              <w:rPr>
                <w:rFonts w:hint="eastAsia" w:ascii="宋体" w:hAnsi="宋体"/>
                <w:szCs w:val="21"/>
                <w:highlight w:val="none"/>
              </w:rPr>
              <w:t>单位地址：</w:t>
            </w:r>
          </w:p>
        </w:tc>
        <w:tc>
          <w:tcPr>
            <w:tcW w:w="4680" w:type="dxa"/>
            <w:noWrap w:val="0"/>
            <w:vAlign w:val="center"/>
          </w:tcPr>
          <w:p w14:paraId="404BA2C2">
            <w:pPr>
              <w:snapToGrid w:val="0"/>
              <w:spacing w:line="400" w:lineRule="exact"/>
              <w:rPr>
                <w:rFonts w:hint="eastAsia" w:ascii="宋体" w:hAnsi="宋体"/>
                <w:szCs w:val="21"/>
                <w:highlight w:val="none"/>
              </w:rPr>
            </w:pPr>
            <w:r>
              <w:rPr>
                <w:rFonts w:hint="eastAsia" w:ascii="宋体" w:hAnsi="宋体"/>
                <w:szCs w:val="21"/>
                <w:highlight w:val="none"/>
              </w:rPr>
              <w:t>单位地址：</w:t>
            </w:r>
          </w:p>
        </w:tc>
      </w:tr>
      <w:tr w14:paraId="515F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788" w:type="dxa"/>
            <w:noWrap w:val="0"/>
            <w:vAlign w:val="center"/>
          </w:tcPr>
          <w:p w14:paraId="0D5DB341">
            <w:pPr>
              <w:snapToGrid w:val="0"/>
              <w:spacing w:line="400" w:lineRule="exact"/>
              <w:rPr>
                <w:rFonts w:hint="eastAsia" w:ascii="宋体" w:hAnsi="宋体"/>
                <w:szCs w:val="21"/>
                <w:highlight w:val="none"/>
              </w:rPr>
            </w:pPr>
            <w:r>
              <w:rPr>
                <w:rFonts w:hint="eastAsia" w:ascii="宋体" w:hAnsi="宋体"/>
                <w:szCs w:val="21"/>
                <w:highlight w:val="none"/>
              </w:rPr>
              <w:t>法定代表人：</w:t>
            </w:r>
          </w:p>
        </w:tc>
        <w:tc>
          <w:tcPr>
            <w:tcW w:w="4680" w:type="dxa"/>
            <w:noWrap w:val="0"/>
            <w:vAlign w:val="center"/>
          </w:tcPr>
          <w:p w14:paraId="57D51FCA">
            <w:pPr>
              <w:snapToGrid w:val="0"/>
              <w:spacing w:line="400" w:lineRule="exact"/>
              <w:rPr>
                <w:rFonts w:hint="eastAsia" w:ascii="宋体" w:hAnsi="宋体"/>
                <w:szCs w:val="21"/>
                <w:highlight w:val="none"/>
              </w:rPr>
            </w:pPr>
            <w:r>
              <w:rPr>
                <w:rFonts w:hint="eastAsia" w:ascii="宋体" w:hAnsi="宋体"/>
                <w:szCs w:val="21"/>
                <w:highlight w:val="none"/>
              </w:rPr>
              <w:t>法定代表人：</w:t>
            </w:r>
          </w:p>
        </w:tc>
      </w:tr>
      <w:tr w14:paraId="141B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788" w:type="dxa"/>
            <w:noWrap w:val="0"/>
            <w:vAlign w:val="center"/>
          </w:tcPr>
          <w:p w14:paraId="0BCCA102">
            <w:pPr>
              <w:snapToGrid w:val="0"/>
              <w:spacing w:line="400" w:lineRule="exact"/>
              <w:rPr>
                <w:rFonts w:hint="eastAsia" w:ascii="宋体" w:hAnsi="宋体"/>
                <w:szCs w:val="21"/>
                <w:highlight w:val="none"/>
              </w:rPr>
            </w:pPr>
            <w:r>
              <w:rPr>
                <w:rFonts w:hint="eastAsia" w:ascii="宋体" w:hAnsi="宋体"/>
                <w:szCs w:val="21"/>
                <w:highlight w:val="none"/>
              </w:rPr>
              <w:t>委托代理人：</w:t>
            </w:r>
          </w:p>
        </w:tc>
        <w:tc>
          <w:tcPr>
            <w:tcW w:w="4680" w:type="dxa"/>
            <w:noWrap w:val="0"/>
            <w:vAlign w:val="center"/>
          </w:tcPr>
          <w:p w14:paraId="3C2780C6">
            <w:pPr>
              <w:snapToGrid w:val="0"/>
              <w:spacing w:line="400" w:lineRule="exact"/>
              <w:rPr>
                <w:rFonts w:hint="eastAsia" w:ascii="宋体" w:hAnsi="宋体"/>
                <w:szCs w:val="21"/>
                <w:highlight w:val="none"/>
              </w:rPr>
            </w:pPr>
            <w:r>
              <w:rPr>
                <w:rFonts w:hint="eastAsia" w:ascii="宋体" w:hAnsi="宋体"/>
                <w:szCs w:val="21"/>
                <w:highlight w:val="none"/>
              </w:rPr>
              <w:t>委托代理人</w:t>
            </w:r>
          </w:p>
        </w:tc>
      </w:tr>
      <w:tr w14:paraId="4AD1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788" w:type="dxa"/>
            <w:noWrap w:val="0"/>
            <w:vAlign w:val="center"/>
          </w:tcPr>
          <w:p w14:paraId="34211660">
            <w:pPr>
              <w:snapToGrid w:val="0"/>
              <w:spacing w:line="400" w:lineRule="exact"/>
              <w:rPr>
                <w:rFonts w:hint="eastAsia" w:ascii="宋体" w:hAnsi="宋体"/>
                <w:szCs w:val="21"/>
                <w:highlight w:val="none"/>
              </w:rPr>
            </w:pPr>
            <w:r>
              <w:rPr>
                <w:rFonts w:hint="eastAsia" w:ascii="宋体" w:hAnsi="宋体"/>
                <w:szCs w:val="21"/>
                <w:highlight w:val="none"/>
              </w:rPr>
              <w:t>电话：</w:t>
            </w:r>
          </w:p>
        </w:tc>
        <w:tc>
          <w:tcPr>
            <w:tcW w:w="4680" w:type="dxa"/>
            <w:noWrap w:val="0"/>
            <w:vAlign w:val="center"/>
          </w:tcPr>
          <w:p w14:paraId="35677FC9">
            <w:pPr>
              <w:snapToGrid w:val="0"/>
              <w:spacing w:line="400" w:lineRule="exact"/>
              <w:rPr>
                <w:rFonts w:hint="eastAsia" w:ascii="宋体" w:hAnsi="宋体"/>
                <w:szCs w:val="21"/>
                <w:highlight w:val="none"/>
              </w:rPr>
            </w:pPr>
            <w:r>
              <w:rPr>
                <w:rFonts w:hint="eastAsia" w:ascii="宋体" w:hAnsi="宋体"/>
                <w:szCs w:val="21"/>
                <w:highlight w:val="none"/>
              </w:rPr>
              <w:t>电话：</w:t>
            </w:r>
          </w:p>
        </w:tc>
      </w:tr>
      <w:tr w14:paraId="6FC1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88" w:type="dxa"/>
            <w:noWrap w:val="0"/>
            <w:vAlign w:val="center"/>
          </w:tcPr>
          <w:p w14:paraId="63158C0F">
            <w:pPr>
              <w:snapToGrid w:val="0"/>
              <w:spacing w:line="400" w:lineRule="exact"/>
              <w:rPr>
                <w:rFonts w:hint="eastAsia" w:ascii="宋体" w:hAnsi="宋体"/>
                <w:szCs w:val="21"/>
                <w:highlight w:val="none"/>
              </w:rPr>
            </w:pPr>
            <w:r>
              <w:rPr>
                <w:rFonts w:hint="eastAsia" w:ascii="宋体" w:hAnsi="宋体"/>
                <w:szCs w:val="21"/>
                <w:highlight w:val="none"/>
              </w:rPr>
              <w:t>电子邮箱：</w:t>
            </w:r>
          </w:p>
        </w:tc>
        <w:tc>
          <w:tcPr>
            <w:tcW w:w="4680" w:type="dxa"/>
            <w:noWrap w:val="0"/>
            <w:vAlign w:val="center"/>
          </w:tcPr>
          <w:p w14:paraId="48EF8C07">
            <w:pPr>
              <w:snapToGrid w:val="0"/>
              <w:spacing w:line="400" w:lineRule="exact"/>
              <w:rPr>
                <w:rFonts w:hint="eastAsia" w:ascii="宋体" w:hAnsi="宋体"/>
                <w:szCs w:val="21"/>
                <w:highlight w:val="none"/>
              </w:rPr>
            </w:pPr>
            <w:r>
              <w:rPr>
                <w:rFonts w:hint="eastAsia" w:ascii="宋体" w:hAnsi="宋体"/>
                <w:szCs w:val="21"/>
                <w:highlight w:val="none"/>
              </w:rPr>
              <w:t>电子邮箱：</w:t>
            </w:r>
          </w:p>
        </w:tc>
      </w:tr>
      <w:tr w14:paraId="0577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8" w:type="dxa"/>
            <w:noWrap w:val="0"/>
            <w:vAlign w:val="center"/>
          </w:tcPr>
          <w:p w14:paraId="02ED6EB8">
            <w:pPr>
              <w:snapToGrid w:val="0"/>
              <w:spacing w:line="400" w:lineRule="exact"/>
              <w:rPr>
                <w:rFonts w:hint="eastAsia" w:ascii="宋体" w:hAnsi="宋体"/>
                <w:szCs w:val="21"/>
                <w:highlight w:val="none"/>
              </w:rPr>
            </w:pPr>
            <w:r>
              <w:rPr>
                <w:rFonts w:hint="eastAsia" w:ascii="宋体" w:hAnsi="宋体"/>
                <w:szCs w:val="21"/>
                <w:highlight w:val="none"/>
              </w:rPr>
              <w:t>开户银行：</w:t>
            </w:r>
          </w:p>
        </w:tc>
        <w:tc>
          <w:tcPr>
            <w:tcW w:w="4680" w:type="dxa"/>
            <w:noWrap w:val="0"/>
            <w:vAlign w:val="center"/>
          </w:tcPr>
          <w:p w14:paraId="2EAB345C">
            <w:pPr>
              <w:snapToGrid w:val="0"/>
              <w:spacing w:line="400" w:lineRule="exact"/>
              <w:rPr>
                <w:rFonts w:hint="eastAsia" w:ascii="宋体" w:hAnsi="宋体"/>
                <w:szCs w:val="21"/>
                <w:highlight w:val="none"/>
              </w:rPr>
            </w:pPr>
            <w:r>
              <w:rPr>
                <w:rFonts w:hint="eastAsia" w:ascii="宋体" w:hAnsi="宋体"/>
                <w:szCs w:val="21"/>
                <w:highlight w:val="none"/>
              </w:rPr>
              <w:t>开户银行：</w:t>
            </w:r>
          </w:p>
        </w:tc>
      </w:tr>
      <w:tr w14:paraId="3BD2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788" w:type="dxa"/>
            <w:noWrap w:val="0"/>
            <w:vAlign w:val="center"/>
          </w:tcPr>
          <w:p w14:paraId="534AA44A">
            <w:pPr>
              <w:snapToGrid w:val="0"/>
              <w:spacing w:line="400" w:lineRule="exact"/>
              <w:rPr>
                <w:rFonts w:hint="eastAsia" w:ascii="宋体" w:hAnsi="宋体"/>
                <w:szCs w:val="21"/>
                <w:highlight w:val="none"/>
              </w:rPr>
            </w:pPr>
            <w:r>
              <w:rPr>
                <w:rFonts w:hint="eastAsia" w:ascii="宋体" w:hAnsi="宋体"/>
                <w:szCs w:val="21"/>
                <w:highlight w:val="none"/>
              </w:rPr>
              <w:t>账号：</w:t>
            </w:r>
          </w:p>
        </w:tc>
        <w:tc>
          <w:tcPr>
            <w:tcW w:w="4680" w:type="dxa"/>
            <w:noWrap w:val="0"/>
            <w:vAlign w:val="center"/>
          </w:tcPr>
          <w:p w14:paraId="53A44D0F">
            <w:pPr>
              <w:snapToGrid w:val="0"/>
              <w:spacing w:line="400" w:lineRule="exact"/>
              <w:rPr>
                <w:rFonts w:hint="eastAsia" w:ascii="宋体" w:hAnsi="宋体"/>
                <w:szCs w:val="21"/>
                <w:highlight w:val="none"/>
              </w:rPr>
            </w:pPr>
            <w:r>
              <w:rPr>
                <w:rFonts w:hint="eastAsia" w:ascii="宋体" w:hAnsi="宋体"/>
                <w:szCs w:val="21"/>
                <w:highlight w:val="none"/>
              </w:rPr>
              <w:t>账号：</w:t>
            </w:r>
          </w:p>
        </w:tc>
      </w:tr>
      <w:tr w14:paraId="4B40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788" w:type="dxa"/>
            <w:noWrap w:val="0"/>
            <w:vAlign w:val="center"/>
          </w:tcPr>
          <w:p w14:paraId="6BE9937B">
            <w:pPr>
              <w:snapToGrid w:val="0"/>
              <w:spacing w:line="400" w:lineRule="exact"/>
              <w:rPr>
                <w:rFonts w:hint="eastAsia" w:ascii="宋体" w:hAnsi="宋体"/>
                <w:szCs w:val="21"/>
                <w:highlight w:val="none"/>
              </w:rPr>
            </w:pPr>
            <w:r>
              <w:rPr>
                <w:rFonts w:hint="eastAsia" w:ascii="宋体" w:hAnsi="宋体"/>
                <w:szCs w:val="21"/>
                <w:highlight w:val="none"/>
              </w:rPr>
              <w:t>邮政编码：</w:t>
            </w:r>
          </w:p>
        </w:tc>
        <w:tc>
          <w:tcPr>
            <w:tcW w:w="4680" w:type="dxa"/>
            <w:noWrap w:val="0"/>
            <w:vAlign w:val="center"/>
          </w:tcPr>
          <w:p w14:paraId="50904E4A">
            <w:pPr>
              <w:snapToGrid w:val="0"/>
              <w:spacing w:line="400" w:lineRule="exact"/>
              <w:rPr>
                <w:rFonts w:hint="eastAsia" w:ascii="宋体" w:hAnsi="宋体"/>
                <w:szCs w:val="21"/>
                <w:highlight w:val="none"/>
              </w:rPr>
            </w:pPr>
            <w:r>
              <w:rPr>
                <w:rFonts w:hint="eastAsia" w:ascii="宋体" w:hAnsi="宋体"/>
                <w:szCs w:val="21"/>
                <w:highlight w:val="none"/>
              </w:rPr>
              <w:t>邮政编码：</w:t>
            </w:r>
          </w:p>
        </w:tc>
      </w:tr>
    </w:tbl>
    <w:p w14:paraId="77357FD2">
      <w:pPr>
        <w:rPr>
          <w:rFonts w:hint="eastAsia" w:ascii="Times New Roman" w:hAnsi="Times New Roman"/>
          <w:highlight w:val="none"/>
        </w:rPr>
      </w:pPr>
    </w:p>
    <w:p w14:paraId="15279FFC">
      <w:pPr>
        <w:rPr>
          <w:rFonts w:hint="eastAsia" w:ascii="Times New Roman" w:hAnsi="Times New Roman"/>
          <w:highlight w:val="none"/>
        </w:rPr>
      </w:pPr>
    </w:p>
    <w:p w14:paraId="522FD202">
      <w:pPr>
        <w:rPr>
          <w:rFonts w:hint="eastAsia" w:ascii="Times New Roman" w:hAnsi="Times New Roman"/>
          <w:highlight w:val="none"/>
        </w:rPr>
      </w:pPr>
    </w:p>
    <w:p w14:paraId="032BE9FE">
      <w:pPr>
        <w:snapToGrid w:val="0"/>
        <w:jc w:val="center"/>
        <w:rPr>
          <w:rFonts w:hint="eastAsia" w:ascii="宋体" w:hAnsi="宋体"/>
          <w:b/>
          <w:sz w:val="28"/>
          <w:szCs w:val="28"/>
          <w:highlight w:val="none"/>
        </w:rPr>
      </w:pPr>
      <w:r>
        <w:rPr>
          <w:rFonts w:hint="eastAsia" w:ascii="宋体" w:hAnsi="宋体"/>
          <w:b/>
          <w:sz w:val="28"/>
          <w:szCs w:val="28"/>
          <w:highlight w:val="none"/>
        </w:rPr>
        <w:t>合 同 附 件</w:t>
      </w:r>
    </w:p>
    <w:tbl>
      <w:tblPr>
        <w:tblStyle w:val="19"/>
        <w:tblW w:w="0" w:type="auto"/>
        <w:tblInd w:w="0" w:type="dxa"/>
        <w:tblLayout w:type="fixed"/>
        <w:tblCellMar>
          <w:top w:w="0" w:type="dxa"/>
          <w:left w:w="108" w:type="dxa"/>
          <w:bottom w:w="0" w:type="dxa"/>
          <w:right w:w="108" w:type="dxa"/>
        </w:tblCellMar>
      </w:tblPr>
      <w:tblGrid>
        <w:gridCol w:w="4788"/>
        <w:gridCol w:w="4680"/>
      </w:tblGrid>
      <w:tr w14:paraId="59F66DFE">
        <w:tblPrEx>
          <w:tblCellMar>
            <w:top w:w="0" w:type="dxa"/>
            <w:left w:w="108" w:type="dxa"/>
            <w:bottom w:w="0" w:type="dxa"/>
            <w:right w:w="108" w:type="dxa"/>
          </w:tblCellMar>
        </w:tblPrEx>
        <w:trPr>
          <w:trHeight w:val="956" w:hRule="atLeast"/>
        </w:trPr>
        <w:tc>
          <w:tcPr>
            <w:tcW w:w="9468" w:type="dxa"/>
            <w:gridSpan w:val="2"/>
            <w:tcBorders>
              <w:top w:val="single" w:color="auto" w:sz="4" w:space="0"/>
              <w:left w:val="single" w:color="auto" w:sz="4" w:space="0"/>
              <w:bottom w:val="nil"/>
              <w:right w:val="single" w:color="auto" w:sz="4" w:space="0"/>
            </w:tcBorders>
            <w:noWrap w:val="0"/>
            <w:vAlign w:val="top"/>
          </w:tcPr>
          <w:p w14:paraId="6B039F58">
            <w:pPr>
              <w:snapToGrid w:val="0"/>
              <w:spacing w:line="360" w:lineRule="exact"/>
              <w:rPr>
                <w:rFonts w:hint="eastAsia" w:ascii="宋体" w:hAnsi="宋体"/>
                <w:szCs w:val="21"/>
                <w:highlight w:val="none"/>
              </w:rPr>
            </w:pPr>
            <w:r>
              <w:rPr>
                <w:rFonts w:hint="eastAsia" w:ascii="宋体" w:hAnsi="宋体"/>
                <w:szCs w:val="21"/>
                <w:highlight w:val="none"/>
              </w:rPr>
              <w:t>1、供应商承诺具体事项：</w:t>
            </w:r>
          </w:p>
          <w:p w14:paraId="36D651FC">
            <w:pPr>
              <w:snapToGrid w:val="0"/>
              <w:spacing w:line="360" w:lineRule="exact"/>
              <w:rPr>
                <w:rFonts w:ascii="宋体" w:hAnsi="宋体"/>
                <w:szCs w:val="21"/>
                <w:highlight w:val="none"/>
              </w:rPr>
            </w:pPr>
            <w:r>
              <w:rPr>
                <w:rFonts w:hint="eastAsia" w:ascii="宋体" w:hAnsi="宋体"/>
                <w:szCs w:val="21"/>
                <w:highlight w:val="none"/>
              </w:rPr>
              <w:t xml:space="preserve"> 详见《磋商书》</w:t>
            </w:r>
          </w:p>
        </w:tc>
      </w:tr>
      <w:tr w14:paraId="68BF7A2E">
        <w:tblPrEx>
          <w:tblCellMar>
            <w:top w:w="0" w:type="dxa"/>
            <w:left w:w="108" w:type="dxa"/>
            <w:bottom w:w="0" w:type="dxa"/>
            <w:right w:w="108" w:type="dxa"/>
          </w:tblCellMar>
        </w:tblPrEx>
        <w:trPr>
          <w:trHeight w:val="756" w:hRule="atLeast"/>
        </w:trPr>
        <w:tc>
          <w:tcPr>
            <w:tcW w:w="9468" w:type="dxa"/>
            <w:gridSpan w:val="2"/>
            <w:tcBorders>
              <w:top w:val="single" w:color="auto" w:sz="4" w:space="0"/>
              <w:left w:val="single" w:color="auto" w:sz="4" w:space="0"/>
              <w:bottom w:val="nil"/>
              <w:right w:val="single" w:color="auto" w:sz="4" w:space="0"/>
            </w:tcBorders>
            <w:noWrap w:val="0"/>
            <w:vAlign w:val="top"/>
          </w:tcPr>
          <w:p w14:paraId="2BFC4A38">
            <w:pPr>
              <w:snapToGrid w:val="0"/>
              <w:spacing w:line="360" w:lineRule="exact"/>
              <w:rPr>
                <w:rFonts w:hint="eastAsia" w:ascii="宋体" w:hAnsi="宋体"/>
                <w:szCs w:val="21"/>
                <w:highlight w:val="none"/>
              </w:rPr>
            </w:pPr>
            <w:r>
              <w:rPr>
                <w:rFonts w:hint="eastAsia" w:ascii="宋体" w:hAnsi="宋体"/>
                <w:szCs w:val="21"/>
                <w:highlight w:val="none"/>
              </w:rPr>
              <w:t>2、售后服务承诺具体事项：</w:t>
            </w:r>
          </w:p>
          <w:p w14:paraId="2B7D6207">
            <w:pPr>
              <w:snapToGrid w:val="0"/>
              <w:spacing w:line="360" w:lineRule="exact"/>
              <w:ind w:firstLine="210" w:firstLineChars="100"/>
              <w:rPr>
                <w:rFonts w:hint="eastAsia" w:ascii="宋体" w:hAnsi="宋体"/>
                <w:szCs w:val="21"/>
                <w:highlight w:val="none"/>
              </w:rPr>
            </w:pPr>
            <w:r>
              <w:rPr>
                <w:rFonts w:hint="eastAsia" w:ascii="宋体" w:hAnsi="宋体"/>
                <w:szCs w:val="21"/>
                <w:highlight w:val="none"/>
              </w:rPr>
              <w:t>详见《服务方案》</w:t>
            </w:r>
          </w:p>
        </w:tc>
      </w:tr>
      <w:tr w14:paraId="387912F7">
        <w:tblPrEx>
          <w:tblCellMar>
            <w:top w:w="0" w:type="dxa"/>
            <w:left w:w="108" w:type="dxa"/>
            <w:bottom w:w="0" w:type="dxa"/>
            <w:right w:w="108" w:type="dxa"/>
          </w:tblCellMar>
        </w:tblPrEx>
        <w:trPr>
          <w:trHeight w:val="922" w:hRule="atLeast"/>
        </w:trPr>
        <w:tc>
          <w:tcPr>
            <w:tcW w:w="9468" w:type="dxa"/>
            <w:gridSpan w:val="2"/>
            <w:tcBorders>
              <w:top w:val="single" w:color="auto" w:sz="4" w:space="0"/>
              <w:left w:val="single" w:color="auto" w:sz="4" w:space="0"/>
              <w:bottom w:val="nil"/>
              <w:right w:val="single" w:color="auto" w:sz="4" w:space="0"/>
            </w:tcBorders>
            <w:noWrap w:val="0"/>
            <w:vAlign w:val="top"/>
          </w:tcPr>
          <w:p w14:paraId="32784FA3">
            <w:pPr>
              <w:snapToGrid w:val="0"/>
              <w:spacing w:line="360" w:lineRule="exact"/>
              <w:rPr>
                <w:rFonts w:hint="eastAsia" w:ascii="宋体" w:hAnsi="宋体"/>
                <w:szCs w:val="21"/>
                <w:highlight w:val="none"/>
              </w:rPr>
            </w:pPr>
            <w:r>
              <w:rPr>
                <w:rFonts w:hint="eastAsia" w:ascii="宋体" w:hAnsi="宋体"/>
                <w:szCs w:val="21"/>
                <w:highlight w:val="none"/>
              </w:rPr>
              <w:t xml:space="preserve">3、其他具体事项： </w:t>
            </w:r>
          </w:p>
          <w:p w14:paraId="29E9466D">
            <w:pPr>
              <w:snapToGrid w:val="0"/>
              <w:spacing w:line="360" w:lineRule="exact"/>
              <w:ind w:firstLine="210" w:firstLineChars="100"/>
              <w:rPr>
                <w:rFonts w:hint="eastAsia" w:ascii="宋体" w:hAnsi="宋体"/>
                <w:szCs w:val="21"/>
                <w:highlight w:val="none"/>
              </w:rPr>
            </w:pPr>
            <w:r>
              <w:rPr>
                <w:rFonts w:hint="eastAsia" w:ascii="宋体" w:hAnsi="宋体"/>
                <w:szCs w:val="21"/>
                <w:highlight w:val="none"/>
              </w:rPr>
              <w:t>详见《项目采购需求》</w:t>
            </w:r>
          </w:p>
        </w:tc>
      </w:tr>
      <w:tr w14:paraId="62DF2B00">
        <w:tblPrEx>
          <w:tblCellMar>
            <w:top w:w="0" w:type="dxa"/>
            <w:left w:w="108" w:type="dxa"/>
            <w:bottom w:w="0" w:type="dxa"/>
            <w:right w:w="108" w:type="dxa"/>
          </w:tblCellMar>
        </w:tblPrEx>
        <w:trPr>
          <w:trHeight w:val="1523"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14:paraId="76868179">
            <w:pPr>
              <w:snapToGrid w:val="0"/>
              <w:spacing w:line="400" w:lineRule="exact"/>
              <w:rPr>
                <w:rFonts w:hint="eastAsia" w:ascii="宋体" w:hAnsi="宋体"/>
                <w:szCs w:val="21"/>
                <w:highlight w:val="none"/>
              </w:rPr>
            </w:pPr>
            <w:r>
              <w:rPr>
                <w:rFonts w:hint="eastAsia" w:ascii="宋体" w:hAnsi="宋体"/>
                <w:szCs w:val="21"/>
                <w:highlight w:val="none"/>
              </w:rPr>
              <w:t xml:space="preserve">甲方（采购单位）（章）           </w:t>
            </w:r>
          </w:p>
          <w:p w14:paraId="6CD1FFC7">
            <w:pPr>
              <w:snapToGrid w:val="0"/>
              <w:spacing w:line="400" w:lineRule="exact"/>
              <w:rPr>
                <w:rFonts w:hint="eastAsia" w:ascii="宋体" w:hAnsi="宋体"/>
                <w:szCs w:val="21"/>
                <w:highlight w:val="none"/>
              </w:rPr>
            </w:pPr>
          </w:p>
          <w:p w14:paraId="27E55A07">
            <w:pPr>
              <w:snapToGrid w:val="0"/>
              <w:spacing w:line="400" w:lineRule="exact"/>
              <w:rPr>
                <w:rFonts w:hint="eastAsia" w:ascii="宋体" w:hAnsi="宋体"/>
                <w:szCs w:val="21"/>
                <w:highlight w:val="none"/>
              </w:rPr>
            </w:pPr>
          </w:p>
          <w:p w14:paraId="670178F9">
            <w:pPr>
              <w:snapToGrid w:val="0"/>
              <w:spacing w:line="400" w:lineRule="exact"/>
              <w:ind w:firstLine="945" w:firstLineChars="450"/>
              <w:jc w:val="right"/>
              <w:rPr>
                <w:rFonts w:hint="eastAsia" w:ascii="宋体" w:hAnsi="宋体"/>
                <w:szCs w:val="21"/>
                <w:highlight w:val="none"/>
              </w:rPr>
            </w:pPr>
            <w:r>
              <w:rPr>
                <w:rFonts w:hint="eastAsia" w:ascii="宋体" w:hAnsi="宋体"/>
                <w:szCs w:val="21"/>
                <w:highlight w:val="none"/>
              </w:rPr>
              <w:t>年   月   日</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821BD5E">
            <w:pPr>
              <w:snapToGrid w:val="0"/>
              <w:spacing w:line="400" w:lineRule="exact"/>
              <w:rPr>
                <w:rFonts w:hint="eastAsia" w:ascii="宋体" w:hAnsi="宋体"/>
                <w:szCs w:val="21"/>
                <w:highlight w:val="none"/>
              </w:rPr>
            </w:pPr>
            <w:r>
              <w:rPr>
                <w:rFonts w:hint="eastAsia" w:ascii="宋体" w:hAnsi="宋体"/>
                <w:szCs w:val="21"/>
                <w:highlight w:val="none"/>
              </w:rPr>
              <w:t xml:space="preserve">乙方（供应商）（章）              </w:t>
            </w:r>
          </w:p>
          <w:p w14:paraId="7067BBF7">
            <w:pPr>
              <w:snapToGrid w:val="0"/>
              <w:spacing w:line="400" w:lineRule="exact"/>
              <w:rPr>
                <w:rFonts w:hint="eastAsia" w:ascii="宋体" w:hAnsi="宋体"/>
                <w:szCs w:val="21"/>
                <w:highlight w:val="none"/>
              </w:rPr>
            </w:pPr>
          </w:p>
          <w:p w14:paraId="5D288AC4">
            <w:pPr>
              <w:snapToGrid w:val="0"/>
              <w:spacing w:line="400" w:lineRule="exact"/>
              <w:rPr>
                <w:rFonts w:hint="eastAsia" w:ascii="宋体" w:hAnsi="宋体"/>
                <w:szCs w:val="21"/>
                <w:highlight w:val="none"/>
              </w:rPr>
            </w:pPr>
          </w:p>
          <w:p w14:paraId="56E7A4BA">
            <w:pPr>
              <w:snapToGrid w:val="0"/>
              <w:spacing w:line="400" w:lineRule="exact"/>
              <w:jc w:val="right"/>
              <w:rPr>
                <w:rFonts w:hint="eastAsia" w:ascii="宋体" w:hAnsi="宋体"/>
                <w:szCs w:val="21"/>
                <w:highlight w:val="none"/>
              </w:rPr>
            </w:pPr>
            <w:r>
              <w:rPr>
                <w:rFonts w:hint="eastAsia" w:ascii="宋体" w:hAnsi="宋体"/>
                <w:szCs w:val="21"/>
                <w:highlight w:val="none"/>
              </w:rPr>
              <w:t xml:space="preserve"> 年   月   日</w:t>
            </w:r>
          </w:p>
        </w:tc>
      </w:tr>
    </w:tbl>
    <w:p w14:paraId="629A9C76">
      <w:pPr>
        <w:snapToGrid w:val="0"/>
        <w:rPr>
          <w:rFonts w:hint="eastAsia" w:ascii="宋体" w:hAnsi="宋体"/>
          <w:szCs w:val="21"/>
          <w:highlight w:val="none"/>
        </w:rPr>
      </w:pPr>
      <w:r>
        <w:rPr>
          <w:rFonts w:hint="eastAsia" w:ascii="宋体" w:hAnsi="宋体"/>
          <w:szCs w:val="21"/>
          <w:highlight w:val="none"/>
        </w:rPr>
        <w:t>注：售后服务承诺事项填不下时可另加附页</w:t>
      </w:r>
    </w:p>
    <w:p w14:paraId="1E009709">
      <w:pPr>
        <w:widowControl/>
        <w:jc w:val="left"/>
        <w:rPr>
          <w:rFonts w:ascii="宋体" w:hAnsi="宋体" w:cs="宋体"/>
          <w:color w:val="auto"/>
          <w:highlight w:val="none"/>
        </w:rPr>
      </w:pPr>
      <w:r>
        <w:rPr>
          <w:rFonts w:ascii="宋体" w:hAnsi="宋体"/>
          <w:szCs w:val="21"/>
          <w:highlight w:val="none"/>
        </w:rPr>
        <w:br w:type="page"/>
      </w:r>
      <w:r>
        <w:rPr>
          <w:rFonts w:hint="eastAsia" w:ascii="宋体" w:hAnsi="宋体" w:cs="宋体"/>
          <w:color w:val="auto"/>
          <w:highlight w:val="none"/>
        </w:rPr>
        <w:t>附件：</w:t>
      </w:r>
    </w:p>
    <w:p w14:paraId="10CD49CA">
      <w:pPr>
        <w:widowControl/>
        <w:jc w:val="center"/>
        <w:rPr>
          <w:rFonts w:ascii="仿宋_GB2312" w:hAnsi="宋体" w:eastAsia="仿宋_GB2312" w:cs="新宋体"/>
          <w:b/>
          <w:bCs/>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政府采购项目合同验收书</w:t>
      </w:r>
      <w:r>
        <w:rPr>
          <w:rFonts w:hint="eastAsia" w:ascii="仿宋_GB2312" w:hAnsi="宋体" w:eastAsia="仿宋_GB2312" w:cs="仿宋_GB2312"/>
          <w:color w:val="auto"/>
          <w:sz w:val="32"/>
          <w:szCs w:val="32"/>
          <w:highlight w:val="none"/>
        </w:rPr>
        <w:t>（格式）</w:t>
      </w:r>
    </w:p>
    <w:p w14:paraId="1CFE31EA">
      <w:pPr>
        <w:widowControl/>
        <w:snapToGrid w:val="0"/>
        <w:spacing w:beforeAutospacing="1" w:afterAutospacing="1" w:line="320" w:lineRule="exact"/>
        <w:ind w:left="-359" w:leftChars="-171" w:firstLine="480" w:firstLineChars="200"/>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根据政府采购项目（</w:t>
      </w:r>
      <w:r>
        <w:rPr>
          <w:rFonts w:hint="eastAsia" w:ascii="仿宋_GB2312" w:hAnsi="宋体" w:eastAsia="仿宋_GB2312" w:cs="仿宋_GB2312"/>
          <w:color w:val="auto"/>
          <w:sz w:val="24"/>
          <w:szCs w:val="24"/>
          <w:highlight w:val="none"/>
          <w:u w:val="single"/>
        </w:rPr>
        <w:t>采购合同编号：</w:t>
      </w:r>
      <w:r>
        <w:rPr>
          <w:rFonts w:hint="eastAsia" w:ascii="仿宋_GB2312" w:hAnsi="宋体" w:eastAsia="仿宋_GB2312" w:cs="仿宋_GB2312"/>
          <w:color w:val="auto"/>
          <w:sz w:val="24"/>
          <w:szCs w:val="24"/>
          <w:highlight w:val="none"/>
          <w:u w:val="single"/>
        </w:rPr>
        <w:softHyphen/>
      </w:r>
      <w:r>
        <w:rPr>
          <w:rFonts w:hint="eastAsia" w:ascii="宋体" w:hAnsi="宋体"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）的约定，我单位对（</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项目名称</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政府采购项目成交（或成交）供应商（</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公司名称</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提供的货物（或工程、服务）进行了验收，验收情况如下：</w:t>
      </w:r>
    </w:p>
    <w:tbl>
      <w:tblPr>
        <w:tblStyle w:val="19"/>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E9AD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FFED2E4">
            <w:pPr>
              <w:widowControl/>
              <w:snapToGrid w:val="0"/>
              <w:spacing w:beforeAutospacing="1" w:afterAutospacing="1" w:line="320" w:lineRule="exact"/>
              <w:ind w:left="-3" w:firstLine="4" w:firstLineChars="2"/>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验收方式：</w:t>
            </w:r>
          </w:p>
        </w:tc>
        <w:tc>
          <w:tcPr>
            <w:tcW w:w="5806" w:type="dxa"/>
            <w:gridSpan w:val="5"/>
            <w:tcBorders>
              <w:top w:val="single" w:color="auto" w:sz="8" w:space="0"/>
              <w:left w:val="nil"/>
              <w:bottom w:val="single" w:color="auto" w:sz="8" w:space="0"/>
              <w:right w:val="single" w:color="auto" w:sz="8" w:space="0"/>
            </w:tcBorders>
            <w:shd w:val="clear" w:color="auto" w:fill="auto"/>
            <w:vAlign w:val="center"/>
          </w:tcPr>
          <w:p w14:paraId="093AE17F">
            <w:pPr>
              <w:widowControl/>
              <w:snapToGrid w:val="0"/>
              <w:spacing w:beforeAutospacing="1" w:afterAutospacing="1" w:line="320" w:lineRule="exact"/>
              <w:ind w:left="-3" w:firstLine="480" w:firstLineChars="200"/>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□自行验收</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□委托验收</w:t>
            </w:r>
          </w:p>
        </w:tc>
      </w:tr>
      <w:tr w14:paraId="32E95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4F296AD4">
            <w:pPr>
              <w:widowControl/>
              <w:snapToGrid w:val="0"/>
              <w:spacing w:beforeAutospacing="1" w:afterAutospacing="1" w:line="320" w:lineRule="exact"/>
              <w:ind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序号</w:t>
            </w:r>
          </w:p>
        </w:tc>
        <w:tc>
          <w:tcPr>
            <w:tcW w:w="2294" w:type="dxa"/>
            <w:tcBorders>
              <w:top w:val="single" w:color="auto" w:sz="8" w:space="0"/>
              <w:left w:val="nil"/>
              <w:bottom w:val="single" w:color="auto" w:sz="8" w:space="0"/>
              <w:right w:val="single" w:color="auto" w:sz="8" w:space="0"/>
            </w:tcBorders>
            <w:shd w:val="clear" w:color="auto" w:fill="auto"/>
            <w:vAlign w:val="center"/>
          </w:tcPr>
          <w:p w14:paraId="72D0F24F">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名</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称</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098B5BFF">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货物型号规格、标准及配置等（或服务内容、标准）</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6CFC7A0B">
            <w:pPr>
              <w:widowControl/>
              <w:snapToGrid w:val="0"/>
              <w:spacing w:beforeAutospacing="1" w:afterAutospacing="1" w:line="320" w:lineRule="exact"/>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数量</w:t>
            </w:r>
          </w:p>
        </w:tc>
        <w:tc>
          <w:tcPr>
            <w:tcW w:w="1367" w:type="dxa"/>
            <w:tcBorders>
              <w:top w:val="single" w:color="auto" w:sz="8" w:space="0"/>
              <w:left w:val="nil"/>
              <w:bottom w:val="single" w:color="auto" w:sz="8" w:space="0"/>
              <w:right w:val="single" w:color="auto" w:sz="8" w:space="0"/>
            </w:tcBorders>
            <w:shd w:val="clear" w:color="auto" w:fill="auto"/>
            <w:vAlign w:val="center"/>
          </w:tcPr>
          <w:p w14:paraId="3740F955">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金</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额</w:t>
            </w:r>
          </w:p>
        </w:tc>
      </w:tr>
      <w:tr w14:paraId="7B6CAA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59BAAB7C">
            <w:pPr>
              <w:widowControl/>
              <w:snapToGrid w:val="0"/>
              <w:spacing w:beforeAutospacing="1" w:afterAutospacing="1" w:line="320" w:lineRule="exact"/>
              <w:ind w:left="-3" w:firstLine="4" w:firstLineChars="2"/>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0B8F9049">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169067F9">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6677A9AF">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49BC81A8">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6E6E3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4D6657EB">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499C6C5D">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3CBAB039">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5FD53565">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1D8358D9">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01BBD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1F8D4BC8">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09498B80">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30E254BC">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5ABF3D75">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4AF4BFB2">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0B8FD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E85BC1A">
            <w:pPr>
              <w:widowControl/>
              <w:snapToGrid w:val="0"/>
              <w:spacing w:beforeAutospacing="1" w:afterAutospacing="1" w:line="320" w:lineRule="exact"/>
              <w:ind w:left="-3" w:firstLine="4" w:firstLineChars="2"/>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计</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7A943D67">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7DBC9F1F">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3D029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09C9DC38">
            <w:pPr>
              <w:widowControl/>
              <w:snapToGrid w:val="0"/>
              <w:spacing w:beforeAutospacing="1" w:afterAutospacing="1" w:line="320" w:lineRule="exact"/>
              <w:ind w:firstLine="2" w:firstLineChars="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合计大写金额：</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仟</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佰</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拾</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万</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仟</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佰</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拾</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元</w:t>
            </w:r>
          </w:p>
        </w:tc>
      </w:tr>
      <w:tr w14:paraId="27CB4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43E8E8D8">
            <w:pPr>
              <w:widowControl/>
              <w:snapToGrid w:val="0"/>
              <w:spacing w:beforeAutospacing="1" w:afterAutospacing="1" w:line="320" w:lineRule="exact"/>
              <w:ind w:firstLine="2" w:firstLineChars="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实际供货日期</w:t>
            </w:r>
          </w:p>
        </w:tc>
        <w:tc>
          <w:tcPr>
            <w:tcW w:w="3240" w:type="dxa"/>
            <w:gridSpan w:val="2"/>
            <w:tcBorders>
              <w:top w:val="single" w:color="auto" w:sz="8" w:space="0"/>
              <w:left w:val="nil"/>
              <w:bottom w:val="single" w:color="auto" w:sz="8" w:space="0"/>
              <w:right w:val="single" w:color="auto" w:sz="8" w:space="0"/>
            </w:tcBorders>
            <w:shd w:val="clear" w:color="auto" w:fill="auto"/>
            <w:vAlign w:val="center"/>
          </w:tcPr>
          <w:p w14:paraId="2754217A">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2700" w:type="dxa"/>
            <w:gridSpan w:val="2"/>
            <w:tcBorders>
              <w:top w:val="single" w:color="auto" w:sz="8" w:space="0"/>
              <w:left w:val="nil"/>
              <w:bottom w:val="single" w:color="auto" w:sz="8" w:space="0"/>
              <w:right w:val="single" w:color="auto" w:sz="8" w:space="0"/>
            </w:tcBorders>
            <w:shd w:val="clear" w:color="auto" w:fill="auto"/>
            <w:vAlign w:val="center"/>
          </w:tcPr>
          <w:p w14:paraId="0B38206D">
            <w:pPr>
              <w:snapToGrid w:val="0"/>
              <w:spacing w:beforeAutospacing="1" w:afterAutospacing="1" w:line="320" w:lineRule="exact"/>
              <w:ind w:firstLine="45" w:firstLineChars="19"/>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合同交货验收日期</w:t>
            </w:r>
          </w:p>
        </w:tc>
        <w:tc>
          <w:tcPr>
            <w:tcW w:w="2160" w:type="dxa"/>
            <w:gridSpan w:val="2"/>
            <w:tcBorders>
              <w:top w:val="single" w:color="auto" w:sz="8" w:space="0"/>
              <w:left w:val="nil"/>
              <w:bottom w:val="single" w:color="auto" w:sz="8" w:space="0"/>
              <w:right w:val="single" w:color="auto" w:sz="8" w:space="0"/>
            </w:tcBorders>
            <w:shd w:val="clear" w:color="auto" w:fill="auto"/>
            <w:vAlign w:val="center"/>
          </w:tcPr>
          <w:p w14:paraId="554FEC57">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r>
      <w:tr w14:paraId="31B92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5C6C9AD6">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3240" w:type="dxa"/>
            <w:gridSpan w:val="2"/>
            <w:tcBorders>
              <w:top w:val="single" w:color="auto" w:sz="8" w:space="0"/>
              <w:left w:val="nil"/>
              <w:bottom w:val="single" w:color="auto" w:sz="8" w:space="0"/>
              <w:right w:val="single" w:color="auto" w:sz="8" w:space="0"/>
            </w:tcBorders>
            <w:shd w:val="clear" w:color="auto" w:fill="auto"/>
            <w:vAlign w:val="center"/>
          </w:tcPr>
          <w:p w14:paraId="5748F176">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2700" w:type="dxa"/>
            <w:gridSpan w:val="2"/>
            <w:tcBorders>
              <w:top w:val="single" w:color="auto" w:sz="8" w:space="0"/>
              <w:left w:val="nil"/>
              <w:bottom w:val="single" w:color="auto" w:sz="8" w:space="0"/>
              <w:right w:val="single" w:color="auto" w:sz="8" w:space="0"/>
            </w:tcBorders>
            <w:shd w:val="clear" w:color="auto" w:fill="auto"/>
            <w:vAlign w:val="center"/>
          </w:tcPr>
          <w:p w14:paraId="7927B401">
            <w:pPr>
              <w:snapToGrid w:val="0"/>
              <w:spacing w:beforeAutospacing="1" w:afterAutospacing="1" w:line="320" w:lineRule="exact"/>
              <w:ind w:left="590" w:firstLine="480" w:firstLineChars="200"/>
              <w:jc w:val="left"/>
              <w:rPr>
                <w:rFonts w:ascii="仿宋_GB2312" w:hAnsi="宋体" w:eastAsia="仿宋_GB2312" w:cs="宋体"/>
                <w:color w:val="auto"/>
                <w:sz w:val="24"/>
                <w:szCs w:val="24"/>
                <w:highlight w:val="none"/>
              </w:rPr>
            </w:pPr>
          </w:p>
        </w:tc>
        <w:tc>
          <w:tcPr>
            <w:tcW w:w="2160" w:type="dxa"/>
            <w:gridSpan w:val="2"/>
            <w:tcBorders>
              <w:top w:val="single" w:color="auto" w:sz="8" w:space="0"/>
              <w:left w:val="nil"/>
              <w:bottom w:val="single" w:color="auto" w:sz="8" w:space="0"/>
              <w:right w:val="single" w:color="auto" w:sz="8" w:space="0"/>
            </w:tcBorders>
            <w:shd w:val="clear" w:color="auto" w:fill="auto"/>
            <w:vAlign w:val="center"/>
          </w:tcPr>
          <w:p w14:paraId="40134B2A">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r>
      <w:tr w14:paraId="133C0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2655E6">
            <w:pPr>
              <w:widowControl/>
              <w:snapToGrid w:val="0"/>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验收具体内容</w:t>
            </w:r>
          </w:p>
        </w:tc>
        <w:tc>
          <w:tcPr>
            <w:tcW w:w="8100"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C8A7C7">
            <w:pPr>
              <w:widowControl/>
              <w:snapToGrid w:val="0"/>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eastAsia="仿宋_GB2312" w:cs="仿宋_GB2312"/>
                <w:color w:val="auto"/>
                <w:sz w:val="24"/>
                <w:szCs w:val="24"/>
                <w:highlight w:val="none"/>
              </w:rPr>
              <w:t>（应</w:t>
            </w:r>
            <w:r>
              <w:rPr>
                <w:rFonts w:hint="eastAsia" w:ascii="仿宋_GB2312" w:hAnsi="宋体" w:eastAsia="仿宋_GB2312" w:cs="仿宋_GB2312"/>
                <w:color w:val="auto"/>
                <w:sz w:val="24"/>
                <w:szCs w:val="24"/>
                <w:highlight w:val="none"/>
              </w:rPr>
              <w:t>按采购合同、采购文件、投标响应文件及验收方案等进行验收；并核对</w:t>
            </w:r>
            <w:r>
              <w:rPr>
                <w:rFonts w:hint="eastAsia" w:ascii="仿宋_GB2312" w:eastAsia="仿宋_GB2312" w:cs="仿宋_GB2312"/>
                <w:color w:val="auto"/>
                <w:sz w:val="24"/>
                <w:szCs w:val="24"/>
                <w:highlight w:val="none"/>
              </w:rPr>
              <w:t>成交或者成交供应商在安装调试等方面是否违反合同约定或服务规范要求、提供的质量保证证明材料是否齐全、应有的配件及附件是否达到合同约定等</w:t>
            </w:r>
            <w:r>
              <w:rPr>
                <w:rFonts w:hint="eastAsia" w:ascii="仿宋_GB2312" w:hAnsi="宋体" w:eastAsia="仿宋_GB2312" w:cs="仿宋_GB2312"/>
                <w:color w:val="auto"/>
                <w:sz w:val="24"/>
                <w:szCs w:val="24"/>
                <w:highlight w:val="none"/>
              </w:rPr>
              <w:t>。可附件)</w:t>
            </w:r>
          </w:p>
        </w:tc>
      </w:tr>
      <w:tr w14:paraId="077D0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15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922B0F">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验收小组意见</w:t>
            </w:r>
          </w:p>
        </w:tc>
        <w:tc>
          <w:tcPr>
            <w:tcW w:w="8100" w:type="dxa"/>
            <w:gridSpan w:val="6"/>
            <w:tcBorders>
              <w:top w:val="single" w:color="auto" w:sz="8" w:space="0"/>
              <w:left w:val="nil"/>
              <w:bottom w:val="single" w:color="auto" w:sz="4" w:space="0"/>
              <w:right w:val="single" w:color="auto" w:sz="8" w:space="0"/>
            </w:tcBorders>
            <w:shd w:val="clear" w:color="auto" w:fill="auto"/>
            <w:vAlign w:val="center"/>
          </w:tcPr>
          <w:p w14:paraId="12107928">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验收结论性意见：</w:t>
            </w:r>
          </w:p>
          <w:p w14:paraId="0D7C0C0E">
            <w:pPr>
              <w:widowControl/>
              <w:spacing w:beforeAutospacing="1" w:afterAutospacing="1" w:line="320" w:lineRule="exact"/>
              <w:jc w:val="left"/>
              <w:rPr>
                <w:rFonts w:ascii="仿宋_GB2312" w:hAnsi="宋体" w:eastAsia="仿宋_GB2312" w:cs="宋体"/>
                <w:color w:val="auto"/>
                <w:sz w:val="24"/>
                <w:szCs w:val="24"/>
                <w:highlight w:val="none"/>
              </w:rPr>
            </w:pPr>
          </w:p>
        </w:tc>
      </w:tr>
      <w:tr w14:paraId="3E3AB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E7C0DC">
            <w:pPr>
              <w:rPr>
                <w:rFonts w:ascii="Times New Roman" w:hAnsi="Times New Roman"/>
                <w:color w:val="auto"/>
                <w:sz w:val="20"/>
                <w:szCs w:val="20"/>
                <w:highlight w:val="none"/>
              </w:rPr>
            </w:pPr>
          </w:p>
        </w:tc>
        <w:tc>
          <w:tcPr>
            <w:tcW w:w="8100" w:type="dxa"/>
            <w:gridSpan w:val="6"/>
            <w:tcBorders>
              <w:top w:val="single" w:color="auto" w:sz="4" w:space="0"/>
              <w:left w:val="nil"/>
              <w:bottom w:val="single" w:color="auto" w:sz="8" w:space="0"/>
              <w:right w:val="single" w:color="auto" w:sz="8" w:space="0"/>
            </w:tcBorders>
            <w:shd w:val="clear" w:color="auto" w:fill="auto"/>
            <w:vAlign w:val="center"/>
          </w:tcPr>
          <w:p w14:paraId="3336F6AC">
            <w:pPr>
              <w:spacing w:beforeAutospacing="1" w:afterAutospacing="1" w:line="320" w:lineRule="exact"/>
              <w:ind w:firstLine="96" w:firstLineChars="40"/>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有异议的意见和说明理由：</w:t>
            </w:r>
          </w:p>
          <w:p w14:paraId="343456FB">
            <w:pPr>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 xml:space="preserve">                                      签字：</w:t>
            </w:r>
          </w:p>
        </w:tc>
      </w:tr>
      <w:tr w14:paraId="0AEB5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7F59C5">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验收小组成员签字：</w:t>
            </w:r>
          </w:p>
        </w:tc>
      </w:tr>
      <w:tr w14:paraId="5080B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42506B">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监督人员或其他相关人员签字：</w:t>
            </w:r>
          </w:p>
          <w:p w14:paraId="25A2CC65">
            <w:pPr>
              <w:widowControl/>
              <w:spacing w:beforeAutospacing="1" w:afterAutospacing="1" w:line="320" w:lineRule="exact"/>
              <w:ind w:firstLine="74" w:firstLineChars="3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或受邀机构的意见（盖章）：</w:t>
            </w:r>
          </w:p>
        </w:tc>
      </w:tr>
      <w:tr w14:paraId="5BF16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shd w:val="clear" w:color="auto" w:fill="auto"/>
            <w:tcMar>
              <w:left w:w="108" w:type="dxa"/>
              <w:right w:w="108" w:type="dxa"/>
            </w:tcMar>
            <w:vAlign w:val="center"/>
          </w:tcPr>
          <w:p w14:paraId="6FEA4541">
            <w:pPr>
              <w:widowControl/>
              <w:spacing w:beforeAutospacing="1" w:afterAutospacing="1" w:line="320" w:lineRule="exact"/>
              <w:ind w:firstLine="74" w:firstLineChars="3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成交或者成交供应商负责人签字或盖章：</w:t>
            </w:r>
          </w:p>
          <w:p w14:paraId="63F48951">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联系电话：</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年</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月</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日</w:t>
            </w:r>
          </w:p>
        </w:tc>
        <w:tc>
          <w:tcPr>
            <w:tcW w:w="4860" w:type="dxa"/>
            <w:gridSpan w:val="4"/>
            <w:tcBorders>
              <w:top w:val="single" w:color="auto" w:sz="8" w:space="0"/>
              <w:left w:val="nil"/>
              <w:bottom w:val="single" w:color="auto" w:sz="8" w:space="0"/>
              <w:right w:val="single" w:color="auto" w:sz="8" w:space="0"/>
            </w:tcBorders>
            <w:shd w:val="clear" w:color="auto" w:fill="auto"/>
            <w:vAlign w:val="center"/>
          </w:tcPr>
          <w:p w14:paraId="617E52A0">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采购人或受托机构的意见（盖章）：</w:t>
            </w:r>
          </w:p>
          <w:p w14:paraId="285560A2">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联系电话：                 年</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 xml:space="preserve">  月</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 xml:space="preserve">  日</w:t>
            </w:r>
          </w:p>
        </w:tc>
      </w:tr>
    </w:tbl>
    <w:p w14:paraId="21A04A01">
      <w:pPr>
        <w:widowControl/>
        <w:jc w:val="left"/>
        <w:rPr>
          <w:rFonts w:ascii="宋体" w:hAnsi="宋体" w:cs="宋体"/>
          <w:color w:val="auto"/>
          <w:highlight w:val="none"/>
        </w:rPr>
      </w:pPr>
      <w:r>
        <w:rPr>
          <w:rFonts w:hint="eastAsia" w:ascii="宋体" w:hAnsi="宋体" w:cs="宋体"/>
          <w:color w:val="auto"/>
          <w:highlight w:val="none"/>
        </w:rPr>
        <w:t>本表一式三份，成交（成交）供应商一份、采购单位一份、采购代理机构一份。</w:t>
      </w:r>
      <w:r>
        <w:rPr>
          <w:rFonts w:hint="eastAsia" w:ascii="宋体" w:hAnsi="宋体" w:cs="宋体"/>
          <w:color w:val="auto"/>
          <w:highlight w:val="none"/>
        </w:rPr>
        <w:br w:type="page"/>
      </w:r>
    </w:p>
    <w:p w14:paraId="142914C0">
      <w:pPr>
        <w:numPr>
          <w:ilvl w:val="0"/>
          <w:numId w:val="3"/>
        </w:num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评标办法</w:t>
      </w:r>
    </w:p>
    <w:p w14:paraId="3A0A2B6B">
      <w:pPr>
        <w:pStyle w:val="4"/>
        <w:ind w:left="420" w:firstLine="0"/>
        <w:rPr>
          <w:rFonts w:hint="eastAsia"/>
          <w:color w:val="auto"/>
          <w:highlight w:val="none"/>
        </w:rPr>
      </w:pPr>
    </w:p>
    <w:p w14:paraId="3109E69D">
      <w:pPr>
        <w:pStyle w:val="9"/>
        <w:spacing w:line="360" w:lineRule="auto"/>
        <w:ind w:firstLine="402" w:firstLineChars="200"/>
        <w:rPr>
          <w:b/>
          <w:bCs/>
          <w:color w:val="auto"/>
          <w:highlight w:val="none"/>
        </w:rPr>
      </w:pPr>
      <w:r>
        <w:rPr>
          <w:rFonts w:hint="eastAsia"/>
          <w:b/>
          <w:bCs/>
          <w:color w:val="auto"/>
          <w:highlight w:val="none"/>
        </w:rPr>
        <w:t>一、磋商原则</w:t>
      </w:r>
    </w:p>
    <w:p w14:paraId="758843F3">
      <w:pPr>
        <w:pStyle w:val="9"/>
        <w:spacing w:line="360" w:lineRule="auto"/>
        <w:ind w:left="210" w:leftChars="100" w:firstLine="200" w:firstLineChars="100"/>
        <w:rPr>
          <w:rFonts w:hint="eastAsia"/>
          <w:color w:val="auto"/>
          <w:highlight w:val="none"/>
        </w:rPr>
      </w:pPr>
      <w:r>
        <w:rPr>
          <w:rFonts w:hint="eastAsia"/>
          <w:color w:val="auto"/>
          <w:highlight w:val="none"/>
        </w:rPr>
        <w:t>(一) 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14:paraId="28658604">
      <w:pPr>
        <w:spacing w:line="360" w:lineRule="auto"/>
        <w:ind w:firstLine="420" w:firstLineChars="200"/>
        <w:jc w:val="left"/>
        <w:rPr>
          <w:rFonts w:hint="eastAsia" w:ascii="宋体"/>
          <w:color w:val="auto"/>
          <w:szCs w:val="21"/>
          <w:highlight w:val="none"/>
        </w:rPr>
      </w:pPr>
      <w:r>
        <w:rPr>
          <w:color w:val="auto"/>
          <w:highlight w:val="none"/>
        </w:rPr>
        <w:t>(</w:t>
      </w:r>
      <w:r>
        <w:rPr>
          <w:rFonts w:hint="eastAsia"/>
          <w:color w:val="auto"/>
          <w:highlight w:val="none"/>
        </w:rPr>
        <w:t>二</w:t>
      </w:r>
      <w:r>
        <w:rPr>
          <w:color w:val="auto"/>
          <w:highlight w:val="none"/>
        </w:rPr>
        <w:t>)</w:t>
      </w:r>
      <w:r>
        <w:rPr>
          <w:rFonts w:hint="eastAsia"/>
          <w:color w:val="auto"/>
          <w:highlight w:val="none"/>
        </w:rPr>
        <w:t>综合评分法磋商依据：“磋商小组”将以磋商文件、响应文件为磋商依据，对供应商的磋商报价、</w:t>
      </w:r>
      <w:r>
        <w:rPr>
          <w:rFonts w:hint="eastAsia" w:ascii="宋体"/>
          <w:color w:val="auto"/>
          <w:szCs w:val="21"/>
          <w:highlight w:val="none"/>
        </w:rPr>
        <w:t>企业资信等级</w:t>
      </w:r>
      <w:r>
        <w:rPr>
          <w:rFonts w:hint="eastAsia"/>
          <w:color w:val="auto"/>
          <w:highlight w:val="none"/>
        </w:rPr>
        <w:t>、资质、项目主要负责成员、</w:t>
      </w:r>
      <w:r>
        <w:rPr>
          <w:rFonts w:hint="eastAsia" w:ascii="宋体"/>
          <w:color w:val="auto"/>
          <w:szCs w:val="21"/>
          <w:highlight w:val="none"/>
        </w:rPr>
        <w:t>同类项目业绩</w:t>
      </w:r>
      <w:r>
        <w:rPr>
          <w:rFonts w:hint="eastAsia"/>
          <w:color w:val="auto"/>
          <w:highlight w:val="none"/>
        </w:rPr>
        <w:t>及技术与实施方案等方面内容进行评审</w:t>
      </w:r>
      <w:r>
        <w:rPr>
          <w:color w:val="auto"/>
          <w:highlight w:val="none"/>
        </w:rPr>
        <w:t>,</w:t>
      </w:r>
      <w:r>
        <w:rPr>
          <w:bCs/>
          <w:color w:val="auto"/>
          <w:highlight w:val="none"/>
        </w:rPr>
        <w:t xml:space="preserve"> </w:t>
      </w:r>
      <w:r>
        <w:rPr>
          <w:rFonts w:hint="eastAsia"/>
          <w:bCs/>
          <w:color w:val="auto"/>
          <w:highlight w:val="none"/>
        </w:rPr>
        <w:t>按百分制打分。</w:t>
      </w:r>
    </w:p>
    <w:p w14:paraId="135E00EB">
      <w:pPr>
        <w:pStyle w:val="9"/>
        <w:spacing w:line="360" w:lineRule="auto"/>
        <w:ind w:left="210" w:leftChars="100" w:firstLine="200" w:firstLineChars="100"/>
        <w:rPr>
          <w:rFonts w:hint="eastAsia"/>
          <w:color w:val="auto"/>
          <w:highlight w:val="none"/>
        </w:rPr>
      </w:pPr>
      <w:r>
        <w:rPr>
          <w:rFonts w:hint="eastAsia"/>
          <w:color w:val="auto"/>
          <w:highlight w:val="none"/>
        </w:rPr>
        <w:t>(三)磋商方式：以封闭方式进行磋商。磋商全过程中不允许供应商与“磋商小组”之间有可能影响到评审结果公正性的会面与谈话，以体现公平、公正的基本原则。</w:t>
      </w:r>
    </w:p>
    <w:p w14:paraId="277AF56A">
      <w:pPr>
        <w:pStyle w:val="9"/>
        <w:spacing w:line="360" w:lineRule="auto"/>
        <w:ind w:firstLine="402" w:firstLineChars="200"/>
        <w:rPr>
          <w:rFonts w:hint="eastAsia"/>
          <w:b/>
          <w:bCs/>
          <w:color w:val="auto"/>
          <w:highlight w:val="none"/>
        </w:rPr>
      </w:pPr>
      <w:r>
        <w:rPr>
          <w:rFonts w:hint="eastAsia"/>
          <w:b/>
          <w:bCs/>
          <w:color w:val="auto"/>
          <w:highlight w:val="none"/>
        </w:rPr>
        <w:t>二、评分办法</w:t>
      </w:r>
    </w:p>
    <w:p w14:paraId="6BC649E2">
      <w:pPr>
        <w:spacing w:line="360" w:lineRule="auto"/>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 xml:space="preserve">    本次磋商方法采用综合评分法，即对技术标、商务标两部分实行综合记分，得分最高的供应商即为成交人。</w:t>
      </w:r>
      <w:r>
        <w:rPr>
          <w:rFonts w:hint="eastAsia" w:ascii="新宋体" w:hAnsi="新宋体"/>
          <w:color w:val="auto"/>
          <w:szCs w:val="21"/>
          <w:highlight w:val="none"/>
        </w:rPr>
        <w:t>（</w:t>
      </w:r>
      <w:r>
        <w:rPr>
          <w:rFonts w:hint="eastAsia" w:ascii="Arial" w:hAnsi="Arial" w:cs="Arial"/>
          <w:color w:val="auto"/>
          <w:kern w:val="0"/>
          <w:szCs w:val="21"/>
          <w:highlight w:val="none"/>
        </w:rPr>
        <w:t>得分相同时，</w:t>
      </w:r>
      <w:r>
        <w:rPr>
          <w:rFonts w:hint="eastAsia"/>
          <w:color w:val="auto"/>
          <w:highlight w:val="none"/>
        </w:rPr>
        <w:t>则按供应商的企业资质级别、</w:t>
      </w:r>
      <w:r>
        <w:rPr>
          <w:rFonts w:hint="eastAsia" w:ascii="宋体"/>
          <w:color w:val="auto"/>
          <w:szCs w:val="21"/>
          <w:highlight w:val="none"/>
        </w:rPr>
        <w:t>企业资信等级、</w:t>
      </w:r>
      <w:r>
        <w:rPr>
          <w:rFonts w:hint="eastAsia"/>
          <w:color w:val="auto"/>
          <w:highlight w:val="none"/>
        </w:rPr>
        <w:t>类似项目工作经验、项目主要负责成员、项目实施服务方案等方面综合评价择优确定成交供应商</w:t>
      </w:r>
      <w:r>
        <w:rPr>
          <w:rFonts w:hint="eastAsia" w:ascii="新宋体" w:hAnsi="新宋体"/>
          <w:color w:val="auto"/>
          <w:szCs w:val="21"/>
          <w:highlight w:val="none"/>
        </w:rPr>
        <w:t>）。</w:t>
      </w:r>
    </w:p>
    <w:p w14:paraId="647A3C99">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评分项目总分值为100分，权重分别为：技术标90%，商务标10%，分部分值四舍五入，保留小数点后两位；总分四舍五入，保留小数点后一位。</w:t>
      </w:r>
    </w:p>
    <w:p w14:paraId="79783EFD">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按照</w:t>
      </w:r>
      <w:r>
        <w:rPr>
          <w:rFonts w:ascii="新宋体" w:hAnsi="新宋体" w:cs="Arial"/>
          <w:bCs/>
          <w:color w:val="auto"/>
          <w:kern w:val="28"/>
          <w:szCs w:val="21"/>
          <w:highlight w:val="none"/>
        </w:rPr>
        <w:t>《政府采购促进中小企业发展管理办法》</w:t>
      </w:r>
      <w:r>
        <w:rPr>
          <w:rFonts w:hint="eastAsia" w:ascii="新宋体" w:hAnsi="新宋体" w:cs="Arial"/>
          <w:bCs/>
          <w:color w:val="auto"/>
          <w:kern w:val="28"/>
          <w:szCs w:val="21"/>
          <w:highlight w:val="none"/>
        </w:rPr>
        <w:t>，磋商供应商认定为小型和微型企业的（以竞争性磋商响应文件提供的符合规定的有关证明材料为准），对磋商报价给予</w:t>
      </w:r>
      <w:r>
        <w:rPr>
          <w:rFonts w:hint="eastAsia" w:ascii="新宋体" w:hAnsi="新宋体" w:cs="Arial"/>
          <w:bCs/>
          <w:color w:val="auto"/>
          <w:kern w:val="28"/>
          <w:szCs w:val="21"/>
          <w:highlight w:val="none"/>
          <w:lang w:val="en-US" w:eastAsia="zh-CN"/>
        </w:rPr>
        <w:t>2</w:t>
      </w:r>
      <w:r>
        <w:rPr>
          <w:rFonts w:hint="eastAsia" w:ascii="新宋体" w:hAnsi="新宋体" w:cs="Arial"/>
          <w:bCs/>
          <w:color w:val="auto"/>
          <w:kern w:val="28"/>
          <w:szCs w:val="21"/>
          <w:highlight w:val="none"/>
        </w:rPr>
        <w:t>0%的扣除，扣除后的价格为评标价，即评标价=最终磋商报价×（1-</w:t>
      </w:r>
      <w:r>
        <w:rPr>
          <w:rFonts w:hint="eastAsia" w:ascii="新宋体" w:hAnsi="新宋体" w:cs="Arial"/>
          <w:bCs/>
          <w:color w:val="auto"/>
          <w:kern w:val="28"/>
          <w:szCs w:val="21"/>
          <w:highlight w:val="none"/>
          <w:lang w:val="en-US" w:eastAsia="zh-CN"/>
        </w:rPr>
        <w:t>2</w:t>
      </w:r>
      <w:r>
        <w:rPr>
          <w:rFonts w:hint="eastAsia" w:ascii="新宋体" w:hAnsi="新宋体" w:cs="Arial"/>
          <w:bCs/>
          <w:color w:val="auto"/>
          <w:kern w:val="28"/>
          <w:szCs w:val="21"/>
          <w:highlight w:val="none"/>
        </w:rPr>
        <w:t>0%）；用扣除后的评标价参与评审；大中型企业与小型企业或微型企业组成联合体，其中小型企业或微型企业的协议合同金额占到联合体协议合同总金额30%以上的，联合体磋商报价给予</w:t>
      </w:r>
      <w:r>
        <w:rPr>
          <w:rFonts w:hint="eastAsia" w:ascii="新宋体" w:hAnsi="新宋体" w:cs="Arial"/>
          <w:bCs/>
          <w:color w:val="auto"/>
          <w:kern w:val="28"/>
          <w:szCs w:val="21"/>
          <w:highlight w:val="none"/>
          <w:lang w:val="en-US" w:eastAsia="zh-CN"/>
        </w:rPr>
        <w:t>6</w:t>
      </w:r>
      <w:r>
        <w:rPr>
          <w:rFonts w:hint="eastAsia" w:ascii="新宋体" w:hAnsi="新宋体" w:cs="Arial"/>
          <w:bCs/>
          <w:color w:val="auto"/>
          <w:kern w:val="28"/>
          <w:szCs w:val="21"/>
          <w:highlight w:val="none"/>
        </w:rPr>
        <w:t>%的扣除，扣除后的价格为评标价，即评标价 = 最终磋商报价×（1-</w:t>
      </w:r>
      <w:r>
        <w:rPr>
          <w:rFonts w:hint="eastAsia" w:ascii="新宋体" w:hAnsi="新宋体" w:cs="Arial"/>
          <w:bCs/>
          <w:color w:val="auto"/>
          <w:kern w:val="28"/>
          <w:szCs w:val="21"/>
          <w:highlight w:val="none"/>
          <w:lang w:val="en-US" w:eastAsia="zh-CN"/>
        </w:rPr>
        <w:t>6</w:t>
      </w:r>
      <w:r>
        <w:rPr>
          <w:rFonts w:hint="eastAsia" w:ascii="新宋体" w:hAnsi="新宋体" w:cs="Arial"/>
          <w:bCs/>
          <w:color w:val="auto"/>
          <w:kern w:val="28"/>
          <w:szCs w:val="21"/>
          <w:highlight w:val="none"/>
        </w:rPr>
        <w:t>%），用扣除后的评标价参与评审；除上述情况外，评标价 = 最终磋商报价。</w:t>
      </w:r>
    </w:p>
    <w:p w14:paraId="38BF7932">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磋商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990F901">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首先磋商小组对所有响应文件进行资格审查，</w:t>
      </w:r>
      <w:r>
        <w:rPr>
          <w:rFonts w:hint="eastAsia" w:ascii="新宋体" w:hAnsi="新宋体" w:cs="Arial"/>
          <w:bCs/>
          <w:color w:val="auto"/>
          <w:kern w:val="28"/>
          <w:szCs w:val="21"/>
          <w:highlight w:val="none"/>
          <w:lang w:val="en-US" w:eastAsia="zh-CN"/>
        </w:rPr>
        <w:t>然后对</w:t>
      </w:r>
      <w:r>
        <w:rPr>
          <w:rFonts w:hint="eastAsia" w:ascii="新宋体" w:hAnsi="新宋体" w:cs="Arial"/>
          <w:bCs/>
          <w:color w:val="auto"/>
          <w:kern w:val="28"/>
          <w:szCs w:val="21"/>
          <w:highlight w:val="none"/>
        </w:rPr>
        <w:t>合格的供应商进行技术、商务标的评审。（附评分表）</w:t>
      </w:r>
    </w:p>
    <w:p w14:paraId="0953B39F">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p>
    <w:p w14:paraId="149831F6">
      <w:pPr>
        <w:pStyle w:val="26"/>
        <w:rPr>
          <w:rFonts w:hint="eastAsia" w:ascii="新宋体" w:hAnsi="新宋体" w:cs="Arial"/>
          <w:bCs/>
          <w:color w:val="auto"/>
          <w:kern w:val="28"/>
          <w:szCs w:val="21"/>
          <w:highlight w:val="none"/>
        </w:rPr>
      </w:pPr>
    </w:p>
    <w:p w14:paraId="1C7C2D54">
      <w:pPr>
        <w:pStyle w:val="26"/>
        <w:rPr>
          <w:rFonts w:hint="eastAsia" w:ascii="新宋体" w:hAnsi="新宋体" w:cs="Arial"/>
          <w:bCs/>
          <w:color w:val="auto"/>
          <w:kern w:val="28"/>
          <w:szCs w:val="21"/>
          <w:highlight w:val="none"/>
        </w:rPr>
      </w:pPr>
    </w:p>
    <w:p w14:paraId="4DACAB12">
      <w:pPr>
        <w:pStyle w:val="26"/>
        <w:rPr>
          <w:rFonts w:hint="eastAsia" w:ascii="新宋体" w:hAnsi="新宋体" w:cs="Arial"/>
          <w:bCs/>
          <w:color w:val="auto"/>
          <w:kern w:val="28"/>
          <w:szCs w:val="21"/>
          <w:highlight w:val="none"/>
        </w:rPr>
      </w:pPr>
    </w:p>
    <w:p w14:paraId="68D2F79D">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p>
    <w:p w14:paraId="5B95E7D3">
      <w:pPr>
        <w:shd w:val="clear" w:color="auto" w:fill="FFFFFF"/>
        <w:spacing w:line="360" w:lineRule="auto"/>
        <w:jc w:val="center"/>
        <w:rPr>
          <w:rFonts w:hint="eastAsia" w:ascii="宋体"/>
          <w:b/>
          <w:color w:val="auto"/>
          <w:sz w:val="36"/>
          <w:szCs w:val="36"/>
          <w:highlight w:val="none"/>
        </w:rPr>
      </w:pPr>
      <w:r>
        <w:rPr>
          <w:b/>
          <w:color w:val="auto"/>
          <w:highlight w:val="none"/>
        </w:rPr>
        <w:t xml:space="preserve"> </w:t>
      </w:r>
      <w:r>
        <w:rPr>
          <w:rFonts w:hint="eastAsia" w:ascii="宋体"/>
          <w:b/>
          <w:color w:val="auto"/>
          <w:sz w:val="36"/>
          <w:szCs w:val="36"/>
          <w:highlight w:val="none"/>
        </w:rPr>
        <w:t>技术、商务标评分表</w:t>
      </w:r>
    </w:p>
    <w:tbl>
      <w:tblPr>
        <w:tblStyle w:val="19"/>
        <w:tblW w:w="8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134"/>
        <w:gridCol w:w="6535"/>
      </w:tblGrid>
      <w:tr w14:paraId="5017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center"/>
          </w:tcPr>
          <w:p w14:paraId="0A5D0D43">
            <w:pPr>
              <w:jc w:val="center"/>
              <w:rPr>
                <w:rFonts w:ascii="仿宋" w:hAnsi="仿宋" w:eastAsia="仿宋"/>
                <w:sz w:val="32"/>
                <w:szCs w:val="32"/>
                <w:highlight w:val="none"/>
              </w:rPr>
            </w:pPr>
            <w:r>
              <w:rPr>
                <w:rFonts w:hint="eastAsia" w:ascii="仿宋" w:hAnsi="仿宋" w:eastAsia="仿宋"/>
                <w:sz w:val="32"/>
                <w:szCs w:val="32"/>
                <w:highlight w:val="none"/>
              </w:rPr>
              <w:t>评标项目</w:t>
            </w:r>
          </w:p>
        </w:tc>
        <w:tc>
          <w:tcPr>
            <w:tcW w:w="1134" w:type="dxa"/>
            <w:noWrap w:val="0"/>
            <w:vAlign w:val="center"/>
          </w:tcPr>
          <w:p w14:paraId="161ED8E6">
            <w:pPr>
              <w:jc w:val="center"/>
              <w:rPr>
                <w:rFonts w:ascii="仿宋" w:hAnsi="仿宋" w:eastAsia="仿宋"/>
                <w:sz w:val="32"/>
                <w:szCs w:val="32"/>
                <w:highlight w:val="none"/>
              </w:rPr>
            </w:pPr>
            <w:r>
              <w:rPr>
                <w:rFonts w:hint="eastAsia" w:ascii="仿宋" w:hAnsi="仿宋" w:eastAsia="仿宋"/>
                <w:sz w:val="32"/>
                <w:szCs w:val="32"/>
                <w:highlight w:val="none"/>
              </w:rPr>
              <w:t>评标分值</w:t>
            </w:r>
          </w:p>
        </w:tc>
        <w:tc>
          <w:tcPr>
            <w:tcW w:w="6535" w:type="dxa"/>
            <w:noWrap w:val="0"/>
            <w:vAlign w:val="center"/>
          </w:tcPr>
          <w:p w14:paraId="7905D15A">
            <w:pPr>
              <w:jc w:val="center"/>
              <w:rPr>
                <w:rFonts w:ascii="仿宋" w:hAnsi="仿宋" w:eastAsia="仿宋"/>
                <w:sz w:val="32"/>
                <w:szCs w:val="32"/>
                <w:highlight w:val="none"/>
              </w:rPr>
            </w:pPr>
            <w:r>
              <w:rPr>
                <w:rFonts w:hint="eastAsia" w:ascii="仿宋" w:hAnsi="仿宋" w:eastAsia="仿宋"/>
                <w:sz w:val="32"/>
                <w:szCs w:val="32"/>
                <w:highlight w:val="none"/>
              </w:rPr>
              <w:t>评标方法描述</w:t>
            </w:r>
          </w:p>
        </w:tc>
      </w:tr>
      <w:tr w14:paraId="3D25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center"/>
          </w:tcPr>
          <w:p w14:paraId="56193ABC">
            <w:pPr>
              <w:spacing w:line="560" w:lineRule="exact"/>
              <w:jc w:val="center"/>
              <w:rPr>
                <w:rFonts w:ascii="宋体" w:hAnsi="宋体"/>
                <w:szCs w:val="21"/>
                <w:highlight w:val="none"/>
              </w:rPr>
            </w:pPr>
            <w:r>
              <w:rPr>
                <w:rFonts w:hint="eastAsia" w:ascii="宋体" w:hAnsi="宋体"/>
                <w:szCs w:val="21"/>
                <w:highlight w:val="none"/>
              </w:rPr>
              <w:t>价格分</w:t>
            </w:r>
          </w:p>
        </w:tc>
        <w:tc>
          <w:tcPr>
            <w:tcW w:w="1134" w:type="dxa"/>
            <w:noWrap w:val="0"/>
            <w:vAlign w:val="center"/>
          </w:tcPr>
          <w:p w14:paraId="6EAB5AF4">
            <w:pPr>
              <w:spacing w:line="560" w:lineRule="exact"/>
              <w:jc w:val="center"/>
              <w:rPr>
                <w:rFonts w:ascii="仿宋" w:hAnsi="仿宋" w:eastAsia="仿宋"/>
                <w:sz w:val="32"/>
                <w:szCs w:val="32"/>
                <w:highlight w:val="none"/>
              </w:rPr>
            </w:pPr>
            <w:r>
              <w:rPr>
                <w:rFonts w:hint="eastAsia" w:ascii="宋体" w:hAnsi="宋体"/>
                <w:szCs w:val="21"/>
                <w:highlight w:val="none"/>
              </w:rPr>
              <w:t>满分</w:t>
            </w:r>
            <w:r>
              <w:rPr>
                <w:rFonts w:hint="eastAsia" w:ascii="宋体" w:hAnsi="宋体"/>
                <w:szCs w:val="21"/>
                <w:highlight w:val="none"/>
                <w:lang w:val="en-US" w:eastAsia="zh-CN"/>
              </w:rPr>
              <w:t>1</w:t>
            </w:r>
            <w:r>
              <w:rPr>
                <w:rFonts w:hint="eastAsia" w:ascii="宋体" w:hAnsi="宋体"/>
                <w:szCs w:val="21"/>
                <w:highlight w:val="none"/>
              </w:rPr>
              <w:t>0分</w:t>
            </w:r>
          </w:p>
        </w:tc>
        <w:tc>
          <w:tcPr>
            <w:tcW w:w="6535" w:type="dxa"/>
            <w:noWrap w:val="0"/>
            <w:vAlign w:val="center"/>
          </w:tcPr>
          <w:p w14:paraId="78F7897E">
            <w:pPr>
              <w:pStyle w:val="6"/>
              <w:spacing w:before="222" w:line="330" w:lineRule="auto"/>
              <w:ind w:left="24" w:right="74" w:firstLine="7"/>
              <w:rPr>
                <w:sz w:val="20"/>
                <w:szCs w:val="20"/>
                <w:highlight w:val="none"/>
              </w:rPr>
            </w:pPr>
            <w:r>
              <w:rPr>
                <w:spacing w:val="6"/>
                <w:sz w:val="20"/>
                <w:szCs w:val="20"/>
                <w:highlight w:val="none"/>
              </w:rPr>
              <w:t>（1）按照《政府采购促进中小企业发展管理办法》（财库[2020]46 号）、《关于进一步加</w:t>
            </w:r>
            <w:r>
              <w:rPr>
                <w:spacing w:val="12"/>
                <w:sz w:val="20"/>
                <w:szCs w:val="20"/>
                <w:highlight w:val="none"/>
              </w:rPr>
              <w:t xml:space="preserve"> </w:t>
            </w:r>
            <w:r>
              <w:rPr>
                <w:spacing w:val="8"/>
                <w:sz w:val="20"/>
                <w:szCs w:val="20"/>
                <w:highlight w:val="none"/>
              </w:rPr>
              <w:t>大政府采购支持中小企业力度的通知》（财库〔2022〕19 号）规定：</w:t>
            </w:r>
          </w:p>
          <w:p w14:paraId="2FC987A3">
            <w:pPr>
              <w:pStyle w:val="6"/>
              <w:spacing w:before="222" w:line="375" w:lineRule="auto"/>
              <w:ind w:left="21" w:right="71"/>
              <w:rPr>
                <w:sz w:val="20"/>
                <w:szCs w:val="20"/>
                <w:highlight w:val="none"/>
              </w:rPr>
            </w:pPr>
            <w:r>
              <w:rPr>
                <w:spacing w:val="7"/>
                <w:sz w:val="20"/>
                <w:szCs w:val="20"/>
                <w:highlight w:val="none"/>
              </w:rPr>
              <w:t>①投标人提供的服务全部由符合政策要求的小型、微型企业制造，投标文件中提供《中小企</w:t>
            </w:r>
            <w:r>
              <w:rPr>
                <w:spacing w:val="15"/>
                <w:sz w:val="20"/>
                <w:szCs w:val="20"/>
                <w:highlight w:val="none"/>
              </w:rPr>
              <w:t xml:space="preserve"> </w:t>
            </w:r>
            <w:r>
              <w:rPr>
                <w:spacing w:val="9"/>
                <w:sz w:val="20"/>
                <w:szCs w:val="20"/>
                <w:highlight w:val="none"/>
              </w:rPr>
              <w:t xml:space="preserve">业声明函》的，投标人投标报价给予 </w:t>
            </w:r>
            <w:r>
              <w:rPr>
                <w:rFonts w:ascii="Arial" w:hAnsi="Arial" w:eastAsia="Arial" w:cs="Arial"/>
                <w:spacing w:val="9"/>
                <w:sz w:val="20"/>
                <w:szCs w:val="20"/>
                <w:highlight w:val="none"/>
              </w:rPr>
              <w:t>20%</w:t>
            </w:r>
            <w:r>
              <w:rPr>
                <w:spacing w:val="9"/>
                <w:sz w:val="20"/>
                <w:szCs w:val="20"/>
                <w:highlight w:val="none"/>
              </w:rPr>
              <w:t>的扣除，扣除后的价格为评标报价，即投标人的</w:t>
            </w:r>
            <w:r>
              <w:rPr>
                <w:spacing w:val="16"/>
                <w:sz w:val="20"/>
                <w:szCs w:val="20"/>
                <w:highlight w:val="none"/>
              </w:rPr>
              <w:t xml:space="preserve"> </w:t>
            </w:r>
            <w:r>
              <w:rPr>
                <w:spacing w:val="5"/>
                <w:sz w:val="20"/>
                <w:szCs w:val="20"/>
                <w:highlight w:val="none"/>
              </w:rPr>
              <w:t>评标报价</w:t>
            </w:r>
            <w:r>
              <w:rPr>
                <w:rFonts w:ascii="Arial" w:hAnsi="Arial" w:eastAsia="Arial" w:cs="Arial"/>
                <w:spacing w:val="5"/>
                <w:sz w:val="20"/>
                <w:szCs w:val="20"/>
                <w:highlight w:val="none"/>
              </w:rPr>
              <w:t>=</w:t>
            </w:r>
            <w:r>
              <w:rPr>
                <w:spacing w:val="5"/>
                <w:sz w:val="20"/>
                <w:szCs w:val="20"/>
                <w:highlight w:val="none"/>
              </w:rPr>
              <w:t>投标报价</w:t>
            </w:r>
            <w:r>
              <w:rPr>
                <w:spacing w:val="46"/>
                <w:sz w:val="20"/>
                <w:szCs w:val="20"/>
                <w:highlight w:val="none"/>
              </w:rPr>
              <w:t xml:space="preserve"> </w:t>
            </w:r>
            <w:r>
              <w:rPr>
                <w:spacing w:val="5"/>
                <w:sz w:val="20"/>
                <w:szCs w:val="20"/>
                <w:highlight w:val="none"/>
              </w:rPr>
              <w:t>×（</w:t>
            </w:r>
            <w:r>
              <w:rPr>
                <w:rFonts w:ascii="Arial" w:hAnsi="Arial" w:eastAsia="Arial" w:cs="Arial"/>
                <w:spacing w:val="5"/>
                <w:sz w:val="20"/>
                <w:szCs w:val="20"/>
                <w:highlight w:val="none"/>
              </w:rPr>
              <w:t>1-20%</w:t>
            </w:r>
            <w:r>
              <w:rPr>
                <w:spacing w:val="1"/>
                <w:sz w:val="20"/>
                <w:szCs w:val="20"/>
                <w:highlight w:val="none"/>
              </w:rPr>
              <w:t>）；</w:t>
            </w:r>
          </w:p>
          <w:p w14:paraId="25B103D4">
            <w:pPr>
              <w:pStyle w:val="6"/>
              <w:spacing w:before="185" w:line="226" w:lineRule="auto"/>
              <w:ind w:left="20"/>
              <w:rPr>
                <w:sz w:val="20"/>
                <w:szCs w:val="20"/>
                <w:highlight w:val="none"/>
              </w:rPr>
            </w:pPr>
            <w:r>
              <w:rPr>
                <w:spacing w:val="8"/>
                <w:sz w:val="20"/>
                <w:szCs w:val="20"/>
                <w:highlight w:val="none"/>
              </w:rPr>
              <w:t>②除上述情况外，评标报价</w:t>
            </w:r>
            <w:r>
              <w:rPr>
                <w:rFonts w:ascii="Arial" w:hAnsi="Arial" w:eastAsia="Arial" w:cs="Arial"/>
                <w:spacing w:val="8"/>
                <w:sz w:val="20"/>
                <w:szCs w:val="20"/>
                <w:highlight w:val="none"/>
              </w:rPr>
              <w:t>=</w:t>
            </w:r>
            <w:r>
              <w:rPr>
                <w:spacing w:val="8"/>
                <w:sz w:val="20"/>
                <w:szCs w:val="20"/>
                <w:highlight w:val="none"/>
              </w:rPr>
              <w:t>投标报价。</w:t>
            </w:r>
          </w:p>
          <w:p w14:paraId="6F10862C">
            <w:pPr>
              <w:pStyle w:val="6"/>
              <w:spacing w:before="223" w:line="422" w:lineRule="auto"/>
              <w:ind w:left="23" w:right="71" w:hanging="1"/>
              <w:jc w:val="both"/>
              <w:rPr>
                <w:sz w:val="20"/>
                <w:szCs w:val="20"/>
                <w:highlight w:val="none"/>
              </w:rPr>
            </w:pPr>
            <w:r>
              <w:rPr>
                <w:spacing w:val="7"/>
                <w:sz w:val="20"/>
                <w:szCs w:val="20"/>
                <w:highlight w:val="none"/>
              </w:rPr>
              <w:t>注：①小型、微型企业提供中型企业制造的货物的，视同为中型企业。中小微型企业划分标</w:t>
            </w:r>
            <w:r>
              <w:rPr>
                <w:spacing w:val="14"/>
                <w:sz w:val="20"/>
                <w:szCs w:val="20"/>
                <w:highlight w:val="none"/>
              </w:rPr>
              <w:t xml:space="preserve"> </w:t>
            </w:r>
            <w:r>
              <w:rPr>
                <w:spacing w:val="8"/>
                <w:sz w:val="20"/>
                <w:szCs w:val="20"/>
                <w:highlight w:val="none"/>
              </w:rPr>
              <w:t>准按照 《国家统计局关于印发〈统计上大中小微型企业划分办法〔</w:t>
            </w:r>
            <w:r>
              <w:rPr>
                <w:rFonts w:ascii="Arial" w:hAnsi="Arial" w:eastAsia="Arial" w:cs="Arial"/>
                <w:spacing w:val="8"/>
                <w:sz w:val="20"/>
                <w:szCs w:val="20"/>
                <w:highlight w:val="none"/>
              </w:rPr>
              <w:t>2017</w:t>
            </w:r>
            <w:r>
              <w:rPr>
                <w:spacing w:val="8"/>
                <w:sz w:val="20"/>
                <w:szCs w:val="20"/>
                <w:highlight w:val="none"/>
              </w:rPr>
              <w:t>〕〉的通知》（国</w:t>
            </w:r>
            <w:r>
              <w:rPr>
                <w:spacing w:val="12"/>
                <w:sz w:val="20"/>
                <w:szCs w:val="20"/>
                <w:highlight w:val="none"/>
              </w:rPr>
              <w:t xml:space="preserve"> </w:t>
            </w:r>
            <w:r>
              <w:rPr>
                <w:spacing w:val="8"/>
                <w:sz w:val="20"/>
                <w:szCs w:val="20"/>
                <w:highlight w:val="none"/>
              </w:rPr>
              <w:t>统字〔</w:t>
            </w:r>
            <w:r>
              <w:rPr>
                <w:rFonts w:ascii="Arial" w:hAnsi="Arial" w:eastAsia="Arial" w:cs="Arial"/>
                <w:spacing w:val="8"/>
                <w:sz w:val="20"/>
                <w:szCs w:val="20"/>
                <w:highlight w:val="none"/>
              </w:rPr>
              <w:t>2017</w:t>
            </w:r>
            <w:r>
              <w:rPr>
                <w:spacing w:val="8"/>
                <w:sz w:val="20"/>
                <w:szCs w:val="20"/>
                <w:highlight w:val="none"/>
              </w:rPr>
              <w:t>〕</w:t>
            </w:r>
            <w:r>
              <w:rPr>
                <w:rFonts w:ascii="Arial" w:hAnsi="Arial" w:eastAsia="Arial" w:cs="Arial"/>
                <w:spacing w:val="8"/>
                <w:sz w:val="20"/>
                <w:szCs w:val="20"/>
                <w:highlight w:val="none"/>
              </w:rPr>
              <w:t xml:space="preserve">213  </w:t>
            </w:r>
            <w:r>
              <w:rPr>
                <w:spacing w:val="8"/>
                <w:sz w:val="20"/>
                <w:szCs w:val="20"/>
                <w:highlight w:val="none"/>
              </w:rPr>
              <w:t>号）执行，具体划分标准见附表《统计上大中小微型企业划分标</w:t>
            </w:r>
            <w:r>
              <w:rPr>
                <w:spacing w:val="7"/>
                <w:sz w:val="20"/>
                <w:szCs w:val="20"/>
                <w:highlight w:val="none"/>
              </w:rPr>
              <w:t>准》。</w:t>
            </w:r>
          </w:p>
          <w:p w14:paraId="0C15B520">
            <w:pPr>
              <w:pStyle w:val="6"/>
              <w:spacing w:before="33" w:line="329" w:lineRule="auto"/>
              <w:ind w:left="24" w:right="12" w:hanging="4"/>
              <w:rPr>
                <w:sz w:val="20"/>
                <w:szCs w:val="20"/>
                <w:highlight w:val="none"/>
              </w:rPr>
            </w:pPr>
            <w:r>
              <w:rPr>
                <w:spacing w:val="9"/>
                <w:sz w:val="20"/>
                <w:szCs w:val="20"/>
                <w:highlight w:val="none"/>
              </w:rPr>
              <w:t>②评标报价为投标人的投标报价进行政策性扣除后的价格，评标报价只是作为评标</w:t>
            </w:r>
            <w:r>
              <w:rPr>
                <w:spacing w:val="8"/>
                <w:sz w:val="20"/>
                <w:szCs w:val="20"/>
                <w:highlight w:val="none"/>
              </w:rPr>
              <w:t>时使用。</w:t>
            </w:r>
            <w:r>
              <w:rPr>
                <w:sz w:val="20"/>
                <w:szCs w:val="20"/>
                <w:highlight w:val="none"/>
              </w:rPr>
              <w:t xml:space="preserve"> </w:t>
            </w:r>
            <w:r>
              <w:rPr>
                <w:spacing w:val="8"/>
                <w:sz w:val="20"/>
                <w:szCs w:val="20"/>
                <w:highlight w:val="none"/>
              </w:rPr>
              <w:t>最终中标人的中标金额＝投标报价。</w:t>
            </w:r>
          </w:p>
          <w:p w14:paraId="0C06040F">
            <w:pPr>
              <w:pStyle w:val="6"/>
              <w:spacing w:before="223" w:line="381" w:lineRule="auto"/>
              <w:ind w:left="21" w:firstLine="10"/>
              <w:rPr>
                <w:sz w:val="20"/>
                <w:szCs w:val="20"/>
                <w:highlight w:val="none"/>
              </w:rPr>
            </w:pPr>
            <w:r>
              <w:rPr>
                <w:spacing w:val="6"/>
                <w:sz w:val="20"/>
                <w:szCs w:val="20"/>
                <w:highlight w:val="none"/>
              </w:rPr>
              <w:t>（2）根据《关于政府采购支持监狱企业发展有关问题的通知》（财库[2014]68 号）和《关</w:t>
            </w:r>
            <w:r>
              <w:rPr>
                <w:spacing w:val="14"/>
                <w:sz w:val="20"/>
                <w:szCs w:val="20"/>
                <w:highlight w:val="none"/>
              </w:rPr>
              <w:t xml:space="preserve"> </w:t>
            </w:r>
            <w:r>
              <w:rPr>
                <w:spacing w:val="7"/>
                <w:sz w:val="20"/>
                <w:szCs w:val="20"/>
                <w:highlight w:val="none"/>
              </w:rPr>
              <w:t>于促进残疾人就业政府采购政策的通知》（财库[2017]141 号</w:t>
            </w:r>
            <w:r>
              <w:rPr>
                <w:spacing w:val="-3"/>
                <w:sz w:val="20"/>
                <w:szCs w:val="20"/>
                <w:highlight w:val="none"/>
              </w:rPr>
              <w:t>），</w:t>
            </w:r>
            <w:r>
              <w:rPr>
                <w:spacing w:val="7"/>
                <w:sz w:val="20"/>
                <w:szCs w:val="20"/>
                <w:highlight w:val="none"/>
              </w:rPr>
              <w:t>监狱企业和符合条件的残</w:t>
            </w:r>
            <w:r>
              <w:rPr>
                <w:sz w:val="20"/>
                <w:szCs w:val="20"/>
                <w:highlight w:val="none"/>
              </w:rPr>
              <w:t xml:space="preserve"> </w:t>
            </w:r>
            <w:r>
              <w:rPr>
                <w:spacing w:val="4"/>
                <w:sz w:val="20"/>
                <w:szCs w:val="20"/>
                <w:highlight w:val="none"/>
              </w:rPr>
              <w:t>疾人福利性单位视同小型、微型企业，享受小型、微型企业评审中价格扣除的政府采购政策。</w:t>
            </w:r>
            <w:r>
              <w:rPr>
                <w:spacing w:val="3"/>
                <w:sz w:val="20"/>
                <w:szCs w:val="20"/>
                <w:highlight w:val="none"/>
              </w:rPr>
              <w:t xml:space="preserve"> </w:t>
            </w:r>
            <w:r>
              <w:rPr>
                <w:spacing w:val="9"/>
                <w:sz w:val="20"/>
                <w:szCs w:val="20"/>
                <w:highlight w:val="none"/>
              </w:rPr>
              <w:t>残疾人福利性单位属于小型、微型企业的，不重复享受政策。</w:t>
            </w:r>
          </w:p>
          <w:p w14:paraId="3852BB4B">
            <w:pPr>
              <w:spacing w:line="360" w:lineRule="auto"/>
              <w:ind w:firstLine="436" w:firstLineChars="200"/>
              <w:rPr>
                <w:rFonts w:ascii="宋体" w:hAnsi="宋体" w:cs="Calibri"/>
                <w:spacing w:val="-4"/>
                <w:kern w:val="0"/>
                <w:sz w:val="22"/>
                <w:highlight w:val="none"/>
              </w:rPr>
            </w:pPr>
            <w:r>
              <w:rPr>
                <w:spacing w:val="9"/>
                <w:sz w:val="20"/>
                <w:szCs w:val="20"/>
                <w:highlight w:val="none"/>
              </w:rPr>
              <w:t>（3）满足招标文件要求且投标价格最低的</w:t>
            </w:r>
            <w:r>
              <w:rPr>
                <w:spacing w:val="8"/>
                <w:sz w:val="20"/>
                <w:szCs w:val="20"/>
                <w:highlight w:val="none"/>
              </w:rPr>
              <w:t xml:space="preserve">投标报价为评标基准价，得 </w:t>
            </w:r>
            <w:r>
              <w:rPr>
                <w:rFonts w:hint="eastAsia"/>
                <w:spacing w:val="8"/>
                <w:sz w:val="20"/>
                <w:szCs w:val="20"/>
                <w:highlight w:val="none"/>
                <w:lang w:val="en-US" w:eastAsia="zh-CN"/>
              </w:rPr>
              <w:t>1</w:t>
            </w:r>
            <w:r>
              <w:rPr>
                <w:spacing w:val="8"/>
                <w:sz w:val="20"/>
                <w:szCs w:val="20"/>
                <w:highlight w:val="none"/>
              </w:rPr>
              <w:t>0 分。</w:t>
            </w:r>
          </w:p>
          <w:p w14:paraId="3D1FC47B">
            <w:pPr>
              <w:spacing w:line="360" w:lineRule="auto"/>
              <w:ind w:firstLine="436" w:firstLineChars="200"/>
              <w:rPr>
                <w:rFonts w:ascii="仿宋" w:hAnsi="仿宋" w:eastAsia="仿宋"/>
                <w:sz w:val="32"/>
                <w:szCs w:val="32"/>
                <w:highlight w:val="none"/>
              </w:rPr>
            </w:pPr>
            <w:r>
              <w:rPr>
                <w:rFonts w:hint="eastAsia" w:ascii="Times New Roman" w:hAnsi="Times New Roman" w:eastAsia="宋体" w:cs="Times New Roman"/>
                <w:spacing w:val="9"/>
                <w:sz w:val="20"/>
                <w:szCs w:val="20"/>
                <w:highlight w:val="none"/>
              </w:rPr>
              <w:t>（</w:t>
            </w:r>
            <w:r>
              <w:rPr>
                <w:rFonts w:hint="eastAsia" w:ascii="Times New Roman" w:hAnsi="Times New Roman" w:eastAsia="宋体" w:cs="Times New Roman"/>
                <w:spacing w:val="9"/>
                <w:sz w:val="20"/>
                <w:szCs w:val="20"/>
                <w:highlight w:val="none"/>
                <w:lang w:val="en-US" w:eastAsia="zh-CN"/>
              </w:rPr>
              <w:t>4</w:t>
            </w:r>
            <w:r>
              <w:rPr>
                <w:rFonts w:hint="eastAsia" w:ascii="Times New Roman" w:hAnsi="Times New Roman" w:eastAsia="宋体" w:cs="Times New Roman"/>
                <w:spacing w:val="9"/>
                <w:sz w:val="20"/>
                <w:szCs w:val="20"/>
                <w:highlight w:val="none"/>
              </w:rPr>
              <w:t>）某投标人价格分 =投标人最低评标报价金额/某投标人报价金额×</w:t>
            </w:r>
            <w:r>
              <w:rPr>
                <w:rFonts w:hint="eastAsia" w:ascii="Times New Roman" w:hAnsi="Times New Roman" w:eastAsia="宋体" w:cs="Times New Roman"/>
                <w:spacing w:val="9"/>
                <w:sz w:val="20"/>
                <w:szCs w:val="20"/>
                <w:highlight w:val="none"/>
                <w:lang w:val="en-US" w:eastAsia="zh-CN"/>
              </w:rPr>
              <w:t>1</w:t>
            </w:r>
            <w:r>
              <w:rPr>
                <w:rFonts w:hint="eastAsia" w:ascii="Times New Roman" w:hAnsi="Times New Roman" w:eastAsia="宋体" w:cs="Times New Roman"/>
                <w:spacing w:val="9"/>
                <w:sz w:val="20"/>
                <w:szCs w:val="20"/>
                <w:highlight w:val="none"/>
              </w:rPr>
              <w:t>0分</w:t>
            </w:r>
          </w:p>
        </w:tc>
      </w:tr>
      <w:tr w14:paraId="6A8F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center"/>
          </w:tcPr>
          <w:p w14:paraId="63484D96">
            <w:pPr>
              <w:spacing w:line="560" w:lineRule="exact"/>
              <w:jc w:val="center"/>
              <w:rPr>
                <w:rFonts w:hint="eastAsia" w:ascii="宋体" w:hAnsi="宋体"/>
                <w:szCs w:val="21"/>
                <w:highlight w:val="none"/>
              </w:rPr>
            </w:pPr>
            <w:r>
              <w:rPr>
                <w:b/>
                <w:bCs/>
                <w:spacing w:val="8"/>
                <w:sz w:val="20"/>
                <w:szCs w:val="20"/>
                <w:highlight w:val="none"/>
              </w:rPr>
              <w:t>技术服务方案</w:t>
            </w:r>
          </w:p>
        </w:tc>
        <w:tc>
          <w:tcPr>
            <w:tcW w:w="1134" w:type="dxa"/>
            <w:noWrap w:val="0"/>
            <w:vAlign w:val="center"/>
          </w:tcPr>
          <w:p w14:paraId="7D6C3AA5">
            <w:pPr>
              <w:spacing w:line="560" w:lineRule="exact"/>
              <w:jc w:val="center"/>
              <w:rPr>
                <w:rFonts w:hint="eastAsia" w:ascii="宋体" w:hAnsi="宋体"/>
                <w:szCs w:val="21"/>
                <w:highlight w:val="none"/>
              </w:rPr>
            </w:pPr>
            <w:r>
              <w:rPr>
                <w:rFonts w:hint="eastAsia" w:ascii="宋体" w:hAnsi="宋体"/>
                <w:szCs w:val="21"/>
                <w:highlight w:val="none"/>
              </w:rPr>
              <w:t>满分</w:t>
            </w:r>
            <w:r>
              <w:rPr>
                <w:b/>
                <w:bCs/>
                <w:spacing w:val="7"/>
                <w:sz w:val="20"/>
                <w:szCs w:val="20"/>
                <w:highlight w:val="none"/>
              </w:rPr>
              <w:t>15</w:t>
            </w:r>
            <w:r>
              <w:rPr>
                <w:spacing w:val="-35"/>
                <w:sz w:val="20"/>
                <w:szCs w:val="20"/>
                <w:highlight w:val="none"/>
              </w:rPr>
              <w:t xml:space="preserve"> </w:t>
            </w:r>
            <w:r>
              <w:rPr>
                <w:b/>
                <w:bCs/>
                <w:spacing w:val="7"/>
                <w:sz w:val="20"/>
                <w:szCs w:val="20"/>
                <w:highlight w:val="none"/>
              </w:rPr>
              <w:t>分</w:t>
            </w:r>
          </w:p>
        </w:tc>
        <w:tc>
          <w:tcPr>
            <w:tcW w:w="6535" w:type="dxa"/>
            <w:noWrap w:val="0"/>
            <w:vAlign w:val="center"/>
          </w:tcPr>
          <w:p w14:paraId="26708308">
            <w:pPr>
              <w:pStyle w:val="6"/>
              <w:spacing w:line="360" w:lineRule="auto"/>
              <w:ind w:right="15" w:firstLine="402" w:firstLineChars="200"/>
              <w:jc w:val="both"/>
              <w:rPr>
                <w:rFonts w:hint="eastAsia"/>
                <w:b/>
                <w:bCs/>
                <w:sz w:val="20"/>
                <w:szCs w:val="20"/>
                <w:highlight w:val="none"/>
                <w:lang w:eastAsia="zh-CN"/>
              </w:rPr>
            </w:pPr>
            <w:r>
              <w:rPr>
                <w:rFonts w:hint="eastAsia"/>
                <w:b/>
                <w:bCs/>
                <w:sz w:val="20"/>
                <w:szCs w:val="20"/>
                <w:highlight w:val="none"/>
                <w:lang w:eastAsia="zh-CN"/>
              </w:rPr>
              <w:t>（1）</w:t>
            </w:r>
            <w:r>
              <w:rPr>
                <w:b/>
                <w:bCs/>
                <w:sz w:val="20"/>
                <w:szCs w:val="20"/>
                <w:highlight w:val="none"/>
                <w:lang w:eastAsia="zh-CN"/>
              </w:rPr>
              <w:t xml:space="preserve">项目整体理解（满分 </w:t>
            </w:r>
            <w:r>
              <w:rPr>
                <w:rFonts w:hint="eastAsia"/>
                <w:b/>
                <w:bCs/>
                <w:sz w:val="20"/>
                <w:szCs w:val="20"/>
                <w:highlight w:val="none"/>
                <w:lang w:eastAsia="zh-CN"/>
              </w:rPr>
              <w:t>5</w:t>
            </w:r>
            <w:r>
              <w:rPr>
                <w:b/>
                <w:bCs/>
                <w:sz w:val="20"/>
                <w:szCs w:val="20"/>
                <w:highlight w:val="none"/>
                <w:lang w:eastAsia="zh-CN"/>
              </w:rPr>
              <w:t xml:space="preserve"> 分） </w:t>
            </w:r>
            <w:r>
              <w:rPr>
                <w:sz w:val="20"/>
                <w:szCs w:val="20"/>
                <w:highlight w:val="none"/>
                <w:lang w:eastAsia="zh-CN"/>
              </w:rPr>
              <w:t>投标人针对对本项目采购需求的理解，包括对①任务背景、②需求现状分析、③实施环境分析、④业务需求、⑤功能需求、⑥通信保障需求、⑦融合调度、⑧任务管理等内容。能够有很好的陈述，提供详实的解决方案和软硬件支撑，设计的方案能实际满足采购人的实际业务。 不满足一档要求的得 0 分。 一档（</w:t>
            </w:r>
            <w:r>
              <w:rPr>
                <w:rFonts w:hint="eastAsia"/>
                <w:sz w:val="20"/>
                <w:szCs w:val="20"/>
                <w:highlight w:val="none"/>
                <w:lang w:eastAsia="zh-CN"/>
              </w:rPr>
              <w:t>2</w:t>
            </w:r>
            <w:r>
              <w:rPr>
                <w:sz w:val="20"/>
                <w:szCs w:val="20"/>
                <w:highlight w:val="none"/>
                <w:lang w:eastAsia="zh-CN"/>
              </w:rPr>
              <w:t xml:space="preserve"> 分）：仅包含其中 6 项内容，表述清晰且符合项目要求； 二档（</w:t>
            </w:r>
            <w:r>
              <w:rPr>
                <w:rFonts w:hint="eastAsia"/>
                <w:sz w:val="20"/>
                <w:szCs w:val="20"/>
                <w:highlight w:val="none"/>
                <w:lang w:eastAsia="zh-CN"/>
              </w:rPr>
              <w:t>3</w:t>
            </w:r>
            <w:r>
              <w:rPr>
                <w:sz w:val="20"/>
                <w:szCs w:val="20"/>
                <w:highlight w:val="none"/>
                <w:lang w:eastAsia="zh-CN"/>
              </w:rPr>
              <w:t xml:space="preserve"> 分）：仅包含其中 7 项内容，表述清晰且符合项目要求， 三档（</w:t>
            </w:r>
            <w:r>
              <w:rPr>
                <w:rFonts w:hint="eastAsia"/>
                <w:sz w:val="20"/>
                <w:szCs w:val="20"/>
                <w:highlight w:val="none"/>
                <w:lang w:eastAsia="zh-CN"/>
              </w:rPr>
              <w:t>5</w:t>
            </w:r>
            <w:r>
              <w:rPr>
                <w:sz w:val="20"/>
                <w:szCs w:val="20"/>
                <w:highlight w:val="none"/>
                <w:lang w:eastAsia="zh-CN"/>
              </w:rPr>
              <w:t>分）：8 项评审因素内容齐全，表述清晰且符合项目要求。</w:t>
            </w:r>
          </w:p>
          <w:p w14:paraId="72AD9713">
            <w:pPr>
              <w:pStyle w:val="6"/>
              <w:spacing w:line="360" w:lineRule="auto"/>
              <w:ind w:right="15" w:firstLine="402" w:firstLineChars="200"/>
              <w:jc w:val="both"/>
              <w:rPr>
                <w:rFonts w:hint="eastAsia"/>
                <w:sz w:val="20"/>
                <w:szCs w:val="20"/>
                <w:highlight w:val="none"/>
                <w:lang w:eastAsia="zh-CN"/>
              </w:rPr>
            </w:pPr>
            <w:r>
              <w:rPr>
                <w:rFonts w:hint="eastAsia"/>
                <w:b/>
                <w:bCs/>
                <w:sz w:val="20"/>
                <w:szCs w:val="20"/>
                <w:highlight w:val="none"/>
                <w:lang w:eastAsia="zh-CN"/>
              </w:rPr>
              <w:t>（2）</w:t>
            </w:r>
            <w:r>
              <w:rPr>
                <w:b/>
                <w:bCs/>
                <w:sz w:val="20"/>
                <w:szCs w:val="20"/>
                <w:highlight w:val="none"/>
                <w:lang w:eastAsia="zh-CN"/>
              </w:rPr>
              <w:t xml:space="preserve">安全保障方案（满分 </w:t>
            </w:r>
            <w:r>
              <w:rPr>
                <w:rFonts w:hint="eastAsia"/>
                <w:b/>
                <w:bCs/>
                <w:sz w:val="20"/>
                <w:szCs w:val="20"/>
                <w:highlight w:val="none"/>
                <w:lang w:eastAsia="zh-CN"/>
              </w:rPr>
              <w:t>5</w:t>
            </w:r>
            <w:r>
              <w:rPr>
                <w:b/>
                <w:bCs/>
                <w:sz w:val="20"/>
                <w:szCs w:val="20"/>
                <w:highlight w:val="none"/>
                <w:lang w:eastAsia="zh-CN"/>
              </w:rPr>
              <w:t xml:space="preserve"> 分） </w:t>
            </w:r>
            <w:r>
              <w:rPr>
                <w:sz w:val="20"/>
                <w:szCs w:val="20"/>
                <w:highlight w:val="none"/>
                <w:lang w:eastAsia="zh-CN"/>
              </w:rPr>
              <w:t>投标人提供针对本项目的安全保障方案，包括①安全管理组织、②安全管理制度、③安全保障措施等； 不能达到一档要求的得 0 分； 一档（</w:t>
            </w:r>
            <w:r>
              <w:rPr>
                <w:rFonts w:hint="eastAsia"/>
                <w:sz w:val="20"/>
                <w:szCs w:val="20"/>
                <w:highlight w:val="none"/>
                <w:lang w:eastAsia="zh-CN"/>
              </w:rPr>
              <w:t>2</w:t>
            </w:r>
            <w:r>
              <w:rPr>
                <w:sz w:val="20"/>
                <w:szCs w:val="20"/>
                <w:highlight w:val="none"/>
                <w:lang w:eastAsia="zh-CN"/>
              </w:rPr>
              <w:t xml:space="preserve"> 分）：仅包含其中 1 项内容，表述清晰且符合项目要求； 二档（</w:t>
            </w:r>
            <w:r>
              <w:rPr>
                <w:rFonts w:hint="eastAsia"/>
                <w:sz w:val="20"/>
                <w:szCs w:val="20"/>
                <w:highlight w:val="none"/>
                <w:lang w:eastAsia="zh-CN"/>
              </w:rPr>
              <w:t>3</w:t>
            </w:r>
            <w:r>
              <w:rPr>
                <w:sz w:val="20"/>
                <w:szCs w:val="20"/>
                <w:highlight w:val="none"/>
                <w:lang w:eastAsia="zh-CN"/>
              </w:rPr>
              <w:t>分）：仅包含其中 2 项内容，表述清晰且符合项目要求； 三档（</w:t>
            </w:r>
            <w:r>
              <w:rPr>
                <w:rFonts w:hint="eastAsia"/>
                <w:sz w:val="20"/>
                <w:szCs w:val="20"/>
                <w:highlight w:val="none"/>
                <w:lang w:eastAsia="zh-CN"/>
              </w:rPr>
              <w:t>5</w:t>
            </w:r>
            <w:r>
              <w:rPr>
                <w:sz w:val="20"/>
                <w:szCs w:val="20"/>
                <w:highlight w:val="none"/>
                <w:lang w:eastAsia="zh-CN"/>
              </w:rPr>
              <w:t xml:space="preserve"> 分）：3 项评审因素内容齐全，表述清晰且符合项目要求。</w:t>
            </w:r>
          </w:p>
          <w:p w14:paraId="5101D304">
            <w:pPr>
              <w:pStyle w:val="6"/>
              <w:spacing w:line="360" w:lineRule="auto"/>
              <w:ind w:right="15" w:firstLine="402" w:firstLineChars="200"/>
              <w:jc w:val="both"/>
              <w:rPr>
                <w:rFonts w:hint="eastAsia"/>
                <w:spacing w:val="8"/>
                <w:sz w:val="20"/>
                <w:szCs w:val="20"/>
                <w:highlight w:val="none"/>
              </w:rPr>
            </w:pPr>
            <w:r>
              <w:rPr>
                <w:b/>
                <w:bCs/>
                <w:sz w:val="20"/>
                <w:szCs w:val="20"/>
                <w:highlight w:val="none"/>
                <w:lang w:eastAsia="zh-CN"/>
              </w:rPr>
              <w:t>（</w:t>
            </w:r>
            <w:r>
              <w:rPr>
                <w:rFonts w:hint="eastAsia"/>
                <w:b/>
                <w:bCs/>
                <w:sz w:val="20"/>
                <w:szCs w:val="20"/>
                <w:highlight w:val="none"/>
                <w:lang w:eastAsia="zh-CN"/>
              </w:rPr>
              <w:t>3</w:t>
            </w:r>
            <w:r>
              <w:rPr>
                <w:b/>
                <w:bCs/>
                <w:sz w:val="20"/>
                <w:szCs w:val="20"/>
                <w:highlight w:val="none"/>
                <w:lang w:eastAsia="zh-CN"/>
              </w:rPr>
              <w:t>）平台信息安全（</w:t>
            </w:r>
            <w:r>
              <w:rPr>
                <w:rFonts w:hint="eastAsia"/>
                <w:b/>
                <w:bCs/>
                <w:sz w:val="20"/>
                <w:szCs w:val="20"/>
                <w:highlight w:val="none"/>
                <w:lang w:eastAsia="zh-CN"/>
              </w:rPr>
              <w:t>5</w:t>
            </w:r>
            <w:r>
              <w:rPr>
                <w:b/>
                <w:bCs/>
                <w:sz w:val="20"/>
                <w:szCs w:val="20"/>
                <w:highlight w:val="none"/>
                <w:lang w:eastAsia="zh-CN"/>
              </w:rPr>
              <w:t>分）</w:t>
            </w:r>
          </w:p>
          <w:p w14:paraId="4A47DCEF">
            <w:pPr>
              <w:pStyle w:val="6"/>
              <w:spacing w:line="360" w:lineRule="auto"/>
              <w:ind w:right="15" w:firstLine="432" w:firstLineChars="200"/>
              <w:jc w:val="both"/>
              <w:rPr>
                <w:rFonts w:hint="eastAsia"/>
                <w:spacing w:val="8"/>
                <w:sz w:val="20"/>
                <w:szCs w:val="20"/>
                <w:highlight w:val="none"/>
                <w:lang w:eastAsia="zh-CN"/>
              </w:rPr>
            </w:pPr>
            <w:r>
              <w:rPr>
                <w:rFonts w:hint="eastAsia"/>
                <w:spacing w:val="8"/>
                <w:sz w:val="20"/>
                <w:szCs w:val="20"/>
                <w:highlight w:val="none"/>
                <w:lang w:eastAsia="zh-CN"/>
              </w:rPr>
              <w:t>无人机使用软件系统应通过CNAS中国认可国际互认检测机构的独立测评，通过信息安全性检测，包含但不限于保密性、完整性、抗抵赖性、可核查性及真实性，并提供检测报告作为证明材料。得5分，每少一项扣1分。（提供相关证书复印件，须同时加盖公章）</w:t>
            </w:r>
          </w:p>
          <w:p w14:paraId="49A3D0E8">
            <w:pPr>
              <w:pStyle w:val="6"/>
              <w:spacing w:before="33" w:line="228" w:lineRule="auto"/>
              <w:ind w:left="32"/>
              <w:rPr>
                <w:spacing w:val="7"/>
                <w:sz w:val="20"/>
                <w:szCs w:val="20"/>
                <w:highlight w:val="none"/>
              </w:rPr>
            </w:pPr>
          </w:p>
        </w:tc>
      </w:tr>
      <w:tr w14:paraId="4B2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center"/>
          </w:tcPr>
          <w:p w14:paraId="2FFA219C">
            <w:pPr>
              <w:spacing w:line="560" w:lineRule="exact"/>
              <w:jc w:val="center"/>
              <w:rPr>
                <w:rFonts w:ascii="仿宋" w:hAnsi="仿宋" w:eastAsia="仿宋"/>
                <w:sz w:val="32"/>
                <w:szCs w:val="32"/>
                <w:highlight w:val="none"/>
              </w:rPr>
            </w:pPr>
            <w:r>
              <w:rPr>
                <w:rFonts w:hint="eastAsia" w:ascii="宋体" w:hAnsi="宋体"/>
                <w:szCs w:val="21"/>
                <w:highlight w:val="none"/>
              </w:rPr>
              <w:t>项目实施方案</w:t>
            </w:r>
          </w:p>
        </w:tc>
        <w:tc>
          <w:tcPr>
            <w:tcW w:w="1134" w:type="dxa"/>
            <w:noWrap w:val="0"/>
            <w:vAlign w:val="center"/>
          </w:tcPr>
          <w:p w14:paraId="059F3EA1">
            <w:pPr>
              <w:spacing w:line="560" w:lineRule="exact"/>
              <w:jc w:val="center"/>
              <w:rPr>
                <w:rFonts w:ascii="仿宋" w:hAnsi="仿宋" w:eastAsia="仿宋"/>
                <w:sz w:val="32"/>
                <w:szCs w:val="32"/>
                <w:highlight w:val="none"/>
              </w:rPr>
            </w:pPr>
            <w:r>
              <w:rPr>
                <w:rFonts w:hint="eastAsia" w:ascii="宋体" w:hAnsi="宋体"/>
                <w:szCs w:val="21"/>
                <w:highlight w:val="none"/>
              </w:rPr>
              <w:t>满分</w:t>
            </w:r>
            <w:r>
              <w:rPr>
                <w:rFonts w:hint="eastAsia" w:ascii="宋体" w:hAnsi="宋体"/>
                <w:szCs w:val="21"/>
                <w:highlight w:val="none"/>
                <w:lang w:val="en-US" w:eastAsia="zh-CN"/>
              </w:rPr>
              <w:t>35</w:t>
            </w:r>
            <w:r>
              <w:rPr>
                <w:rFonts w:hint="eastAsia" w:ascii="宋体" w:hAnsi="宋体"/>
                <w:szCs w:val="21"/>
                <w:highlight w:val="none"/>
              </w:rPr>
              <w:t>分</w:t>
            </w:r>
          </w:p>
        </w:tc>
        <w:tc>
          <w:tcPr>
            <w:tcW w:w="6535" w:type="dxa"/>
            <w:noWrap w:val="0"/>
            <w:vAlign w:val="center"/>
          </w:tcPr>
          <w:p w14:paraId="2CB5C4C8">
            <w:pPr>
              <w:pStyle w:val="6"/>
              <w:spacing w:line="360" w:lineRule="auto"/>
              <w:ind w:firstLine="432" w:firstLineChars="200"/>
              <w:rPr>
                <w:spacing w:val="8"/>
                <w:sz w:val="20"/>
                <w:szCs w:val="20"/>
                <w:highlight w:val="none"/>
                <w:lang w:eastAsia="zh-CN"/>
              </w:rPr>
            </w:pPr>
            <w:r>
              <w:rPr>
                <w:spacing w:val="8"/>
                <w:sz w:val="20"/>
                <w:szCs w:val="20"/>
                <w:highlight w:val="none"/>
                <w:lang w:eastAsia="zh-CN"/>
              </w:rPr>
              <w:t>由评委根据各投标人所提供的项目实施方案进行比较后，由各评委在各个档次内独立打分。</w:t>
            </w:r>
          </w:p>
          <w:p w14:paraId="363B4E1D">
            <w:pPr>
              <w:pStyle w:val="6"/>
              <w:spacing w:line="360" w:lineRule="auto"/>
              <w:ind w:firstLine="428" w:firstLineChars="200"/>
              <w:rPr>
                <w:rFonts w:hint="eastAsia"/>
                <w:sz w:val="20"/>
                <w:szCs w:val="20"/>
                <w:highlight w:val="none"/>
                <w:lang w:eastAsia="zh-CN"/>
              </w:rPr>
            </w:pPr>
            <w:r>
              <w:rPr>
                <w:spacing w:val="7"/>
                <w:sz w:val="20"/>
                <w:szCs w:val="20"/>
                <w:highlight w:val="none"/>
                <w:lang w:eastAsia="zh-CN"/>
              </w:rPr>
              <w:t>一档(0分</w:t>
            </w:r>
            <w:r>
              <w:rPr>
                <w:spacing w:val="15"/>
                <w:sz w:val="20"/>
                <w:szCs w:val="20"/>
                <w:highlight w:val="none"/>
                <w:lang w:eastAsia="zh-CN"/>
              </w:rPr>
              <w:t>）：</w:t>
            </w:r>
            <w:r>
              <w:rPr>
                <w:spacing w:val="7"/>
                <w:sz w:val="20"/>
                <w:szCs w:val="20"/>
                <w:highlight w:val="none"/>
                <w:lang w:eastAsia="zh-CN"/>
              </w:rPr>
              <w:t>未提供或提供的项目实施方案不符</w:t>
            </w:r>
            <w:r>
              <w:rPr>
                <w:spacing w:val="6"/>
                <w:sz w:val="20"/>
                <w:szCs w:val="20"/>
                <w:highlight w:val="none"/>
                <w:lang w:eastAsia="zh-CN"/>
              </w:rPr>
              <w:t>合招标文件要求的；</w:t>
            </w:r>
          </w:p>
          <w:p w14:paraId="49CA13BD">
            <w:pPr>
              <w:pStyle w:val="6"/>
              <w:spacing w:line="360" w:lineRule="auto"/>
              <w:ind w:firstLine="432" w:firstLineChars="200"/>
              <w:rPr>
                <w:rFonts w:hint="eastAsia"/>
                <w:spacing w:val="8"/>
                <w:sz w:val="20"/>
                <w:szCs w:val="20"/>
                <w:highlight w:val="none"/>
                <w:lang w:eastAsia="zh-CN"/>
              </w:rPr>
            </w:pPr>
            <w:r>
              <w:rPr>
                <w:spacing w:val="8"/>
                <w:sz w:val="20"/>
                <w:szCs w:val="20"/>
                <w:highlight w:val="none"/>
                <w:lang w:eastAsia="zh-CN"/>
              </w:rPr>
              <w:t>二档（</w:t>
            </w:r>
            <w:r>
              <w:rPr>
                <w:rFonts w:hint="eastAsia"/>
                <w:spacing w:val="8"/>
                <w:sz w:val="20"/>
                <w:szCs w:val="20"/>
                <w:highlight w:val="none"/>
                <w:lang w:val="en-US" w:eastAsia="zh-CN"/>
              </w:rPr>
              <w:t>15</w:t>
            </w:r>
            <w:r>
              <w:rPr>
                <w:spacing w:val="8"/>
                <w:sz w:val="20"/>
                <w:szCs w:val="20"/>
                <w:highlight w:val="none"/>
                <w:lang w:eastAsia="zh-CN"/>
              </w:rPr>
              <w:t>分</w:t>
            </w:r>
            <w:r>
              <w:rPr>
                <w:spacing w:val="-4"/>
                <w:sz w:val="20"/>
                <w:szCs w:val="20"/>
                <w:highlight w:val="none"/>
                <w:lang w:eastAsia="zh-CN"/>
              </w:rPr>
              <w:t>）：</w:t>
            </w:r>
            <w:r>
              <w:rPr>
                <w:spacing w:val="8"/>
                <w:sz w:val="20"/>
                <w:szCs w:val="20"/>
                <w:highlight w:val="none"/>
                <w:lang w:eastAsia="zh-CN"/>
              </w:rPr>
              <w:t>有项目实施组织机构，具有合理的安装调试</w:t>
            </w:r>
            <w:r>
              <w:rPr>
                <w:spacing w:val="7"/>
                <w:sz w:val="20"/>
                <w:szCs w:val="20"/>
                <w:highlight w:val="none"/>
                <w:lang w:eastAsia="zh-CN"/>
              </w:rPr>
              <w:t>方法，工期划分合理并符合规范</w:t>
            </w:r>
            <w:r>
              <w:rPr>
                <w:spacing w:val="9"/>
                <w:sz w:val="20"/>
                <w:szCs w:val="20"/>
                <w:highlight w:val="none"/>
                <w:lang w:eastAsia="zh-CN"/>
              </w:rPr>
              <w:t>要求，具有进度计划、项目实施管理文档计划，项目实施方案简单，满足以上</w:t>
            </w:r>
            <w:r>
              <w:rPr>
                <w:spacing w:val="8"/>
                <w:sz w:val="20"/>
                <w:szCs w:val="20"/>
                <w:highlight w:val="none"/>
                <w:lang w:eastAsia="zh-CN"/>
              </w:rPr>
              <w:t>相关要求的。</w:t>
            </w:r>
          </w:p>
          <w:p w14:paraId="4F1334E2">
            <w:pPr>
              <w:pStyle w:val="6"/>
              <w:spacing w:line="360" w:lineRule="auto"/>
              <w:ind w:firstLine="440" w:firstLineChars="200"/>
              <w:rPr>
                <w:rFonts w:hint="eastAsia"/>
                <w:sz w:val="20"/>
                <w:szCs w:val="20"/>
                <w:highlight w:val="none"/>
                <w:lang w:eastAsia="zh-CN"/>
              </w:rPr>
            </w:pPr>
            <w:r>
              <w:rPr>
                <w:spacing w:val="10"/>
                <w:sz w:val="20"/>
                <w:szCs w:val="20"/>
                <w:highlight w:val="none"/>
                <w:lang w:eastAsia="zh-CN"/>
              </w:rPr>
              <w:t>三档（</w:t>
            </w:r>
            <w:r>
              <w:rPr>
                <w:rFonts w:hint="eastAsia"/>
                <w:spacing w:val="10"/>
                <w:sz w:val="20"/>
                <w:szCs w:val="20"/>
                <w:highlight w:val="none"/>
                <w:lang w:val="en-US" w:eastAsia="zh-CN"/>
              </w:rPr>
              <w:t>25</w:t>
            </w:r>
            <w:r>
              <w:rPr>
                <w:spacing w:val="10"/>
                <w:sz w:val="20"/>
                <w:szCs w:val="20"/>
                <w:highlight w:val="none"/>
                <w:lang w:eastAsia="zh-CN"/>
              </w:rPr>
              <w:t>分</w:t>
            </w:r>
            <w:r>
              <w:rPr>
                <w:spacing w:val="13"/>
                <w:sz w:val="20"/>
                <w:szCs w:val="20"/>
                <w:highlight w:val="none"/>
                <w:lang w:eastAsia="zh-CN"/>
              </w:rPr>
              <w:t>）：</w:t>
            </w:r>
            <w:r>
              <w:rPr>
                <w:spacing w:val="10"/>
                <w:sz w:val="20"/>
                <w:szCs w:val="20"/>
                <w:highlight w:val="none"/>
                <w:lang w:eastAsia="zh-CN"/>
              </w:rPr>
              <w:t>在满足二档的基础上，有项目</w:t>
            </w:r>
            <w:r>
              <w:rPr>
                <w:spacing w:val="9"/>
                <w:sz w:val="20"/>
                <w:szCs w:val="20"/>
                <w:highlight w:val="none"/>
                <w:lang w:eastAsia="zh-CN"/>
              </w:rPr>
              <w:t>实施组织机构，具有合理的安装调试方法，工期划分合理，具有进度计划、项目实施管理文档计划，项目实施方案较详细。</w:t>
            </w:r>
          </w:p>
          <w:p w14:paraId="3269CB57">
            <w:pPr>
              <w:pStyle w:val="6"/>
              <w:spacing w:line="360" w:lineRule="auto"/>
              <w:ind w:right="59" w:firstLine="428" w:firstLineChars="200"/>
              <w:rPr>
                <w:rFonts w:hint="eastAsia"/>
                <w:sz w:val="20"/>
                <w:szCs w:val="20"/>
                <w:highlight w:val="none"/>
                <w:lang w:eastAsia="zh-CN"/>
              </w:rPr>
            </w:pPr>
            <w:r>
              <w:rPr>
                <w:spacing w:val="7"/>
                <w:sz w:val="20"/>
                <w:szCs w:val="20"/>
                <w:highlight w:val="none"/>
                <w:lang w:eastAsia="zh-CN"/>
              </w:rPr>
              <w:t>四档（</w:t>
            </w:r>
            <w:r>
              <w:rPr>
                <w:rFonts w:hint="eastAsia"/>
                <w:spacing w:val="7"/>
                <w:sz w:val="20"/>
                <w:szCs w:val="20"/>
                <w:highlight w:val="none"/>
                <w:lang w:val="en-US" w:eastAsia="zh-CN"/>
              </w:rPr>
              <w:t>3</w:t>
            </w:r>
            <w:r>
              <w:rPr>
                <w:spacing w:val="7"/>
                <w:sz w:val="20"/>
                <w:szCs w:val="20"/>
                <w:highlight w:val="none"/>
                <w:lang w:eastAsia="zh-CN"/>
              </w:rPr>
              <w:t>5分</w:t>
            </w:r>
            <w:r>
              <w:rPr>
                <w:spacing w:val="-3"/>
                <w:sz w:val="20"/>
                <w:szCs w:val="20"/>
                <w:highlight w:val="none"/>
                <w:lang w:eastAsia="zh-CN"/>
              </w:rPr>
              <w:t>）：</w:t>
            </w:r>
            <w:r>
              <w:rPr>
                <w:spacing w:val="7"/>
                <w:sz w:val="20"/>
                <w:szCs w:val="20"/>
                <w:highlight w:val="none"/>
                <w:lang w:eastAsia="zh-CN"/>
              </w:rPr>
              <w:t>在满足三档的基础上，</w:t>
            </w:r>
            <w:r>
              <w:rPr>
                <w:sz w:val="20"/>
                <w:szCs w:val="20"/>
                <w:highlight w:val="none"/>
                <w:lang w:eastAsia="zh-CN"/>
              </w:rPr>
              <w:t>投标人提供针对本项目的完整可行的实施方案，包括①空域保证、②巡护计划、③巡护流程、④人员组织安排、⑤设备配置等内容。能够在方案中有很好的陈述，每项内容全面合理、逻辑清晰 明确、符合项目需要。</w:t>
            </w:r>
            <w:r>
              <w:rPr>
                <w:spacing w:val="7"/>
                <w:sz w:val="20"/>
                <w:szCs w:val="20"/>
                <w:highlight w:val="none"/>
                <w:lang w:eastAsia="zh-CN"/>
              </w:rPr>
              <w:t>投标人对项目情况了解清晰,能详细描述在项目区域内开展相关调研的情况，与项目结合性强，所提供的项目实施方案</w:t>
            </w:r>
            <w:r>
              <w:rPr>
                <w:spacing w:val="6"/>
                <w:sz w:val="20"/>
                <w:szCs w:val="20"/>
                <w:highlight w:val="none"/>
                <w:lang w:eastAsia="zh-CN"/>
              </w:rPr>
              <w:t>和服务方案描述详细且全</w:t>
            </w:r>
            <w:r>
              <w:rPr>
                <w:spacing w:val="8"/>
                <w:sz w:val="20"/>
                <w:szCs w:val="20"/>
                <w:highlight w:val="none"/>
                <w:lang w:eastAsia="zh-CN"/>
              </w:rPr>
              <w:t>面、技术成熟可行，具有严格的质量控制措施、安全生产管理措施，有项目实施组织机构，</w:t>
            </w:r>
            <w:r>
              <w:rPr>
                <w:spacing w:val="9"/>
                <w:sz w:val="20"/>
                <w:szCs w:val="20"/>
                <w:highlight w:val="none"/>
                <w:lang w:eastAsia="zh-CN"/>
              </w:rPr>
              <w:t>提供实施人员</w:t>
            </w:r>
            <w:r>
              <w:rPr>
                <w:rFonts w:hint="eastAsia"/>
                <w:spacing w:val="9"/>
                <w:sz w:val="20"/>
                <w:szCs w:val="20"/>
                <w:highlight w:val="none"/>
                <w:lang w:val="en-US" w:eastAsia="zh-CN"/>
              </w:rPr>
              <w:t>4</w:t>
            </w:r>
            <w:r>
              <w:rPr>
                <w:spacing w:val="9"/>
                <w:sz w:val="20"/>
                <w:szCs w:val="20"/>
                <w:highlight w:val="none"/>
                <w:lang w:eastAsia="zh-CN"/>
              </w:rPr>
              <w:t>人及以上（须提供人员清单</w:t>
            </w:r>
            <w:r>
              <w:rPr>
                <w:spacing w:val="7"/>
                <w:sz w:val="20"/>
                <w:szCs w:val="20"/>
                <w:highlight w:val="none"/>
                <w:lang w:eastAsia="zh-CN"/>
              </w:rPr>
              <w:t>）、实施日程表、管理规章制度，针对</w:t>
            </w:r>
            <w:r>
              <w:rPr>
                <w:spacing w:val="6"/>
                <w:sz w:val="20"/>
                <w:szCs w:val="20"/>
                <w:highlight w:val="none"/>
                <w:lang w:eastAsia="zh-CN"/>
              </w:rPr>
              <w:t>项目情况提出的具体实施步骤</w:t>
            </w:r>
            <w:r>
              <w:rPr>
                <w:spacing w:val="9"/>
                <w:sz w:val="20"/>
                <w:szCs w:val="20"/>
                <w:highlight w:val="none"/>
                <w:lang w:eastAsia="zh-CN"/>
              </w:rPr>
              <w:t>工序计划详细，逻辑关系清晰，职责分工明确，进度安排合理，可操作性强。</w:t>
            </w:r>
          </w:p>
          <w:p w14:paraId="1A62B9F3">
            <w:pPr>
              <w:pStyle w:val="6"/>
              <w:spacing w:line="360" w:lineRule="auto"/>
              <w:ind w:firstLine="428" w:firstLineChars="200"/>
              <w:rPr>
                <w:rFonts w:ascii="仿宋" w:hAnsi="仿宋" w:eastAsia="仿宋"/>
                <w:sz w:val="32"/>
                <w:szCs w:val="32"/>
                <w:highlight w:val="none"/>
              </w:rPr>
            </w:pPr>
            <w:r>
              <w:rPr>
                <w:spacing w:val="7"/>
                <w:sz w:val="20"/>
                <w:szCs w:val="20"/>
                <w:highlight w:val="none"/>
                <w:lang w:eastAsia="zh-CN"/>
              </w:rPr>
              <w:t>注：未提供“项目实施方案”的，不予计分。</w:t>
            </w:r>
          </w:p>
        </w:tc>
      </w:tr>
      <w:tr w14:paraId="6ED2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6" w:hRule="atLeast"/>
          <w:jc w:val="center"/>
        </w:trPr>
        <w:tc>
          <w:tcPr>
            <w:tcW w:w="1242" w:type="dxa"/>
            <w:tcBorders>
              <w:bottom w:val="single" w:color="auto" w:sz="4" w:space="0"/>
            </w:tcBorders>
            <w:noWrap w:val="0"/>
            <w:vAlign w:val="center"/>
          </w:tcPr>
          <w:p w14:paraId="65CA0680">
            <w:pPr>
              <w:spacing w:line="560" w:lineRule="exact"/>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技术响应</w:t>
            </w:r>
          </w:p>
        </w:tc>
        <w:tc>
          <w:tcPr>
            <w:tcW w:w="1134" w:type="dxa"/>
            <w:tcBorders>
              <w:bottom w:val="single" w:color="auto" w:sz="4" w:space="0"/>
            </w:tcBorders>
            <w:noWrap w:val="0"/>
            <w:vAlign w:val="center"/>
          </w:tcPr>
          <w:p w14:paraId="03ECAA06">
            <w:pPr>
              <w:spacing w:line="56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满分</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分</w:t>
            </w:r>
          </w:p>
        </w:tc>
        <w:tc>
          <w:tcPr>
            <w:tcW w:w="6535" w:type="dxa"/>
            <w:tcBorders>
              <w:bottom w:val="single" w:color="auto" w:sz="4" w:space="0"/>
            </w:tcBorders>
            <w:noWrap w:val="0"/>
            <w:vAlign w:val="center"/>
          </w:tcPr>
          <w:p w14:paraId="22EB889A">
            <w:pPr>
              <w:pStyle w:val="6"/>
              <w:spacing w:line="360" w:lineRule="auto"/>
              <w:ind w:right="6" w:firstLine="428" w:firstLineChars="200"/>
              <w:jc w:val="both"/>
              <w:rPr>
                <w:spacing w:val="7"/>
                <w:sz w:val="20"/>
                <w:szCs w:val="20"/>
                <w:highlight w:val="none"/>
                <w:lang w:eastAsia="zh-CN"/>
              </w:rPr>
            </w:pPr>
            <w:r>
              <w:rPr>
                <w:rFonts w:hint="eastAsia"/>
                <w:spacing w:val="7"/>
                <w:sz w:val="20"/>
                <w:szCs w:val="20"/>
                <w:highlight w:val="none"/>
                <w:lang w:eastAsia="zh-CN"/>
              </w:rPr>
              <w:t>技术指标评审基准分为1</w:t>
            </w:r>
            <w:r>
              <w:rPr>
                <w:rFonts w:hint="eastAsia"/>
                <w:spacing w:val="7"/>
                <w:sz w:val="20"/>
                <w:szCs w:val="20"/>
                <w:highlight w:val="none"/>
                <w:lang w:val="en-US" w:eastAsia="zh-CN"/>
              </w:rPr>
              <w:t>4</w:t>
            </w:r>
            <w:r>
              <w:rPr>
                <w:rFonts w:hint="eastAsia"/>
                <w:spacing w:val="7"/>
                <w:sz w:val="20"/>
                <w:szCs w:val="20"/>
                <w:highlight w:val="none"/>
                <w:lang w:eastAsia="zh-CN"/>
              </w:rPr>
              <w:t>分，评委可根据技术指标的情况进行评分。  标记为“★”的指标是关键技术条款不满足其要求每个扣1分，扣完为止；注：投标人对标记为星号（“★”）的关键技术条款必须在投标文件中提供技术支持资料。技术支持资料以制造商公开发布的印刷资料或检测机构出具的检测报告为准，凡不提供技术支持资料的，视为负偏离。</w:t>
            </w:r>
            <w:r>
              <w:rPr>
                <w:spacing w:val="7"/>
                <w:sz w:val="20"/>
                <w:szCs w:val="20"/>
                <w:highlight w:val="none"/>
                <w:lang w:eastAsia="zh-CN"/>
              </w:rPr>
              <w:t>检验的设备，若提供多份检验报告则以距离应答截止时间最近的一份检验报告为准进行评审，其他检验报告不计列；若时间相同，则以检验指标较差的一份检验报告为准进行评审；</w:t>
            </w:r>
          </w:p>
          <w:p w14:paraId="35ADD092">
            <w:pPr>
              <w:pStyle w:val="6"/>
              <w:spacing w:line="360" w:lineRule="auto"/>
              <w:ind w:right="6" w:firstLine="448" w:firstLineChars="200"/>
              <w:jc w:val="both"/>
              <w:rPr>
                <w:spacing w:val="7"/>
                <w:sz w:val="20"/>
                <w:szCs w:val="20"/>
                <w:highlight w:val="none"/>
                <w:lang w:eastAsia="zh-CN"/>
              </w:rPr>
            </w:pPr>
            <w:r>
              <w:rPr>
                <w:rFonts w:hint="eastAsia" w:ascii="宋体" w:hAnsi="宋体" w:eastAsia="宋体" w:cs="宋体"/>
                <w:spacing w:val="7"/>
                <w:sz w:val="21"/>
                <w:szCs w:val="21"/>
                <w:highlight w:val="none"/>
                <w:lang w:eastAsia="zh-CN"/>
              </w:rPr>
              <w:t>检验报告上须有</w:t>
            </w:r>
            <w:r>
              <w:rPr>
                <w:rFonts w:hint="eastAsia" w:ascii="宋体" w:hAnsi="宋体" w:eastAsia="宋体" w:cs="宋体"/>
                <w:spacing w:val="7"/>
                <w:sz w:val="21"/>
                <w:szCs w:val="21"/>
                <w:highlight w:val="none"/>
                <w:lang w:val="en-US" w:eastAsia="zh-CN"/>
              </w:rPr>
              <w:t>ILAC/</w:t>
            </w:r>
            <w:r>
              <w:rPr>
                <w:rFonts w:hint="eastAsia" w:ascii="宋体" w:hAnsi="宋体" w:eastAsia="宋体" w:cs="宋体"/>
                <w:spacing w:val="7"/>
                <w:sz w:val="21"/>
                <w:szCs w:val="21"/>
                <w:highlight w:val="none"/>
                <w:lang w:eastAsia="zh-CN"/>
              </w:rPr>
              <w:t>CNAS</w:t>
            </w:r>
            <w:r>
              <w:rPr>
                <w:rFonts w:hint="eastAsia" w:ascii="宋体" w:hAnsi="宋体" w:eastAsia="宋体" w:cs="宋体"/>
                <w:spacing w:val="7"/>
                <w:sz w:val="21"/>
                <w:szCs w:val="21"/>
                <w:highlight w:val="none"/>
                <w:lang w:val="en-US" w:eastAsia="zh-CN"/>
              </w:rPr>
              <w:t>/DJCP等</w:t>
            </w:r>
            <w:r>
              <w:rPr>
                <w:rFonts w:hint="eastAsia" w:ascii="宋体" w:hAnsi="宋体" w:eastAsia="宋体" w:cs="宋体"/>
                <w:spacing w:val="7"/>
                <w:sz w:val="21"/>
                <w:szCs w:val="21"/>
                <w:highlight w:val="none"/>
                <w:lang w:eastAsia="zh-CN"/>
              </w:rPr>
              <w:t>标识、检验报告上须有检验机构盖章且检验结果为合格；</w:t>
            </w:r>
          </w:p>
        </w:tc>
      </w:tr>
      <w:tr w14:paraId="7D49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6" w:hRule="atLeast"/>
          <w:jc w:val="center"/>
        </w:trPr>
        <w:tc>
          <w:tcPr>
            <w:tcW w:w="1242" w:type="dxa"/>
            <w:tcBorders>
              <w:bottom w:val="single" w:color="auto" w:sz="4" w:space="0"/>
            </w:tcBorders>
            <w:noWrap w:val="0"/>
            <w:vAlign w:val="center"/>
          </w:tcPr>
          <w:p w14:paraId="6B7198AC">
            <w:pPr>
              <w:spacing w:line="56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应急保障方案</w:t>
            </w:r>
          </w:p>
        </w:tc>
        <w:tc>
          <w:tcPr>
            <w:tcW w:w="1134" w:type="dxa"/>
            <w:tcBorders>
              <w:bottom w:val="single" w:color="auto" w:sz="4" w:space="0"/>
            </w:tcBorders>
            <w:noWrap w:val="0"/>
            <w:vAlign w:val="center"/>
          </w:tcPr>
          <w:p w14:paraId="2AB9E2DD">
            <w:pPr>
              <w:spacing w:line="560" w:lineRule="exact"/>
              <w:jc w:val="center"/>
              <w:rPr>
                <w:rFonts w:ascii="仿宋" w:hAnsi="仿宋" w:eastAsia="仿宋"/>
                <w:sz w:val="32"/>
                <w:szCs w:val="32"/>
                <w:highlight w:val="none"/>
              </w:rPr>
            </w:pPr>
            <w:r>
              <w:rPr>
                <w:rFonts w:hint="eastAsia" w:ascii="宋体" w:hAnsi="宋体"/>
                <w:szCs w:val="21"/>
                <w:highlight w:val="none"/>
              </w:rPr>
              <w:t>满分</w:t>
            </w:r>
            <w:r>
              <w:rPr>
                <w:rFonts w:hint="eastAsia" w:ascii="宋体" w:hAnsi="宋体"/>
                <w:szCs w:val="21"/>
                <w:highlight w:val="none"/>
                <w:lang w:val="en-US" w:eastAsia="zh-CN"/>
              </w:rPr>
              <w:t>12</w:t>
            </w:r>
            <w:r>
              <w:rPr>
                <w:rFonts w:hint="eastAsia" w:ascii="宋体" w:hAnsi="宋体"/>
                <w:szCs w:val="21"/>
                <w:highlight w:val="none"/>
              </w:rPr>
              <w:t>分</w:t>
            </w:r>
          </w:p>
        </w:tc>
        <w:tc>
          <w:tcPr>
            <w:tcW w:w="6535" w:type="dxa"/>
            <w:tcBorders>
              <w:bottom w:val="single" w:color="auto" w:sz="4" w:space="0"/>
            </w:tcBorders>
            <w:noWrap w:val="0"/>
            <w:vAlign w:val="center"/>
          </w:tcPr>
          <w:p w14:paraId="396B7D51">
            <w:pPr>
              <w:pStyle w:val="6"/>
              <w:spacing w:line="360" w:lineRule="auto"/>
              <w:ind w:right="6" w:firstLine="402" w:firstLineChars="200"/>
              <w:jc w:val="both"/>
              <w:rPr>
                <w:rFonts w:ascii="仿宋" w:hAnsi="仿宋" w:eastAsia="仿宋"/>
                <w:sz w:val="32"/>
                <w:szCs w:val="32"/>
                <w:highlight w:val="none"/>
              </w:rPr>
            </w:pPr>
            <w:r>
              <w:rPr>
                <w:b/>
                <w:bCs/>
                <w:sz w:val="20"/>
                <w:szCs w:val="20"/>
                <w:highlight w:val="none"/>
                <w:lang w:eastAsia="zh-CN"/>
              </w:rPr>
              <w:t xml:space="preserve"> </w:t>
            </w:r>
            <w:r>
              <w:rPr>
                <w:sz w:val="20"/>
                <w:szCs w:val="20"/>
                <w:highlight w:val="none"/>
                <w:lang w:eastAsia="zh-CN"/>
              </w:rPr>
              <w:t>投标人提供针对本项目服务中出现的</w:t>
            </w:r>
            <w:r>
              <w:rPr>
                <w:rFonts w:hint="eastAsia"/>
                <w:sz w:val="20"/>
                <w:szCs w:val="20"/>
                <w:highlight w:val="none"/>
                <w:lang w:eastAsia="zh-CN"/>
              </w:rPr>
              <w:t>事故</w:t>
            </w:r>
            <w:r>
              <w:rPr>
                <w:sz w:val="20"/>
                <w:szCs w:val="20"/>
                <w:highlight w:val="none"/>
                <w:lang w:eastAsia="zh-CN"/>
              </w:rPr>
              <w:t xml:space="preserve">及其他应急情况的应急保障方案。应急服务保障方案须包括：①针对应急突发事件处置响应速度，②处置方法、③应急策略等内容。一档 </w:t>
            </w:r>
            <w:r>
              <w:rPr>
                <w:rFonts w:hint="eastAsia"/>
                <w:sz w:val="20"/>
                <w:szCs w:val="20"/>
                <w:highlight w:val="none"/>
                <w:lang w:eastAsia="zh-CN"/>
              </w:rPr>
              <w:t>（</w:t>
            </w:r>
            <w:r>
              <w:rPr>
                <w:sz w:val="20"/>
                <w:szCs w:val="20"/>
                <w:highlight w:val="none"/>
                <w:lang w:eastAsia="zh-CN"/>
              </w:rPr>
              <w:t>0 分</w:t>
            </w:r>
            <w:r>
              <w:rPr>
                <w:rFonts w:hint="eastAsia"/>
                <w:sz w:val="20"/>
                <w:szCs w:val="20"/>
                <w:highlight w:val="none"/>
                <w:lang w:eastAsia="zh-CN"/>
              </w:rPr>
              <w:t>）：</w:t>
            </w:r>
            <w:r>
              <w:rPr>
                <w:rFonts w:hint="eastAsia"/>
                <w:sz w:val="20"/>
                <w:szCs w:val="20"/>
                <w:highlight w:val="none"/>
                <w:lang w:val="en-US" w:eastAsia="zh-CN"/>
              </w:rPr>
              <w:t>没有</w:t>
            </w:r>
            <w:r>
              <w:rPr>
                <w:sz w:val="20"/>
                <w:szCs w:val="20"/>
                <w:highlight w:val="none"/>
                <w:lang w:eastAsia="zh-CN"/>
              </w:rPr>
              <w:t xml:space="preserve">应急保障方案； </w:t>
            </w:r>
            <w:r>
              <w:rPr>
                <w:rFonts w:hint="eastAsia"/>
                <w:sz w:val="20"/>
                <w:szCs w:val="20"/>
                <w:highlight w:val="none"/>
                <w:lang w:val="en-US" w:eastAsia="zh-CN"/>
              </w:rPr>
              <w:t>二</w:t>
            </w:r>
            <w:r>
              <w:rPr>
                <w:sz w:val="20"/>
                <w:szCs w:val="20"/>
                <w:highlight w:val="none"/>
                <w:lang w:eastAsia="zh-CN"/>
              </w:rPr>
              <w:t xml:space="preserve">档（4 分）：仅包含其中 1 项内容，表述清晰且符合项目要求； </w:t>
            </w:r>
            <w:r>
              <w:rPr>
                <w:rFonts w:hint="eastAsia"/>
                <w:sz w:val="20"/>
                <w:szCs w:val="20"/>
                <w:highlight w:val="none"/>
                <w:lang w:val="en-US" w:eastAsia="zh-CN"/>
              </w:rPr>
              <w:t>三</w:t>
            </w:r>
            <w:r>
              <w:rPr>
                <w:sz w:val="20"/>
                <w:szCs w:val="20"/>
                <w:highlight w:val="none"/>
                <w:lang w:eastAsia="zh-CN"/>
              </w:rPr>
              <w:t xml:space="preserve">档（7 分）：仅包含其中 2 项内容，表述清晰且符合项目要求； </w:t>
            </w:r>
            <w:r>
              <w:rPr>
                <w:rFonts w:hint="eastAsia"/>
                <w:sz w:val="20"/>
                <w:szCs w:val="20"/>
                <w:highlight w:val="none"/>
                <w:lang w:val="en-US" w:eastAsia="zh-CN"/>
              </w:rPr>
              <w:t>四</w:t>
            </w:r>
            <w:r>
              <w:rPr>
                <w:sz w:val="20"/>
                <w:szCs w:val="20"/>
                <w:highlight w:val="none"/>
                <w:lang w:eastAsia="zh-CN"/>
              </w:rPr>
              <w:t>档（1</w:t>
            </w:r>
            <w:r>
              <w:rPr>
                <w:rFonts w:hint="eastAsia"/>
                <w:sz w:val="20"/>
                <w:szCs w:val="20"/>
                <w:highlight w:val="none"/>
                <w:lang w:eastAsia="zh-CN"/>
              </w:rPr>
              <w:t>2</w:t>
            </w:r>
            <w:r>
              <w:rPr>
                <w:sz w:val="20"/>
                <w:szCs w:val="20"/>
                <w:highlight w:val="none"/>
                <w:lang w:eastAsia="zh-CN"/>
              </w:rPr>
              <w:t xml:space="preserve"> 分）：3 项评审因素内容齐全，表述清晰且符合项目要求</w:t>
            </w:r>
          </w:p>
        </w:tc>
      </w:tr>
      <w:tr w14:paraId="68B4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242" w:type="dxa"/>
            <w:tcBorders>
              <w:bottom w:val="single" w:color="auto" w:sz="4" w:space="0"/>
            </w:tcBorders>
            <w:noWrap w:val="0"/>
            <w:vAlign w:val="center"/>
          </w:tcPr>
          <w:p w14:paraId="05CFEEC4">
            <w:pPr>
              <w:spacing w:line="560" w:lineRule="exact"/>
              <w:jc w:val="center"/>
              <w:rPr>
                <w:rFonts w:hint="default"/>
                <w:b/>
                <w:bCs/>
                <w:spacing w:val="9"/>
                <w:sz w:val="20"/>
                <w:szCs w:val="20"/>
                <w:highlight w:val="none"/>
                <w:lang w:val="en-US"/>
              </w:rPr>
            </w:pPr>
            <w:r>
              <w:rPr>
                <w:rFonts w:hint="eastAsia" w:ascii="宋体" w:hAnsi="宋体" w:cs="Times New Roman"/>
                <w:szCs w:val="21"/>
                <w:highlight w:val="none"/>
                <w:lang w:val="en-US" w:eastAsia="zh-CN"/>
              </w:rPr>
              <w:t>商务评分</w:t>
            </w:r>
          </w:p>
        </w:tc>
        <w:tc>
          <w:tcPr>
            <w:tcW w:w="1134" w:type="dxa"/>
            <w:tcBorders>
              <w:bottom w:val="single" w:color="auto" w:sz="4" w:space="0"/>
            </w:tcBorders>
            <w:noWrap w:val="0"/>
            <w:vAlign w:val="center"/>
          </w:tcPr>
          <w:p w14:paraId="2E807988">
            <w:pPr>
              <w:spacing w:line="560" w:lineRule="exact"/>
              <w:jc w:val="center"/>
              <w:rPr>
                <w:rFonts w:hint="eastAsia" w:ascii="宋体" w:hAnsi="宋体"/>
                <w:szCs w:val="21"/>
                <w:highlight w:val="none"/>
              </w:rPr>
            </w:pPr>
            <w:r>
              <w:rPr>
                <w:rFonts w:hint="eastAsia" w:ascii="宋体" w:hAnsi="宋体"/>
                <w:szCs w:val="21"/>
                <w:highlight w:val="none"/>
              </w:rPr>
              <w:t>满分</w:t>
            </w:r>
            <w:r>
              <w:rPr>
                <w:rFonts w:hint="eastAsia" w:ascii="宋体" w:hAnsi="宋体"/>
                <w:szCs w:val="21"/>
                <w:highlight w:val="none"/>
                <w:lang w:val="en-US" w:eastAsia="zh-CN"/>
              </w:rPr>
              <w:t>14</w:t>
            </w:r>
            <w:r>
              <w:rPr>
                <w:rFonts w:hint="eastAsia" w:ascii="宋体" w:hAnsi="宋体"/>
                <w:szCs w:val="21"/>
                <w:highlight w:val="none"/>
              </w:rPr>
              <w:t>分</w:t>
            </w:r>
          </w:p>
        </w:tc>
        <w:tc>
          <w:tcPr>
            <w:tcW w:w="6535" w:type="dxa"/>
            <w:tcBorders>
              <w:bottom w:val="single" w:color="auto" w:sz="4" w:space="0"/>
            </w:tcBorders>
            <w:noWrap w:val="0"/>
            <w:vAlign w:val="center"/>
          </w:tcPr>
          <w:p w14:paraId="708B2FCA">
            <w:pPr>
              <w:pStyle w:val="6"/>
              <w:spacing w:line="360" w:lineRule="auto"/>
              <w:ind w:firstLine="424" w:firstLineChars="200"/>
              <w:rPr>
                <w:rFonts w:hint="eastAsia"/>
                <w:sz w:val="20"/>
                <w:szCs w:val="20"/>
                <w:highlight w:val="none"/>
                <w:lang w:eastAsia="zh-CN"/>
              </w:rPr>
            </w:pPr>
            <w:r>
              <w:rPr>
                <w:spacing w:val="6"/>
                <w:sz w:val="20"/>
                <w:szCs w:val="20"/>
                <w:highlight w:val="none"/>
                <w:lang w:eastAsia="zh-CN"/>
              </w:rPr>
              <w:t>（</w:t>
            </w:r>
            <w:r>
              <w:rPr>
                <w:rFonts w:ascii="Times New Roman" w:hAnsi="Times New Roman" w:eastAsia="Times New Roman" w:cs="Times New Roman"/>
                <w:spacing w:val="6"/>
                <w:sz w:val="20"/>
                <w:szCs w:val="20"/>
                <w:highlight w:val="none"/>
                <w:lang w:eastAsia="zh-CN"/>
              </w:rPr>
              <w:t>1</w:t>
            </w:r>
            <w:r>
              <w:rPr>
                <w:spacing w:val="6"/>
                <w:sz w:val="20"/>
                <w:szCs w:val="20"/>
                <w:highlight w:val="none"/>
                <w:lang w:eastAsia="zh-CN"/>
              </w:rPr>
              <w:t>）资源匹配情况（</w:t>
            </w:r>
            <w:r>
              <w:rPr>
                <w:rFonts w:hint="eastAsia" w:ascii="Times New Roman" w:hAnsi="Times New Roman" w:cs="Times New Roman"/>
                <w:spacing w:val="6"/>
                <w:sz w:val="20"/>
                <w:szCs w:val="20"/>
                <w:highlight w:val="none"/>
                <w:lang w:eastAsia="zh-CN"/>
              </w:rPr>
              <w:t>7</w:t>
            </w:r>
            <w:r>
              <w:rPr>
                <w:spacing w:val="6"/>
                <w:sz w:val="20"/>
                <w:szCs w:val="20"/>
                <w:highlight w:val="none"/>
                <w:lang w:eastAsia="zh-CN"/>
              </w:rPr>
              <w:t>分）</w:t>
            </w:r>
          </w:p>
          <w:p w14:paraId="003F8E21">
            <w:pPr>
              <w:pStyle w:val="6"/>
              <w:spacing w:line="360" w:lineRule="auto"/>
              <w:ind w:right="6" w:firstLine="400" w:firstLineChars="200"/>
              <w:jc w:val="both"/>
              <w:rPr>
                <w:sz w:val="20"/>
                <w:szCs w:val="20"/>
                <w:highlight w:val="none"/>
                <w:lang w:eastAsia="zh-CN"/>
              </w:rPr>
            </w:pPr>
            <w:r>
              <w:rPr>
                <w:rFonts w:hint="eastAsia"/>
                <w:sz w:val="20"/>
                <w:szCs w:val="20"/>
                <w:highlight w:val="none"/>
                <w:lang w:eastAsia="zh-CN"/>
              </w:rPr>
              <w:t>供应商在本次采购</w:t>
            </w:r>
            <w:r>
              <w:rPr>
                <w:rFonts w:hint="eastAsia"/>
                <w:sz w:val="20"/>
                <w:szCs w:val="20"/>
                <w:highlight w:val="none"/>
                <w:lang w:val="en-US" w:eastAsia="zh-CN"/>
              </w:rPr>
              <w:t>的7个高空监控点</w:t>
            </w:r>
            <w:r>
              <w:rPr>
                <w:rFonts w:hint="eastAsia"/>
                <w:sz w:val="20"/>
                <w:szCs w:val="20"/>
                <w:highlight w:val="none"/>
                <w:lang w:eastAsia="zh-CN"/>
              </w:rPr>
              <w:t>布点沿线垂直距离500米范围内具有现有高点杆塔资源，且资源点位高度在</w:t>
            </w:r>
            <w:r>
              <w:rPr>
                <w:rFonts w:hint="eastAsia"/>
                <w:sz w:val="20"/>
                <w:szCs w:val="20"/>
                <w:highlight w:val="none"/>
                <w:lang w:val="en-US" w:eastAsia="zh-CN"/>
              </w:rPr>
              <w:t>15</w:t>
            </w:r>
            <w:r>
              <w:rPr>
                <w:rFonts w:hint="eastAsia"/>
                <w:sz w:val="20"/>
                <w:szCs w:val="20"/>
                <w:highlight w:val="none"/>
                <w:lang w:eastAsia="zh-CN"/>
              </w:rPr>
              <w:t>米以上（含</w:t>
            </w:r>
            <w:r>
              <w:rPr>
                <w:rFonts w:hint="eastAsia"/>
                <w:sz w:val="20"/>
                <w:szCs w:val="20"/>
                <w:highlight w:val="none"/>
                <w:lang w:val="en-US" w:eastAsia="zh-CN"/>
              </w:rPr>
              <w:t>15</w:t>
            </w:r>
            <w:r>
              <w:rPr>
                <w:rFonts w:hint="eastAsia"/>
                <w:sz w:val="20"/>
                <w:szCs w:val="20"/>
                <w:highlight w:val="none"/>
                <w:lang w:eastAsia="zh-CN"/>
              </w:rPr>
              <w:t>米）（提供证明文件复印件，包含资源点的租赁合同或产权证明以及资源点挂载摄像头处监控高速公路视野相片等并加盖公章）或承诺成交后离高速公路监测路段外500m范围内新建水平高度不低于线路</w:t>
            </w:r>
            <w:r>
              <w:rPr>
                <w:rFonts w:hint="eastAsia"/>
                <w:sz w:val="20"/>
                <w:szCs w:val="20"/>
                <w:highlight w:val="none"/>
                <w:lang w:val="en-US" w:eastAsia="zh-CN"/>
              </w:rPr>
              <w:t>15</w:t>
            </w:r>
            <w:r>
              <w:rPr>
                <w:rFonts w:hint="eastAsia"/>
                <w:sz w:val="20"/>
                <w:szCs w:val="20"/>
                <w:highlight w:val="none"/>
                <w:lang w:eastAsia="zh-CN"/>
              </w:rPr>
              <w:t>米杆塔的[提供承诺书及相关证明文件(包含拟建资源点的照片或场地租赁合同以及拟建资源点挂载摄像头处监控高速公路视野相片等)以上证明材料须加盖公章]；每个点位得1分；本项满分7分</w:t>
            </w:r>
          </w:p>
          <w:p w14:paraId="53C3AD1B">
            <w:pPr>
              <w:pStyle w:val="6"/>
              <w:spacing w:line="360" w:lineRule="auto"/>
              <w:ind w:firstLine="428" w:firstLineChars="200"/>
              <w:rPr>
                <w:rFonts w:hint="eastAsia"/>
                <w:spacing w:val="7"/>
                <w:sz w:val="20"/>
                <w:szCs w:val="20"/>
                <w:highlight w:val="none"/>
                <w:lang w:eastAsia="zh-CN"/>
              </w:rPr>
            </w:pPr>
            <w:r>
              <w:rPr>
                <w:rFonts w:hint="eastAsia"/>
                <w:spacing w:val="7"/>
                <w:sz w:val="20"/>
                <w:szCs w:val="20"/>
                <w:highlight w:val="none"/>
                <w:lang w:eastAsia="zh-CN"/>
              </w:rPr>
              <w:t>（2）人员资质（</w:t>
            </w:r>
            <w:r>
              <w:rPr>
                <w:rFonts w:hint="eastAsia"/>
                <w:spacing w:val="7"/>
                <w:sz w:val="20"/>
                <w:szCs w:val="20"/>
                <w:highlight w:val="none"/>
                <w:lang w:val="en-US" w:eastAsia="zh-CN"/>
              </w:rPr>
              <w:t>4分</w:t>
            </w:r>
            <w:r>
              <w:rPr>
                <w:rFonts w:hint="eastAsia"/>
                <w:spacing w:val="7"/>
                <w:sz w:val="20"/>
                <w:szCs w:val="20"/>
                <w:highlight w:val="none"/>
                <w:lang w:eastAsia="zh-CN"/>
              </w:rPr>
              <w:t>）</w:t>
            </w:r>
          </w:p>
          <w:p w14:paraId="0C8AFFF1">
            <w:pPr>
              <w:pStyle w:val="6"/>
              <w:spacing w:line="360" w:lineRule="auto"/>
              <w:ind w:firstLine="428" w:firstLineChars="200"/>
              <w:rPr>
                <w:rFonts w:hint="default"/>
                <w:spacing w:val="7"/>
                <w:sz w:val="20"/>
                <w:szCs w:val="20"/>
                <w:highlight w:val="none"/>
                <w:lang w:val="en-US" w:eastAsia="zh-CN"/>
              </w:rPr>
            </w:pPr>
            <w:r>
              <w:rPr>
                <w:rFonts w:hint="eastAsia"/>
                <w:spacing w:val="7"/>
                <w:sz w:val="20"/>
                <w:szCs w:val="20"/>
                <w:highlight w:val="none"/>
                <w:lang w:eastAsia="zh-CN"/>
              </w:rPr>
              <w:t>提供拟投入本项目服务人员具有CAAC无人机驾驶执照/AOPA无人机驾驶执照/UTC无人机驾驶执照/ASFC无人机驾驶执照复印件或飞手无人机云执照APP查询结果，每人得2分，满分4分。</w:t>
            </w:r>
          </w:p>
          <w:p w14:paraId="2473364A">
            <w:pPr>
              <w:pStyle w:val="6"/>
              <w:spacing w:line="360" w:lineRule="auto"/>
              <w:ind w:firstLine="428" w:firstLineChars="200"/>
              <w:rPr>
                <w:rFonts w:hint="eastAsia"/>
                <w:spacing w:val="7"/>
                <w:sz w:val="20"/>
                <w:szCs w:val="20"/>
                <w:highlight w:val="none"/>
                <w:lang w:eastAsia="zh-CN"/>
              </w:rPr>
            </w:pPr>
            <w:r>
              <w:rPr>
                <w:rFonts w:hint="eastAsia"/>
                <w:spacing w:val="7"/>
                <w:sz w:val="20"/>
                <w:szCs w:val="20"/>
                <w:highlight w:val="none"/>
                <w:lang w:eastAsia="zh-CN"/>
              </w:rPr>
              <w:t>（3）</w:t>
            </w:r>
            <w:r>
              <w:rPr>
                <w:spacing w:val="7"/>
                <w:sz w:val="20"/>
                <w:szCs w:val="20"/>
                <w:highlight w:val="none"/>
                <w:lang w:eastAsia="zh-CN"/>
              </w:rPr>
              <w:t>开通承诺时间（3分）</w:t>
            </w:r>
          </w:p>
          <w:p w14:paraId="7A4F4AAA">
            <w:pPr>
              <w:pStyle w:val="6"/>
              <w:spacing w:line="360" w:lineRule="auto"/>
              <w:ind w:firstLine="428" w:firstLineChars="200"/>
              <w:rPr>
                <w:spacing w:val="7"/>
                <w:sz w:val="20"/>
                <w:szCs w:val="20"/>
                <w:highlight w:val="none"/>
                <w:lang w:eastAsia="zh-CN"/>
              </w:rPr>
            </w:pPr>
            <w:r>
              <w:rPr>
                <w:spacing w:val="7"/>
                <w:sz w:val="20"/>
                <w:szCs w:val="20"/>
                <w:highlight w:val="none"/>
                <w:lang w:eastAsia="zh-CN"/>
              </w:rPr>
              <w:t>承诺服务完成部署并投入使用时间，每提前一天可得0.3分，不提供不得分，满分3分。提供承诺函并加盖公章，不提供不得分。</w:t>
            </w:r>
          </w:p>
        </w:tc>
      </w:tr>
    </w:tbl>
    <w:p w14:paraId="21056EC2">
      <w:pPr>
        <w:pStyle w:val="9"/>
        <w:tabs>
          <w:tab w:val="left" w:pos="4214"/>
        </w:tabs>
        <w:spacing w:line="276" w:lineRule="auto"/>
        <w:ind w:firstLine="402" w:firstLineChars="200"/>
        <w:rPr>
          <w:rFonts w:hint="eastAsia"/>
          <w:b/>
          <w:color w:val="auto"/>
          <w:highlight w:val="none"/>
        </w:rPr>
      </w:pPr>
    </w:p>
    <w:p w14:paraId="57746200">
      <w:pPr>
        <w:pStyle w:val="9"/>
        <w:tabs>
          <w:tab w:val="left" w:pos="4214"/>
        </w:tabs>
        <w:spacing w:line="276" w:lineRule="auto"/>
        <w:ind w:firstLine="402" w:firstLineChars="200"/>
        <w:rPr>
          <w:b/>
          <w:color w:val="auto"/>
          <w:highlight w:val="none"/>
        </w:rPr>
      </w:pPr>
      <w:r>
        <w:rPr>
          <w:rFonts w:hint="eastAsia"/>
          <w:b/>
          <w:color w:val="auto"/>
          <w:highlight w:val="none"/>
        </w:rPr>
        <w:t>三、推荐成交候选供应商原则</w:t>
      </w:r>
    </w:p>
    <w:p w14:paraId="253E5E52">
      <w:pPr>
        <w:spacing w:line="440" w:lineRule="exact"/>
        <w:ind w:firstLine="420" w:firstLineChars="200"/>
        <w:rPr>
          <w:rFonts w:hint="eastAsia"/>
          <w:color w:val="auto"/>
          <w:szCs w:val="21"/>
          <w:highlight w:val="none"/>
        </w:rPr>
      </w:pPr>
      <w:r>
        <w:rPr>
          <w:rFonts w:hint="eastAsia"/>
          <w:color w:val="auto"/>
          <w:szCs w:val="21"/>
          <w:highlight w:val="none"/>
        </w:rPr>
        <w:t>（1）磋商小组根据综合得分由高到低排列次序，得分最高的供应商即为成交人。（得分相同时，则按供应商的企业资质级别、</w:t>
      </w:r>
      <w:r>
        <w:rPr>
          <w:rFonts w:hint="eastAsia" w:ascii="宋体" w:hAnsi="宋体"/>
          <w:szCs w:val="21"/>
          <w:highlight w:val="none"/>
        </w:rPr>
        <w:t>项目实施方案</w:t>
      </w:r>
      <w:r>
        <w:rPr>
          <w:rFonts w:hint="eastAsia"/>
          <w:color w:val="auto"/>
          <w:szCs w:val="21"/>
          <w:highlight w:val="none"/>
        </w:rPr>
        <w:t>、</w:t>
      </w:r>
      <w:r>
        <w:rPr>
          <w:rFonts w:hint="eastAsia" w:ascii="宋体" w:hAnsi="宋体"/>
          <w:szCs w:val="21"/>
          <w:highlight w:val="none"/>
        </w:rPr>
        <w:t>技术服务方案等方面综合评</w:t>
      </w:r>
      <w:r>
        <w:rPr>
          <w:rFonts w:hint="eastAsia"/>
          <w:color w:val="auto"/>
          <w:szCs w:val="21"/>
          <w:highlight w:val="none"/>
        </w:rPr>
        <w:t>价择优确定成交供应商）。</w:t>
      </w:r>
    </w:p>
    <w:p w14:paraId="68F2CD63">
      <w:pPr>
        <w:spacing w:line="440" w:lineRule="exact"/>
        <w:ind w:firstLine="420" w:firstLineChars="200"/>
        <w:rPr>
          <w:rFonts w:hint="eastAsia"/>
          <w:color w:val="auto"/>
          <w:szCs w:val="21"/>
          <w:highlight w:val="none"/>
        </w:rPr>
      </w:pPr>
      <w:r>
        <w:rPr>
          <w:rFonts w:hint="eastAsia"/>
          <w:color w:val="auto"/>
          <w:szCs w:val="21"/>
          <w:highlight w:val="none"/>
        </w:rPr>
        <w:t>（2）进入详评的供应商为五家(含五家)以上的，可推荐前三名为成交候选供应商，进入详评的供应商为四家(含四家)以下的，可推荐前两名为成交候选供应商。采购单位应当确定磋商小组推荐排名第一的成交候选供应商为成交供应商。</w:t>
      </w:r>
    </w:p>
    <w:p w14:paraId="1D7575B1">
      <w:pPr>
        <w:spacing w:line="440" w:lineRule="exact"/>
        <w:ind w:firstLine="420" w:firstLineChars="200"/>
        <w:rPr>
          <w:rFonts w:hint="eastAsia"/>
          <w:color w:val="auto"/>
          <w:szCs w:val="21"/>
          <w:highlight w:val="none"/>
        </w:rPr>
      </w:pPr>
      <w:r>
        <w:rPr>
          <w:rFonts w:hint="eastAsia"/>
          <w:color w:val="auto"/>
          <w:szCs w:val="21"/>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7CDB33DF">
      <w:pPr>
        <w:spacing w:line="440" w:lineRule="exact"/>
        <w:ind w:firstLine="420" w:firstLineChars="200"/>
        <w:rPr>
          <w:rFonts w:hint="eastAsia"/>
          <w:color w:val="auto"/>
          <w:szCs w:val="21"/>
          <w:highlight w:val="none"/>
        </w:rPr>
      </w:pPr>
      <w:r>
        <w:rPr>
          <w:rFonts w:hint="eastAsia"/>
          <w:color w:val="auto"/>
          <w:szCs w:val="21"/>
          <w:highlight w:val="none"/>
        </w:rPr>
        <w:t>（4）第二成交候选供应商因前款规定的同样原因不能签订合同的，采购单位可以确定排名第三的成交候选供应商为成交供应商。</w:t>
      </w:r>
    </w:p>
    <w:p w14:paraId="63FDBFC7">
      <w:pPr>
        <w:spacing w:line="440" w:lineRule="exact"/>
        <w:ind w:firstLine="420" w:firstLineChars="200"/>
        <w:rPr>
          <w:rFonts w:hint="eastAsia"/>
          <w:color w:val="auto"/>
          <w:szCs w:val="21"/>
          <w:highlight w:val="none"/>
        </w:rPr>
      </w:pPr>
      <w:r>
        <w:rPr>
          <w:color w:val="auto"/>
          <w:szCs w:val="21"/>
          <w:highlight w:val="none"/>
        </w:rPr>
        <w:t xml:space="preserve"> </w:t>
      </w:r>
      <w:r>
        <w:rPr>
          <w:rFonts w:hint="eastAsia" w:ascii="宋体"/>
          <w:color w:val="auto"/>
          <w:szCs w:val="21"/>
          <w:highlight w:val="none"/>
        </w:rPr>
        <w:t xml:space="preserve">(5) </w:t>
      </w:r>
      <w:r>
        <w:rPr>
          <w:rFonts w:hint="eastAsia"/>
          <w:color w:val="auto"/>
          <w:highlight w:val="none"/>
        </w:rPr>
        <w:t>磋商小组</w:t>
      </w:r>
      <w:r>
        <w:rPr>
          <w:rFonts w:hint="eastAsia"/>
          <w:color w:val="auto"/>
          <w:szCs w:val="21"/>
          <w:highlight w:val="none"/>
        </w:rPr>
        <w:t>认为，某供应商的最低磋商价或者某些分项报价明显不合理或者低于成本，有可能影响服务质量和不能诚信履约的，应当要求其在规定的期限内提供书面文件予以解释说明，并提交相关证明材料，否则，</w:t>
      </w:r>
      <w:r>
        <w:rPr>
          <w:rFonts w:hint="eastAsia"/>
          <w:color w:val="auto"/>
          <w:highlight w:val="none"/>
        </w:rPr>
        <w:t>磋商小组</w:t>
      </w:r>
      <w:r>
        <w:rPr>
          <w:rFonts w:hint="eastAsia"/>
          <w:color w:val="auto"/>
          <w:szCs w:val="21"/>
          <w:highlight w:val="none"/>
        </w:rPr>
        <w:t>可以取消该供应商的成交候选供应商资格，按顺序由排在后面的成交候选供应商递补。</w:t>
      </w:r>
    </w:p>
    <w:p w14:paraId="398368C4">
      <w:pPr>
        <w:spacing w:line="440" w:lineRule="exact"/>
        <w:jc w:val="center"/>
        <w:outlineLvl w:val="0"/>
        <w:rPr>
          <w:rFonts w:ascii="宋体" w:hAnsi="宋体" w:cs="宋体"/>
          <w:b/>
          <w:color w:val="auto"/>
          <w:sz w:val="32"/>
          <w:szCs w:val="32"/>
          <w:highlight w:val="none"/>
        </w:rPr>
      </w:pPr>
    </w:p>
    <w:p w14:paraId="114D2333">
      <w:pPr>
        <w:spacing w:line="440" w:lineRule="exact"/>
        <w:jc w:val="center"/>
        <w:outlineLvl w:val="0"/>
        <w:rPr>
          <w:rFonts w:ascii="宋体" w:hAnsi="宋体" w:cs="宋体"/>
          <w:b/>
          <w:color w:val="auto"/>
          <w:sz w:val="32"/>
          <w:szCs w:val="32"/>
          <w:highlight w:val="none"/>
        </w:rPr>
      </w:pPr>
    </w:p>
    <w:p w14:paraId="13826C77">
      <w:pPr>
        <w:spacing w:line="440" w:lineRule="exact"/>
        <w:jc w:val="center"/>
        <w:outlineLvl w:val="0"/>
        <w:rPr>
          <w:rFonts w:ascii="宋体" w:hAnsi="宋体" w:cs="宋体"/>
          <w:b/>
          <w:color w:val="auto"/>
          <w:sz w:val="32"/>
          <w:szCs w:val="32"/>
          <w:highlight w:val="none"/>
        </w:rPr>
      </w:pPr>
    </w:p>
    <w:p w14:paraId="3FEF873B">
      <w:pPr>
        <w:spacing w:line="440" w:lineRule="exact"/>
        <w:jc w:val="center"/>
        <w:outlineLvl w:val="0"/>
        <w:rPr>
          <w:rFonts w:ascii="宋体" w:hAnsi="宋体" w:cs="宋体"/>
          <w:b/>
          <w:color w:val="auto"/>
          <w:sz w:val="32"/>
          <w:szCs w:val="32"/>
          <w:highlight w:val="none"/>
        </w:rPr>
      </w:pPr>
    </w:p>
    <w:p w14:paraId="0418CD07">
      <w:pPr>
        <w:spacing w:line="440" w:lineRule="exact"/>
        <w:jc w:val="center"/>
        <w:outlineLvl w:val="0"/>
        <w:rPr>
          <w:rFonts w:ascii="宋体" w:hAnsi="宋体" w:cs="宋体"/>
          <w:b/>
          <w:color w:val="auto"/>
          <w:sz w:val="32"/>
          <w:szCs w:val="32"/>
          <w:highlight w:val="none"/>
        </w:rPr>
      </w:pPr>
    </w:p>
    <w:p w14:paraId="6A31FCF3">
      <w:pPr>
        <w:spacing w:line="440" w:lineRule="exact"/>
        <w:jc w:val="center"/>
        <w:outlineLvl w:val="0"/>
        <w:rPr>
          <w:rFonts w:ascii="宋体" w:hAnsi="宋体" w:cs="宋体"/>
          <w:b/>
          <w:color w:val="auto"/>
          <w:sz w:val="32"/>
          <w:szCs w:val="32"/>
          <w:highlight w:val="none"/>
        </w:rPr>
      </w:pPr>
    </w:p>
    <w:p w14:paraId="0B8E19B1">
      <w:pPr>
        <w:pStyle w:val="24"/>
        <w:rPr>
          <w:rFonts w:ascii="宋体" w:hAnsi="宋体" w:cs="宋体"/>
          <w:b/>
          <w:color w:val="auto"/>
          <w:sz w:val="32"/>
          <w:szCs w:val="32"/>
          <w:highlight w:val="none"/>
        </w:rPr>
      </w:pPr>
    </w:p>
    <w:p w14:paraId="33700344">
      <w:pPr>
        <w:pStyle w:val="24"/>
        <w:rPr>
          <w:rFonts w:ascii="宋体" w:hAnsi="宋体" w:cs="宋体"/>
          <w:b/>
          <w:color w:val="auto"/>
          <w:sz w:val="32"/>
          <w:szCs w:val="32"/>
          <w:highlight w:val="none"/>
        </w:rPr>
      </w:pPr>
    </w:p>
    <w:p w14:paraId="1FC8C3B3">
      <w:pPr>
        <w:pStyle w:val="24"/>
        <w:rPr>
          <w:rFonts w:ascii="宋体" w:hAnsi="宋体" w:cs="宋体"/>
          <w:b/>
          <w:color w:val="auto"/>
          <w:sz w:val="32"/>
          <w:szCs w:val="32"/>
          <w:highlight w:val="none"/>
        </w:rPr>
      </w:pPr>
    </w:p>
    <w:p w14:paraId="1878AA90">
      <w:pPr>
        <w:pStyle w:val="24"/>
        <w:rPr>
          <w:rFonts w:ascii="宋体" w:hAnsi="宋体" w:cs="宋体"/>
          <w:b/>
          <w:color w:val="auto"/>
          <w:sz w:val="32"/>
          <w:szCs w:val="32"/>
          <w:highlight w:val="none"/>
        </w:rPr>
      </w:pPr>
    </w:p>
    <w:p w14:paraId="6E4B70A6">
      <w:pPr>
        <w:pStyle w:val="24"/>
        <w:rPr>
          <w:rFonts w:ascii="宋体" w:hAnsi="宋体" w:cs="宋体"/>
          <w:b/>
          <w:color w:val="auto"/>
          <w:sz w:val="32"/>
          <w:szCs w:val="32"/>
          <w:highlight w:val="none"/>
        </w:rPr>
      </w:pPr>
    </w:p>
    <w:p w14:paraId="1F5D0F83">
      <w:pPr>
        <w:spacing w:line="440" w:lineRule="exact"/>
        <w:jc w:val="center"/>
        <w:outlineLvl w:val="0"/>
        <w:rPr>
          <w:rFonts w:ascii="宋体" w:hAnsi="宋体" w:cs="宋体"/>
          <w:b/>
          <w:color w:val="auto"/>
          <w:sz w:val="32"/>
          <w:szCs w:val="32"/>
          <w:highlight w:val="none"/>
        </w:rPr>
      </w:pPr>
    </w:p>
    <w:p w14:paraId="21474FC6">
      <w:pPr>
        <w:spacing w:line="440" w:lineRule="exact"/>
        <w:jc w:val="center"/>
        <w:outlineLvl w:val="0"/>
        <w:rPr>
          <w:rFonts w:ascii="宋体" w:hAnsi="宋体" w:cs="宋体"/>
          <w:b/>
          <w:color w:val="auto"/>
          <w:sz w:val="32"/>
          <w:szCs w:val="32"/>
          <w:highlight w:val="none"/>
        </w:rPr>
      </w:pPr>
    </w:p>
    <w:p w14:paraId="461E34CD">
      <w:pPr>
        <w:spacing w:line="440" w:lineRule="exact"/>
        <w:jc w:val="center"/>
        <w:outlineLvl w:val="0"/>
        <w:rPr>
          <w:rFonts w:ascii="宋体" w:hAnsi="宋体" w:cs="宋体"/>
          <w:b/>
          <w:color w:val="auto"/>
          <w:sz w:val="32"/>
          <w:szCs w:val="32"/>
          <w:highlight w:val="none"/>
        </w:rPr>
      </w:pPr>
    </w:p>
    <w:p w14:paraId="407AF7E9">
      <w:pPr>
        <w:spacing w:line="440" w:lineRule="exact"/>
        <w:jc w:val="center"/>
        <w:outlineLvl w:val="0"/>
        <w:rPr>
          <w:rFonts w:ascii="宋体" w:hAnsi="宋体"/>
          <w:color w:val="auto"/>
          <w:sz w:val="32"/>
          <w:szCs w:val="32"/>
          <w:highlight w:val="none"/>
        </w:rPr>
      </w:pPr>
      <w:r>
        <w:rPr>
          <w:rFonts w:hint="eastAsia" w:ascii="宋体" w:hAnsi="宋体" w:cs="宋体"/>
          <w:b/>
          <w:color w:val="auto"/>
          <w:sz w:val="32"/>
          <w:szCs w:val="32"/>
          <w:highlight w:val="none"/>
        </w:rPr>
        <w:t>第六章</w:t>
      </w:r>
      <w:r>
        <w:rPr>
          <w:rFonts w:hint="eastAsia" w:ascii="Times New Roman" w:hAnsi="Courier New"/>
          <w:b/>
          <w:color w:val="auto"/>
          <w:sz w:val="32"/>
          <w:szCs w:val="32"/>
          <w:highlight w:val="none"/>
        </w:rPr>
        <w:t xml:space="preserve">  </w:t>
      </w:r>
      <w:r>
        <w:rPr>
          <w:rFonts w:hint="eastAsia" w:ascii="宋体" w:hAnsi="宋体" w:cs="宋体"/>
          <w:b/>
          <w:color w:val="auto"/>
          <w:sz w:val="32"/>
          <w:szCs w:val="32"/>
          <w:highlight w:val="none"/>
        </w:rPr>
        <w:t>竞争性磋商响应文件格式</w:t>
      </w:r>
      <w:r>
        <w:rPr>
          <w:rFonts w:hint="eastAsia" w:ascii="宋体" w:hAnsi="宋体"/>
          <w:color w:val="auto"/>
          <w:sz w:val="32"/>
          <w:szCs w:val="32"/>
          <w:highlight w:val="none"/>
        </w:rPr>
        <w:t xml:space="preserve"> </w:t>
      </w:r>
    </w:p>
    <w:p w14:paraId="415653CC">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126A1B4">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DACB7BA">
      <w:pPr>
        <w:autoSpaceDE w:val="0"/>
        <w:autoSpaceDN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本章节仅提供部分竞争性磋商响应文件格式，未提供部分由竞标人根据自身实际情况编制</w:t>
      </w:r>
    </w:p>
    <w:p w14:paraId="70F5D7A9">
      <w:pPr>
        <w:widowControl/>
        <w:jc w:val="left"/>
        <w:rPr>
          <w:rFonts w:ascii="宋体" w:hAnsi="宋体" w:cs="宋体"/>
          <w:color w:val="auto"/>
          <w:highlight w:val="none"/>
        </w:rPr>
      </w:pPr>
      <w:r>
        <w:rPr>
          <w:rFonts w:hint="eastAsia" w:ascii="宋体" w:hAnsi="宋体" w:cs="宋体"/>
          <w:color w:val="auto"/>
          <w:highlight w:val="none"/>
        </w:rPr>
        <w:br w:type="page"/>
      </w:r>
    </w:p>
    <w:p w14:paraId="6213AEA6">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（竞争性磋商响应文件封面格式）</w:t>
      </w:r>
    </w:p>
    <w:p w14:paraId="6E53B140">
      <w:pPr>
        <w:jc w:val="center"/>
        <w:rPr>
          <w:rFonts w:ascii="宋体" w:hAnsi="宋体"/>
          <w:color w:val="auto"/>
          <w:sz w:val="36"/>
          <w:szCs w:val="36"/>
          <w:highlight w:val="none"/>
        </w:rPr>
      </w:pPr>
      <w:r>
        <w:rPr>
          <w:rFonts w:hint="eastAsia" w:ascii="宋体" w:hAnsi="宋体"/>
          <w:color w:val="auto"/>
          <w:sz w:val="36"/>
          <w:szCs w:val="36"/>
          <w:highlight w:val="none"/>
        </w:rPr>
        <w:t xml:space="preserve"> </w:t>
      </w:r>
    </w:p>
    <w:p w14:paraId="51B44F61">
      <w:pPr>
        <w:autoSpaceDE w:val="0"/>
        <w:autoSpaceDN w:val="0"/>
        <w:spacing w:before="37" w:line="410" w:lineRule="auto"/>
        <w:ind w:left="420"/>
        <w:jc w:val="left"/>
        <w:outlineLvl w:val="1"/>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32857E1D">
      <w:pPr>
        <w:jc w:val="center"/>
        <w:rPr>
          <w:rFonts w:ascii="宋体" w:hAnsi="宋体"/>
          <w:b/>
          <w:color w:val="auto"/>
          <w:spacing w:val="200"/>
          <w:sz w:val="52"/>
          <w:szCs w:val="52"/>
          <w:highlight w:val="none"/>
        </w:rPr>
      </w:pPr>
      <w:r>
        <w:rPr>
          <w:rFonts w:hint="eastAsia" w:ascii="宋体" w:hAnsi="宋体" w:cs="宋体"/>
          <w:b/>
          <w:color w:val="auto"/>
          <w:spacing w:val="200"/>
          <w:sz w:val="52"/>
          <w:szCs w:val="52"/>
          <w:highlight w:val="none"/>
        </w:rPr>
        <w:t>竞争性磋商响应文件</w:t>
      </w:r>
    </w:p>
    <w:p w14:paraId="00D200D1">
      <w:pPr>
        <w:autoSpaceDE w:val="0"/>
        <w:autoSpaceDN w:val="0"/>
        <w:spacing w:before="37" w:line="410" w:lineRule="auto"/>
        <w:ind w:left="420"/>
        <w:jc w:val="center"/>
        <w:outlineLvl w:val="1"/>
        <w:rPr>
          <w:rFonts w:ascii="宋体" w:hAnsi="宋体"/>
          <w:b/>
          <w:bCs/>
          <w:color w:val="auto"/>
          <w:sz w:val="48"/>
          <w:szCs w:val="48"/>
          <w:highlight w:val="none"/>
        </w:rPr>
      </w:pPr>
      <w:r>
        <w:rPr>
          <w:rFonts w:hint="eastAsia" w:ascii="宋体" w:hAnsi="宋体"/>
          <w:b/>
          <w:bCs/>
          <w:color w:val="auto"/>
          <w:sz w:val="48"/>
          <w:szCs w:val="48"/>
          <w:highlight w:val="none"/>
        </w:rPr>
        <w:t xml:space="preserve"> </w:t>
      </w:r>
    </w:p>
    <w:p w14:paraId="4F3C1585">
      <w:pPr>
        <w:autoSpaceDE w:val="0"/>
        <w:autoSpaceDN w:val="0"/>
        <w:spacing w:before="37" w:line="410" w:lineRule="auto"/>
        <w:ind w:left="420"/>
        <w:jc w:val="center"/>
        <w:outlineLvl w:val="1"/>
        <w:rPr>
          <w:rFonts w:ascii="宋体" w:hAnsi="宋体"/>
          <w:b/>
          <w:bCs/>
          <w:color w:val="auto"/>
          <w:sz w:val="48"/>
          <w:szCs w:val="48"/>
          <w:highlight w:val="none"/>
        </w:rPr>
      </w:pPr>
      <w:r>
        <w:rPr>
          <w:rFonts w:hint="eastAsia" w:ascii="宋体" w:hAnsi="宋体"/>
          <w:b/>
          <w:bCs/>
          <w:color w:val="auto"/>
          <w:sz w:val="48"/>
          <w:szCs w:val="48"/>
          <w:highlight w:val="none"/>
        </w:rPr>
        <w:t xml:space="preserve"> </w:t>
      </w:r>
    </w:p>
    <w:p w14:paraId="63186F90">
      <w:pPr>
        <w:autoSpaceDE w:val="0"/>
        <w:autoSpaceDN w:val="0"/>
        <w:spacing w:before="37" w:line="410" w:lineRule="auto"/>
        <w:ind w:left="2126" w:leftChars="269" w:hanging="1561" w:hangingChars="486"/>
        <w:jc w:val="left"/>
        <w:outlineLvl w:val="1"/>
        <w:rPr>
          <w:rFonts w:hint="eastAsia" w:ascii="宋体" w:hAnsi="宋体" w:cs="宋体"/>
          <w:b/>
          <w:bCs/>
          <w:color w:val="auto"/>
          <w:sz w:val="32"/>
          <w:szCs w:val="32"/>
          <w:highlight w:val="none"/>
          <w:u w:val="single"/>
          <w:lang w:eastAsia="zh-CN"/>
        </w:rPr>
      </w:pPr>
      <w:bookmarkStart w:id="1" w:name="_Toc498503730"/>
      <w:bookmarkEnd w:id="1"/>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eastAsia="zh-CN"/>
        </w:rPr>
        <w:t>梧州市公安局交通警察支队无人机智慧机场服务项目</w:t>
      </w:r>
    </w:p>
    <w:p w14:paraId="633C53B8">
      <w:pPr>
        <w:autoSpaceDE w:val="0"/>
        <w:autoSpaceDN w:val="0"/>
        <w:spacing w:before="37" w:line="410" w:lineRule="auto"/>
        <w:ind w:left="2029" w:leftChars="269" w:hanging="1464" w:hangingChars="486"/>
        <w:jc w:val="left"/>
        <w:outlineLvl w:val="1"/>
        <w:rPr>
          <w:rFonts w:hint="eastAsia" w:ascii="宋体" w:hAnsi="宋体" w:eastAsia="宋体" w:cs="宋体"/>
          <w:b/>
          <w:color w:val="auto"/>
          <w:spacing w:val="-10"/>
          <w:sz w:val="32"/>
          <w:szCs w:val="32"/>
          <w:highlight w:val="none"/>
          <w:u w:val="single"/>
          <w:lang w:eastAsia="zh-CN"/>
        </w:rPr>
      </w:pPr>
      <w:r>
        <w:rPr>
          <w:rFonts w:hint="eastAsia" w:ascii="宋体" w:hAnsi="宋体" w:cs="宋体"/>
          <w:b/>
          <w:color w:val="auto"/>
          <w:spacing w:val="-10"/>
          <w:sz w:val="32"/>
          <w:szCs w:val="32"/>
          <w:highlight w:val="none"/>
        </w:rPr>
        <w:t>项目编号：</w:t>
      </w:r>
      <w:r>
        <w:rPr>
          <w:rFonts w:hint="eastAsia" w:ascii="宋体" w:hAnsi="宋体" w:cs="宋体"/>
          <w:b/>
          <w:color w:val="auto"/>
          <w:spacing w:val="-10"/>
          <w:sz w:val="32"/>
          <w:szCs w:val="32"/>
          <w:highlight w:val="none"/>
          <w:u w:val="single"/>
        </w:rPr>
        <w:t xml:space="preserve">  </w:t>
      </w:r>
      <w:r>
        <w:rPr>
          <w:rFonts w:hint="eastAsia" w:ascii="宋体" w:hAnsi="宋体" w:cs="宋体"/>
          <w:b/>
          <w:color w:val="auto"/>
          <w:spacing w:val="-10"/>
          <w:sz w:val="32"/>
          <w:szCs w:val="32"/>
          <w:highlight w:val="none"/>
          <w:u w:val="single"/>
          <w:lang w:eastAsia="zh-CN"/>
        </w:rPr>
        <w:t>WZZC2025-C3-990013-GXJL</w:t>
      </w:r>
    </w:p>
    <w:p w14:paraId="4954B2FE">
      <w:pPr>
        <w:pStyle w:val="8"/>
        <w:ind w:left="0"/>
        <w:rPr>
          <w:color w:val="auto"/>
          <w:highlight w:val="none"/>
        </w:rPr>
      </w:pPr>
    </w:p>
    <w:p w14:paraId="4D3B9FAC">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7D7B02C3">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14096C59">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3FD745BA">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32AA97BC">
      <w:pPr>
        <w:rPr>
          <w:rFonts w:ascii="宋体" w:hAnsi="宋体"/>
          <w:b/>
          <w:color w:val="auto"/>
          <w:sz w:val="32"/>
          <w:szCs w:val="32"/>
          <w:highlight w:val="none"/>
          <w:u w:val="single"/>
        </w:rPr>
      </w:pPr>
      <w:r>
        <w:rPr>
          <w:rFonts w:hint="eastAsia" w:ascii="宋体" w:hAnsi="宋体"/>
          <w:b/>
          <w:color w:val="auto"/>
          <w:sz w:val="32"/>
          <w:szCs w:val="32"/>
          <w:highlight w:val="none"/>
          <w:u w:val="single"/>
        </w:rPr>
        <w:t xml:space="preserve"> </w:t>
      </w:r>
    </w:p>
    <w:p w14:paraId="39E7F496">
      <w:pPr>
        <w:spacing w:line="1000" w:lineRule="exact"/>
        <w:ind w:firstLine="472" w:firstLineChars="147"/>
        <w:rPr>
          <w:rFonts w:ascii="宋体" w:hAnsi="宋体"/>
          <w:b/>
          <w:color w:val="auto"/>
          <w:sz w:val="32"/>
          <w:szCs w:val="32"/>
          <w:highlight w:val="none"/>
          <w:u w:val="single"/>
        </w:rPr>
      </w:pPr>
      <w:r>
        <w:rPr>
          <w:rFonts w:hint="eastAsia" w:ascii="宋体" w:hAnsi="宋体" w:cs="宋体"/>
          <w:b/>
          <w:color w:val="auto"/>
          <w:sz w:val="32"/>
          <w:szCs w:val="32"/>
          <w:highlight w:val="none"/>
        </w:rPr>
        <w:t>竞标人：</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u w:val="single"/>
        </w:rPr>
        <w:t>（名称加盖单位公章）</w:t>
      </w:r>
    </w:p>
    <w:p w14:paraId="1F075A00">
      <w:pPr>
        <w:spacing w:line="1000" w:lineRule="exact"/>
        <w:ind w:firstLine="472" w:firstLineChars="147"/>
        <w:rPr>
          <w:rFonts w:ascii="宋体" w:hAnsi="宋体"/>
          <w:b/>
          <w:color w:val="auto"/>
          <w:sz w:val="32"/>
          <w:szCs w:val="32"/>
          <w:highlight w:val="none"/>
        </w:rPr>
      </w:pPr>
      <w:r>
        <w:rPr>
          <w:rFonts w:hint="eastAsia" w:ascii="宋体" w:hAnsi="宋体" w:cs="宋体"/>
          <w:b/>
          <w:color w:val="auto"/>
          <w:sz w:val="32"/>
          <w:szCs w:val="32"/>
          <w:highlight w:val="none"/>
        </w:rPr>
        <w:t>法定代表人(主要负责人)或其委托代理人：</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u w:val="single"/>
        </w:rPr>
        <w:t>（签名）</w:t>
      </w:r>
    </w:p>
    <w:p w14:paraId="7AC761FD">
      <w:pPr>
        <w:ind w:firstLine="482" w:firstLineChars="150"/>
        <w:rPr>
          <w:rFonts w:ascii="宋体" w:hAnsi="宋体"/>
          <w:b/>
          <w:color w:val="auto"/>
          <w:sz w:val="32"/>
          <w:szCs w:val="32"/>
          <w:highlight w:val="none"/>
        </w:rPr>
      </w:pPr>
      <w:r>
        <w:rPr>
          <w:rFonts w:hint="eastAsia" w:ascii="宋体" w:hAnsi="宋体"/>
          <w:b/>
          <w:color w:val="auto"/>
          <w:sz w:val="32"/>
          <w:szCs w:val="32"/>
          <w:highlight w:val="none"/>
        </w:rPr>
        <w:t xml:space="preserve"> </w:t>
      </w:r>
    </w:p>
    <w:p w14:paraId="7BAF4920">
      <w:pPr>
        <w:jc w:val="center"/>
        <w:rPr>
          <w:rFonts w:ascii="宋体" w:hAnsi="宋体"/>
          <w:b/>
          <w:color w:val="auto"/>
          <w:sz w:val="32"/>
          <w:szCs w:val="32"/>
          <w:highlight w:val="none"/>
        </w:rPr>
      </w:pPr>
      <w:r>
        <w:rPr>
          <w:rFonts w:hint="eastAsia" w:ascii="宋体" w:hAnsi="宋体" w:cs="宋体"/>
          <w:b/>
          <w:color w:val="auto"/>
          <w:sz w:val="32"/>
          <w:szCs w:val="32"/>
          <w:highlight w:val="none"/>
        </w:rPr>
        <w:t>日期：</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日</w:t>
      </w:r>
    </w:p>
    <w:p w14:paraId="465A8A20">
      <w:pPr>
        <w:widowControl/>
        <w:jc w:val="left"/>
        <w:rPr>
          <w:rFonts w:ascii="宋体" w:hAnsi="宋体" w:cs="宋体"/>
          <w:color w:val="auto"/>
          <w:highlight w:val="none"/>
        </w:rPr>
      </w:pPr>
      <w:r>
        <w:rPr>
          <w:rFonts w:hint="eastAsia" w:ascii="宋体" w:hAnsi="宋体" w:cs="宋体"/>
          <w:color w:val="auto"/>
          <w:highlight w:val="none"/>
        </w:rPr>
        <w:br w:type="page"/>
      </w:r>
    </w:p>
    <w:p w14:paraId="25D1733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竞争性磋商响应文件的组成：竞争性磋商响应文件以下文件组成（如未提供必须提供的文件，磋商小组有权拒绝其竞争性磋商响应文件）： </w:t>
      </w:r>
    </w:p>
    <w:p w14:paraId="253E298B">
      <w:pPr>
        <w:autoSpaceDE w:val="0"/>
        <w:autoSpaceDN w:val="0"/>
        <w:spacing w:line="400" w:lineRule="exact"/>
        <w:ind w:firstLine="442" w:firstLineChars="200"/>
        <w:jc w:val="left"/>
        <w:rPr>
          <w:rFonts w:ascii="宋体" w:hAnsi="宋体" w:cs="宋体"/>
          <w:b/>
          <w:color w:val="auto"/>
          <w:sz w:val="22"/>
          <w:highlight w:val="none"/>
        </w:rPr>
      </w:pPr>
      <w:r>
        <w:rPr>
          <w:rFonts w:ascii="宋体" w:hAnsi="宋体" w:cs="宋体"/>
          <w:b/>
          <w:color w:val="auto"/>
          <w:sz w:val="22"/>
          <w:highlight w:val="none"/>
        </w:rPr>
        <w:t>价格文件：</w:t>
      </w:r>
    </w:p>
    <w:p w14:paraId="082B459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（1）磋商报价表（必须提供，否则竞标无效）；</w:t>
      </w:r>
    </w:p>
    <w:p w14:paraId="13910364">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（2）供应商针对报价需要说明的其他文件和说明（格式自拟；</w:t>
      </w:r>
      <w:r>
        <w:rPr>
          <w:rFonts w:hint="eastAsia" w:ascii="宋体" w:hAnsi="宋体" w:cs="宋体"/>
          <w:color w:val="auto"/>
          <w:highlight w:val="none"/>
        </w:rPr>
        <w:t>如有，请提供并加盖单位公章</w:t>
      </w:r>
      <w:r>
        <w:rPr>
          <w:rFonts w:ascii="宋体" w:hAnsi="宋体" w:cs="宋体"/>
          <w:color w:val="auto"/>
          <w:highlight w:val="none"/>
        </w:rPr>
        <w:t>）</w:t>
      </w:r>
    </w:p>
    <w:p w14:paraId="7C8C4221">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（3）符合政府采购政策价格扣除证明材料：</w:t>
      </w:r>
    </w:p>
    <w:p w14:paraId="24861AF2">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①符合小型、微型企业政府采购政策证明材料（非小型、微型企业无需填写或提供，如提供则须按格式提供）；</w:t>
      </w:r>
    </w:p>
    <w:p w14:paraId="5C3DA9BD">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②属监狱企业的，请提供由省级以上监狱管理局、戒毒管理局（含新疆生产建设兵团）出具的属于监狱企业的证明文件（非监狱企业无需提供）；</w:t>
      </w:r>
    </w:p>
    <w:p w14:paraId="56FCE855">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③残疾人福利性单位须提供《残疾人福利性单位声明函》（格式见附件，非残疾人福利性单位无需提供；如提供，则须按格式提供）</w:t>
      </w:r>
    </w:p>
    <w:p w14:paraId="781F6349">
      <w:pPr>
        <w:autoSpaceDE w:val="0"/>
        <w:autoSpaceDN w:val="0"/>
        <w:spacing w:line="40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商务技术文件（内容包含资格审查资料、商务文件、技术文件）</w:t>
      </w:r>
    </w:p>
    <w:p w14:paraId="08D41946">
      <w:pPr>
        <w:widowControl/>
        <w:snapToGrid w:val="0"/>
        <w:spacing w:line="400" w:lineRule="exact"/>
        <w:ind w:firstLine="482" w:firstLineChars="200"/>
        <w:textAlignment w:val="baseline"/>
        <w:rPr>
          <w:rFonts w:hint="eastAsia"/>
          <w:color w:val="auto"/>
          <w:highlight w:val="none"/>
        </w:rPr>
      </w:pPr>
      <w:r>
        <w:rPr>
          <w:rFonts w:ascii="仿宋" w:hAnsi="仿宋" w:eastAsia="仿宋"/>
          <w:b/>
          <w:color w:val="auto"/>
          <w:sz w:val="24"/>
          <w:szCs w:val="22"/>
          <w:highlight w:val="none"/>
        </w:rPr>
        <w:t>（一）资格审查资料</w:t>
      </w:r>
    </w:p>
    <w:p w14:paraId="57DC312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（1）竞标函（必须提供，否则竞标无效）</w:t>
      </w:r>
    </w:p>
    <w:p w14:paraId="13D68495">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color w:val="auto"/>
          <w:szCs w:val="21"/>
          <w:highlight w:val="none"/>
        </w:rPr>
        <w:t>供应商的法人</w:t>
      </w:r>
      <w:r>
        <w:rPr>
          <w:rFonts w:hint="eastAsia"/>
          <w:color w:val="auto"/>
          <w:szCs w:val="21"/>
          <w:highlight w:val="none"/>
        </w:rPr>
        <w:t>（</w:t>
      </w:r>
      <w:r>
        <w:rPr>
          <w:color w:val="auto"/>
          <w:szCs w:val="21"/>
          <w:highlight w:val="none"/>
        </w:rPr>
        <w:t>负责人</w:t>
      </w:r>
      <w:r>
        <w:rPr>
          <w:rFonts w:hint="eastAsia"/>
          <w:color w:val="auto"/>
          <w:szCs w:val="21"/>
          <w:highlight w:val="none"/>
        </w:rPr>
        <w:t>）</w:t>
      </w:r>
      <w:r>
        <w:rPr>
          <w:color w:val="auto"/>
          <w:szCs w:val="21"/>
          <w:highlight w:val="none"/>
        </w:rPr>
        <w:t>或者其他组织营业执照等证明文件复印件</w:t>
      </w:r>
      <w:r>
        <w:rPr>
          <w:b/>
          <w:color w:val="auto"/>
          <w:szCs w:val="21"/>
          <w:highlight w:val="none"/>
        </w:rPr>
        <w:t>（</w:t>
      </w:r>
      <w:r>
        <w:rPr>
          <w:rFonts w:hint="eastAsia" w:ascii="宋体" w:hAnsi="宋体" w:cs="宋体"/>
          <w:color w:val="auto"/>
          <w:highlight w:val="none"/>
        </w:rPr>
        <w:t>必须提供，否则竞标无效</w:t>
      </w:r>
      <w:r>
        <w:rPr>
          <w:rFonts w:hint="eastAsia" w:ascii="宋体" w:hAnsi="宋体" w:cs="宋体"/>
          <w:color w:val="auto"/>
          <w:highlight w:val="none"/>
          <w:lang w:eastAsia="zh-CN"/>
        </w:rPr>
        <w:t>。</w:t>
      </w:r>
      <w:r>
        <w:rPr>
          <w:rFonts w:hint="eastAsia" w:ascii="宋体" w:hAnsi="宋体" w:cs="宋体"/>
          <w:color w:val="auto"/>
          <w:highlight w:val="none"/>
        </w:rPr>
        <w:t>自然人除外）；</w:t>
      </w:r>
    </w:p>
    <w:p w14:paraId="715ECD28">
      <w:pPr>
        <w:tabs>
          <w:tab w:val="left" w:pos="1305"/>
        </w:tabs>
        <w:spacing w:line="400" w:lineRule="exact"/>
        <w:ind w:firstLine="422" w:firstLineChars="200"/>
        <w:rPr>
          <w:rFonts w:ascii="宋体" w:hAnsi="宋体" w:cs="宋体"/>
          <w:color w:val="auto"/>
          <w:highlight w:val="none"/>
        </w:rPr>
      </w:pPr>
      <w:r>
        <w:rPr>
          <w:b/>
          <w:color w:val="auto"/>
          <w:szCs w:val="21"/>
          <w:highlight w:val="none"/>
        </w:rPr>
        <w:t>注：</w:t>
      </w:r>
      <w:r>
        <w:rPr>
          <w:rFonts w:hint="eastAsia" w:ascii="宋体" w:hAnsi="宋体" w:cs="宋体"/>
          <w:b/>
          <w:color w:val="auto"/>
          <w:szCs w:val="21"/>
          <w:highlight w:val="none"/>
        </w:rPr>
        <w:t>①</w:t>
      </w:r>
      <w:r>
        <w:rPr>
          <w:b/>
          <w:color w:val="auto"/>
          <w:szCs w:val="21"/>
          <w:highlight w:val="none"/>
        </w:rPr>
        <w:t>法人包括企业法人、</w:t>
      </w:r>
      <w:r>
        <w:rPr>
          <w:color w:val="auto"/>
          <w:szCs w:val="21"/>
          <w:highlight w:val="none"/>
        </w:rPr>
        <w:t>负责人</w:t>
      </w:r>
      <w:r>
        <w:rPr>
          <w:rFonts w:hint="eastAsia"/>
          <w:color w:val="auto"/>
          <w:szCs w:val="21"/>
          <w:highlight w:val="none"/>
        </w:rPr>
        <w:t>、</w:t>
      </w:r>
      <w:r>
        <w:rPr>
          <w:b/>
          <w:color w:val="auto"/>
          <w:szCs w:val="21"/>
          <w:highlight w:val="none"/>
        </w:rPr>
        <w:t>机关法人、事业单位法人和社会团体法人；其他组织主要包括合伙企业、非企业专业服务机构、个体工商户、农村承包经营户。</w:t>
      </w:r>
      <w:r>
        <w:rPr>
          <w:rFonts w:hint="eastAsia" w:ascii="宋体" w:hAnsi="宋体" w:cs="宋体"/>
          <w:b/>
          <w:color w:val="auto"/>
          <w:szCs w:val="21"/>
          <w:highlight w:val="none"/>
        </w:rPr>
        <w:t>②</w:t>
      </w:r>
      <w:r>
        <w:rPr>
          <w:b/>
          <w:color w:val="auto"/>
          <w:szCs w:val="21"/>
          <w:highlight w:val="none"/>
        </w:rPr>
        <w:t>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0666E52">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3）磋商供应商最近半年内任意连续三个月的依法缴纳税收或者依法减免缴纳税费的证明复印件（若为新成立的，请根据实际情况提供。） [复印件加盖单位公章，必须提供,否则竞标无效]；</w:t>
      </w:r>
    </w:p>
    <w:p w14:paraId="65B100A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响应文件递交竞标供应商最近半年内任意连续三个月的依法缴纳社会保障资金或者依法免缴社会保障资金证明复印件[必须提供]（以社保部门或税局出具的参保证明或缴纳证明复印件或免参保证明复印件为准；若为新成立的，请根据实际情况提供。） [复印件加盖单位公章，必须提供,否则竞标无效。]</w:t>
      </w:r>
    </w:p>
    <w:p w14:paraId="26B7D149">
      <w:pPr>
        <w:pStyle w:val="9"/>
        <w:spacing w:line="400" w:lineRule="exact"/>
        <w:ind w:firstLine="400" w:firstLineChars="200"/>
        <w:rPr>
          <w:rFonts w:ascii="宋体" w:hAnsi="宋体" w:cs="宋体"/>
          <w:color w:val="auto"/>
          <w:highlight w:val="none"/>
        </w:rPr>
      </w:pPr>
      <w:r>
        <w:rPr>
          <w:rFonts w:hint="eastAsia" w:ascii="宋体" w:hAnsi="宋体" w:cs="宋体"/>
          <w:color w:val="auto"/>
          <w:highlight w:val="none"/>
        </w:rPr>
        <w:t>（5）供应商财务状况报告</w:t>
      </w:r>
      <w:r>
        <w:rPr>
          <w:rFonts w:hint="eastAsia" w:ascii="宋体" w:hAnsi="宋体" w:cs="宋体"/>
          <w:color w:val="auto"/>
          <w:highlight w:val="none"/>
          <w:lang w:eastAsia="zh-CN"/>
        </w:rPr>
        <w:t>：</w:t>
      </w:r>
      <w:r>
        <w:rPr>
          <w:rFonts w:hint="eastAsia" w:cs="宋体"/>
          <w:bCs/>
          <w:szCs w:val="21"/>
          <w:highlight w:val="none"/>
        </w:rPr>
        <w:t>投标人上年度</w:t>
      </w:r>
      <w:r>
        <w:rPr>
          <w:rFonts w:hint="eastAsia" w:cs="宋体"/>
          <w:bCs/>
          <w:szCs w:val="21"/>
          <w:highlight w:val="none"/>
          <w:lang w:eastAsia="zh-CN"/>
        </w:rPr>
        <w:t>的财务报</w:t>
      </w:r>
      <w:r>
        <w:rPr>
          <w:rFonts w:hint="eastAsia" w:cs="宋体"/>
          <w:bCs/>
          <w:szCs w:val="21"/>
          <w:highlight w:val="none"/>
          <w:lang w:val="en-US" w:eastAsia="zh-CN"/>
        </w:rPr>
        <w:t>表</w:t>
      </w:r>
      <w:r>
        <w:rPr>
          <w:rFonts w:hint="eastAsia" w:cs="宋体"/>
          <w:bCs/>
          <w:szCs w:val="21"/>
          <w:highlight w:val="none"/>
          <w:lang w:eastAsia="zh-CN"/>
        </w:rPr>
        <w:t>，新企业提供近3个月的财务报表（</w:t>
      </w:r>
      <w:r>
        <w:rPr>
          <w:rFonts w:hint="eastAsia" w:cs="宋体"/>
          <w:bCs/>
          <w:szCs w:val="21"/>
          <w:highlight w:val="none"/>
          <w:lang w:val="en-US" w:eastAsia="zh-CN"/>
        </w:rPr>
        <w:t>不足3个月的新企业，以新成立时间至投标月止</w:t>
      </w:r>
      <w:r>
        <w:rPr>
          <w:rFonts w:hint="eastAsia" w:cs="宋体"/>
          <w:bCs/>
          <w:szCs w:val="21"/>
          <w:highlight w:val="none"/>
          <w:lang w:eastAsia="zh-CN"/>
        </w:rPr>
        <w:t>）</w:t>
      </w:r>
      <w:r>
        <w:rPr>
          <w:rFonts w:hint="eastAsia" w:ascii="宋体" w:hAnsi="宋体" w:cs="宋体"/>
          <w:color w:val="auto"/>
          <w:highlight w:val="none"/>
        </w:rPr>
        <w:t>；（必须提供，否则响应文件按无效响应处理）</w:t>
      </w:r>
    </w:p>
    <w:p w14:paraId="1A8B8A9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（6）法定代表人授权书原件（委托代理时必须提供）；</w:t>
      </w:r>
    </w:p>
    <w:p w14:paraId="49C1963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（7）法定代表人身份证（正反面复印件）；(必须提供，加盖单位公章，否则竞标无效)</w:t>
      </w:r>
    </w:p>
    <w:p w14:paraId="0634315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（8）无重大违法记录声明书（必须提供，加盖单位公章，否则竞标无效）；</w:t>
      </w:r>
    </w:p>
    <w:p w14:paraId="713F69B6">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9）磋商</w:t>
      </w:r>
      <w:r>
        <w:rPr>
          <w:rFonts w:ascii="宋体" w:hAnsi="宋体" w:cs="宋体"/>
          <w:color w:val="auto"/>
          <w:highlight w:val="none"/>
        </w:rPr>
        <w:t>文件要求的其他资格证明材料。（</w:t>
      </w:r>
      <w:r>
        <w:rPr>
          <w:rFonts w:hint="eastAsia" w:ascii="宋体" w:hAnsi="宋体" w:cs="宋体"/>
          <w:color w:val="auto"/>
          <w:highlight w:val="none"/>
        </w:rPr>
        <w:t>如有，请提供并加盖单位公章</w:t>
      </w:r>
      <w:r>
        <w:rPr>
          <w:rFonts w:ascii="宋体" w:hAnsi="宋体" w:cs="宋体"/>
          <w:color w:val="auto"/>
          <w:highlight w:val="none"/>
        </w:rPr>
        <w:t>）</w:t>
      </w:r>
    </w:p>
    <w:p w14:paraId="179731E1">
      <w:pPr>
        <w:pStyle w:val="9"/>
        <w:spacing w:line="400" w:lineRule="exact"/>
        <w:ind w:firstLine="400" w:firstLineChars="200"/>
        <w:rPr>
          <w:rFonts w:hint="eastAsia" w:eastAsia="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lang w:val="en-US" w:eastAsia="zh-CN" w:bidi="ar-SA"/>
        </w:rPr>
        <w:t>“总公司或省级分公司授权委托书”（当不具备独立法人资格的分支公司或营业部参与本项目投标，应提交具有独立法人资格的上级公司法人或省级机构负责人的授权委托书，详见《授权委托书》(备选)格式。）</w:t>
      </w:r>
      <w:r>
        <w:rPr>
          <w:rFonts w:hint="eastAsia" w:ascii="宋体" w:hAnsi="宋体" w:cs="宋体"/>
          <w:color w:val="auto"/>
          <w:highlight w:val="none"/>
          <w:lang w:eastAsia="zh-CN"/>
        </w:rPr>
        <w:t>。</w:t>
      </w:r>
    </w:p>
    <w:p w14:paraId="68270593">
      <w:pPr>
        <w:widowControl/>
        <w:snapToGrid w:val="0"/>
        <w:spacing w:line="400" w:lineRule="exact"/>
        <w:ind w:firstLine="482" w:firstLineChars="200"/>
        <w:textAlignment w:val="baseline"/>
        <w:rPr>
          <w:rFonts w:hint="eastAsia"/>
          <w:color w:val="auto"/>
          <w:highlight w:val="none"/>
        </w:rPr>
      </w:pPr>
      <w:r>
        <w:rPr>
          <w:rStyle w:val="32"/>
          <w:rFonts w:ascii="仿宋" w:hAnsi="仿宋" w:eastAsia="仿宋"/>
          <w:b/>
          <w:color w:val="auto"/>
          <w:sz w:val="24"/>
          <w:highlight w:val="none"/>
        </w:rPr>
        <w:t>（二）商务文件</w:t>
      </w:r>
    </w:p>
    <w:p w14:paraId="5028E32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（1）竞标保证金交纳证明（银行转账底单、支票、汇票、本票、网上银行或者银行、保险机构出具的保函）复印件加盖单位公章，必须提供,否则竞标无效；</w:t>
      </w:r>
    </w:p>
    <w:p w14:paraId="32FE6E5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供应商类似成功案例的业绩证明［</w:t>
      </w:r>
      <w:r>
        <w:rPr>
          <w:rFonts w:hint="eastAsia" w:ascii="宋体" w:hAnsi="宋体" w:cs="宋体"/>
          <w:color w:val="auto"/>
          <w:highlight w:val="none"/>
        </w:rPr>
        <w:t>如有，请提供并加盖单位公章，</w:t>
      </w:r>
      <w:r>
        <w:rPr>
          <w:rFonts w:ascii="宋体" w:hAnsi="宋体" w:cs="宋体"/>
          <w:color w:val="auto"/>
          <w:highlight w:val="none"/>
        </w:rPr>
        <w:t>以中标（成交）通知书或合同协议书复印件为准］；（格式见附件）</w:t>
      </w:r>
    </w:p>
    <w:p w14:paraId="51E312E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）本竞争性磋商文件要求提供的其他资料和需要说明的问题（如有，请提供并加盖单位公章）；</w:t>
      </w:r>
    </w:p>
    <w:p w14:paraId="779FCE7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eastAsia="zh-CN"/>
        </w:rPr>
        <w:t>项目需求一览表</w:t>
      </w:r>
      <w:r>
        <w:rPr>
          <w:rFonts w:hint="eastAsia" w:ascii="宋体" w:hAnsi="宋体" w:cs="宋体"/>
          <w:color w:val="auto"/>
          <w:highlight w:val="none"/>
        </w:rPr>
        <w:t>中需要提供的资料（</w:t>
      </w:r>
      <w:r>
        <w:rPr>
          <w:rFonts w:hint="eastAsia" w:ascii="宋体" w:hAnsi="宋体" w:cs="宋体"/>
          <w:color w:val="auto"/>
          <w:highlight w:val="none"/>
          <w:lang w:eastAsia="zh-CN"/>
        </w:rPr>
        <w:t>项目需求一览表</w:t>
      </w:r>
      <w:r>
        <w:rPr>
          <w:rFonts w:hint="eastAsia" w:ascii="宋体" w:hAnsi="宋体" w:cs="宋体"/>
          <w:color w:val="auto"/>
          <w:highlight w:val="none"/>
        </w:rPr>
        <w:t>中有要求的则必须提供，加盖单位公章，否则竞标无效）；</w:t>
      </w:r>
    </w:p>
    <w:p w14:paraId="0FE5E18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ascii="宋体" w:hAnsi="宋体" w:cs="宋体"/>
          <w:color w:val="auto"/>
          <w:highlight w:val="none"/>
        </w:rPr>
        <w:t>供应商认为需要提供的有关资料及</w:t>
      </w:r>
      <w:r>
        <w:rPr>
          <w:rFonts w:hint="eastAsia" w:ascii="宋体" w:hAnsi="宋体" w:cs="宋体"/>
          <w:color w:val="auto"/>
          <w:highlight w:val="none"/>
        </w:rPr>
        <w:t>其它需要提供的证明材料（如有，请提供并加盖单位公章）。</w:t>
      </w:r>
    </w:p>
    <w:p w14:paraId="562FBEDC">
      <w:pPr>
        <w:autoSpaceDE w:val="0"/>
        <w:autoSpaceDN w:val="0"/>
        <w:spacing w:line="400" w:lineRule="exact"/>
        <w:ind w:firstLine="420" w:firstLineChars="200"/>
        <w:jc w:val="left"/>
        <w:rPr>
          <w:rStyle w:val="32"/>
          <w:rFonts w:hint="eastAsia"/>
          <w:color w:val="auto"/>
          <w:highlight w:val="none"/>
        </w:rPr>
      </w:pPr>
      <w:r>
        <w:rPr>
          <w:rStyle w:val="32"/>
          <w:color w:val="auto"/>
          <w:highlight w:val="none"/>
        </w:rPr>
        <w:t>（三）技术文件</w:t>
      </w:r>
    </w:p>
    <w:p w14:paraId="6E2C164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项目实施方案、</w:t>
      </w:r>
      <w:r>
        <w:rPr>
          <w:rFonts w:hint="eastAsia" w:ascii="宋体" w:hAnsi="宋体" w:eastAsia="宋体" w:cs="Times New Roman"/>
          <w:szCs w:val="21"/>
          <w:highlight w:val="none"/>
          <w:lang w:eastAsia="zh-CN"/>
        </w:rPr>
        <w:t>应急保障方案</w:t>
      </w:r>
      <w:r>
        <w:rPr>
          <w:rFonts w:ascii="宋体" w:hAnsi="宋体" w:cs="宋体"/>
          <w:color w:val="auto"/>
          <w:highlight w:val="none"/>
        </w:rPr>
        <w:t>；（格式自拟，必须提供）</w:t>
      </w:r>
    </w:p>
    <w:p w14:paraId="0C6F7AF3">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技术服务方案</w:t>
      </w:r>
      <w:r>
        <w:rPr>
          <w:rFonts w:hint="eastAsia" w:ascii="宋体" w:hAnsi="宋体" w:cs="宋体"/>
          <w:color w:val="auto"/>
          <w:highlight w:val="none"/>
        </w:rPr>
        <w:t>（格式自拟，必须提供，否则竞标无效）；</w:t>
      </w:r>
    </w:p>
    <w:p w14:paraId="7151ADCB">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szCs w:val="21"/>
          <w:highlight w:val="none"/>
        </w:rPr>
        <w:t>技术要求偏</w:t>
      </w:r>
      <w:r>
        <w:rPr>
          <w:rFonts w:hint="eastAsia" w:ascii="宋体" w:hAnsi="宋体" w:eastAsia="宋体" w:cs="宋体"/>
          <w:szCs w:val="21"/>
          <w:highlight w:val="none"/>
        </w:rPr>
        <w:t>离表（格式后附）；（必须提供，否则响应文件按无效响应处理）</w:t>
      </w:r>
      <w:r>
        <w:rPr>
          <w:rFonts w:hint="eastAsia" w:ascii="宋体" w:hAnsi="宋体" w:eastAsia="宋体" w:cs="宋体"/>
          <w:szCs w:val="21"/>
          <w:highlight w:val="none"/>
          <w:lang w:eastAsia="zh-CN"/>
        </w:rPr>
        <w:t>。</w:t>
      </w:r>
      <w:r>
        <w:rPr>
          <w:rFonts w:hint="eastAsia" w:ascii="宋体" w:hAnsi="宋体" w:cs="宋体"/>
          <w:color w:val="auto"/>
          <w:highlight w:val="none"/>
        </w:rPr>
        <w:t xml:space="preserve"> </w:t>
      </w:r>
    </w:p>
    <w:p w14:paraId="551434AB">
      <w:pPr>
        <w:autoSpaceDE w:val="0"/>
        <w:autoSpaceDN w:val="0"/>
        <w:spacing w:line="40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注：竞标函及磋商报价表、法定代表人授权委托书、技术响应偏离情况说明表、</w:t>
      </w:r>
      <w:r>
        <w:rPr>
          <w:rFonts w:hint="eastAsia" w:ascii="宋体" w:hAnsi="宋体" w:eastAsia="宋体" w:cs="宋体"/>
          <w:b/>
          <w:bCs/>
          <w:color w:val="auto"/>
          <w:highlight w:val="none"/>
        </w:rPr>
        <w:t>服务方案必</w:t>
      </w:r>
      <w:r>
        <w:rPr>
          <w:rFonts w:hint="eastAsia" w:ascii="宋体" w:hAnsi="宋体" w:cs="宋体"/>
          <w:b/>
          <w:bCs/>
          <w:color w:val="auto"/>
          <w:highlight w:val="none"/>
        </w:rPr>
        <w:t>须由法定代表人或授权代表签名（电子投标可用电子法人章代替）并加盖单位公章，否则竞标无效。</w:t>
      </w:r>
    </w:p>
    <w:p w14:paraId="703A143F">
      <w:pPr>
        <w:widowControl/>
        <w:jc w:val="left"/>
        <w:rPr>
          <w:rFonts w:ascii="宋体" w:hAnsi="宋体" w:cs="宋体"/>
          <w:b/>
          <w:color w:val="auto"/>
          <w:sz w:val="28"/>
          <w:szCs w:val="28"/>
          <w:highlight w:val="none"/>
        </w:rPr>
      </w:pPr>
    </w:p>
    <w:p w14:paraId="2DA3B905">
      <w:pPr>
        <w:widowControl/>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附件一</w:t>
      </w:r>
    </w:p>
    <w:p w14:paraId="6B1E603B">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78DE2584">
      <w:pPr>
        <w:jc w:val="center"/>
        <w:rPr>
          <w:rFonts w:ascii="宋体" w:hAnsi="宋体"/>
          <w:b/>
          <w:color w:val="auto"/>
          <w:sz w:val="32"/>
          <w:szCs w:val="32"/>
          <w:highlight w:val="none"/>
        </w:rPr>
      </w:pPr>
      <w:r>
        <w:rPr>
          <w:rFonts w:hint="eastAsia" w:ascii="宋体" w:hAnsi="宋体" w:cs="宋体"/>
          <w:b/>
          <w:color w:val="auto"/>
          <w:sz w:val="32"/>
          <w:szCs w:val="32"/>
          <w:highlight w:val="none"/>
        </w:rPr>
        <w:t>竞标函（格式）</w:t>
      </w:r>
    </w:p>
    <w:p w14:paraId="49C1A0BA">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致：</w:t>
      </w:r>
      <w:r>
        <w:rPr>
          <w:rFonts w:hint="eastAsia" w:ascii="宋体" w:hAnsi="宋体" w:cs="宋体"/>
          <w:color w:val="auto"/>
          <w:highlight w:val="none"/>
          <w:u w:val="single"/>
        </w:rPr>
        <w:t>（采购代理机构名称）</w:t>
      </w:r>
    </w:p>
    <w:p w14:paraId="11FB545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根据贵方</w:t>
      </w:r>
      <w:r>
        <w:rPr>
          <w:rFonts w:hint="eastAsia" w:ascii="宋体" w:hAnsi="宋体"/>
          <w:color w:val="auto"/>
          <w:highlight w:val="none"/>
          <w:u w:val="single"/>
        </w:rPr>
        <w:t xml:space="preserve">                 </w:t>
      </w:r>
      <w:r>
        <w:rPr>
          <w:rFonts w:hint="eastAsia" w:ascii="宋体" w:hAnsi="宋体" w:cs="宋体"/>
          <w:color w:val="auto"/>
          <w:highlight w:val="none"/>
        </w:rPr>
        <w:t>采购项目竞争性磋商采购文件，项目编号</w:t>
      </w:r>
      <w:r>
        <w:rPr>
          <w:rFonts w:hint="eastAsia" w:ascii="宋体" w:hAnsi="宋体"/>
          <w:color w:val="auto"/>
          <w:highlight w:val="none"/>
          <w:u w:val="single"/>
        </w:rPr>
        <w:t xml:space="preserve">               </w:t>
      </w:r>
      <w:r>
        <w:rPr>
          <w:rFonts w:hint="eastAsia" w:ascii="宋体" w:hAnsi="宋体" w:cs="宋体"/>
          <w:color w:val="auto"/>
          <w:highlight w:val="none"/>
        </w:rPr>
        <w:t>，正式授权下述签字人</w:t>
      </w:r>
      <w:r>
        <w:rPr>
          <w:rFonts w:hint="eastAsia" w:ascii="宋体" w:hAnsi="宋体"/>
          <w:color w:val="auto"/>
          <w:highlight w:val="none"/>
          <w:u w:val="single"/>
        </w:rPr>
        <w:t xml:space="preserve">    </w:t>
      </w:r>
      <w:r>
        <w:rPr>
          <w:rFonts w:hint="eastAsia" w:ascii="宋体" w:hAnsi="宋体" w:cs="宋体"/>
          <w:color w:val="auto"/>
          <w:highlight w:val="none"/>
          <w:u w:val="single"/>
        </w:rPr>
        <w:t>（姓名）</w:t>
      </w:r>
      <w:r>
        <w:rPr>
          <w:rFonts w:hint="eastAsia" w:ascii="宋体" w:hAnsi="宋体"/>
          <w:color w:val="auto"/>
          <w:highlight w:val="none"/>
          <w:u w:val="single"/>
        </w:rPr>
        <w:t xml:space="preserve">   </w:t>
      </w:r>
      <w:r>
        <w:rPr>
          <w:rFonts w:hint="eastAsia" w:ascii="宋体" w:hAnsi="宋体" w:cs="宋体"/>
          <w:color w:val="auto"/>
          <w:highlight w:val="none"/>
        </w:rPr>
        <w:t>代表竞标人</w:t>
      </w:r>
      <w:r>
        <w:rPr>
          <w:rFonts w:hint="eastAsia" w:ascii="宋体" w:hAnsi="宋体"/>
          <w:color w:val="auto"/>
          <w:highlight w:val="none"/>
          <w:u w:val="single"/>
        </w:rPr>
        <w:t xml:space="preserve">          </w:t>
      </w:r>
      <w:r>
        <w:rPr>
          <w:rFonts w:hint="eastAsia" w:ascii="宋体" w:hAnsi="宋体" w:cs="宋体"/>
          <w:color w:val="auto"/>
          <w:highlight w:val="none"/>
          <w:u w:val="single"/>
        </w:rPr>
        <w:t>（竞标单位名称）</w:t>
      </w:r>
      <w:r>
        <w:rPr>
          <w:rFonts w:hint="eastAsia" w:ascii="宋体" w:hAnsi="宋体"/>
          <w:color w:val="auto"/>
          <w:highlight w:val="none"/>
          <w:u w:val="single"/>
        </w:rPr>
        <w:t xml:space="preserve">        </w:t>
      </w:r>
      <w:r>
        <w:rPr>
          <w:rFonts w:hint="eastAsia" w:ascii="宋体" w:hAnsi="宋体" w:cs="宋体"/>
          <w:color w:val="auto"/>
          <w:highlight w:val="none"/>
        </w:rPr>
        <w:t>，提交下述文件。</w:t>
      </w:r>
    </w:p>
    <w:p w14:paraId="3FBD8DA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一、竞标函</w:t>
      </w:r>
    </w:p>
    <w:p w14:paraId="6FF3F0A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二、“磋商供应商须知”第5项要求竞标人提交的全部文件。</w:t>
      </w:r>
    </w:p>
    <w:p w14:paraId="3036EDC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据此函，签字人兹宣布同意如下：</w:t>
      </w:r>
    </w:p>
    <w:p w14:paraId="1D82A2B2">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1、我方同意在竞标人须知规定的截标日期起遵循本竞标文件，在磋商供应商须知前附表第5条规定的竞标有效期满之前均具有约束力，并按时到场参加磋商。</w:t>
      </w:r>
    </w:p>
    <w:p w14:paraId="387142B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2、我方承诺已经具备《中华人民共和国政府采购法》中规定的参加政府采购活动的成交单位应当具备的条件：</w:t>
      </w:r>
    </w:p>
    <w:p w14:paraId="75F63562">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（1）具有独立承担民事责任的能力；</w:t>
      </w:r>
    </w:p>
    <w:p w14:paraId="0C27D389">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（2）具有良好的商业信誉和健全的财务会计制度；</w:t>
      </w:r>
    </w:p>
    <w:p w14:paraId="1EBBF823">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（3）具有履行合同所必需的设备和专业技术能力；</w:t>
      </w:r>
    </w:p>
    <w:p w14:paraId="0E94C174">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（4）有依法缴纳税收和社会保障资金的良好记录；</w:t>
      </w:r>
    </w:p>
    <w:p w14:paraId="15D73682">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（5）参加此项采购活动前三年内，在经营活动中没有重大违法记录。</w:t>
      </w:r>
    </w:p>
    <w:p w14:paraId="0A0DEFB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3、我方根据竞争性磋商采购文件的规定，承担完成合同的责任和义务。</w:t>
      </w:r>
    </w:p>
    <w:p w14:paraId="5B1B8314">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4、我方已详细审查全部竞争性磋商采购文件，包括修改文件（如有的话）和有关附件，我方将自行承担因对全部竞争性磋商采购文件理解不正确或误解而产生的相应后果。</w:t>
      </w:r>
    </w:p>
    <w:p w14:paraId="4D30803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5、如果在竞标截止时间后的竞标有效期内撤回竞标或者有其他违约行为，贵方可对我方的竞标保证金不予退还。</w:t>
      </w:r>
    </w:p>
    <w:p w14:paraId="6511B64A">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6、同意向贵方提供贵方可能要求的与本竞标有关的任何数据或资料。</w:t>
      </w:r>
    </w:p>
    <w:p w14:paraId="0A16604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7、若贵方需要，我方愿意提供我方作出的一切承诺的证明材料。</w:t>
      </w:r>
    </w:p>
    <w:p w14:paraId="763F2615">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8、我方将严格遵守《中华人民共和国政府采购法》第七十七条规定，成交单位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402D88C1">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（1）提供虚假材料谋取成交的；</w:t>
      </w:r>
    </w:p>
    <w:p w14:paraId="2FCC9A9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（2）采取不正当手段诋毁、排挤其他竞标单位的；</w:t>
      </w:r>
    </w:p>
    <w:p w14:paraId="41DCB944">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（3）与采购单位、其他竞标单位或者采购代理机构恶意串通的；</w:t>
      </w:r>
    </w:p>
    <w:p w14:paraId="37F52B6F">
      <w:pPr>
        <w:spacing w:line="420" w:lineRule="exact"/>
        <w:rPr>
          <w:rFonts w:ascii="宋体" w:hAnsi="宋体"/>
          <w:color w:val="auto"/>
          <w:highlight w:val="none"/>
        </w:rPr>
      </w:pPr>
      <w:r>
        <w:rPr>
          <w:rFonts w:hint="eastAsia" w:ascii="宋体" w:hAnsi="宋体"/>
          <w:color w:val="auto"/>
          <w:highlight w:val="none"/>
        </w:rPr>
        <w:t xml:space="preserve"> </w:t>
      </w:r>
    </w:p>
    <w:p w14:paraId="17B46EF4">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与本竞标有关的正式通讯地址为：</w:t>
      </w:r>
    </w:p>
    <w:p w14:paraId="2F8ECD3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地址：</w:t>
      </w:r>
      <w:r>
        <w:rPr>
          <w:rFonts w:hint="eastAsia" w:ascii="宋体" w:hAnsi="宋体"/>
          <w:color w:val="auto"/>
          <w:highlight w:val="none"/>
          <w:u w:val="single"/>
        </w:rPr>
        <w:t xml:space="preserve">                                                        </w:t>
      </w:r>
    </w:p>
    <w:p w14:paraId="25A1F985">
      <w:pPr>
        <w:spacing w:line="400" w:lineRule="exact"/>
        <w:rPr>
          <w:rFonts w:ascii="宋体" w:hAnsi="宋体"/>
          <w:color w:val="auto"/>
          <w:highlight w:val="none"/>
          <w:u w:val="single"/>
        </w:rPr>
      </w:pPr>
      <w:r>
        <w:rPr>
          <w:rFonts w:hint="eastAsia" w:ascii="宋体" w:hAnsi="宋体"/>
          <w:color w:val="auto"/>
          <w:highlight w:val="none"/>
        </w:rPr>
        <w:t xml:space="preserve">    </w:t>
      </w:r>
      <w:r>
        <w:rPr>
          <w:rFonts w:hint="eastAsia" w:ascii="宋体" w:hAnsi="宋体" w:cs="宋体"/>
          <w:color w:val="auto"/>
          <w:highlight w:val="none"/>
        </w:rPr>
        <w:t>电话/传真：</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highlight w:val="none"/>
        </w:rPr>
        <w:t>邮政编码：</w:t>
      </w:r>
      <w:r>
        <w:rPr>
          <w:rFonts w:hint="eastAsia" w:ascii="宋体" w:hAnsi="宋体"/>
          <w:color w:val="auto"/>
          <w:highlight w:val="none"/>
          <w:u w:val="single"/>
        </w:rPr>
        <w:t xml:space="preserve">                </w:t>
      </w:r>
    </w:p>
    <w:p w14:paraId="6B79E5FD">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开户名称：</w:t>
      </w:r>
      <w:r>
        <w:rPr>
          <w:rFonts w:hint="eastAsia" w:ascii="宋体" w:hAnsi="宋体"/>
          <w:color w:val="auto"/>
          <w:highlight w:val="none"/>
          <w:u w:val="single"/>
        </w:rPr>
        <w:t xml:space="preserve">                                                    </w:t>
      </w:r>
    </w:p>
    <w:p w14:paraId="415A32EF">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开户银行：</w:t>
      </w:r>
      <w:r>
        <w:rPr>
          <w:rFonts w:hint="eastAsia" w:ascii="宋体" w:hAnsi="宋体"/>
          <w:color w:val="auto"/>
          <w:highlight w:val="none"/>
          <w:u w:val="single"/>
        </w:rPr>
        <w:t xml:space="preserve">                                                    </w:t>
      </w:r>
    </w:p>
    <w:p w14:paraId="1FFE102A">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帐号：</w:t>
      </w:r>
      <w:r>
        <w:rPr>
          <w:rFonts w:hint="eastAsia" w:ascii="宋体" w:hAnsi="宋体"/>
          <w:color w:val="auto"/>
          <w:highlight w:val="none"/>
          <w:u w:val="single"/>
        </w:rPr>
        <w:t xml:space="preserve">                                                        </w:t>
      </w:r>
    </w:p>
    <w:p w14:paraId="035BF17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法定代表人或委托代理人签名：</w:t>
      </w:r>
      <w:r>
        <w:rPr>
          <w:rFonts w:hint="eastAsia" w:ascii="宋体" w:hAnsi="宋体"/>
          <w:color w:val="auto"/>
          <w:highlight w:val="none"/>
          <w:u w:val="single"/>
        </w:rPr>
        <w:t xml:space="preserve">                                  </w:t>
      </w:r>
    </w:p>
    <w:p w14:paraId="16D24FD2">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竞标人（单位公章）：</w:t>
      </w:r>
      <w:r>
        <w:rPr>
          <w:rFonts w:hint="eastAsia" w:ascii="宋体" w:hAnsi="宋体"/>
          <w:color w:val="auto"/>
          <w:highlight w:val="none"/>
          <w:u w:val="single"/>
        </w:rPr>
        <w:t xml:space="preserve">                                           </w:t>
      </w:r>
    </w:p>
    <w:p w14:paraId="048075C6">
      <w:pPr>
        <w:autoSpaceDE w:val="0"/>
        <w:autoSpaceDN w:val="0"/>
        <w:adjustRightInd w:val="0"/>
        <w:snapToGrid w:val="0"/>
        <w:spacing w:line="360" w:lineRule="auto"/>
        <w:jc w:val="left"/>
        <w:rPr>
          <w:rFonts w:ascii="宋体" w:hAnsi="宋体" w:cs="宋体"/>
          <w:color w:val="auto"/>
          <w:highlight w:val="none"/>
          <w:u w:val="single"/>
        </w:rPr>
      </w:pPr>
      <w:r>
        <w:rPr>
          <w:rFonts w:hint="eastAsia" w:ascii="宋体" w:hAnsi="宋体" w:cs="宋体"/>
          <w:color w:val="auto"/>
          <w:highlight w:val="none"/>
        </w:rPr>
        <w:t xml:space="preserve">    日期：</w:t>
      </w:r>
      <w:r>
        <w:rPr>
          <w:rFonts w:hint="eastAsia" w:ascii="宋体" w:hAnsi="宋体" w:cs="宋体"/>
          <w:color w:val="auto"/>
          <w:highlight w:val="none"/>
          <w:u w:val="single"/>
        </w:rPr>
        <w:t xml:space="preserve">                </w:t>
      </w:r>
    </w:p>
    <w:p w14:paraId="41318E32">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6E94037B">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4F9FD433">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6C2AE4FC">
      <w:pPr>
        <w:autoSpaceDE w:val="0"/>
        <w:autoSpaceDN w:val="0"/>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766243EB">
      <w:pPr>
        <w:widowControl/>
        <w:jc w:val="left"/>
        <w:rPr>
          <w:rFonts w:ascii="宋体" w:hAnsi="宋体" w:cs="宋体"/>
          <w:color w:val="auto"/>
          <w:highlight w:val="none"/>
        </w:rPr>
      </w:pPr>
      <w:r>
        <w:rPr>
          <w:rFonts w:hint="eastAsia" w:ascii="宋体" w:hAnsi="宋体" w:cs="宋体"/>
          <w:color w:val="auto"/>
          <w:highlight w:val="none"/>
        </w:rPr>
        <w:br w:type="page"/>
      </w:r>
    </w:p>
    <w:p w14:paraId="34552255">
      <w:pPr>
        <w:autoSpaceDE w:val="0"/>
        <w:autoSpaceDN w:val="0"/>
        <w:adjustRightInd w:val="0"/>
        <w:snapToGrid w:val="0"/>
        <w:spacing w:line="300" w:lineRule="auto"/>
        <w:ind w:left="-88" w:leftChars="-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附件二  </w:t>
      </w:r>
    </w:p>
    <w:p w14:paraId="799C17D3">
      <w:pPr>
        <w:autoSpaceDE w:val="0"/>
        <w:autoSpaceDN w:val="0"/>
        <w:adjustRightInd w:val="0"/>
        <w:snapToGrid w:val="0"/>
        <w:spacing w:line="300" w:lineRule="auto"/>
        <w:ind w:left="-88" w:leftChars="-42"/>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磋商报价表（格式）</w:t>
      </w:r>
    </w:p>
    <w:p w14:paraId="74BDC201">
      <w:pPr>
        <w:autoSpaceDE w:val="0"/>
        <w:autoSpaceDN w:val="0"/>
        <w:spacing w:line="400" w:lineRule="exact"/>
        <w:ind w:firstLine="220" w:firstLineChars="1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竞标项目编号：</w:t>
      </w:r>
      <w:r>
        <w:rPr>
          <w:rFonts w:hint="eastAsia" w:ascii="宋体" w:hAnsi="宋体" w:cs="宋体"/>
          <w:color w:val="auto"/>
          <w:sz w:val="22"/>
          <w:szCs w:val="22"/>
          <w:highlight w:val="none"/>
          <w:u w:val="single"/>
        </w:rPr>
        <w:t xml:space="preserve">                 </w:t>
      </w:r>
    </w:p>
    <w:p w14:paraId="757C6C59">
      <w:pPr>
        <w:autoSpaceDE w:val="0"/>
        <w:autoSpaceDN w:val="0"/>
        <w:spacing w:line="500" w:lineRule="exact"/>
        <w:ind w:firstLine="220" w:firstLineChars="1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竞标项目名称：</w:t>
      </w:r>
      <w:r>
        <w:rPr>
          <w:rFonts w:hint="eastAsia" w:ascii="宋体" w:hAnsi="宋体" w:cs="宋体"/>
          <w:color w:val="auto"/>
          <w:sz w:val="22"/>
          <w:szCs w:val="22"/>
          <w:highlight w:val="none"/>
          <w:u w:val="single"/>
        </w:rPr>
        <w:t xml:space="preserve">                 </w:t>
      </w:r>
    </w:p>
    <w:tbl>
      <w:tblPr>
        <w:tblStyle w:val="1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3405"/>
        <w:gridCol w:w="1444"/>
        <w:gridCol w:w="1461"/>
        <w:gridCol w:w="1762"/>
      </w:tblGrid>
      <w:tr w14:paraId="10E3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50FC3680">
            <w:pPr>
              <w:spacing w:after="120"/>
              <w:rPr>
                <w:rFonts w:ascii="Times New Roman" w:hAnsi="宋体"/>
                <w:color w:val="auto"/>
                <w:spacing w:val="-20"/>
                <w:kern w:val="2"/>
                <w:highlight w:val="none"/>
              </w:rPr>
            </w:pPr>
            <w:r>
              <w:rPr>
                <w:rFonts w:hint="eastAsia" w:ascii="宋体" w:hAnsi="宋体" w:cs="宋体"/>
                <w:color w:val="auto"/>
                <w:spacing w:val="-20"/>
                <w:kern w:val="2"/>
                <w:highlight w:val="none"/>
              </w:rPr>
              <w:t>项号</w:t>
            </w:r>
          </w:p>
        </w:tc>
        <w:tc>
          <w:tcPr>
            <w:tcW w:w="3405" w:type="dxa"/>
            <w:tcBorders>
              <w:top w:val="single" w:color="auto" w:sz="4" w:space="0"/>
              <w:left w:val="nil"/>
              <w:bottom w:val="single" w:color="auto" w:sz="4" w:space="0"/>
              <w:right w:val="single" w:color="auto" w:sz="4" w:space="0"/>
            </w:tcBorders>
            <w:shd w:val="clear" w:color="auto" w:fill="auto"/>
            <w:vAlign w:val="center"/>
          </w:tcPr>
          <w:p w14:paraId="0003021D">
            <w:pPr>
              <w:spacing w:after="120"/>
              <w:ind w:firstLine="170" w:firstLineChars="100"/>
              <w:jc w:val="center"/>
              <w:rPr>
                <w:rFonts w:ascii="Times New Roman" w:hAnsi="宋体"/>
                <w:color w:val="auto"/>
                <w:spacing w:val="-20"/>
                <w:kern w:val="2"/>
                <w:highlight w:val="none"/>
              </w:rPr>
            </w:pPr>
            <w:r>
              <w:rPr>
                <w:rFonts w:hint="eastAsia" w:ascii="宋体" w:hAnsi="宋体" w:cs="宋体"/>
                <w:color w:val="auto"/>
                <w:spacing w:val="-20"/>
                <w:kern w:val="2"/>
                <w:highlight w:val="none"/>
              </w:rPr>
              <w:t>名称</w:t>
            </w:r>
          </w:p>
        </w:tc>
        <w:tc>
          <w:tcPr>
            <w:tcW w:w="1444" w:type="dxa"/>
            <w:tcBorders>
              <w:top w:val="single" w:color="auto" w:sz="4" w:space="0"/>
              <w:left w:val="nil"/>
              <w:bottom w:val="single" w:color="auto" w:sz="4" w:space="0"/>
              <w:right w:val="single" w:color="auto" w:sz="4" w:space="0"/>
            </w:tcBorders>
            <w:shd w:val="clear" w:color="auto" w:fill="auto"/>
            <w:vAlign w:val="center"/>
          </w:tcPr>
          <w:p w14:paraId="3A158F73">
            <w:pPr>
              <w:jc w:val="center"/>
              <w:rPr>
                <w:rFonts w:ascii="宋体" w:hAnsi="宋体"/>
                <w:color w:val="auto"/>
                <w:kern w:val="2"/>
                <w:highlight w:val="none"/>
              </w:rPr>
            </w:pPr>
            <w:r>
              <w:rPr>
                <w:rFonts w:hint="eastAsia" w:ascii="宋体" w:hAnsi="宋体" w:cs="宋体"/>
                <w:color w:val="auto"/>
                <w:spacing w:val="-20"/>
                <w:kern w:val="2"/>
                <w:highlight w:val="none"/>
              </w:rPr>
              <w:t>单位</w:t>
            </w:r>
            <w:r>
              <w:rPr>
                <w:rFonts w:hint="eastAsia" w:ascii="宋体" w:hAnsi="宋体" w:cs="宋体"/>
                <w:color w:val="auto"/>
                <w:spacing w:val="-20"/>
                <w:kern w:val="2"/>
                <w:highlight w:val="none"/>
                <w:lang w:val="en-US" w:eastAsia="zh-CN"/>
              </w:rPr>
              <w:t xml:space="preserve">   </w:t>
            </w:r>
            <w:r>
              <w:rPr>
                <w:rFonts w:hint="eastAsia" w:ascii="宋体" w:hAnsi="宋体" w:cs="宋体"/>
                <w:color w:val="auto"/>
                <w:kern w:val="2"/>
                <w:highlight w:val="none"/>
              </w:rPr>
              <w:t>①</w:t>
            </w:r>
          </w:p>
        </w:tc>
        <w:tc>
          <w:tcPr>
            <w:tcW w:w="1461" w:type="dxa"/>
            <w:tcBorders>
              <w:top w:val="single" w:color="auto" w:sz="4" w:space="0"/>
              <w:left w:val="nil"/>
              <w:bottom w:val="single" w:color="auto" w:sz="4" w:space="0"/>
              <w:right w:val="single" w:color="auto" w:sz="4" w:space="0"/>
            </w:tcBorders>
            <w:shd w:val="clear" w:color="auto" w:fill="auto"/>
            <w:vAlign w:val="center"/>
          </w:tcPr>
          <w:p w14:paraId="3928ADE0">
            <w:pPr>
              <w:spacing w:after="120"/>
              <w:ind w:firstLine="210" w:firstLineChars="100"/>
              <w:jc w:val="center"/>
              <w:rPr>
                <w:rFonts w:ascii="Times New Roman" w:hAnsi="宋体"/>
                <w:color w:val="auto"/>
                <w:sz w:val="20"/>
                <w:szCs w:val="20"/>
                <w:highlight w:val="none"/>
              </w:rPr>
            </w:pPr>
            <w:r>
              <w:rPr>
                <w:rFonts w:hint="eastAsia" w:ascii="宋体" w:hAnsi="宋体" w:cs="宋体"/>
                <w:color w:val="auto"/>
                <w:kern w:val="2"/>
                <w:highlight w:val="none"/>
              </w:rPr>
              <w:t>单价（元）</w:t>
            </w:r>
          </w:p>
          <w:p w14:paraId="10633DBD">
            <w:pPr>
              <w:spacing w:after="120"/>
              <w:ind w:firstLine="210" w:firstLineChars="100"/>
              <w:jc w:val="center"/>
              <w:rPr>
                <w:rFonts w:ascii="Times New Roman" w:hAnsi="宋体"/>
                <w:color w:val="auto"/>
                <w:kern w:val="2"/>
                <w:highlight w:val="none"/>
              </w:rPr>
            </w:pPr>
            <w:r>
              <w:rPr>
                <w:rFonts w:hint="eastAsia" w:ascii="宋体" w:hAnsi="宋体" w:cs="宋体"/>
                <w:color w:val="auto"/>
                <w:kern w:val="2"/>
                <w:highlight w:val="none"/>
              </w:rPr>
              <w:t>②</w:t>
            </w:r>
          </w:p>
        </w:tc>
        <w:tc>
          <w:tcPr>
            <w:tcW w:w="1762" w:type="dxa"/>
            <w:tcBorders>
              <w:top w:val="single" w:color="auto" w:sz="4" w:space="0"/>
              <w:left w:val="nil"/>
              <w:bottom w:val="single" w:color="auto" w:sz="4" w:space="0"/>
              <w:right w:val="single" w:color="auto" w:sz="4" w:space="0"/>
            </w:tcBorders>
            <w:shd w:val="clear" w:color="auto" w:fill="auto"/>
            <w:vAlign w:val="center"/>
          </w:tcPr>
          <w:p w14:paraId="2A2A05AC">
            <w:pPr>
              <w:spacing w:after="120"/>
              <w:ind w:firstLine="210" w:firstLineChars="100"/>
              <w:rPr>
                <w:rFonts w:ascii="Times New Roman" w:hAnsi="宋体"/>
                <w:color w:val="auto"/>
                <w:sz w:val="20"/>
                <w:szCs w:val="20"/>
                <w:highlight w:val="none"/>
              </w:rPr>
            </w:pPr>
            <w:r>
              <w:rPr>
                <w:rFonts w:hint="eastAsia" w:ascii="宋体" w:hAnsi="宋体" w:cs="宋体"/>
                <w:color w:val="auto"/>
                <w:kern w:val="2"/>
                <w:highlight w:val="none"/>
              </w:rPr>
              <w:t>合计（元）</w:t>
            </w:r>
          </w:p>
          <w:p w14:paraId="57C402A6">
            <w:pPr>
              <w:spacing w:after="120"/>
              <w:ind w:firstLine="210" w:firstLineChars="100"/>
              <w:jc w:val="center"/>
              <w:rPr>
                <w:rFonts w:ascii="Times New Roman" w:hAnsi="宋体"/>
                <w:color w:val="auto"/>
                <w:kern w:val="2"/>
                <w:highlight w:val="none"/>
              </w:rPr>
            </w:pPr>
            <w:r>
              <w:rPr>
                <w:rFonts w:hint="eastAsia" w:ascii="宋体" w:hAnsi="宋体" w:cs="宋体"/>
                <w:color w:val="auto"/>
                <w:kern w:val="2"/>
                <w:highlight w:val="none"/>
              </w:rPr>
              <w:t>③</w:t>
            </w:r>
            <w:r>
              <w:rPr>
                <w:rFonts w:ascii="Times New Roman" w:hAnsi="Times New Roman"/>
                <w:color w:val="auto"/>
                <w:kern w:val="2"/>
                <w:highlight w:val="none"/>
              </w:rPr>
              <w:t>=</w:t>
            </w:r>
            <w:r>
              <w:rPr>
                <w:rFonts w:hint="eastAsia" w:ascii="宋体" w:hAnsi="宋体" w:cs="宋体"/>
                <w:color w:val="auto"/>
                <w:kern w:val="2"/>
                <w:highlight w:val="none"/>
              </w:rPr>
              <w:t>①×②</w:t>
            </w:r>
          </w:p>
        </w:tc>
      </w:tr>
      <w:tr w14:paraId="39F4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159DAAF">
            <w:pPr>
              <w:autoSpaceDE w:val="0"/>
              <w:autoSpaceDN w:val="0"/>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405" w:type="dxa"/>
            <w:tcBorders>
              <w:top w:val="single" w:color="auto" w:sz="4" w:space="0"/>
              <w:left w:val="nil"/>
              <w:bottom w:val="single" w:color="auto" w:sz="4" w:space="0"/>
              <w:right w:val="single" w:color="auto" w:sz="4" w:space="0"/>
            </w:tcBorders>
            <w:shd w:val="clear" w:color="auto" w:fill="auto"/>
            <w:vAlign w:val="center"/>
          </w:tcPr>
          <w:p w14:paraId="620AF5DF">
            <w:pPr>
              <w:autoSpaceDE w:val="0"/>
              <w:autoSpaceDN w:val="0"/>
              <w:jc w:val="center"/>
              <w:rPr>
                <w:rFonts w:ascii="宋体" w:hAnsi="宋体" w:cs="宋体"/>
                <w:color w:val="auto"/>
                <w:sz w:val="22"/>
                <w:szCs w:val="22"/>
                <w:highlight w:val="none"/>
              </w:rPr>
            </w:pPr>
          </w:p>
        </w:tc>
        <w:tc>
          <w:tcPr>
            <w:tcW w:w="1444" w:type="dxa"/>
            <w:tcBorders>
              <w:top w:val="single" w:color="auto" w:sz="4" w:space="0"/>
              <w:left w:val="nil"/>
              <w:bottom w:val="single" w:color="auto" w:sz="4" w:space="0"/>
              <w:right w:val="single" w:color="auto" w:sz="4" w:space="0"/>
            </w:tcBorders>
            <w:shd w:val="clear" w:color="auto" w:fill="auto"/>
            <w:vAlign w:val="center"/>
          </w:tcPr>
          <w:p w14:paraId="6A475720">
            <w:pPr>
              <w:jc w:val="center"/>
              <w:rPr>
                <w:rFonts w:ascii="宋体" w:hAnsi="宋体"/>
                <w:color w:val="auto"/>
                <w:kern w:val="2"/>
                <w:highlight w:val="none"/>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0118E0FA">
            <w:pPr>
              <w:jc w:val="center"/>
              <w:rPr>
                <w:rFonts w:ascii="宋体" w:hAnsi="宋体"/>
                <w:color w:val="auto"/>
                <w:kern w:val="2"/>
                <w:highlight w:val="none"/>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61687159">
            <w:pPr>
              <w:jc w:val="center"/>
              <w:rPr>
                <w:rFonts w:ascii="宋体" w:hAnsi="宋体"/>
                <w:color w:val="auto"/>
                <w:spacing w:val="-6"/>
                <w:kern w:val="2"/>
                <w:highlight w:val="none"/>
              </w:rPr>
            </w:pPr>
          </w:p>
        </w:tc>
      </w:tr>
      <w:tr w14:paraId="090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B79B2E7">
            <w:pPr>
              <w:autoSpaceDE w:val="0"/>
              <w:autoSpaceDN w:val="0"/>
              <w:jc w:val="center"/>
              <w:rPr>
                <w:rFonts w:ascii="宋体" w:hAnsi="宋体" w:cs="宋体"/>
                <w:color w:val="auto"/>
                <w:sz w:val="22"/>
                <w:szCs w:val="22"/>
                <w:highlight w:val="none"/>
              </w:rPr>
            </w:pPr>
          </w:p>
        </w:tc>
        <w:tc>
          <w:tcPr>
            <w:tcW w:w="3405" w:type="dxa"/>
            <w:tcBorders>
              <w:top w:val="single" w:color="auto" w:sz="4" w:space="0"/>
              <w:left w:val="nil"/>
              <w:bottom w:val="single" w:color="auto" w:sz="4" w:space="0"/>
              <w:right w:val="single" w:color="auto" w:sz="4" w:space="0"/>
            </w:tcBorders>
            <w:shd w:val="clear" w:color="auto" w:fill="auto"/>
            <w:vAlign w:val="center"/>
          </w:tcPr>
          <w:p w14:paraId="6B8A7DBD">
            <w:pPr>
              <w:autoSpaceDE w:val="0"/>
              <w:autoSpaceDN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1A65C634">
            <w:pPr>
              <w:jc w:val="center"/>
              <w:rPr>
                <w:rFonts w:ascii="宋体" w:hAnsi="宋体"/>
                <w:color w:val="auto"/>
                <w:kern w:val="2"/>
                <w:highlight w:val="none"/>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17CDC2B3">
            <w:pPr>
              <w:jc w:val="center"/>
              <w:rPr>
                <w:rFonts w:ascii="宋体" w:hAnsi="宋体"/>
                <w:color w:val="auto"/>
                <w:kern w:val="2"/>
                <w:highlight w:val="none"/>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402B6E6B">
            <w:pPr>
              <w:jc w:val="center"/>
              <w:rPr>
                <w:rFonts w:ascii="宋体" w:hAnsi="宋体"/>
                <w:color w:val="auto"/>
                <w:spacing w:val="-6"/>
                <w:kern w:val="2"/>
                <w:highlight w:val="none"/>
              </w:rPr>
            </w:pPr>
          </w:p>
        </w:tc>
      </w:tr>
      <w:tr w14:paraId="3001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CC71B6">
            <w:pPr>
              <w:rPr>
                <w:rFonts w:ascii="宋体" w:hAnsi="宋体"/>
                <w:color w:val="auto"/>
                <w:spacing w:val="-6"/>
                <w:kern w:val="2"/>
                <w:highlight w:val="none"/>
              </w:rPr>
            </w:pPr>
            <w:r>
              <w:rPr>
                <w:rFonts w:hint="eastAsia" w:ascii="宋体" w:hAnsi="宋体" w:cs="宋体"/>
                <w:color w:val="auto"/>
                <w:spacing w:val="-6"/>
                <w:kern w:val="2"/>
                <w:highlight w:val="none"/>
              </w:rPr>
              <w:t>总报价（人民币大写）：                                  （</w:t>
            </w:r>
            <w:r>
              <w:rPr>
                <w:rFonts w:hint="eastAsia" w:ascii="宋体" w:hAnsi="宋体"/>
                <w:color w:val="auto"/>
                <w:spacing w:val="-6"/>
                <w:kern w:val="2"/>
                <w:highlight w:val="none"/>
              </w:rPr>
              <w:t xml:space="preserve">¥ </w:t>
            </w:r>
            <w:r>
              <w:rPr>
                <w:rFonts w:hint="eastAsia" w:ascii="宋体" w:hAnsi="宋体" w:cs="宋体"/>
                <w:color w:val="auto"/>
                <w:spacing w:val="-6"/>
                <w:kern w:val="2"/>
                <w:highlight w:val="none"/>
              </w:rPr>
              <w:t xml:space="preserve">              元）</w:t>
            </w:r>
          </w:p>
        </w:tc>
      </w:tr>
      <w:tr w14:paraId="649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C57A15">
            <w:pPr>
              <w:rPr>
                <w:rFonts w:hint="default" w:ascii="宋体" w:hAnsi="宋体" w:eastAsia="宋体" w:cs="宋体"/>
                <w:color w:val="auto"/>
                <w:spacing w:val="-6"/>
                <w:kern w:val="2"/>
                <w:highlight w:val="none"/>
                <w:lang w:val="en-US" w:eastAsia="zh-CN"/>
              </w:rPr>
            </w:pPr>
            <w:r>
              <w:rPr>
                <w:rFonts w:hint="eastAsia" w:ascii="宋体" w:hAnsi="宋体" w:cs="宋体"/>
                <w:color w:val="auto"/>
                <w:kern w:val="2"/>
                <w:highlight w:val="none"/>
                <w:lang w:eastAsia="zh-CN"/>
              </w:rPr>
              <w:t>服务期</w:t>
            </w:r>
            <w:r>
              <w:rPr>
                <w:rFonts w:hint="eastAsia" w:ascii="宋体" w:hAnsi="宋体" w:cs="宋体"/>
                <w:color w:val="auto"/>
                <w:kern w:val="2"/>
                <w:highlight w:val="none"/>
              </w:rPr>
              <w:t>：</w:t>
            </w:r>
            <w:r>
              <w:rPr>
                <w:rFonts w:hint="eastAsia" w:ascii="宋体" w:hAnsi="宋体" w:cs="宋体"/>
                <w:color w:val="auto"/>
                <w:kern w:val="2"/>
                <w:highlight w:val="none"/>
                <w:lang w:val="en-US" w:eastAsia="zh-CN"/>
              </w:rPr>
              <w:t>1年。</w:t>
            </w:r>
          </w:p>
        </w:tc>
      </w:tr>
    </w:tbl>
    <w:p w14:paraId="17E576BA">
      <w:pPr>
        <w:autoSpaceDE w:val="0"/>
        <w:autoSpaceDN w:val="0"/>
        <w:spacing w:line="50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29F6892">
      <w:pPr>
        <w:snapToGrid w:val="0"/>
        <w:ind w:firstLine="420"/>
        <w:rPr>
          <w:rFonts w:ascii="宋体" w:hAnsi="宋体"/>
          <w:color w:val="auto"/>
          <w:highlight w:val="none"/>
        </w:rPr>
      </w:pPr>
      <w:r>
        <w:rPr>
          <w:rFonts w:hint="eastAsia" w:ascii="宋体" w:hAnsi="宋体" w:cs="宋体"/>
          <w:color w:val="auto"/>
          <w:highlight w:val="none"/>
        </w:rPr>
        <w:t>说明：1、所有价格均用人民币表示，单位为元，精确到个位数。如果不提供详细的报价表将被视为没有实质性响应竞争性磋商文件。</w:t>
      </w:r>
    </w:p>
    <w:p w14:paraId="0D4D3238">
      <w:pPr>
        <w:spacing w:line="500" w:lineRule="exact"/>
        <w:ind w:firstLine="420"/>
        <w:rPr>
          <w:rFonts w:ascii="宋体" w:hAnsi="宋体"/>
          <w:color w:val="auto"/>
          <w:sz w:val="20"/>
          <w:szCs w:val="20"/>
          <w:highlight w:val="none"/>
        </w:rPr>
      </w:pPr>
      <w:r>
        <w:rPr>
          <w:rFonts w:hint="eastAsia" w:ascii="宋体" w:hAnsi="宋体"/>
          <w:color w:val="auto"/>
          <w:sz w:val="20"/>
          <w:szCs w:val="20"/>
          <w:highlight w:val="none"/>
        </w:rPr>
        <w:t xml:space="preserve"> </w:t>
      </w:r>
    </w:p>
    <w:p w14:paraId="7364A203">
      <w:pPr>
        <w:spacing w:line="500" w:lineRule="exact"/>
        <w:rPr>
          <w:rFonts w:ascii="宋体" w:hAnsi="宋体"/>
          <w:color w:val="auto"/>
          <w:highlight w:val="none"/>
          <w:u w:val="single"/>
        </w:rPr>
      </w:pPr>
      <w:r>
        <w:rPr>
          <w:rFonts w:hint="eastAsia" w:ascii="宋体" w:hAnsi="宋体" w:cs="宋体"/>
          <w:color w:val="auto"/>
          <w:highlight w:val="none"/>
        </w:rPr>
        <w:t>法定代表人（主要负责人）或委托代理人（签字）：</w:t>
      </w:r>
      <w:r>
        <w:rPr>
          <w:rFonts w:hint="eastAsia" w:ascii="宋体" w:hAnsi="宋体"/>
          <w:color w:val="auto"/>
          <w:highlight w:val="none"/>
          <w:u w:val="single"/>
        </w:rPr>
        <w:t xml:space="preserve">              </w:t>
      </w:r>
    </w:p>
    <w:p w14:paraId="0D335605">
      <w:pPr>
        <w:spacing w:line="500" w:lineRule="exact"/>
        <w:rPr>
          <w:rFonts w:ascii="宋体" w:hAnsi="宋体"/>
          <w:color w:val="auto"/>
          <w:highlight w:val="none"/>
          <w:u w:val="single"/>
        </w:rPr>
      </w:pPr>
      <w:r>
        <w:rPr>
          <w:rFonts w:hint="eastAsia" w:ascii="宋体" w:hAnsi="宋体" w:cs="宋体"/>
          <w:color w:val="auto"/>
          <w:highlight w:val="none"/>
        </w:rPr>
        <w:t>竞标人名称（公章）：</w:t>
      </w:r>
      <w:r>
        <w:rPr>
          <w:rFonts w:hint="eastAsia" w:ascii="宋体" w:hAnsi="宋体"/>
          <w:color w:val="auto"/>
          <w:highlight w:val="none"/>
          <w:u w:val="single"/>
        </w:rPr>
        <w:t xml:space="preserve">                              </w:t>
      </w:r>
    </w:p>
    <w:p w14:paraId="1302E5F0">
      <w:pPr>
        <w:autoSpaceDE w:val="0"/>
        <w:autoSpaceDN w:val="0"/>
        <w:adjustRightInd w:val="0"/>
        <w:snapToGrid w:val="0"/>
        <w:spacing w:line="300" w:lineRule="auto"/>
        <w:ind w:left="-88" w:leftChars="-42"/>
        <w:jc w:val="left"/>
        <w:rPr>
          <w:rFonts w:ascii="宋体" w:hAnsi="宋体" w:cs="宋体"/>
          <w:color w:val="auto"/>
          <w:highlight w:val="none"/>
        </w:rPr>
      </w:pPr>
      <w:r>
        <w:rPr>
          <w:rFonts w:hint="eastAsia" w:ascii="宋体" w:hAnsi="宋体" w:cs="宋体"/>
          <w:color w:val="auto"/>
          <w:highlight w:val="none"/>
        </w:rPr>
        <w:t xml:space="preserve"> </w:t>
      </w:r>
    </w:p>
    <w:p w14:paraId="7214016A">
      <w:pPr>
        <w:autoSpaceDE w:val="0"/>
        <w:autoSpaceDN w:val="0"/>
        <w:adjustRightInd w:val="0"/>
        <w:snapToGrid w:val="0"/>
        <w:spacing w:line="300" w:lineRule="auto"/>
        <w:ind w:left="-88" w:leftChars="-42" w:firstLine="105" w:firstLineChars="50"/>
        <w:jc w:val="left"/>
        <w:rPr>
          <w:rFonts w:ascii="宋体" w:hAnsi="宋体" w:cs="宋体"/>
          <w:b/>
          <w:bCs/>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B0AC719">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E9AE1CB">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F58CFDE">
      <w:pPr>
        <w:pStyle w:val="6"/>
        <w:rPr>
          <w:rFonts w:hint="eastAsia"/>
          <w:color w:val="auto"/>
          <w:highlight w:val="none"/>
        </w:rPr>
      </w:pPr>
    </w:p>
    <w:p w14:paraId="36B99754">
      <w:pPr>
        <w:rPr>
          <w:rFonts w:hint="eastAsia"/>
          <w:color w:val="auto"/>
          <w:highlight w:val="none"/>
        </w:rPr>
      </w:pPr>
    </w:p>
    <w:p w14:paraId="29B7C90C">
      <w:pPr>
        <w:pStyle w:val="6"/>
        <w:rPr>
          <w:rFonts w:hint="eastAsia"/>
          <w:color w:val="auto"/>
          <w:highlight w:val="none"/>
        </w:rPr>
      </w:pPr>
    </w:p>
    <w:p w14:paraId="61AD2999">
      <w:pPr>
        <w:rPr>
          <w:rFonts w:hint="eastAsia"/>
          <w:color w:val="auto"/>
          <w:highlight w:val="none"/>
        </w:rPr>
      </w:pPr>
    </w:p>
    <w:p w14:paraId="24A331B5">
      <w:pPr>
        <w:autoSpaceDE w:val="0"/>
        <w:autoSpaceDN w:val="0"/>
        <w:spacing w:line="30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962A274">
      <w:pPr>
        <w:autoSpaceDE w:val="0"/>
        <w:autoSpaceDN w:val="0"/>
        <w:spacing w:line="300" w:lineRule="auto"/>
        <w:jc w:val="left"/>
        <w:rPr>
          <w:rFonts w:hint="eastAsia" w:ascii="宋体" w:hAnsi="宋体" w:cs="宋体"/>
          <w:b/>
          <w:color w:val="auto"/>
          <w:sz w:val="28"/>
          <w:szCs w:val="28"/>
          <w:highlight w:val="none"/>
        </w:rPr>
      </w:pPr>
    </w:p>
    <w:p w14:paraId="2A1044AE">
      <w:pPr>
        <w:pStyle w:val="6"/>
        <w:rPr>
          <w:rFonts w:hint="eastAsia"/>
          <w:color w:val="auto"/>
          <w:highlight w:val="none"/>
        </w:rPr>
      </w:pPr>
    </w:p>
    <w:p w14:paraId="28DE2312">
      <w:pPr>
        <w:autoSpaceDE w:val="0"/>
        <w:autoSpaceDN w:val="0"/>
        <w:spacing w:line="30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0943EC17">
      <w:pPr>
        <w:autoSpaceDE w:val="0"/>
        <w:autoSpaceDN w:val="0"/>
        <w:spacing w:line="300" w:lineRule="auto"/>
        <w:jc w:val="left"/>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6EE72A81">
      <w:pPr>
        <w:pStyle w:val="4"/>
        <w:rPr>
          <w:rFonts w:hint="eastAsia"/>
          <w:color w:val="auto"/>
          <w:highlight w:val="none"/>
        </w:rPr>
      </w:pPr>
    </w:p>
    <w:p w14:paraId="61D1FA39">
      <w:pPr>
        <w:pStyle w:val="35"/>
        <w:rPr>
          <w:rFonts w:hint="eastAsia" w:eastAsia="宋体"/>
          <w:b/>
          <w:bCs/>
          <w:color w:val="auto"/>
          <w:kern w:val="44"/>
          <w:sz w:val="32"/>
          <w:szCs w:val="44"/>
          <w:highlight w:val="none"/>
          <w:lang w:val="en-US"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三</w:t>
      </w:r>
    </w:p>
    <w:p w14:paraId="59CD518C">
      <w:pPr>
        <w:autoSpaceDE w:val="0"/>
        <w:autoSpaceDN w:val="0"/>
        <w:adjustRightInd w:val="0"/>
        <w:snapToGrid w:val="0"/>
        <w:spacing w:line="300" w:lineRule="auto"/>
        <w:ind w:left="-88" w:leftChars="-42"/>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rPr>
        <w:t>项目实施方案</w:t>
      </w:r>
      <w:r>
        <w:rPr>
          <w:rFonts w:hint="eastAsia" w:ascii="宋体" w:hAnsi="宋体" w:cs="宋体"/>
          <w:b/>
          <w:color w:val="auto"/>
          <w:sz w:val="32"/>
          <w:szCs w:val="32"/>
          <w:highlight w:val="none"/>
          <w:lang w:eastAsia="zh-CN"/>
        </w:rPr>
        <w:t>、应急保障方案</w:t>
      </w:r>
    </w:p>
    <w:p w14:paraId="407F0CAB">
      <w:pPr>
        <w:pStyle w:val="35"/>
        <w:jc w:val="center"/>
        <w:rPr>
          <w:b/>
          <w:bCs/>
          <w:color w:val="auto"/>
          <w:kern w:val="44"/>
          <w:sz w:val="32"/>
          <w:szCs w:val="44"/>
          <w:highlight w:val="none"/>
        </w:rPr>
      </w:pPr>
      <w:r>
        <w:rPr>
          <w:rFonts w:hint="eastAsia" w:cs="宋体"/>
          <w:bCs/>
          <w:color w:val="auto"/>
          <w:highlight w:val="none"/>
        </w:rPr>
        <w:t>（该方案由投标人针对本服务采购项目进行阐述，格式自拟）</w:t>
      </w:r>
    </w:p>
    <w:p w14:paraId="0A528F6C">
      <w:pPr>
        <w:pStyle w:val="9"/>
        <w:rPr>
          <w:rFonts w:hint="eastAsia"/>
          <w:color w:val="auto"/>
          <w:highlight w:val="none"/>
        </w:rPr>
      </w:pPr>
    </w:p>
    <w:p w14:paraId="0103959D">
      <w:pPr>
        <w:pStyle w:val="9"/>
        <w:rPr>
          <w:rFonts w:hint="eastAsia"/>
          <w:color w:val="auto"/>
          <w:highlight w:val="none"/>
        </w:rPr>
      </w:pPr>
    </w:p>
    <w:p w14:paraId="4E050F0A">
      <w:pPr>
        <w:pStyle w:val="9"/>
        <w:rPr>
          <w:rFonts w:hint="eastAsia"/>
          <w:color w:val="auto"/>
          <w:highlight w:val="none"/>
        </w:rPr>
      </w:pPr>
    </w:p>
    <w:p w14:paraId="0CE823DB">
      <w:pPr>
        <w:pStyle w:val="9"/>
        <w:rPr>
          <w:rFonts w:hint="eastAsia"/>
          <w:color w:val="auto"/>
          <w:highlight w:val="none"/>
        </w:rPr>
      </w:pPr>
    </w:p>
    <w:p w14:paraId="38F2A4DE">
      <w:pPr>
        <w:pStyle w:val="9"/>
        <w:rPr>
          <w:rFonts w:hint="eastAsia"/>
          <w:color w:val="auto"/>
          <w:highlight w:val="none"/>
        </w:rPr>
      </w:pPr>
    </w:p>
    <w:p w14:paraId="738F92A5">
      <w:pPr>
        <w:pStyle w:val="9"/>
        <w:rPr>
          <w:rFonts w:hint="eastAsia"/>
          <w:color w:val="auto"/>
          <w:highlight w:val="none"/>
        </w:rPr>
      </w:pPr>
    </w:p>
    <w:p w14:paraId="5719B2E5">
      <w:pPr>
        <w:pStyle w:val="9"/>
        <w:rPr>
          <w:rFonts w:hint="eastAsia"/>
          <w:color w:val="auto"/>
          <w:highlight w:val="none"/>
        </w:rPr>
      </w:pPr>
    </w:p>
    <w:p w14:paraId="667B9829">
      <w:pPr>
        <w:pStyle w:val="9"/>
        <w:rPr>
          <w:rFonts w:hint="eastAsia"/>
          <w:color w:val="auto"/>
          <w:highlight w:val="none"/>
        </w:rPr>
      </w:pPr>
    </w:p>
    <w:p w14:paraId="283BD7B3">
      <w:pPr>
        <w:pStyle w:val="9"/>
        <w:rPr>
          <w:rFonts w:hint="eastAsia"/>
          <w:color w:val="auto"/>
          <w:highlight w:val="none"/>
        </w:rPr>
      </w:pPr>
    </w:p>
    <w:p w14:paraId="57129532">
      <w:pPr>
        <w:pStyle w:val="9"/>
        <w:rPr>
          <w:rFonts w:hint="eastAsia"/>
          <w:color w:val="auto"/>
          <w:highlight w:val="none"/>
        </w:rPr>
      </w:pPr>
    </w:p>
    <w:p w14:paraId="28F28DD3">
      <w:pPr>
        <w:pStyle w:val="9"/>
        <w:rPr>
          <w:rFonts w:hint="eastAsia"/>
          <w:color w:val="auto"/>
          <w:highlight w:val="none"/>
        </w:rPr>
      </w:pPr>
    </w:p>
    <w:p w14:paraId="784652FB">
      <w:pPr>
        <w:pStyle w:val="9"/>
        <w:rPr>
          <w:rFonts w:hint="eastAsia"/>
          <w:color w:val="auto"/>
          <w:highlight w:val="none"/>
        </w:rPr>
      </w:pPr>
    </w:p>
    <w:p w14:paraId="28B0FC59">
      <w:pPr>
        <w:pStyle w:val="9"/>
        <w:rPr>
          <w:rFonts w:hint="eastAsia"/>
          <w:color w:val="auto"/>
          <w:highlight w:val="none"/>
        </w:rPr>
      </w:pPr>
    </w:p>
    <w:p w14:paraId="14163728">
      <w:pPr>
        <w:pStyle w:val="9"/>
        <w:rPr>
          <w:rFonts w:hint="eastAsia"/>
          <w:color w:val="auto"/>
          <w:highlight w:val="none"/>
        </w:rPr>
      </w:pPr>
    </w:p>
    <w:p w14:paraId="14AC2386">
      <w:pPr>
        <w:pStyle w:val="9"/>
        <w:rPr>
          <w:rFonts w:hint="eastAsia"/>
          <w:color w:val="auto"/>
          <w:highlight w:val="none"/>
        </w:rPr>
      </w:pPr>
    </w:p>
    <w:p w14:paraId="76864A63">
      <w:pPr>
        <w:pStyle w:val="9"/>
        <w:rPr>
          <w:rFonts w:hint="eastAsia"/>
          <w:color w:val="auto"/>
          <w:highlight w:val="none"/>
        </w:rPr>
      </w:pPr>
    </w:p>
    <w:p w14:paraId="4DF5CC1B">
      <w:pPr>
        <w:pStyle w:val="9"/>
        <w:rPr>
          <w:rFonts w:hint="eastAsia"/>
          <w:color w:val="auto"/>
          <w:highlight w:val="none"/>
        </w:rPr>
      </w:pPr>
    </w:p>
    <w:p w14:paraId="3AC6AC1E">
      <w:pPr>
        <w:pStyle w:val="9"/>
        <w:rPr>
          <w:rFonts w:hint="eastAsia"/>
          <w:color w:val="auto"/>
          <w:highlight w:val="none"/>
        </w:rPr>
      </w:pPr>
    </w:p>
    <w:p w14:paraId="239F5107">
      <w:pPr>
        <w:pStyle w:val="9"/>
        <w:rPr>
          <w:rFonts w:hint="eastAsia"/>
          <w:color w:val="auto"/>
          <w:highlight w:val="none"/>
        </w:rPr>
      </w:pPr>
    </w:p>
    <w:p w14:paraId="20717E8E">
      <w:pPr>
        <w:pStyle w:val="9"/>
        <w:rPr>
          <w:rFonts w:hint="eastAsia"/>
          <w:color w:val="auto"/>
          <w:highlight w:val="none"/>
        </w:rPr>
      </w:pPr>
    </w:p>
    <w:p w14:paraId="22ADD17E">
      <w:pPr>
        <w:pStyle w:val="9"/>
        <w:rPr>
          <w:rFonts w:hint="eastAsia"/>
          <w:color w:val="auto"/>
          <w:highlight w:val="none"/>
        </w:rPr>
      </w:pPr>
    </w:p>
    <w:p w14:paraId="7939AA40">
      <w:pPr>
        <w:pStyle w:val="9"/>
        <w:rPr>
          <w:rFonts w:hint="eastAsia"/>
          <w:color w:val="auto"/>
          <w:highlight w:val="none"/>
        </w:rPr>
      </w:pPr>
    </w:p>
    <w:p w14:paraId="7AFEDD1A">
      <w:pPr>
        <w:pStyle w:val="9"/>
        <w:rPr>
          <w:rFonts w:hint="eastAsia"/>
          <w:color w:val="auto"/>
          <w:highlight w:val="none"/>
        </w:rPr>
      </w:pPr>
    </w:p>
    <w:p w14:paraId="30E09D9D">
      <w:pPr>
        <w:pStyle w:val="9"/>
        <w:rPr>
          <w:rFonts w:hint="eastAsia"/>
          <w:color w:val="auto"/>
          <w:highlight w:val="none"/>
        </w:rPr>
      </w:pPr>
    </w:p>
    <w:p w14:paraId="3143A27D">
      <w:pPr>
        <w:pStyle w:val="9"/>
        <w:rPr>
          <w:rFonts w:hint="eastAsia"/>
          <w:color w:val="auto"/>
          <w:sz w:val="21"/>
          <w:szCs w:val="21"/>
          <w:highlight w:val="none"/>
        </w:rPr>
      </w:pPr>
      <w:r>
        <w:rPr>
          <w:rFonts w:hint="eastAsia"/>
          <w:color w:val="auto"/>
          <w:sz w:val="21"/>
          <w:szCs w:val="21"/>
          <w:highlight w:val="none"/>
        </w:rPr>
        <w:t>供应商（公章）：</w:t>
      </w:r>
      <w:r>
        <w:rPr>
          <w:rFonts w:hint="eastAsia"/>
          <w:color w:val="auto"/>
          <w:sz w:val="21"/>
          <w:szCs w:val="21"/>
          <w:highlight w:val="none"/>
          <w:u w:val="single"/>
        </w:rPr>
        <w:t xml:space="preserve">                                </w:t>
      </w:r>
    </w:p>
    <w:p w14:paraId="42AF97B1">
      <w:pPr>
        <w:pStyle w:val="9"/>
        <w:rPr>
          <w:rFonts w:hint="eastAsia"/>
          <w:color w:val="auto"/>
          <w:sz w:val="21"/>
          <w:szCs w:val="21"/>
          <w:highlight w:val="none"/>
        </w:rPr>
      </w:pPr>
    </w:p>
    <w:p w14:paraId="69FF3F97">
      <w:pPr>
        <w:pStyle w:val="9"/>
        <w:rPr>
          <w:rFonts w:hint="eastAsia"/>
          <w:color w:val="auto"/>
          <w:sz w:val="21"/>
          <w:szCs w:val="21"/>
          <w:highlight w:val="none"/>
        </w:rPr>
      </w:pPr>
      <w:r>
        <w:rPr>
          <w:rFonts w:hint="eastAsia"/>
          <w:color w:val="auto"/>
          <w:sz w:val="21"/>
          <w:szCs w:val="21"/>
          <w:highlight w:val="none"/>
        </w:rPr>
        <w:t>法定代表人或委托代理人签字：</w:t>
      </w:r>
      <w:r>
        <w:rPr>
          <w:rFonts w:hint="eastAsia"/>
          <w:color w:val="auto"/>
          <w:sz w:val="21"/>
          <w:szCs w:val="21"/>
          <w:highlight w:val="none"/>
          <w:u w:val="single"/>
        </w:rPr>
        <w:t xml:space="preserve">                  </w:t>
      </w:r>
    </w:p>
    <w:p w14:paraId="3D51A3A7">
      <w:pPr>
        <w:pStyle w:val="9"/>
        <w:spacing w:line="240" w:lineRule="exact"/>
        <w:rPr>
          <w:rFonts w:hint="eastAsia" w:ascii="金山简魏碑" w:eastAsia="金山简魏碑"/>
          <w:b/>
          <w:color w:val="auto"/>
          <w:sz w:val="21"/>
          <w:szCs w:val="21"/>
          <w:highlight w:val="none"/>
        </w:rPr>
      </w:pPr>
    </w:p>
    <w:p w14:paraId="0663FDF9">
      <w:pPr>
        <w:pStyle w:val="9"/>
        <w:rPr>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r>
        <w:rPr>
          <w:rFonts w:hint="eastAsia"/>
          <w:color w:val="auto"/>
          <w:sz w:val="21"/>
          <w:szCs w:val="21"/>
          <w:highlight w:val="none"/>
        </w:rPr>
        <w:t xml:space="preserve">                            </w:t>
      </w:r>
    </w:p>
    <w:p w14:paraId="4B69C6C6">
      <w:pPr>
        <w:pStyle w:val="9"/>
        <w:rPr>
          <w:rFonts w:hint="eastAsia"/>
          <w:color w:val="auto"/>
          <w:sz w:val="21"/>
          <w:szCs w:val="21"/>
          <w:highlight w:val="none"/>
        </w:rPr>
      </w:pPr>
    </w:p>
    <w:p w14:paraId="77681DE6">
      <w:pPr>
        <w:pStyle w:val="9"/>
        <w:rPr>
          <w:rFonts w:hint="eastAsia"/>
          <w:color w:val="auto"/>
          <w:highlight w:val="none"/>
        </w:rPr>
      </w:pPr>
    </w:p>
    <w:p w14:paraId="671C4DAF">
      <w:pPr>
        <w:pStyle w:val="9"/>
        <w:rPr>
          <w:rFonts w:hint="eastAsia"/>
          <w:color w:val="auto"/>
          <w:highlight w:val="none"/>
        </w:rPr>
      </w:pPr>
    </w:p>
    <w:p w14:paraId="2A63C935">
      <w:pPr>
        <w:rPr>
          <w:rFonts w:hint="eastAsia"/>
          <w:color w:val="auto"/>
          <w:highlight w:val="none"/>
        </w:rPr>
      </w:pPr>
    </w:p>
    <w:p w14:paraId="3BCB2F26">
      <w:pPr>
        <w:pStyle w:val="26"/>
        <w:rPr>
          <w:rFonts w:hint="eastAsia"/>
          <w:color w:val="auto"/>
          <w:highlight w:val="none"/>
        </w:rPr>
      </w:pPr>
    </w:p>
    <w:p w14:paraId="1534CB93">
      <w:pPr>
        <w:pStyle w:val="26"/>
        <w:rPr>
          <w:rFonts w:hint="eastAsia"/>
          <w:color w:val="auto"/>
          <w:highlight w:val="none"/>
        </w:rPr>
      </w:pPr>
    </w:p>
    <w:p w14:paraId="03E6EA46">
      <w:pPr>
        <w:pStyle w:val="26"/>
        <w:rPr>
          <w:rFonts w:hint="eastAsia"/>
          <w:color w:val="auto"/>
          <w:highlight w:val="none"/>
        </w:rPr>
      </w:pPr>
    </w:p>
    <w:p w14:paraId="505CA5F3">
      <w:pPr>
        <w:pStyle w:val="26"/>
        <w:rPr>
          <w:rFonts w:hint="eastAsia"/>
          <w:color w:val="auto"/>
          <w:highlight w:val="none"/>
        </w:rPr>
      </w:pPr>
    </w:p>
    <w:p w14:paraId="7E2EF006">
      <w:pPr>
        <w:pStyle w:val="26"/>
        <w:rPr>
          <w:rFonts w:hint="eastAsia"/>
          <w:color w:val="auto"/>
          <w:highlight w:val="none"/>
        </w:rPr>
      </w:pPr>
    </w:p>
    <w:p w14:paraId="50D4FFB0">
      <w:pPr>
        <w:pStyle w:val="26"/>
        <w:rPr>
          <w:rFonts w:hint="eastAsia"/>
          <w:color w:val="auto"/>
          <w:highlight w:val="none"/>
        </w:rPr>
      </w:pPr>
    </w:p>
    <w:p w14:paraId="2524E8B6">
      <w:pPr>
        <w:pStyle w:val="26"/>
        <w:rPr>
          <w:rFonts w:hint="eastAsia"/>
          <w:color w:val="auto"/>
          <w:highlight w:val="none"/>
        </w:rPr>
      </w:pPr>
    </w:p>
    <w:p w14:paraId="3BCBC228">
      <w:pPr>
        <w:pStyle w:val="26"/>
        <w:rPr>
          <w:rFonts w:hint="eastAsia"/>
          <w:color w:val="auto"/>
          <w:highlight w:val="none"/>
        </w:rPr>
      </w:pPr>
    </w:p>
    <w:p w14:paraId="702ABCC0">
      <w:pPr>
        <w:pStyle w:val="26"/>
        <w:rPr>
          <w:rFonts w:hint="eastAsia"/>
          <w:color w:val="auto"/>
          <w:highlight w:val="none"/>
        </w:rPr>
      </w:pPr>
    </w:p>
    <w:p w14:paraId="583FD0E3">
      <w:pPr>
        <w:pStyle w:val="26"/>
        <w:rPr>
          <w:rFonts w:hint="eastAsia"/>
          <w:color w:val="auto"/>
          <w:highlight w:val="none"/>
        </w:rPr>
      </w:pPr>
    </w:p>
    <w:p w14:paraId="4A7BE7A0">
      <w:pPr>
        <w:pStyle w:val="9"/>
        <w:rPr>
          <w:rFonts w:hint="eastAsia"/>
          <w:color w:val="auto"/>
          <w:highlight w:val="none"/>
        </w:rPr>
      </w:pPr>
    </w:p>
    <w:p w14:paraId="6DE7DD5D">
      <w:pPr>
        <w:pStyle w:val="9"/>
        <w:rPr>
          <w:rFonts w:hint="eastAsia"/>
          <w:color w:val="auto"/>
          <w:highlight w:val="none"/>
        </w:rPr>
      </w:pPr>
    </w:p>
    <w:p w14:paraId="7A169619">
      <w:pPr>
        <w:pStyle w:val="2"/>
        <w:keepLines/>
        <w:spacing w:before="340" w:after="330" w:line="576" w:lineRule="auto"/>
        <w:jc w:val="both"/>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四</w:t>
      </w:r>
    </w:p>
    <w:p w14:paraId="50429728">
      <w:pPr>
        <w:pStyle w:val="2"/>
        <w:keepLines/>
        <w:spacing w:before="340" w:after="330" w:line="576" w:lineRule="auto"/>
        <w:jc w:val="center"/>
        <w:rPr>
          <w:rFonts w:hint="eastAsia" w:eastAsia="宋体"/>
          <w:bCs/>
          <w:color w:val="auto"/>
          <w:kern w:val="44"/>
          <w:sz w:val="32"/>
          <w:szCs w:val="44"/>
          <w:highlight w:val="none"/>
          <w:lang w:eastAsia="zh-CN"/>
        </w:rPr>
      </w:pPr>
      <w:r>
        <w:rPr>
          <w:rFonts w:hint="eastAsia"/>
          <w:bCs/>
          <w:color w:val="auto"/>
          <w:kern w:val="44"/>
          <w:sz w:val="32"/>
          <w:szCs w:val="44"/>
          <w:highlight w:val="none"/>
          <w:lang w:val="en-US" w:eastAsia="zh-CN"/>
        </w:rPr>
        <w:t>技术服务方案</w:t>
      </w:r>
    </w:p>
    <w:p w14:paraId="450ADB84">
      <w:pPr>
        <w:pStyle w:val="9"/>
        <w:jc w:val="center"/>
        <w:rPr>
          <w:color w:val="auto"/>
          <w:highlight w:val="none"/>
        </w:rPr>
      </w:pPr>
      <w:r>
        <w:rPr>
          <w:rFonts w:hint="eastAsia"/>
          <w:color w:val="auto"/>
          <w:highlight w:val="none"/>
        </w:rPr>
        <w:t>（由供应商就《项目需求说明》要求和自身情况自行填写）</w:t>
      </w:r>
    </w:p>
    <w:p w14:paraId="55F00C7F">
      <w:pPr>
        <w:pStyle w:val="9"/>
        <w:ind w:firstLine="400" w:firstLineChars="200"/>
        <w:rPr>
          <w:rFonts w:hint="eastAsia"/>
          <w:color w:val="auto"/>
          <w:highlight w:val="none"/>
        </w:rPr>
      </w:pPr>
    </w:p>
    <w:p w14:paraId="5EA43268">
      <w:pPr>
        <w:pStyle w:val="9"/>
        <w:ind w:firstLine="400" w:firstLineChars="200"/>
        <w:rPr>
          <w:rFonts w:hint="eastAsia"/>
          <w:color w:val="auto"/>
          <w:highlight w:val="none"/>
        </w:rPr>
      </w:pPr>
    </w:p>
    <w:p w14:paraId="62D381D9">
      <w:pPr>
        <w:pStyle w:val="9"/>
        <w:ind w:firstLine="400" w:firstLineChars="200"/>
        <w:rPr>
          <w:rFonts w:hint="eastAsia"/>
          <w:color w:val="auto"/>
          <w:highlight w:val="none"/>
        </w:rPr>
      </w:pPr>
    </w:p>
    <w:p w14:paraId="0151C6C0">
      <w:pPr>
        <w:pStyle w:val="9"/>
        <w:ind w:firstLine="400" w:firstLineChars="200"/>
        <w:rPr>
          <w:rFonts w:hint="eastAsia"/>
          <w:color w:val="auto"/>
          <w:highlight w:val="none"/>
        </w:rPr>
      </w:pPr>
    </w:p>
    <w:p w14:paraId="581DDE60">
      <w:pPr>
        <w:pStyle w:val="9"/>
        <w:ind w:firstLine="400" w:firstLineChars="200"/>
        <w:rPr>
          <w:rFonts w:hint="eastAsia"/>
          <w:color w:val="auto"/>
          <w:highlight w:val="none"/>
        </w:rPr>
      </w:pPr>
    </w:p>
    <w:p w14:paraId="05308103">
      <w:pPr>
        <w:pStyle w:val="9"/>
        <w:ind w:firstLine="400" w:firstLineChars="200"/>
        <w:rPr>
          <w:rFonts w:hint="eastAsia"/>
          <w:color w:val="auto"/>
          <w:highlight w:val="none"/>
        </w:rPr>
      </w:pPr>
    </w:p>
    <w:p w14:paraId="5FC17B28">
      <w:pPr>
        <w:pStyle w:val="9"/>
        <w:ind w:firstLine="400" w:firstLineChars="200"/>
        <w:rPr>
          <w:rFonts w:hint="eastAsia"/>
          <w:color w:val="auto"/>
          <w:highlight w:val="none"/>
        </w:rPr>
      </w:pPr>
    </w:p>
    <w:p w14:paraId="7B04EAEF">
      <w:pPr>
        <w:pStyle w:val="9"/>
        <w:ind w:firstLine="400" w:firstLineChars="200"/>
        <w:rPr>
          <w:rFonts w:hint="eastAsia"/>
          <w:color w:val="auto"/>
          <w:highlight w:val="none"/>
        </w:rPr>
      </w:pPr>
    </w:p>
    <w:p w14:paraId="492FFB82">
      <w:pPr>
        <w:autoSpaceDE w:val="0"/>
        <w:autoSpaceDN w:val="0"/>
        <w:spacing w:line="300" w:lineRule="auto"/>
        <w:jc w:val="left"/>
        <w:rPr>
          <w:rFonts w:hint="eastAsia" w:ascii="宋体" w:hAnsi="宋体" w:cs="宋体"/>
          <w:b/>
          <w:color w:val="auto"/>
          <w:sz w:val="28"/>
          <w:szCs w:val="28"/>
          <w:highlight w:val="none"/>
        </w:rPr>
      </w:pPr>
    </w:p>
    <w:p w14:paraId="3489D50A">
      <w:pPr>
        <w:autoSpaceDE w:val="0"/>
        <w:autoSpaceDN w:val="0"/>
        <w:spacing w:line="300" w:lineRule="auto"/>
        <w:jc w:val="left"/>
        <w:rPr>
          <w:rFonts w:hint="eastAsia" w:ascii="宋体" w:hAnsi="宋体" w:cs="宋体"/>
          <w:b/>
          <w:color w:val="auto"/>
          <w:sz w:val="28"/>
          <w:szCs w:val="28"/>
          <w:highlight w:val="none"/>
        </w:rPr>
      </w:pPr>
    </w:p>
    <w:p w14:paraId="55ACE409">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15FD386E">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7C12F612">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56D1E828">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00BCC4D4">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42D76AEE">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71C0AE4">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325B25F7">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48471504">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187977FB">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30B92AB7">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093BE62">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5F6D3533">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法定代表人（主要负责人）或委托代理人（签字）：</w:t>
      </w:r>
      <w:r>
        <w:rPr>
          <w:rFonts w:hint="eastAsia" w:ascii="宋体" w:hAnsi="宋体"/>
          <w:color w:val="auto"/>
          <w:sz w:val="20"/>
          <w:szCs w:val="20"/>
          <w:highlight w:val="none"/>
          <w:u w:val="single"/>
        </w:rPr>
        <w:t xml:space="preserve">              </w:t>
      </w:r>
    </w:p>
    <w:p w14:paraId="18B8F520">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竞标人名称（公章）：</w:t>
      </w:r>
      <w:r>
        <w:rPr>
          <w:rFonts w:hint="eastAsia" w:ascii="宋体" w:hAnsi="宋体"/>
          <w:color w:val="auto"/>
          <w:sz w:val="20"/>
          <w:szCs w:val="20"/>
          <w:highlight w:val="none"/>
          <w:u w:val="single"/>
        </w:rPr>
        <w:t xml:space="preserve">                              </w:t>
      </w:r>
    </w:p>
    <w:p w14:paraId="7A5F6C18">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时间：</w:t>
      </w:r>
      <w:r>
        <w:rPr>
          <w:rFonts w:hint="eastAsia" w:ascii="宋体" w:hAnsi="Courier New"/>
          <w:color w:val="auto"/>
          <w:sz w:val="20"/>
          <w:szCs w:val="20"/>
          <w:highlight w:val="none"/>
        </w:rPr>
        <w:t xml:space="preserve">     </w:t>
      </w:r>
      <w:r>
        <w:rPr>
          <w:rFonts w:hint="eastAsia" w:ascii="宋体" w:hAnsi="宋体" w:cs="宋体"/>
          <w:color w:val="auto"/>
          <w:sz w:val="20"/>
          <w:szCs w:val="20"/>
          <w:highlight w:val="none"/>
        </w:rPr>
        <w:t>年</w:t>
      </w:r>
      <w:r>
        <w:rPr>
          <w:rFonts w:hint="eastAsia" w:ascii="宋体" w:hAnsi="Courier New"/>
          <w:color w:val="auto"/>
          <w:sz w:val="20"/>
          <w:szCs w:val="20"/>
          <w:highlight w:val="none"/>
        </w:rPr>
        <w:t xml:space="preserve">     月    日</w:t>
      </w:r>
    </w:p>
    <w:p w14:paraId="6F8DCE0C">
      <w:pPr>
        <w:rPr>
          <w:rFonts w:ascii="宋体" w:hAnsi="宋体"/>
          <w:color w:val="auto"/>
          <w:sz w:val="24"/>
          <w:szCs w:val="24"/>
          <w:highlight w:val="none"/>
        </w:rPr>
      </w:pPr>
      <w:r>
        <w:rPr>
          <w:rFonts w:hint="eastAsia" w:ascii="宋体" w:hAnsi="宋体" w:cs="宋体"/>
          <w:b/>
          <w:color w:val="auto"/>
          <w:sz w:val="28"/>
          <w:szCs w:val="28"/>
          <w:highlight w:val="none"/>
        </w:rPr>
        <w:t xml:space="preserve"> </w:t>
      </w:r>
    </w:p>
    <w:p w14:paraId="0F0820E4">
      <w:pPr>
        <w:autoSpaceDE w:val="0"/>
        <w:autoSpaceDN w:val="0"/>
        <w:adjustRightInd w:val="0"/>
        <w:snapToGrid w:val="0"/>
        <w:spacing w:line="300" w:lineRule="auto"/>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附件</w:t>
      </w:r>
      <w:r>
        <w:rPr>
          <w:rFonts w:hint="eastAsia" w:ascii="宋体" w:hAnsi="宋体" w:cs="宋体"/>
          <w:b/>
          <w:color w:val="auto"/>
          <w:sz w:val="30"/>
          <w:szCs w:val="30"/>
          <w:highlight w:val="none"/>
          <w:lang w:val="en-US" w:eastAsia="zh-CN"/>
        </w:rPr>
        <w:t>五</w:t>
      </w:r>
    </w:p>
    <w:p w14:paraId="3B577429">
      <w:pPr>
        <w:adjustRightInd w:val="0"/>
        <w:snapToGrid w:val="0"/>
        <w:spacing w:line="300" w:lineRule="auto"/>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技术要求偏离表</w:t>
      </w:r>
    </w:p>
    <w:p w14:paraId="6D5238CF">
      <w:pPr>
        <w:spacing w:line="520" w:lineRule="exact"/>
        <w:rPr>
          <w:rFonts w:hint="eastAsia" w:ascii="仿宋_GB2312" w:hAnsi="仿宋_GB2312" w:eastAsia="仿宋_GB2312" w:cs="仿宋_GB2312"/>
          <w:sz w:val="32"/>
          <w:szCs w:val="32"/>
          <w:highlight w:val="none"/>
        </w:rPr>
      </w:pPr>
    </w:p>
    <w:p w14:paraId="5ECEA7B7">
      <w:pPr>
        <w:spacing w:line="360" w:lineRule="auto"/>
        <w:contextualSpacing/>
        <w:rPr>
          <w:rFonts w:hint="eastAsia" w:ascii="宋体" w:hAnsi="宋体" w:cs="仿宋_GB2312"/>
          <w:sz w:val="24"/>
          <w:szCs w:val="24"/>
          <w:highlight w:val="none"/>
          <w:u w:val="single"/>
        </w:rPr>
      </w:pPr>
      <w:r>
        <w:rPr>
          <w:rFonts w:hint="eastAsia" w:ascii="宋体" w:hAnsi="宋体" w:cs="仿宋_GB2312"/>
          <w:sz w:val="24"/>
          <w:szCs w:val="24"/>
          <w:highlight w:val="none"/>
        </w:rPr>
        <w:t>采购项目编号：</w:t>
      </w:r>
      <w:r>
        <w:rPr>
          <w:rFonts w:hint="eastAsia" w:ascii="宋体" w:hAnsi="宋体" w:cs="仿宋_GB2312"/>
          <w:sz w:val="24"/>
          <w:szCs w:val="24"/>
          <w:highlight w:val="none"/>
          <w:u w:val="single"/>
        </w:rPr>
        <w:t xml:space="preserve">                 </w:t>
      </w:r>
    </w:p>
    <w:p w14:paraId="609DD314">
      <w:pPr>
        <w:spacing w:line="360" w:lineRule="auto"/>
        <w:contextualSpacing/>
        <w:rPr>
          <w:rFonts w:hint="default" w:ascii="宋体" w:hAnsi="宋体" w:eastAsia="宋体" w:cs="仿宋_GB2312"/>
          <w:sz w:val="24"/>
          <w:szCs w:val="24"/>
          <w:highlight w:val="none"/>
          <w:lang w:val="en-US" w:eastAsia="zh-CN"/>
        </w:rPr>
      </w:pPr>
      <w:r>
        <w:rPr>
          <w:rFonts w:hint="eastAsia" w:ascii="宋体" w:hAnsi="宋体" w:cs="仿宋_GB2312"/>
          <w:sz w:val="24"/>
          <w:szCs w:val="24"/>
          <w:highlight w:val="none"/>
        </w:rPr>
        <w:t>采购项目名称：</w:t>
      </w:r>
      <w:r>
        <w:rPr>
          <w:rFonts w:hint="eastAsia" w:ascii="宋体" w:hAnsi="宋体" w:cs="仿宋_GB2312"/>
          <w:sz w:val="24"/>
          <w:szCs w:val="24"/>
          <w:highlight w:val="none"/>
          <w:u w:val="single"/>
          <w:lang w:val="en-US" w:eastAsia="zh-CN"/>
        </w:rPr>
        <w:t xml:space="preserve">         </w:t>
      </w:r>
    </w:p>
    <w:p w14:paraId="699F5F82">
      <w:pPr>
        <w:spacing w:line="360" w:lineRule="auto"/>
        <w:contextualSpacing/>
        <w:rPr>
          <w:rFonts w:hint="eastAsia" w:ascii="宋体" w:hAnsi="宋体" w:cs="仿宋_GB2312"/>
          <w:sz w:val="24"/>
          <w:szCs w:val="24"/>
          <w:highlight w:val="none"/>
          <w:u w:val="single"/>
        </w:rPr>
      </w:pPr>
      <w:r>
        <w:rPr>
          <w:rFonts w:hint="eastAsia" w:ascii="宋体" w:hAnsi="宋体" w:cs="仿宋_GB2312"/>
          <w:sz w:val="24"/>
          <w:szCs w:val="24"/>
          <w:highlight w:val="none"/>
        </w:rPr>
        <w:t>分标号：</w:t>
      </w:r>
      <w:r>
        <w:rPr>
          <w:rFonts w:hint="eastAsia" w:ascii="宋体" w:hAnsi="宋体" w:cs="仿宋_GB2312"/>
          <w:sz w:val="24"/>
          <w:szCs w:val="24"/>
          <w:highlight w:val="none"/>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2"/>
        <w:gridCol w:w="922"/>
        <w:gridCol w:w="3062"/>
        <w:gridCol w:w="2756"/>
        <w:gridCol w:w="1504"/>
      </w:tblGrid>
      <w:tr w14:paraId="36353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FE501BB">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2" w:name="_Toc295404981"/>
            <w:bookmarkStart w:id="3" w:name="_Toc173211900"/>
            <w:bookmarkStart w:id="4" w:name="_Toc254970729"/>
            <w:bookmarkStart w:id="5" w:name="_Toc301781611"/>
            <w:bookmarkStart w:id="6" w:name="_Toc297193185"/>
            <w:bookmarkStart w:id="7" w:name="_Toc254970588"/>
            <w:bookmarkStart w:id="8" w:name="_Toc373333689"/>
            <w:bookmarkStart w:id="9" w:name="_Toc383699906"/>
            <w:bookmarkStart w:id="10" w:name="_Toc173066401"/>
            <w:r>
              <w:rPr>
                <w:rFonts w:hint="eastAsia" w:ascii="宋体" w:hAnsi="宋体" w:eastAsia="宋体" w:cs="仿宋_GB2312"/>
                <w:kern w:val="2"/>
                <w:sz w:val="24"/>
                <w:szCs w:val="24"/>
                <w:highlight w:val="none"/>
              </w:rPr>
              <w:t>序号</w:t>
            </w:r>
            <w:bookmarkEnd w:id="2"/>
            <w:bookmarkEnd w:id="3"/>
            <w:bookmarkEnd w:id="4"/>
            <w:bookmarkEnd w:id="5"/>
            <w:bookmarkEnd w:id="6"/>
            <w:bookmarkEnd w:id="7"/>
            <w:bookmarkEnd w:id="8"/>
            <w:bookmarkEnd w:id="9"/>
            <w:bookmarkEnd w:id="10"/>
          </w:p>
        </w:tc>
        <w:tc>
          <w:tcPr>
            <w:tcW w:w="503" w:type="pct"/>
            <w:tcBorders>
              <w:right w:val="single" w:color="auto" w:sz="4" w:space="0"/>
            </w:tcBorders>
            <w:noWrap w:val="0"/>
            <w:vAlign w:val="center"/>
          </w:tcPr>
          <w:p w14:paraId="051282A7">
            <w:pPr>
              <w:pStyle w:val="7"/>
              <w:spacing w:line="360" w:lineRule="auto"/>
              <w:ind w:firstLine="0" w:firstLineChars="0"/>
              <w:contextualSpacing/>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1670" w:type="pct"/>
            <w:tcBorders>
              <w:left w:val="single" w:color="auto" w:sz="4" w:space="0"/>
            </w:tcBorders>
            <w:noWrap w:val="0"/>
            <w:vAlign w:val="center"/>
          </w:tcPr>
          <w:p w14:paraId="0A35DD20">
            <w:pPr>
              <w:pStyle w:val="7"/>
              <w:spacing w:line="360" w:lineRule="auto"/>
              <w:ind w:firstLine="0" w:firstLineChars="0"/>
              <w:contextualSpacing/>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磋商文件技术要求</w:t>
            </w:r>
          </w:p>
        </w:tc>
        <w:tc>
          <w:tcPr>
            <w:tcW w:w="1503" w:type="pct"/>
            <w:noWrap w:val="0"/>
            <w:vAlign w:val="center"/>
          </w:tcPr>
          <w:p w14:paraId="46884CE4">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11" w:name="_Toc295404983"/>
            <w:bookmarkStart w:id="12" w:name="_Toc254970590"/>
            <w:bookmarkStart w:id="13" w:name="_Toc383699908"/>
            <w:bookmarkStart w:id="14" w:name="_Toc254970731"/>
            <w:bookmarkStart w:id="15" w:name="_Toc301781613"/>
            <w:bookmarkStart w:id="16" w:name="_Toc173211902"/>
            <w:bookmarkStart w:id="17" w:name="_Toc373333691"/>
            <w:bookmarkStart w:id="18" w:name="_Toc173066403"/>
            <w:bookmarkStart w:id="19" w:name="_Toc297193187"/>
            <w:r>
              <w:rPr>
                <w:rFonts w:hint="eastAsia" w:ascii="宋体" w:hAnsi="宋体" w:eastAsia="宋体" w:cs="仿宋_GB2312"/>
                <w:kern w:val="2"/>
                <w:sz w:val="24"/>
                <w:szCs w:val="24"/>
                <w:highlight w:val="none"/>
              </w:rPr>
              <w:t>竞标响应</w:t>
            </w:r>
            <w:bookmarkEnd w:id="11"/>
            <w:bookmarkEnd w:id="12"/>
            <w:bookmarkEnd w:id="13"/>
            <w:bookmarkEnd w:id="14"/>
            <w:bookmarkEnd w:id="15"/>
            <w:bookmarkEnd w:id="16"/>
            <w:bookmarkEnd w:id="17"/>
            <w:bookmarkEnd w:id="18"/>
            <w:bookmarkEnd w:id="19"/>
          </w:p>
        </w:tc>
        <w:tc>
          <w:tcPr>
            <w:tcW w:w="820" w:type="pct"/>
            <w:noWrap w:val="0"/>
            <w:vAlign w:val="center"/>
          </w:tcPr>
          <w:p w14:paraId="6170D75E">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20" w:name="_Toc383699909"/>
            <w:bookmarkStart w:id="21" w:name="_Toc295404984"/>
            <w:bookmarkStart w:id="22" w:name="_Toc301781614"/>
            <w:bookmarkStart w:id="23" w:name="_Toc254970732"/>
            <w:bookmarkStart w:id="24" w:name="_Toc254970591"/>
            <w:bookmarkStart w:id="25" w:name="_Toc373333692"/>
            <w:bookmarkStart w:id="26" w:name="_Toc297193188"/>
            <w:bookmarkStart w:id="27" w:name="_Toc173211903"/>
            <w:bookmarkStart w:id="28" w:name="_Toc173066404"/>
            <w:r>
              <w:rPr>
                <w:rFonts w:hint="eastAsia" w:ascii="宋体" w:hAnsi="宋体" w:eastAsia="宋体" w:cs="仿宋_GB2312"/>
                <w:kern w:val="2"/>
                <w:sz w:val="24"/>
                <w:szCs w:val="24"/>
                <w:highlight w:val="none"/>
              </w:rPr>
              <w:t>偏离</w:t>
            </w:r>
            <w:bookmarkEnd w:id="20"/>
            <w:bookmarkEnd w:id="21"/>
            <w:bookmarkEnd w:id="22"/>
            <w:bookmarkEnd w:id="23"/>
            <w:bookmarkEnd w:id="24"/>
            <w:bookmarkEnd w:id="25"/>
            <w:bookmarkEnd w:id="26"/>
            <w:bookmarkEnd w:id="27"/>
            <w:bookmarkEnd w:id="28"/>
            <w:bookmarkStart w:id="29" w:name="_Toc254970592"/>
            <w:bookmarkStart w:id="30" w:name="_Toc173066405"/>
            <w:bookmarkStart w:id="31" w:name="_Toc295404985"/>
            <w:bookmarkStart w:id="32" w:name="_Toc254970733"/>
            <w:bookmarkStart w:id="33" w:name="_Toc383699910"/>
            <w:bookmarkStart w:id="34" w:name="_Toc173211904"/>
            <w:bookmarkStart w:id="35" w:name="_Toc297193189"/>
            <w:bookmarkStart w:id="36" w:name="_Toc301781615"/>
            <w:bookmarkStart w:id="37" w:name="_Toc373333693"/>
            <w:r>
              <w:rPr>
                <w:rFonts w:hint="eastAsia" w:ascii="宋体" w:hAnsi="宋体" w:eastAsia="宋体" w:cs="仿宋_GB2312"/>
                <w:kern w:val="2"/>
                <w:sz w:val="24"/>
                <w:szCs w:val="24"/>
                <w:highlight w:val="none"/>
              </w:rPr>
              <w:t>说明</w:t>
            </w:r>
            <w:bookmarkEnd w:id="29"/>
            <w:bookmarkEnd w:id="30"/>
            <w:bookmarkEnd w:id="31"/>
            <w:bookmarkEnd w:id="32"/>
            <w:bookmarkEnd w:id="33"/>
            <w:bookmarkEnd w:id="34"/>
            <w:bookmarkEnd w:id="35"/>
            <w:bookmarkEnd w:id="36"/>
            <w:bookmarkEnd w:id="37"/>
          </w:p>
        </w:tc>
      </w:tr>
      <w:tr w14:paraId="5E5BB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CBB3C0B">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38" w:name="_Toc173066406"/>
            <w:bookmarkStart w:id="39" w:name="_Toc373333694"/>
            <w:bookmarkStart w:id="40" w:name="_Toc254970593"/>
            <w:bookmarkStart w:id="41" w:name="_Toc383699911"/>
            <w:bookmarkStart w:id="42" w:name="_Toc301781616"/>
            <w:bookmarkStart w:id="43" w:name="_Toc297193190"/>
            <w:bookmarkStart w:id="44" w:name="_Toc173211905"/>
            <w:bookmarkStart w:id="45" w:name="_Toc254970734"/>
            <w:bookmarkStart w:id="46" w:name="_Toc295404986"/>
            <w:r>
              <w:rPr>
                <w:rFonts w:hint="eastAsia" w:ascii="宋体" w:hAnsi="宋体" w:eastAsia="宋体" w:cs="仿宋_GB2312"/>
                <w:kern w:val="2"/>
                <w:sz w:val="24"/>
                <w:szCs w:val="24"/>
                <w:highlight w:val="none"/>
              </w:rPr>
              <w:t>1</w:t>
            </w:r>
            <w:bookmarkEnd w:id="38"/>
            <w:bookmarkEnd w:id="39"/>
            <w:bookmarkEnd w:id="40"/>
            <w:bookmarkEnd w:id="41"/>
            <w:bookmarkEnd w:id="42"/>
            <w:bookmarkEnd w:id="43"/>
            <w:bookmarkEnd w:id="44"/>
            <w:bookmarkEnd w:id="45"/>
            <w:bookmarkEnd w:id="46"/>
          </w:p>
        </w:tc>
        <w:tc>
          <w:tcPr>
            <w:tcW w:w="503" w:type="pct"/>
            <w:tcBorders>
              <w:right w:val="single" w:color="auto" w:sz="4" w:space="0"/>
            </w:tcBorders>
            <w:noWrap w:val="0"/>
            <w:vAlign w:val="center"/>
          </w:tcPr>
          <w:p w14:paraId="706FA741">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5BDEC762">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2CF5C845">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noWrap w:val="0"/>
            <w:vAlign w:val="center"/>
          </w:tcPr>
          <w:p w14:paraId="620D4D68">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r w14:paraId="4E787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C50259A">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47" w:name="_Toc254970594"/>
            <w:bookmarkStart w:id="48" w:name="_Toc295404987"/>
            <w:bookmarkStart w:id="49" w:name="_Toc301781617"/>
            <w:bookmarkStart w:id="50" w:name="_Toc173066407"/>
            <w:bookmarkStart w:id="51" w:name="_Toc297193191"/>
            <w:bookmarkStart w:id="52" w:name="_Toc373333695"/>
            <w:bookmarkStart w:id="53" w:name="_Toc383699912"/>
            <w:bookmarkStart w:id="54" w:name="_Toc173211906"/>
            <w:bookmarkStart w:id="55" w:name="_Toc254970735"/>
            <w:r>
              <w:rPr>
                <w:rFonts w:hint="eastAsia" w:ascii="宋体" w:hAnsi="宋体" w:eastAsia="宋体" w:cs="仿宋_GB2312"/>
                <w:kern w:val="2"/>
                <w:sz w:val="24"/>
                <w:szCs w:val="24"/>
                <w:highlight w:val="none"/>
              </w:rPr>
              <w:t>2</w:t>
            </w:r>
            <w:bookmarkEnd w:id="47"/>
            <w:bookmarkEnd w:id="48"/>
            <w:bookmarkEnd w:id="49"/>
            <w:bookmarkEnd w:id="50"/>
            <w:bookmarkEnd w:id="51"/>
            <w:bookmarkEnd w:id="52"/>
            <w:bookmarkEnd w:id="53"/>
            <w:bookmarkEnd w:id="54"/>
            <w:bookmarkEnd w:id="55"/>
          </w:p>
        </w:tc>
        <w:tc>
          <w:tcPr>
            <w:tcW w:w="503" w:type="pct"/>
            <w:tcBorders>
              <w:right w:val="single" w:color="auto" w:sz="4" w:space="0"/>
            </w:tcBorders>
            <w:noWrap w:val="0"/>
            <w:vAlign w:val="center"/>
          </w:tcPr>
          <w:p w14:paraId="3E5ABA98">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0EFE93C1">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31AF174A">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noWrap w:val="0"/>
            <w:vAlign w:val="center"/>
          </w:tcPr>
          <w:p w14:paraId="5C8C28A6">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r w14:paraId="1E8D4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DB9A004">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56" w:name="_Toc301781618"/>
            <w:bookmarkStart w:id="57" w:name="_Toc297193192"/>
            <w:bookmarkStart w:id="58" w:name="_Toc295404988"/>
            <w:bookmarkStart w:id="59" w:name="_Toc173066408"/>
            <w:bookmarkStart w:id="60" w:name="_Toc373333696"/>
            <w:bookmarkStart w:id="61" w:name="_Toc254970595"/>
            <w:bookmarkStart w:id="62" w:name="_Toc383699913"/>
            <w:bookmarkStart w:id="63" w:name="_Toc173211907"/>
            <w:bookmarkStart w:id="64" w:name="_Toc254970736"/>
            <w:r>
              <w:rPr>
                <w:rFonts w:hint="eastAsia" w:ascii="宋体" w:hAnsi="宋体" w:eastAsia="宋体" w:cs="仿宋_GB2312"/>
                <w:kern w:val="2"/>
                <w:sz w:val="24"/>
                <w:szCs w:val="24"/>
                <w:highlight w:val="none"/>
              </w:rPr>
              <w:t>3</w:t>
            </w:r>
            <w:bookmarkEnd w:id="56"/>
            <w:bookmarkEnd w:id="57"/>
            <w:bookmarkEnd w:id="58"/>
            <w:bookmarkEnd w:id="59"/>
            <w:bookmarkEnd w:id="60"/>
            <w:bookmarkEnd w:id="61"/>
            <w:bookmarkEnd w:id="62"/>
            <w:bookmarkEnd w:id="63"/>
            <w:bookmarkEnd w:id="64"/>
          </w:p>
        </w:tc>
        <w:tc>
          <w:tcPr>
            <w:tcW w:w="503" w:type="pct"/>
            <w:tcBorders>
              <w:right w:val="single" w:color="auto" w:sz="4" w:space="0"/>
            </w:tcBorders>
            <w:noWrap w:val="0"/>
            <w:vAlign w:val="center"/>
          </w:tcPr>
          <w:p w14:paraId="04B7F7D9">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25F8CDC2">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721A08FD">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noWrap w:val="0"/>
            <w:vAlign w:val="center"/>
          </w:tcPr>
          <w:p w14:paraId="71219DE4">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r w14:paraId="1DBEF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4CDB78F">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65" w:name="_Toc173066409"/>
            <w:bookmarkStart w:id="66" w:name="_Toc301781619"/>
            <w:bookmarkStart w:id="67" w:name="_Toc254970737"/>
            <w:bookmarkStart w:id="68" w:name="_Toc383699914"/>
            <w:bookmarkStart w:id="69" w:name="_Toc297193193"/>
            <w:bookmarkStart w:id="70" w:name="_Toc173211908"/>
            <w:bookmarkStart w:id="71" w:name="_Toc295404989"/>
            <w:bookmarkStart w:id="72" w:name="_Toc373333697"/>
            <w:bookmarkStart w:id="73" w:name="_Toc254970596"/>
            <w:r>
              <w:rPr>
                <w:rFonts w:hint="eastAsia" w:ascii="宋体" w:hAnsi="宋体" w:eastAsia="宋体" w:cs="仿宋_GB2312"/>
                <w:kern w:val="2"/>
                <w:sz w:val="24"/>
                <w:szCs w:val="24"/>
                <w:highlight w:val="none"/>
              </w:rPr>
              <w:t>4</w:t>
            </w:r>
            <w:bookmarkEnd w:id="65"/>
            <w:bookmarkEnd w:id="66"/>
            <w:bookmarkEnd w:id="67"/>
            <w:bookmarkEnd w:id="68"/>
            <w:bookmarkEnd w:id="69"/>
            <w:bookmarkEnd w:id="70"/>
            <w:bookmarkEnd w:id="71"/>
            <w:bookmarkEnd w:id="72"/>
            <w:bookmarkEnd w:id="73"/>
          </w:p>
        </w:tc>
        <w:tc>
          <w:tcPr>
            <w:tcW w:w="503" w:type="pct"/>
            <w:tcBorders>
              <w:right w:val="single" w:color="auto" w:sz="4" w:space="0"/>
            </w:tcBorders>
            <w:noWrap w:val="0"/>
            <w:vAlign w:val="center"/>
          </w:tcPr>
          <w:p w14:paraId="2097AB1B">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0BF8B980">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71101FE6">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noWrap w:val="0"/>
            <w:vAlign w:val="center"/>
          </w:tcPr>
          <w:p w14:paraId="77118844">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r w14:paraId="48F26F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C3AC383">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74" w:name="_Toc295404990"/>
            <w:bookmarkStart w:id="75" w:name="_Toc254970597"/>
            <w:bookmarkStart w:id="76" w:name="_Toc254970738"/>
            <w:bookmarkStart w:id="77" w:name="_Toc301781620"/>
            <w:bookmarkStart w:id="78" w:name="_Toc297193194"/>
            <w:bookmarkStart w:id="79" w:name="_Toc373333698"/>
            <w:bookmarkStart w:id="80" w:name="_Toc173211909"/>
            <w:bookmarkStart w:id="81" w:name="_Toc383699915"/>
            <w:bookmarkStart w:id="82" w:name="_Toc173066410"/>
            <w:r>
              <w:rPr>
                <w:rFonts w:hint="eastAsia" w:ascii="宋体" w:hAnsi="宋体" w:eastAsia="宋体" w:cs="仿宋_GB2312"/>
                <w:kern w:val="2"/>
                <w:sz w:val="24"/>
                <w:szCs w:val="24"/>
                <w:highlight w:val="none"/>
              </w:rPr>
              <w:t>5</w:t>
            </w:r>
            <w:bookmarkEnd w:id="74"/>
            <w:bookmarkEnd w:id="75"/>
            <w:bookmarkEnd w:id="76"/>
            <w:bookmarkEnd w:id="77"/>
            <w:bookmarkEnd w:id="78"/>
            <w:bookmarkEnd w:id="79"/>
            <w:bookmarkEnd w:id="80"/>
            <w:bookmarkEnd w:id="81"/>
            <w:bookmarkEnd w:id="82"/>
          </w:p>
        </w:tc>
        <w:tc>
          <w:tcPr>
            <w:tcW w:w="503" w:type="pct"/>
            <w:tcBorders>
              <w:right w:val="single" w:color="auto" w:sz="4" w:space="0"/>
            </w:tcBorders>
            <w:noWrap w:val="0"/>
            <w:vAlign w:val="center"/>
          </w:tcPr>
          <w:p w14:paraId="1112A44E">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2A1EDAED">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1E265FE2">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noWrap w:val="0"/>
            <w:vAlign w:val="center"/>
          </w:tcPr>
          <w:p w14:paraId="6614CC0C">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r w14:paraId="64FC4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6FE70275">
            <w:pPr>
              <w:pStyle w:val="7"/>
              <w:spacing w:line="360" w:lineRule="auto"/>
              <w:ind w:firstLine="0" w:firstLineChars="0"/>
              <w:contextualSpacing/>
              <w:jc w:val="center"/>
              <w:rPr>
                <w:rFonts w:hint="eastAsia" w:ascii="宋体" w:hAnsi="宋体" w:eastAsia="宋体" w:cs="仿宋_GB2312"/>
                <w:kern w:val="2"/>
                <w:sz w:val="24"/>
                <w:szCs w:val="24"/>
                <w:highlight w:val="none"/>
              </w:rPr>
            </w:pPr>
            <w:bookmarkStart w:id="83" w:name="_Toc254970602"/>
            <w:bookmarkStart w:id="84" w:name="_Toc173066415"/>
            <w:bookmarkStart w:id="85" w:name="_Toc297193195"/>
            <w:bookmarkStart w:id="86" w:name="_Toc301781621"/>
            <w:bookmarkStart w:id="87" w:name="_Toc173211914"/>
            <w:bookmarkStart w:id="88" w:name="_Toc254970743"/>
            <w:bookmarkStart w:id="89" w:name="_Toc383699916"/>
            <w:bookmarkStart w:id="90" w:name="_Toc373333699"/>
            <w:bookmarkStart w:id="91" w:name="_Toc295404991"/>
            <w:r>
              <w:rPr>
                <w:rFonts w:hint="eastAsia" w:ascii="宋体" w:hAnsi="宋体" w:eastAsia="宋体" w:cs="仿宋_GB2312"/>
                <w:kern w:val="2"/>
                <w:sz w:val="24"/>
                <w:szCs w:val="24"/>
                <w:highlight w:val="none"/>
              </w:rPr>
              <w:t>…</w:t>
            </w:r>
            <w:bookmarkEnd w:id="83"/>
            <w:bookmarkEnd w:id="84"/>
            <w:bookmarkEnd w:id="85"/>
            <w:bookmarkEnd w:id="86"/>
            <w:bookmarkEnd w:id="87"/>
            <w:bookmarkEnd w:id="88"/>
            <w:bookmarkEnd w:id="89"/>
            <w:bookmarkEnd w:id="90"/>
            <w:bookmarkEnd w:id="91"/>
          </w:p>
        </w:tc>
        <w:tc>
          <w:tcPr>
            <w:tcW w:w="503" w:type="pct"/>
            <w:tcBorders>
              <w:right w:val="single" w:color="auto" w:sz="4" w:space="0"/>
            </w:tcBorders>
            <w:noWrap w:val="0"/>
            <w:vAlign w:val="center"/>
          </w:tcPr>
          <w:p w14:paraId="03B7F2D5">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670" w:type="pct"/>
            <w:tcBorders>
              <w:left w:val="single" w:color="auto" w:sz="4" w:space="0"/>
            </w:tcBorders>
            <w:noWrap w:val="0"/>
            <w:vAlign w:val="center"/>
          </w:tcPr>
          <w:p w14:paraId="4D0D1FDE">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1503" w:type="pct"/>
            <w:noWrap w:val="0"/>
            <w:vAlign w:val="center"/>
          </w:tcPr>
          <w:p w14:paraId="789FFFD8">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c>
          <w:tcPr>
            <w:tcW w:w="820" w:type="pct"/>
            <w:tcBorders>
              <w:right w:val="single" w:color="auto" w:sz="4" w:space="0"/>
            </w:tcBorders>
            <w:noWrap w:val="0"/>
            <w:vAlign w:val="center"/>
          </w:tcPr>
          <w:p w14:paraId="29809692">
            <w:pPr>
              <w:pStyle w:val="7"/>
              <w:spacing w:line="360" w:lineRule="auto"/>
              <w:ind w:firstLine="0" w:firstLineChars="0"/>
              <w:contextualSpacing/>
              <w:jc w:val="center"/>
              <w:rPr>
                <w:rFonts w:hint="eastAsia" w:ascii="宋体" w:hAnsi="宋体" w:eastAsia="宋体" w:cs="仿宋_GB2312"/>
                <w:kern w:val="2"/>
                <w:sz w:val="24"/>
                <w:szCs w:val="24"/>
                <w:highlight w:val="none"/>
              </w:rPr>
            </w:pPr>
          </w:p>
        </w:tc>
      </w:tr>
    </w:tbl>
    <w:p w14:paraId="275EB12D">
      <w:pPr>
        <w:adjustRightInd w:val="0"/>
        <w:spacing w:line="360" w:lineRule="auto"/>
        <w:contextualSpacing/>
        <w:rPr>
          <w:rFonts w:hint="eastAsia" w:ascii="宋体" w:hAnsi="宋体" w:cs="仿宋_GB2312"/>
          <w:sz w:val="24"/>
          <w:highlight w:val="none"/>
        </w:rPr>
      </w:pPr>
    </w:p>
    <w:p w14:paraId="0FE5B504">
      <w:pPr>
        <w:pStyle w:val="7"/>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14:paraId="70CA7586">
      <w:pPr>
        <w:numPr>
          <w:ilvl w:val="0"/>
          <w:numId w:val="4"/>
        </w:numPr>
        <w:spacing w:line="560" w:lineRule="exact"/>
        <w:ind w:firstLine="480" w:firstLineChars="20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 xml:space="preserve">1. 说明：应对照磋商文件“第三章 </w:t>
      </w:r>
      <w:r>
        <w:rPr>
          <w:rFonts w:hint="eastAsia" w:ascii="宋体" w:hAnsi="宋体" w:eastAsia="宋体" w:cs="仿宋_GB2312"/>
          <w:sz w:val="24"/>
          <w:szCs w:val="24"/>
          <w:highlight w:val="none"/>
          <w:lang w:val="en-US" w:eastAsia="zh-CN"/>
        </w:rPr>
        <w:t>采购</w:t>
      </w:r>
      <w:r>
        <w:rPr>
          <w:rFonts w:hint="eastAsia" w:ascii="宋体" w:hAnsi="宋体" w:eastAsia="宋体" w:cs="仿宋_GB2312"/>
          <w:sz w:val="24"/>
          <w:szCs w:val="24"/>
          <w:highlight w:val="none"/>
          <w:lang w:eastAsia="zh-CN"/>
        </w:rPr>
        <w:t>需求一览表项目</w:t>
      </w:r>
      <w:r>
        <w:rPr>
          <w:rFonts w:hint="eastAsia" w:ascii="宋体" w:hAnsi="宋体" w:eastAsia="宋体" w:cs="仿宋_GB2312"/>
          <w:sz w:val="24"/>
          <w:szCs w:val="24"/>
          <w:highlight w:val="none"/>
        </w:rPr>
        <w:t>”中的</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项目</w:t>
      </w:r>
      <w:r>
        <w:rPr>
          <w:rFonts w:hint="eastAsia" w:ascii="宋体" w:hAnsi="宋体" w:eastAsia="宋体" w:cs="仿宋_GB2312"/>
          <w:sz w:val="24"/>
          <w:szCs w:val="24"/>
          <w:highlight w:val="none"/>
        </w:rPr>
        <w:t>需求清单</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规格或配置技术参数</w:t>
      </w:r>
      <w:r>
        <w:rPr>
          <w:rFonts w:hint="eastAsia" w:ascii="宋体" w:hAnsi="宋体" w:eastAsia="宋体" w:cs="仿宋_GB2312"/>
          <w:sz w:val="24"/>
          <w:szCs w:val="24"/>
          <w:highlight w:val="none"/>
        </w:rPr>
        <w:t>要求逐条作出明确响应，并作出偏离说明。</w:t>
      </w:r>
    </w:p>
    <w:p w14:paraId="2C70C6A8">
      <w:pPr>
        <w:numPr>
          <w:ilvl w:val="0"/>
          <w:numId w:val="4"/>
        </w:numPr>
        <w:spacing w:line="560" w:lineRule="exact"/>
        <w:ind w:firstLine="480" w:firstLineChars="20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2.供应商应根据自身的承诺，对照磋商文件要求，在“偏离说明”中注明“正偏离”、“负偏离”或者“无偏离”。既不属于“正偏离”也不属于“负偏离”即为“无偏离”。</w:t>
      </w:r>
    </w:p>
    <w:p w14:paraId="6E8BD172">
      <w:pPr>
        <w:spacing w:line="360" w:lineRule="auto"/>
        <w:ind w:right="-817" w:rightChars="-389"/>
        <w:contextualSpacing/>
        <w:rPr>
          <w:rFonts w:hint="eastAsia" w:ascii="宋体" w:hAnsi="宋体" w:cs="仿宋_GB2312"/>
          <w:sz w:val="24"/>
          <w:highlight w:val="none"/>
        </w:rPr>
      </w:pPr>
    </w:p>
    <w:p w14:paraId="1576E3A5">
      <w:pPr>
        <w:spacing w:line="360" w:lineRule="auto"/>
        <w:ind w:right="-817" w:rightChars="-389" w:firstLine="960" w:firstLineChars="400"/>
        <w:contextualSpacing/>
        <w:rPr>
          <w:rFonts w:hint="eastAsia" w:ascii="宋体" w:hAnsi="宋体" w:cs="仿宋_GB2312"/>
          <w:sz w:val="24"/>
          <w:highlight w:val="none"/>
        </w:rPr>
      </w:pPr>
      <w:r>
        <w:rPr>
          <w:rFonts w:hint="eastAsia" w:ascii="宋体" w:hAnsi="宋体" w:cs="仿宋_GB2312"/>
          <w:sz w:val="24"/>
          <w:highlight w:val="none"/>
        </w:rPr>
        <w:t xml:space="preserve">法定代表人或者委托代理人（签字）：                    </w:t>
      </w:r>
    </w:p>
    <w:p w14:paraId="30E3A566">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供应商（盖公章）：      </w:t>
      </w:r>
    </w:p>
    <w:p w14:paraId="7FCDBD59">
      <w:pPr>
        <w:spacing w:line="360" w:lineRule="auto"/>
        <w:ind w:right="-817" w:rightChars="-389" w:firstLine="4080" w:firstLineChars="1700"/>
        <w:contextualSpacing/>
        <w:rPr>
          <w:rFonts w:ascii="宋体" w:hAnsi="宋体" w:cs="仿宋_GB2312"/>
          <w:sz w:val="24"/>
          <w:highlight w:val="none"/>
        </w:rPr>
      </w:pPr>
      <w:r>
        <w:rPr>
          <w:rFonts w:hint="eastAsia" w:ascii="宋体" w:hAnsi="宋体" w:cs="仿宋_GB2312"/>
          <w:sz w:val="24"/>
          <w:highlight w:val="none"/>
        </w:rPr>
        <w:t>日期：   年   月   日</w:t>
      </w:r>
    </w:p>
    <w:p w14:paraId="3B333F83">
      <w:pPr>
        <w:jc w:val="center"/>
        <w:rPr>
          <w:rFonts w:hint="eastAsia" w:ascii="宋体" w:hAnsi="宋体" w:cs="宋体"/>
          <w:b/>
          <w:color w:val="auto"/>
          <w:sz w:val="32"/>
          <w:szCs w:val="32"/>
          <w:highlight w:val="none"/>
        </w:rPr>
      </w:pPr>
      <w:r>
        <w:rPr>
          <w:rFonts w:ascii="宋体" w:hAnsi="宋体" w:cs="仿宋_GB2312"/>
          <w:sz w:val="24"/>
          <w:highlight w:val="none"/>
        </w:rPr>
        <w:br w:type="page"/>
      </w:r>
    </w:p>
    <w:p w14:paraId="4B13F793">
      <w:pPr>
        <w:autoSpaceDE w:val="0"/>
        <w:autoSpaceDN w:val="0"/>
        <w:spacing w:after="50" w:line="400" w:lineRule="exact"/>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六</w:t>
      </w:r>
    </w:p>
    <w:p w14:paraId="3F10F268">
      <w:pPr>
        <w:jc w:val="center"/>
        <w:rPr>
          <w:rFonts w:hint="eastAsia" w:ascii="宋体" w:hAnsi="宋体" w:cs="宋体"/>
          <w:b/>
          <w:color w:val="auto"/>
          <w:sz w:val="32"/>
          <w:szCs w:val="32"/>
          <w:highlight w:val="none"/>
        </w:rPr>
      </w:pPr>
    </w:p>
    <w:p w14:paraId="58B69565">
      <w:pPr>
        <w:jc w:val="center"/>
        <w:rPr>
          <w:rFonts w:ascii="宋体" w:hAnsi="宋体"/>
          <w:b/>
          <w:color w:val="auto"/>
          <w:sz w:val="32"/>
          <w:szCs w:val="32"/>
          <w:highlight w:val="none"/>
        </w:rPr>
      </w:pPr>
      <w:r>
        <w:rPr>
          <w:rFonts w:hint="eastAsia" w:ascii="宋体" w:hAnsi="宋体" w:cs="宋体"/>
          <w:b/>
          <w:color w:val="auto"/>
          <w:sz w:val="32"/>
          <w:szCs w:val="32"/>
          <w:highlight w:val="none"/>
        </w:rPr>
        <w:t>法人（负责人）授权委托书（格式）</w:t>
      </w:r>
    </w:p>
    <w:p w14:paraId="629B6962">
      <w:pPr>
        <w:spacing w:line="4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2523EE03">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本授权委托书声明：我</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（姓名）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系</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（竞标单位名称）</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的法定代表人，现授权委托</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（单位名称）</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（姓名）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为我公司被授权人，以本公司的名义参加广西建隆工程咨询有限公司　组织实施的</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（项目名称及项目编号）</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的竞标采购活动。被授权人在开标、评标、合同磋商过程中所签署的一切文件和处理与之有关的一切事务，我均予以承认。</w:t>
      </w:r>
    </w:p>
    <w:p w14:paraId="1B49DB0E">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被授权人在授权委托书有效期内签署的所有文件不因授权委托的撤销而失效，除非有撤销授权委托的书面通知，本授权委托书自竞标开始至合同履行完毕止。</w:t>
      </w:r>
    </w:p>
    <w:p w14:paraId="62600768">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被授权人无转让委托权，特此委托。</w:t>
      </w:r>
    </w:p>
    <w:p w14:paraId="46E1BA45">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p w14:paraId="5F763A45">
      <w:pPr>
        <w:spacing w:line="400" w:lineRule="exact"/>
        <w:jc w:val="left"/>
        <w:rPr>
          <w:rFonts w:ascii="宋体" w:hAnsi="宋体"/>
          <w:color w:val="auto"/>
          <w:sz w:val="20"/>
          <w:szCs w:val="20"/>
          <w:highlight w:val="none"/>
        </w:rPr>
      </w:pPr>
      <w:r>
        <w:rPr>
          <w:rFonts w:hint="eastAsia" w:ascii="宋体" w:hAnsi="宋体" w:cs="宋体"/>
          <w:color w:val="auto"/>
          <w:sz w:val="20"/>
          <w:szCs w:val="20"/>
          <w:highlight w:val="none"/>
        </w:rPr>
        <w:t>委托单位：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（盖单位公章）</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法定代表人：</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（签字）</w:t>
      </w:r>
      <w:r>
        <w:rPr>
          <w:rFonts w:hint="eastAsia" w:ascii="宋体" w:hAnsi="宋体"/>
          <w:color w:val="auto"/>
          <w:sz w:val="20"/>
          <w:szCs w:val="20"/>
          <w:highlight w:val="none"/>
          <w:u w:val="single"/>
        </w:rPr>
        <w:t xml:space="preserve">     </w:t>
      </w:r>
    </w:p>
    <w:p w14:paraId="2C977AE0">
      <w:pPr>
        <w:spacing w:line="400" w:lineRule="exact"/>
        <w:jc w:val="left"/>
        <w:rPr>
          <w:rFonts w:ascii="宋体" w:hAnsi="宋体"/>
          <w:color w:val="auto"/>
          <w:sz w:val="20"/>
          <w:szCs w:val="20"/>
          <w:highlight w:val="none"/>
        </w:rPr>
      </w:pPr>
      <w:r>
        <w:rPr>
          <w:rFonts w:hint="eastAsia" w:ascii="宋体" w:hAnsi="宋体" w:cs="宋体"/>
          <w:color w:val="auto"/>
          <w:sz w:val="20"/>
          <w:szCs w:val="20"/>
          <w:highlight w:val="none"/>
        </w:rPr>
        <w:t>签发日期：</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年</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月</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日</w:t>
      </w:r>
    </w:p>
    <w:p w14:paraId="710098CA">
      <w:pPr>
        <w:spacing w:line="400" w:lineRule="exact"/>
        <w:jc w:val="left"/>
        <w:rPr>
          <w:rFonts w:ascii="宋体" w:hAnsi="宋体"/>
          <w:color w:val="auto"/>
          <w:sz w:val="20"/>
          <w:szCs w:val="20"/>
          <w:highlight w:val="none"/>
          <w:u w:val="single"/>
        </w:rPr>
      </w:pPr>
      <w:r>
        <w:rPr>
          <w:rFonts w:hint="eastAsia" w:ascii="宋体" w:hAnsi="宋体"/>
          <w:color w:val="auto"/>
          <w:sz w:val="20"/>
          <w:szCs w:val="20"/>
          <w:highlight w:val="none"/>
          <w:u w:val="single"/>
        </w:rPr>
        <w:t xml:space="preserve">                                                                                           </w:t>
      </w:r>
    </w:p>
    <w:p w14:paraId="5E760FC6">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p w14:paraId="6B7CA9D4">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731"/>
      </w:tblGrid>
      <w:tr w14:paraId="6A71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trPr>
        <w:tc>
          <w:tcPr>
            <w:tcW w:w="4731" w:type="dxa"/>
            <w:tcBorders>
              <w:top w:val="single" w:color="auto" w:sz="4" w:space="0"/>
              <w:left w:val="single" w:color="auto" w:sz="4" w:space="0"/>
              <w:bottom w:val="single" w:color="auto" w:sz="4" w:space="0"/>
              <w:right w:val="single" w:color="auto" w:sz="4" w:space="0"/>
            </w:tcBorders>
            <w:shd w:val="clear" w:color="auto" w:fill="auto"/>
            <w:vAlign w:val="center"/>
          </w:tcPr>
          <w:p w14:paraId="041B4E47">
            <w:pPr>
              <w:jc w:val="center"/>
              <w:rPr>
                <w:rFonts w:ascii="宋体" w:hAnsi="宋体"/>
                <w:color w:val="auto"/>
                <w:kern w:val="2"/>
                <w:highlight w:val="none"/>
              </w:rPr>
            </w:pPr>
            <w:r>
              <w:rPr>
                <w:rFonts w:hint="eastAsia" w:ascii="宋体" w:hAnsi="宋体" w:cs="宋体"/>
                <w:color w:val="auto"/>
                <w:kern w:val="2"/>
                <w:highlight w:val="none"/>
              </w:rPr>
              <w:t>法定代表人身份证（正、背）面复印件粘贴处</w:t>
            </w:r>
          </w:p>
          <w:p w14:paraId="7986C01C">
            <w:pPr>
              <w:jc w:val="center"/>
              <w:rPr>
                <w:rFonts w:ascii="宋体" w:hAnsi="宋体"/>
                <w:color w:val="auto"/>
                <w:kern w:val="2"/>
                <w:highlight w:val="none"/>
              </w:rPr>
            </w:pPr>
            <w:r>
              <w:rPr>
                <w:rFonts w:hint="eastAsia" w:ascii="宋体" w:hAnsi="宋体" w:cs="宋体"/>
                <w:color w:val="auto"/>
                <w:kern w:val="2"/>
                <w:highlight w:val="none"/>
              </w:rPr>
              <w:t>（加盖单位公章）</w:t>
            </w:r>
          </w:p>
        </w:tc>
        <w:tc>
          <w:tcPr>
            <w:tcW w:w="4731" w:type="dxa"/>
            <w:tcBorders>
              <w:top w:val="single" w:color="auto" w:sz="4" w:space="0"/>
              <w:left w:val="nil"/>
              <w:bottom w:val="single" w:color="auto" w:sz="4" w:space="0"/>
              <w:right w:val="single" w:color="auto" w:sz="4" w:space="0"/>
            </w:tcBorders>
            <w:shd w:val="clear" w:color="auto" w:fill="auto"/>
            <w:vAlign w:val="center"/>
          </w:tcPr>
          <w:p w14:paraId="2D057638">
            <w:pPr>
              <w:jc w:val="center"/>
              <w:rPr>
                <w:rFonts w:ascii="宋体" w:hAnsi="宋体"/>
                <w:color w:val="auto"/>
                <w:kern w:val="2"/>
                <w:highlight w:val="none"/>
              </w:rPr>
            </w:pPr>
            <w:r>
              <w:rPr>
                <w:rFonts w:hint="eastAsia" w:ascii="宋体" w:hAnsi="宋体" w:cs="宋体"/>
                <w:color w:val="auto"/>
                <w:kern w:val="2"/>
                <w:highlight w:val="none"/>
              </w:rPr>
              <w:t>委托代理人身份证（正、背）面复印件粘贴处</w:t>
            </w:r>
          </w:p>
          <w:p w14:paraId="1536ACA9">
            <w:pPr>
              <w:jc w:val="center"/>
              <w:rPr>
                <w:rFonts w:ascii="宋体" w:hAnsi="宋体"/>
                <w:color w:val="auto"/>
                <w:kern w:val="2"/>
                <w:highlight w:val="none"/>
              </w:rPr>
            </w:pPr>
            <w:r>
              <w:rPr>
                <w:rFonts w:hint="eastAsia" w:ascii="宋体" w:hAnsi="宋体" w:cs="宋体"/>
                <w:color w:val="auto"/>
                <w:kern w:val="2"/>
                <w:highlight w:val="none"/>
              </w:rPr>
              <w:t>（加盖单位公章）</w:t>
            </w:r>
          </w:p>
        </w:tc>
      </w:tr>
    </w:tbl>
    <w:p w14:paraId="3C55F606">
      <w:pPr>
        <w:spacing w:line="360" w:lineRule="auto"/>
        <w:rPr>
          <w:rFonts w:ascii="宋体" w:hAnsi="Courier New"/>
          <w:b/>
          <w:bCs/>
          <w:color w:val="auto"/>
          <w:sz w:val="24"/>
          <w:szCs w:val="24"/>
          <w:highlight w:val="none"/>
        </w:rPr>
      </w:pPr>
      <w:bookmarkStart w:id="92" w:name="_Toc498503758"/>
      <w:bookmarkEnd w:id="92"/>
      <w:r>
        <w:rPr>
          <w:rFonts w:hint="eastAsia" w:ascii="宋体" w:hAnsi="Courier New"/>
          <w:b/>
          <w:bCs/>
          <w:color w:val="auto"/>
          <w:sz w:val="24"/>
          <w:szCs w:val="24"/>
          <w:highlight w:val="none"/>
        </w:rPr>
        <w:t xml:space="preserve"> </w:t>
      </w:r>
    </w:p>
    <w:p w14:paraId="7EE8916A">
      <w:pPr>
        <w:spacing w:line="360" w:lineRule="auto"/>
        <w:rPr>
          <w:rFonts w:hint="eastAsia" w:ascii="宋体" w:hAnsi="Courier New"/>
          <w:b/>
          <w:bCs/>
          <w:color w:val="auto"/>
          <w:sz w:val="24"/>
          <w:szCs w:val="24"/>
          <w:highlight w:val="none"/>
        </w:rPr>
      </w:pPr>
      <w:r>
        <w:rPr>
          <w:rFonts w:hint="eastAsia" w:ascii="宋体" w:hAnsi="Courier New"/>
          <w:b/>
          <w:bCs/>
          <w:color w:val="auto"/>
          <w:sz w:val="24"/>
          <w:szCs w:val="24"/>
          <w:highlight w:val="none"/>
        </w:rPr>
        <w:t xml:space="preserve"> </w:t>
      </w:r>
    </w:p>
    <w:p w14:paraId="6B733D93">
      <w:pPr>
        <w:spacing w:line="360" w:lineRule="auto"/>
        <w:rPr>
          <w:rFonts w:hint="eastAsia" w:ascii="宋体" w:hAnsi="Courier New"/>
          <w:b/>
          <w:bCs/>
          <w:color w:val="auto"/>
          <w:sz w:val="24"/>
          <w:szCs w:val="24"/>
          <w:highlight w:val="none"/>
        </w:rPr>
      </w:pPr>
    </w:p>
    <w:p w14:paraId="3434D13D">
      <w:pPr>
        <w:pStyle w:val="24"/>
        <w:rPr>
          <w:color w:val="auto"/>
          <w:highlight w:val="none"/>
        </w:rPr>
      </w:pPr>
    </w:p>
    <w:p w14:paraId="7E61151B">
      <w:pPr>
        <w:spacing w:line="400" w:lineRule="exact"/>
        <w:jc w:val="center"/>
        <w:rPr>
          <w:b/>
          <w:color w:val="auto"/>
          <w:sz w:val="32"/>
          <w:szCs w:val="32"/>
          <w:highlight w:val="none"/>
        </w:rPr>
      </w:pPr>
      <w:r>
        <w:rPr>
          <w:rFonts w:hint="eastAsia" w:ascii="宋体" w:hAnsi="宋体" w:cs="宋体"/>
          <w:b/>
          <w:color w:val="auto"/>
          <w:sz w:val="28"/>
          <w:szCs w:val="28"/>
          <w:highlight w:val="none"/>
        </w:rPr>
        <w:t xml:space="preserve"> </w:t>
      </w:r>
      <w:r>
        <w:rPr>
          <w:rFonts w:hint="eastAsia"/>
          <w:b/>
          <w:color w:val="auto"/>
          <w:sz w:val="32"/>
          <w:szCs w:val="32"/>
          <w:highlight w:val="none"/>
        </w:rPr>
        <w:t>总公司或省级分公司</w:t>
      </w:r>
      <w:r>
        <w:rPr>
          <w:b/>
          <w:color w:val="auto"/>
          <w:sz w:val="32"/>
          <w:szCs w:val="32"/>
          <w:highlight w:val="none"/>
        </w:rPr>
        <w:t>授权委托书</w:t>
      </w:r>
      <w:r>
        <w:rPr>
          <w:rFonts w:hint="eastAsia"/>
          <w:b/>
          <w:color w:val="auto"/>
          <w:sz w:val="32"/>
          <w:szCs w:val="32"/>
          <w:highlight w:val="none"/>
        </w:rPr>
        <w:t>（</w:t>
      </w:r>
      <w:r>
        <w:rPr>
          <w:b/>
          <w:color w:val="auto"/>
          <w:sz w:val="32"/>
          <w:szCs w:val="32"/>
          <w:highlight w:val="none"/>
        </w:rPr>
        <w:t>备选</w:t>
      </w:r>
      <w:r>
        <w:rPr>
          <w:rFonts w:hint="eastAsia"/>
          <w:b/>
          <w:color w:val="auto"/>
          <w:sz w:val="32"/>
          <w:szCs w:val="32"/>
          <w:highlight w:val="none"/>
        </w:rPr>
        <w:t>）</w:t>
      </w:r>
    </w:p>
    <w:p w14:paraId="41769FA9">
      <w:pPr>
        <w:autoSpaceDE w:val="0"/>
        <w:autoSpaceDN w:val="0"/>
        <w:spacing w:after="50" w:line="400" w:lineRule="exact"/>
        <w:jc w:val="center"/>
        <w:rPr>
          <w:rFonts w:hint="eastAsia" w:ascii="宋体" w:hAnsi="宋体" w:cs="宋体"/>
          <w:color w:val="auto"/>
          <w:sz w:val="24"/>
          <w:szCs w:val="24"/>
          <w:highlight w:val="none"/>
        </w:rPr>
      </w:pPr>
    </w:p>
    <w:p w14:paraId="7C076720">
      <w:pPr>
        <w:autoSpaceDE w:val="0"/>
        <w:autoSpaceDN w:val="0"/>
        <w:spacing w:after="50" w:line="400" w:lineRule="exact"/>
        <w:jc w:val="center"/>
        <w:rPr>
          <w:rFonts w:hint="eastAsia" w:ascii="宋体" w:hAnsi="宋体" w:cs="宋体"/>
          <w:color w:val="auto"/>
          <w:sz w:val="24"/>
          <w:szCs w:val="24"/>
          <w:highlight w:val="none"/>
        </w:rPr>
      </w:pPr>
    </w:p>
    <w:p w14:paraId="489A0C37">
      <w:pPr>
        <w:autoSpaceDE w:val="0"/>
        <w:autoSpaceDN w:val="0"/>
        <w:spacing w:after="50" w:line="400" w:lineRule="exact"/>
        <w:jc w:val="center"/>
        <w:rPr>
          <w:rFonts w:hint="eastAsia" w:ascii="宋体" w:hAnsi="宋体" w:cs="宋体"/>
          <w:color w:val="auto"/>
          <w:sz w:val="24"/>
          <w:szCs w:val="24"/>
          <w:highlight w:val="none"/>
        </w:rPr>
      </w:pPr>
    </w:p>
    <w:p w14:paraId="4DBDEBF0">
      <w:pPr>
        <w:autoSpaceDE w:val="0"/>
        <w:autoSpaceDN w:val="0"/>
        <w:spacing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由竞标人根据自身实际情况编制</w:t>
      </w:r>
    </w:p>
    <w:p w14:paraId="4A0DAF82">
      <w:pPr>
        <w:tabs>
          <w:tab w:val="left" w:pos="5325"/>
        </w:tabs>
        <w:spacing w:line="400" w:lineRule="exact"/>
        <w:ind w:firstLine="420" w:firstLineChars="200"/>
        <w:rPr>
          <w:rFonts w:hAnsi="宋体"/>
          <w:color w:val="auto"/>
          <w:szCs w:val="21"/>
          <w:highlight w:val="none"/>
        </w:rPr>
      </w:pPr>
    </w:p>
    <w:p w14:paraId="0A5C4FC2">
      <w:pPr>
        <w:pStyle w:val="9"/>
        <w:spacing w:line="400" w:lineRule="exact"/>
        <w:ind w:left="840" w:firstLine="400" w:firstLineChars="200"/>
        <w:rPr>
          <w:color w:val="auto"/>
          <w:highlight w:val="none"/>
        </w:rPr>
      </w:pPr>
      <w:r>
        <w:rPr>
          <w:rFonts w:hAnsi="宋体"/>
          <w:color w:val="auto"/>
          <w:highlight w:val="none"/>
        </w:rPr>
        <w:t>说明：</w:t>
      </w:r>
    </w:p>
    <w:p w14:paraId="2776F721">
      <w:pPr>
        <w:pStyle w:val="9"/>
        <w:spacing w:line="400" w:lineRule="exact"/>
        <w:ind w:left="779" w:leftChars="228" w:hanging="300" w:hangingChars="150"/>
        <w:rPr>
          <w:color w:val="auto"/>
          <w:highlight w:val="none"/>
        </w:rPr>
      </w:pPr>
      <w:r>
        <w:rPr>
          <w:color w:val="auto"/>
          <w:highlight w:val="none"/>
        </w:rPr>
        <w:t>1</w:t>
      </w:r>
      <w:r>
        <w:rPr>
          <w:rFonts w:hAnsi="宋体"/>
          <w:color w:val="auto"/>
          <w:highlight w:val="none"/>
        </w:rPr>
        <w:t>、当不具备独立资质的</w:t>
      </w:r>
      <w:r>
        <w:rPr>
          <w:rFonts w:hint="eastAsia" w:hAnsi="宋体"/>
          <w:color w:val="auto"/>
          <w:highlight w:val="none"/>
        </w:rPr>
        <w:t>支</w:t>
      </w:r>
      <w:r>
        <w:rPr>
          <w:rFonts w:hAnsi="宋体"/>
          <w:color w:val="auto"/>
          <w:highlight w:val="none"/>
        </w:rPr>
        <w:t>公司参与</w:t>
      </w:r>
      <w:r>
        <w:rPr>
          <w:rFonts w:hint="eastAsia" w:hAnsi="宋体"/>
          <w:color w:val="auto"/>
          <w:highlight w:val="none"/>
        </w:rPr>
        <w:t>本项目</w:t>
      </w:r>
      <w:r>
        <w:rPr>
          <w:rFonts w:hAnsi="宋体"/>
          <w:color w:val="auto"/>
          <w:highlight w:val="none"/>
        </w:rPr>
        <w:t>投标，本授权委托书才是必须的。</w:t>
      </w:r>
    </w:p>
    <w:p w14:paraId="753AF196">
      <w:pPr>
        <w:pStyle w:val="9"/>
        <w:spacing w:line="400" w:lineRule="exact"/>
        <w:ind w:left="779" w:leftChars="228" w:hanging="300" w:hangingChars="150"/>
        <w:rPr>
          <w:rFonts w:hAnsi="宋体"/>
          <w:color w:val="auto"/>
          <w:highlight w:val="none"/>
        </w:rPr>
      </w:pPr>
      <w:r>
        <w:rPr>
          <w:color w:val="auto"/>
          <w:highlight w:val="none"/>
        </w:rPr>
        <w:t>2</w:t>
      </w:r>
      <w:r>
        <w:rPr>
          <w:rFonts w:hAnsi="宋体"/>
          <w:color w:val="auto"/>
          <w:highlight w:val="none"/>
        </w:rPr>
        <w:t>、</w:t>
      </w:r>
      <w:r>
        <w:rPr>
          <w:rFonts w:hint="eastAsia" w:hAnsi="宋体"/>
          <w:color w:val="auto"/>
          <w:highlight w:val="none"/>
        </w:rPr>
        <w:t>同一省公司只能委托一个支公司或营业部参加本项目投标，否则授权委托书无效</w:t>
      </w:r>
      <w:r>
        <w:rPr>
          <w:rFonts w:hAnsi="宋体"/>
          <w:color w:val="auto"/>
          <w:highlight w:val="none"/>
        </w:rPr>
        <w:t>。</w:t>
      </w:r>
    </w:p>
    <w:p w14:paraId="2FB2F862">
      <w:pPr>
        <w:tabs>
          <w:tab w:val="left" w:pos="1305"/>
        </w:tabs>
        <w:spacing w:line="360" w:lineRule="auto"/>
        <w:rPr>
          <w:b/>
          <w:color w:val="auto"/>
          <w:sz w:val="24"/>
          <w:highlight w:val="none"/>
        </w:rPr>
      </w:pPr>
    </w:p>
    <w:p w14:paraId="76605B47">
      <w:pPr>
        <w:autoSpaceDE w:val="0"/>
        <w:autoSpaceDN w:val="0"/>
        <w:spacing w:after="50" w:line="400" w:lineRule="exact"/>
        <w:jc w:val="left"/>
        <w:rPr>
          <w:rFonts w:ascii="宋体" w:hAnsi="宋体" w:cs="宋体"/>
          <w:b/>
          <w:color w:val="auto"/>
          <w:sz w:val="28"/>
          <w:szCs w:val="28"/>
          <w:highlight w:val="none"/>
        </w:rPr>
      </w:pPr>
    </w:p>
    <w:p w14:paraId="0147FFB3">
      <w:pPr>
        <w:autoSpaceDE w:val="0"/>
        <w:autoSpaceDN w:val="0"/>
        <w:spacing w:after="50"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35F3A394">
      <w:pPr>
        <w:autoSpaceDE w:val="0"/>
        <w:autoSpaceDN w:val="0"/>
        <w:spacing w:after="50" w:line="400" w:lineRule="exact"/>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七</w:t>
      </w:r>
    </w:p>
    <w:p w14:paraId="58FAE3FC">
      <w:pPr>
        <w:autoSpaceDE w:val="0"/>
        <w:autoSpaceDN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无重大违法记录声明书</w:t>
      </w:r>
    </w:p>
    <w:p w14:paraId="3DB14A88">
      <w:pPr>
        <w:autoSpaceDE w:val="0"/>
        <w:autoSpaceDN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4493444">
      <w:pPr>
        <w:autoSpaceDE w:val="0"/>
        <w:autoSpaceDN w:val="0"/>
        <w:spacing w:line="480" w:lineRule="auto"/>
        <w:jc w:val="left"/>
        <w:rPr>
          <w:rFonts w:ascii="宋体" w:hAnsi="宋体" w:cs="宋体"/>
          <w:color w:val="auto"/>
          <w:highlight w:val="none"/>
        </w:rPr>
      </w:pPr>
      <w:r>
        <w:rPr>
          <w:rFonts w:hint="eastAsia" w:ascii="宋体" w:hAnsi="宋体" w:cs="宋体"/>
          <w:color w:val="auto"/>
          <w:highlight w:val="none"/>
        </w:rPr>
        <w:t>广西建隆工程咨询有限公司　：</w:t>
      </w:r>
    </w:p>
    <w:p w14:paraId="2799A4D6">
      <w:pPr>
        <w:autoSpaceDE w:val="0"/>
        <w:autoSpaceDN w:val="0"/>
        <w:spacing w:line="480" w:lineRule="auto"/>
        <w:ind w:firstLine="411" w:firstLineChars="196"/>
        <w:jc w:val="left"/>
        <w:rPr>
          <w:rFonts w:ascii="宋体" w:hAnsi="宋体" w:cs="宋体"/>
          <w:color w:val="auto"/>
          <w:highlight w:val="none"/>
        </w:rPr>
      </w:pPr>
      <w:r>
        <w:rPr>
          <w:rFonts w:hint="eastAsia" w:ascii="宋体" w:hAnsi="宋体" w:cs="宋体"/>
          <w:color w:val="auto"/>
          <w:highlight w:val="none"/>
        </w:rPr>
        <w:t>我公司参加贵公司组织</w:t>
      </w:r>
      <w:r>
        <w:rPr>
          <w:rFonts w:hint="eastAsia" w:ascii="宋体" w:hAnsi="宋体" w:cs="宋体"/>
          <w:color w:val="auto"/>
          <w:highlight w:val="none"/>
          <w:u w:val="single"/>
        </w:rPr>
        <w:t xml:space="preserve">                        </w:t>
      </w:r>
      <w:r>
        <w:rPr>
          <w:rFonts w:hint="eastAsia" w:ascii="宋体" w:hAnsi="宋体" w:cs="宋体"/>
          <w:color w:val="auto"/>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4F304ECF">
      <w:pPr>
        <w:autoSpaceDE w:val="0"/>
        <w:autoSpaceDN w:val="0"/>
        <w:spacing w:line="480" w:lineRule="auto"/>
        <w:ind w:firstLine="411" w:firstLineChars="196"/>
        <w:jc w:val="left"/>
        <w:rPr>
          <w:rFonts w:ascii="宋体" w:hAnsi="宋体" w:cs="宋体"/>
          <w:color w:val="auto"/>
          <w:highlight w:val="none"/>
        </w:rPr>
      </w:pPr>
      <w:r>
        <w:rPr>
          <w:rFonts w:hint="eastAsia" w:ascii="宋体" w:hAnsi="宋体" w:cs="宋体"/>
          <w:color w:val="auto"/>
          <w:highlight w:val="none"/>
        </w:rPr>
        <w:t>特此承诺。</w:t>
      </w:r>
    </w:p>
    <w:p w14:paraId="76980A3A">
      <w:pPr>
        <w:autoSpaceDE w:val="0"/>
        <w:autoSpaceDN w:val="0"/>
        <w:spacing w:line="360" w:lineRule="auto"/>
        <w:ind w:firstLine="411" w:firstLineChars="196"/>
        <w:jc w:val="left"/>
        <w:rPr>
          <w:rFonts w:ascii="宋体" w:hAnsi="宋体" w:cs="宋体"/>
          <w:color w:val="auto"/>
          <w:highlight w:val="none"/>
        </w:rPr>
      </w:pPr>
      <w:r>
        <w:rPr>
          <w:rFonts w:hint="eastAsia" w:ascii="宋体" w:hAnsi="宋体" w:cs="宋体"/>
          <w:color w:val="auto"/>
          <w:highlight w:val="none"/>
        </w:rPr>
        <w:t xml:space="preserve"> </w:t>
      </w:r>
    </w:p>
    <w:p w14:paraId="6ABFF8A5">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413EFBDD">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4D9EC4CB">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2DF45A45">
      <w:pPr>
        <w:spacing w:line="300" w:lineRule="auto"/>
        <w:rPr>
          <w:rFonts w:ascii="宋体" w:hAnsi="宋体"/>
          <w:color w:val="auto"/>
          <w:highlight w:val="none"/>
        </w:rPr>
      </w:pPr>
      <w:r>
        <w:rPr>
          <w:rFonts w:hint="eastAsia" w:ascii="宋体" w:hAnsi="宋体"/>
          <w:color w:val="auto"/>
          <w:highlight w:val="none"/>
        </w:rPr>
        <w:t xml:space="preserve"> </w:t>
      </w:r>
    </w:p>
    <w:p w14:paraId="0DB0323D">
      <w:pPr>
        <w:ind w:left="3360"/>
        <w:rPr>
          <w:rFonts w:ascii="宋体" w:hAnsi="宋体"/>
          <w:color w:val="auto"/>
          <w:highlight w:val="none"/>
        </w:rPr>
      </w:pPr>
      <w:r>
        <w:rPr>
          <w:rFonts w:hint="eastAsia" w:ascii="宋体" w:hAnsi="宋体" w:cs="宋体"/>
          <w:color w:val="auto"/>
          <w:highlight w:val="none"/>
        </w:rPr>
        <w:t>竞标人单位全称（盖公章）：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C3A5A48">
      <w:pPr>
        <w:rPr>
          <w:rFonts w:ascii="宋体" w:hAnsi="宋体"/>
          <w:color w:val="auto"/>
          <w:highlight w:val="none"/>
        </w:rPr>
      </w:pPr>
      <w:r>
        <w:rPr>
          <w:rFonts w:hint="eastAsia" w:ascii="宋体" w:hAnsi="宋体"/>
          <w:color w:val="auto"/>
          <w:highlight w:val="none"/>
        </w:rPr>
        <w:t xml:space="preserve">                             </w:t>
      </w:r>
    </w:p>
    <w:p w14:paraId="33B64E01">
      <w:pPr>
        <w:ind w:firstLine="3360" w:firstLineChars="1600"/>
        <w:rPr>
          <w:rFonts w:ascii="宋体" w:hAnsi="宋体"/>
          <w:color w:val="auto"/>
          <w:highlight w:val="none"/>
        </w:rPr>
      </w:pPr>
      <w:r>
        <w:rPr>
          <w:rFonts w:hint="eastAsia" w:ascii="宋体" w:hAnsi="宋体" w:cs="宋体"/>
          <w:color w:val="auto"/>
          <w:highlight w:val="none"/>
        </w:rPr>
        <w:t>法定代表人或授权代表签字: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908032B">
      <w:pPr>
        <w:ind w:left="5250"/>
        <w:jc w:val="center"/>
        <w:rPr>
          <w:rFonts w:ascii="宋体" w:hAnsi="宋体"/>
          <w:color w:val="auto"/>
          <w:highlight w:val="none"/>
        </w:rPr>
      </w:pPr>
      <w:r>
        <w:rPr>
          <w:rFonts w:hint="eastAsia" w:ascii="宋体" w:hAnsi="宋体"/>
          <w:color w:val="auto"/>
          <w:highlight w:val="none"/>
        </w:rPr>
        <w:t xml:space="preserve"> </w:t>
      </w:r>
    </w:p>
    <w:p w14:paraId="78EC1DD6">
      <w:pPr>
        <w:widowControl/>
        <w:ind w:firstLine="3360" w:firstLineChars="1600"/>
        <w:jc w:val="left"/>
        <w:rPr>
          <w:rFonts w:ascii="宋体" w:hAnsi="宋体" w:cs="宋体"/>
          <w:b/>
          <w:bCs/>
          <w:color w:val="auto"/>
          <w:sz w:val="32"/>
          <w:szCs w:val="32"/>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bookmarkStart w:id="93" w:name="OLE_LINK4"/>
      <w:bookmarkEnd w:id="93"/>
      <w:r>
        <w:rPr>
          <w:rFonts w:hint="eastAsia" w:ascii="宋体" w:hAnsi="宋体" w:cs="宋体"/>
          <w:b/>
          <w:bCs/>
          <w:color w:val="auto"/>
          <w:sz w:val="32"/>
          <w:szCs w:val="32"/>
          <w:highlight w:val="none"/>
        </w:rPr>
        <w:br w:type="page"/>
      </w:r>
    </w:p>
    <w:p w14:paraId="0CB69044">
      <w:pPr>
        <w:autoSpaceDE w:val="0"/>
        <w:autoSpaceDN w:val="0"/>
        <w:spacing w:after="50" w:line="400" w:lineRule="exact"/>
        <w:jc w:val="left"/>
        <w:rPr>
          <w:rFonts w:hint="eastAsia" w:ascii="宋体" w:hAnsi="宋体" w:eastAsia="宋体" w:cs="宋体"/>
          <w:b/>
          <w:bCs/>
          <w:color w:val="auto"/>
          <w:sz w:val="32"/>
          <w:szCs w:val="32"/>
          <w:highlight w:val="none"/>
          <w:lang w:val="en-US"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八</w:t>
      </w:r>
    </w:p>
    <w:p w14:paraId="2FCB3F99">
      <w:pPr>
        <w:autoSpaceDE w:val="0"/>
        <w:autoSpaceDN w:val="0"/>
        <w:spacing w:line="588"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中小微企业声明函（格式）</w:t>
      </w:r>
    </w:p>
    <w:p w14:paraId="6C79B4C9">
      <w:pPr>
        <w:pStyle w:val="2"/>
        <w:spacing w:before="162"/>
        <w:jc w:val="center"/>
        <w:rPr>
          <w:rFonts w:hint="eastAsia" w:ascii="宋体"/>
          <w:color w:val="auto"/>
          <w:sz w:val="24"/>
          <w:highlight w:val="none"/>
        </w:rPr>
      </w:pPr>
    </w:p>
    <w:p w14:paraId="3B8FC52F">
      <w:pPr>
        <w:pStyle w:val="6"/>
        <w:spacing w:before="55" w:line="302" w:lineRule="auto"/>
        <w:ind w:right="415" w:firstLine="640"/>
        <w:rPr>
          <w:rFonts w:ascii="宋体" w:hAnsi="宋体" w:cs="宋体"/>
          <w:color w:val="auto"/>
          <w:highlight w:val="none"/>
        </w:rPr>
      </w:pPr>
      <w:r>
        <w:rPr>
          <w:rFonts w:hint="eastAsia" w:ascii="宋体" w:hAnsi="宋体" w:cs="宋体"/>
          <w:color w:val="auto"/>
          <w:spacing w:val="-2"/>
          <w:highlight w:val="none"/>
        </w:rPr>
        <w:t>本公司</w:t>
      </w:r>
      <w:r>
        <w:rPr>
          <w:rFonts w:hint="eastAsia" w:ascii="宋体" w:hAnsi="宋体" w:cs="宋体"/>
          <w:color w:val="auto"/>
          <w:highlight w:val="none"/>
        </w:rPr>
        <w:t>（联合体</w:t>
      </w:r>
      <w:r>
        <w:rPr>
          <w:rFonts w:hint="eastAsia" w:ascii="宋体" w:hAnsi="宋体" w:cs="宋体"/>
          <w:color w:val="auto"/>
          <w:spacing w:val="-5"/>
          <w:highlight w:val="none"/>
        </w:rPr>
        <w:t>）</w:t>
      </w:r>
      <w:r>
        <w:rPr>
          <w:rFonts w:hint="eastAsia" w:ascii="宋体" w:hAnsi="宋体" w:cs="宋体"/>
          <w:color w:val="auto"/>
          <w:spacing w:val="-2"/>
          <w:highlight w:val="none"/>
        </w:rPr>
        <w:t>郑重声明，根据《政府采购促进中小</w:t>
      </w:r>
      <w:r>
        <w:rPr>
          <w:rFonts w:hint="eastAsia" w:ascii="宋体" w:hAnsi="宋体" w:cs="宋体"/>
          <w:color w:val="auto"/>
          <w:spacing w:val="-18"/>
          <w:highlight w:val="none"/>
        </w:rPr>
        <w:t>企业发展管理办法》</w:t>
      </w:r>
      <w:r>
        <w:rPr>
          <w:rFonts w:hint="eastAsia" w:ascii="宋体" w:hAnsi="宋体" w:cs="宋体"/>
          <w:color w:val="auto"/>
          <w:highlight w:val="none"/>
        </w:rPr>
        <w:t>（</w:t>
      </w:r>
      <w:r>
        <w:rPr>
          <w:rFonts w:hint="eastAsia" w:ascii="宋体" w:hAnsi="宋体" w:cs="宋体"/>
          <w:color w:val="auto"/>
          <w:spacing w:val="5"/>
          <w:highlight w:val="none"/>
        </w:rPr>
        <w:t>财库</w:t>
      </w:r>
      <w:r>
        <w:rPr>
          <w:rFonts w:hint="eastAsia" w:ascii="宋体" w:hAnsi="宋体" w:cs="宋体"/>
          <w:color w:val="auto"/>
          <w:highlight w:val="none"/>
        </w:rPr>
        <w:t>﹝2020﹞46</w:t>
      </w:r>
      <w:r>
        <w:rPr>
          <w:rFonts w:hint="eastAsia" w:ascii="宋体" w:hAnsi="宋体" w:cs="宋体"/>
          <w:color w:val="auto"/>
          <w:spacing w:val="-38"/>
          <w:highlight w:val="none"/>
        </w:rPr>
        <w:t xml:space="preserve"> 号</w:t>
      </w:r>
      <w:r>
        <w:rPr>
          <w:rFonts w:hint="eastAsia" w:ascii="宋体" w:hAnsi="宋体" w:cs="宋体"/>
          <w:color w:val="auto"/>
          <w:spacing w:val="5"/>
          <w:highlight w:val="none"/>
        </w:rPr>
        <w:t>）</w:t>
      </w:r>
      <w:r>
        <w:rPr>
          <w:rFonts w:hint="eastAsia" w:ascii="宋体" w:hAnsi="宋体" w:cs="宋体"/>
          <w:color w:val="auto"/>
          <w:highlight w:val="none"/>
        </w:rPr>
        <w:t>的规定，本公司（联合体）</w:t>
      </w:r>
      <w:r>
        <w:rPr>
          <w:rFonts w:hint="eastAsia" w:ascii="宋体" w:hAnsi="宋体" w:cs="宋体"/>
          <w:color w:val="auto"/>
          <w:spacing w:val="-8"/>
          <w:highlight w:val="none"/>
        </w:rPr>
        <w:t>参加（单位名称）的（项目名称、编号）采购活动，提供        的</w:t>
      </w:r>
      <w:r>
        <w:rPr>
          <w:rFonts w:hint="eastAsia" w:ascii="宋体" w:hAnsi="宋体" w:cs="宋体"/>
          <w:color w:val="auto"/>
          <w:spacing w:val="-8"/>
          <w:highlight w:val="none"/>
          <w:lang w:val="en-US" w:eastAsia="zh-CN"/>
        </w:rPr>
        <w:t>服务</w:t>
      </w:r>
      <w:r>
        <w:rPr>
          <w:rFonts w:hint="eastAsia" w:ascii="宋体" w:hAnsi="宋体" w:cs="宋体"/>
          <w:color w:val="auto"/>
          <w:spacing w:val="-8"/>
          <w:highlight w:val="none"/>
        </w:rPr>
        <w:t>全部由符合政策要求的中小</w:t>
      </w:r>
      <w:r>
        <w:rPr>
          <w:rFonts w:hint="eastAsia" w:ascii="宋体" w:hAnsi="宋体" w:cs="宋体"/>
          <w:color w:val="auto"/>
          <w:spacing w:val="-8"/>
          <w:highlight w:val="none"/>
          <w:lang w:val="en-US" w:eastAsia="zh-CN"/>
        </w:rPr>
        <w:t>提供</w:t>
      </w:r>
      <w:r>
        <w:rPr>
          <w:rFonts w:hint="eastAsia" w:ascii="宋体" w:hAnsi="宋体" w:cs="宋体"/>
          <w:color w:val="auto"/>
          <w:spacing w:val="-8"/>
          <w:highlight w:val="none"/>
        </w:rPr>
        <w:t>。相关企业（含联合体中的中小企业、签订分包意向协议的中小企业） 的具体情况如下：</w:t>
      </w:r>
    </w:p>
    <w:p w14:paraId="5863C589">
      <w:pPr>
        <w:pStyle w:val="6"/>
        <w:spacing w:line="5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lang w:val="en-US" w:eastAsia="zh-CN"/>
        </w:rPr>
        <w:t>其他服务</w:t>
      </w:r>
      <w:r>
        <w:rPr>
          <w:rFonts w:hint="eastAsia" w:ascii="宋体" w:hAnsi="宋体" w:cs="宋体"/>
          <w:color w:val="auto"/>
          <w:highlight w:val="none"/>
          <w:u w:val="single"/>
        </w:rPr>
        <w:t>行业</w:t>
      </w:r>
      <w:r>
        <w:rPr>
          <w:rFonts w:hint="eastAsia" w:ascii="宋体" w:hAnsi="宋体" w:cs="宋体"/>
          <w:color w:val="auto"/>
          <w:highlight w:val="none"/>
        </w:rPr>
        <w:t>；</w:t>
      </w:r>
      <w:r>
        <w:rPr>
          <w:rFonts w:hint="eastAsia" w:ascii="宋体" w:hAnsi="宋体" w:cs="宋体"/>
          <w:color w:val="auto"/>
          <w:highlight w:val="none"/>
          <w:lang w:val="en-US" w:eastAsia="zh-CN"/>
        </w:rPr>
        <w:t>服务</w:t>
      </w:r>
      <w:r>
        <w:rPr>
          <w:rFonts w:hint="eastAsia" w:ascii="宋体" w:hAnsi="宋体" w:cs="宋体"/>
          <w:color w:val="auto"/>
          <w:highlight w:val="none"/>
        </w:rPr>
        <w:t>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529C3F17">
      <w:pPr>
        <w:spacing w:line="500" w:lineRule="exact"/>
        <w:ind w:firstLine="420" w:firstLineChars="200"/>
        <w:rPr>
          <w:rFonts w:hint="eastAsia"/>
          <w:color w:val="auto"/>
          <w:highlight w:val="none"/>
        </w:rPr>
      </w:pPr>
      <w:r>
        <w:rPr>
          <w:rFonts w:hint="eastAsia"/>
          <w:color w:val="auto"/>
          <w:highlight w:val="none"/>
        </w:rPr>
        <w:t>2.</w:t>
      </w:r>
      <w:r>
        <w:rPr>
          <w:rFonts w:hint="eastAsia"/>
          <w:color w:val="auto"/>
          <w:highlight w:val="none"/>
          <w:u w:val="single"/>
        </w:rPr>
        <w:t>（标的名称）</w:t>
      </w:r>
      <w:r>
        <w:rPr>
          <w:rFonts w:hint="eastAsia"/>
          <w:color w:val="auto"/>
          <w:highlight w:val="none"/>
        </w:rPr>
        <w:t>，属于</w:t>
      </w:r>
      <w:r>
        <w:rPr>
          <w:rFonts w:hint="eastAsia" w:ascii="宋体" w:hAnsi="宋体" w:cs="宋体"/>
          <w:color w:val="auto"/>
          <w:highlight w:val="none"/>
          <w:u w:val="single"/>
          <w:lang w:val="en-US" w:eastAsia="zh-CN"/>
        </w:rPr>
        <w:t>其他服务</w:t>
      </w:r>
      <w:r>
        <w:rPr>
          <w:rFonts w:hint="eastAsia" w:ascii="宋体" w:hAnsi="宋体" w:cs="宋体"/>
          <w:color w:val="auto"/>
          <w:highlight w:val="none"/>
          <w:u w:val="single"/>
        </w:rPr>
        <w:t>行业</w:t>
      </w:r>
      <w:r>
        <w:rPr>
          <w:rFonts w:hint="eastAsia"/>
          <w:color w:val="auto"/>
          <w:highlight w:val="none"/>
        </w:rPr>
        <w:t>；</w:t>
      </w:r>
      <w:r>
        <w:rPr>
          <w:rFonts w:hint="eastAsia"/>
          <w:color w:val="auto"/>
          <w:highlight w:val="none"/>
          <w:lang w:val="en-US" w:eastAsia="zh-CN"/>
        </w:rPr>
        <w:t>服务</w:t>
      </w:r>
      <w:r>
        <w:rPr>
          <w:rFonts w:hint="eastAsia"/>
          <w:color w:val="auto"/>
          <w:highlight w:val="none"/>
        </w:rPr>
        <w:t>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77B8F054">
      <w:pPr>
        <w:pStyle w:val="6"/>
        <w:ind w:left="860"/>
        <w:rPr>
          <w:rFonts w:ascii="宋体" w:hAnsi="宋体" w:cs="宋体"/>
          <w:color w:val="auto"/>
          <w:highlight w:val="none"/>
        </w:rPr>
      </w:pPr>
      <w:r>
        <w:rPr>
          <w:rFonts w:hint="eastAsia" w:ascii="宋体" w:hAnsi="宋体" w:cs="宋体"/>
          <w:color w:val="auto"/>
          <w:highlight w:val="none"/>
        </w:rPr>
        <w:t>……</w:t>
      </w:r>
    </w:p>
    <w:p w14:paraId="1D9B2BD2">
      <w:pPr>
        <w:pStyle w:val="6"/>
        <w:spacing w:before="105" w:line="304" w:lineRule="auto"/>
        <w:ind w:right="417" w:firstLine="645"/>
        <w:rPr>
          <w:rFonts w:ascii="宋体" w:hAnsi="宋体" w:cs="宋体"/>
          <w:color w:val="auto"/>
          <w:highlight w:val="none"/>
        </w:rPr>
      </w:pPr>
      <w:r>
        <w:rPr>
          <w:rFonts w:hint="eastAsia" w:ascii="宋体" w:hAnsi="宋体" w:cs="宋体"/>
          <w:color w:val="auto"/>
          <w:spacing w:val="-3"/>
          <w:highlight w:val="none"/>
        </w:rPr>
        <w:t>以上企业，不属于大企业的分支机构，不存在控股股东</w:t>
      </w:r>
      <w:r>
        <w:rPr>
          <w:rFonts w:hint="eastAsia" w:ascii="宋体" w:hAnsi="宋体" w:cs="宋体"/>
          <w:color w:val="auto"/>
          <w:spacing w:val="-5"/>
          <w:highlight w:val="none"/>
        </w:rPr>
        <w:t>为大企业的情形，也不存在与大企业的负责人为同一人的情形。</w:t>
      </w:r>
    </w:p>
    <w:p w14:paraId="70DD4D56">
      <w:pPr>
        <w:pStyle w:val="6"/>
        <w:spacing w:line="302" w:lineRule="auto"/>
        <w:ind w:right="372" w:firstLine="645"/>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5E1136DC">
      <w:pPr>
        <w:pStyle w:val="6"/>
        <w:spacing w:before="35" w:line="316" w:lineRule="auto"/>
        <w:ind w:left="4060" w:right="2166"/>
        <w:rPr>
          <w:rFonts w:ascii="宋体" w:hAnsi="宋体" w:cs="宋体"/>
          <w:color w:val="auto"/>
          <w:spacing w:val="-8"/>
          <w:w w:val="99"/>
          <w:highlight w:val="none"/>
        </w:rPr>
      </w:pPr>
      <w:r>
        <w:rPr>
          <w:rFonts w:hint="eastAsia" w:ascii="宋体" w:hAnsi="宋体" w:cs="宋体"/>
          <w:color w:val="auto"/>
          <w:w w:val="99"/>
          <w:highlight w:val="none"/>
        </w:rPr>
        <w:t>企业名称</w:t>
      </w:r>
      <w:r>
        <w:rPr>
          <w:rFonts w:hint="eastAsia" w:ascii="宋体" w:hAnsi="宋体" w:cs="宋体"/>
          <w:color w:val="auto"/>
          <w:spacing w:val="2"/>
          <w:w w:val="99"/>
          <w:highlight w:val="none"/>
        </w:rPr>
        <w:t>（</w:t>
      </w:r>
      <w:r>
        <w:rPr>
          <w:rFonts w:hint="eastAsia" w:ascii="宋体" w:hAnsi="宋体" w:cs="宋体"/>
          <w:color w:val="auto"/>
          <w:w w:val="99"/>
          <w:highlight w:val="none"/>
        </w:rPr>
        <w:t>盖章</w:t>
      </w:r>
      <w:r>
        <w:rPr>
          <w:rFonts w:hint="eastAsia" w:ascii="宋体" w:hAnsi="宋体" w:cs="宋体"/>
          <w:color w:val="auto"/>
          <w:spacing w:val="-167"/>
          <w:w w:val="99"/>
          <w:highlight w:val="none"/>
        </w:rPr>
        <w:t>）</w:t>
      </w:r>
      <w:r>
        <w:rPr>
          <w:rFonts w:hint="eastAsia" w:ascii="宋体" w:hAnsi="宋体" w:cs="宋体"/>
          <w:color w:val="auto"/>
          <w:spacing w:val="-8"/>
          <w:w w:val="99"/>
          <w:highlight w:val="none"/>
        </w:rPr>
        <w:t>）：</w:t>
      </w:r>
    </w:p>
    <w:p w14:paraId="0B49202E">
      <w:pPr>
        <w:pStyle w:val="6"/>
        <w:spacing w:before="35" w:line="316" w:lineRule="auto"/>
        <w:ind w:left="4060" w:right="2166"/>
        <w:rPr>
          <w:rFonts w:ascii="宋体" w:hAnsi="宋体" w:cs="宋体"/>
          <w:color w:val="auto"/>
          <w:highlight w:val="none"/>
        </w:rPr>
        <w:sectPr>
          <w:footerReference r:id="rId5" w:type="default"/>
          <w:pgSz w:w="11910" w:h="16840"/>
          <w:pgMar w:top="1500" w:right="1380" w:bottom="1780" w:left="1580" w:header="0" w:footer="1595" w:gutter="0"/>
          <w:cols w:space="720" w:num="1"/>
        </w:sectPr>
      </w:pPr>
      <w:r>
        <w:rPr>
          <w:rFonts w:hint="eastAsia" w:ascii="宋体" w:hAnsi="宋体" w:cs="宋体"/>
          <w:color w:val="auto"/>
          <w:spacing w:val="24"/>
          <w:highlight w:val="none"/>
        </w:rPr>
        <w:t>日期：</w:t>
      </w:r>
    </w:p>
    <w:p w14:paraId="04593E5A">
      <w:pPr>
        <w:autoSpaceDE w:val="0"/>
        <w:autoSpaceDN w:val="0"/>
        <w:spacing w:after="50" w:line="400" w:lineRule="exact"/>
        <w:jc w:val="left"/>
        <w:rPr>
          <w:rFonts w:hint="eastAsia" w:cs="Times New Roman"/>
          <w:color w:val="auto"/>
          <w:sz w:val="21"/>
          <w:szCs w:val="21"/>
          <w:highlight w:val="none"/>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九</w:t>
      </w:r>
    </w:p>
    <w:p w14:paraId="03B6CAEC">
      <w:pPr>
        <w:pStyle w:val="2"/>
        <w:spacing w:before="162"/>
        <w:jc w:val="center"/>
        <w:rPr>
          <w:rFonts w:cs="Times New Roman"/>
          <w:color w:val="auto"/>
          <w:sz w:val="21"/>
          <w:szCs w:val="21"/>
          <w:highlight w:val="none"/>
        </w:rPr>
      </w:pPr>
      <w:r>
        <w:rPr>
          <w:rFonts w:hint="eastAsia" w:cs="Times New Roman"/>
          <w:color w:val="auto"/>
          <w:sz w:val="21"/>
          <w:szCs w:val="21"/>
          <w:highlight w:val="none"/>
        </w:rPr>
        <w:t>残疾人福利性单位声明函</w:t>
      </w:r>
    </w:p>
    <w:p w14:paraId="39220550">
      <w:pPr>
        <w:autoSpaceDE w:val="0"/>
        <w:autoSpaceDN w:val="0"/>
        <w:spacing w:line="400" w:lineRule="exact"/>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160E5571">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本单位郑重声明，根据《财政部 民政部 中国残疾人联合会关于促进残疾人就业政府采购政策的通知》（财库</w:t>
      </w:r>
      <w:r>
        <w:rPr>
          <w:rFonts w:hint="eastAsia" w:asciiTheme="majorEastAsia" w:hAnsiTheme="majorEastAsia" w:eastAsiaTheme="majorEastAsia" w:cstheme="majorEastAsia"/>
          <w:color w:val="auto"/>
          <w:highlight w:val="none"/>
        </w:rPr>
        <w:t>〔2017〕 141</w:t>
      </w:r>
      <w:r>
        <w:rPr>
          <w:rFonts w:hint="eastAsia" w:asciiTheme="majorEastAsia" w:hAnsiTheme="majorEastAsia" w:eastAsiaTheme="majorEastAsia" w:cstheme="majorEastAsia"/>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C5090A">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本单位对上述声明的真实性负责。如有虚假，将依法承担相应责任。</w:t>
      </w:r>
    </w:p>
    <w:p w14:paraId="7999B2B7">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2146B504">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6FC46191">
      <w:pPr>
        <w:autoSpaceDE w:val="0"/>
        <w:autoSpaceDN w:val="0"/>
        <w:spacing w:line="400" w:lineRule="exact"/>
        <w:ind w:right="1560" w:firstLine="444" w:firstLineChars="200"/>
        <w:jc w:val="center"/>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单位名称（盖章）：</w:t>
      </w:r>
    </w:p>
    <w:p w14:paraId="3D818BB8">
      <w:pPr>
        <w:autoSpaceDE w:val="0"/>
        <w:autoSpaceDN w:val="0"/>
        <w:spacing w:line="400" w:lineRule="exact"/>
        <w:ind w:right="1560" w:firstLine="444" w:firstLineChars="200"/>
        <w:jc w:val="center"/>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日  期：</w:t>
      </w:r>
    </w:p>
    <w:p w14:paraId="5EBE9704">
      <w:pPr>
        <w:autoSpaceDE w:val="0"/>
        <w:autoSpaceDN w:val="0"/>
        <w:snapToGrid w:val="0"/>
        <w:spacing w:before="50"/>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 </w:t>
      </w:r>
    </w:p>
    <w:p w14:paraId="740E6CA8">
      <w:pPr>
        <w:pStyle w:val="4"/>
        <w:rPr>
          <w:rFonts w:ascii="仿宋" w:hAnsi="仿宋" w:eastAsia="仿宋" w:cs="仿宋"/>
          <w:color w:val="auto"/>
          <w:sz w:val="24"/>
          <w:szCs w:val="24"/>
          <w:highlight w:val="none"/>
        </w:rPr>
      </w:pPr>
    </w:p>
    <w:p w14:paraId="5ACF5D69">
      <w:pPr>
        <w:pStyle w:val="4"/>
        <w:rPr>
          <w:rFonts w:ascii="仿宋" w:hAnsi="仿宋" w:eastAsia="仿宋" w:cs="仿宋"/>
          <w:color w:val="auto"/>
          <w:sz w:val="24"/>
          <w:szCs w:val="24"/>
          <w:highlight w:val="none"/>
        </w:rPr>
      </w:pPr>
    </w:p>
    <w:p w14:paraId="2CB31636">
      <w:pPr>
        <w:pStyle w:val="4"/>
        <w:rPr>
          <w:rFonts w:ascii="仿宋" w:hAnsi="仿宋" w:eastAsia="仿宋" w:cs="仿宋"/>
          <w:color w:val="auto"/>
          <w:sz w:val="24"/>
          <w:szCs w:val="24"/>
          <w:highlight w:val="none"/>
        </w:rPr>
      </w:pPr>
    </w:p>
    <w:p w14:paraId="1B437281">
      <w:pPr>
        <w:pStyle w:val="4"/>
        <w:rPr>
          <w:rFonts w:ascii="仿宋" w:hAnsi="仿宋" w:eastAsia="仿宋" w:cs="仿宋"/>
          <w:color w:val="auto"/>
          <w:sz w:val="24"/>
          <w:szCs w:val="24"/>
          <w:highlight w:val="none"/>
        </w:rPr>
      </w:pPr>
    </w:p>
    <w:p w14:paraId="5A7D33F3">
      <w:pPr>
        <w:pStyle w:val="4"/>
        <w:rPr>
          <w:rFonts w:ascii="仿宋" w:hAnsi="仿宋" w:eastAsia="仿宋" w:cs="仿宋"/>
          <w:color w:val="auto"/>
          <w:sz w:val="24"/>
          <w:szCs w:val="24"/>
          <w:highlight w:val="none"/>
        </w:rPr>
      </w:pPr>
    </w:p>
    <w:p w14:paraId="78B3A061">
      <w:pPr>
        <w:pStyle w:val="4"/>
        <w:rPr>
          <w:rFonts w:ascii="仿宋" w:hAnsi="仿宋" w:eastAsia="仿宋" w:cs="仿宋"/>
          <w:color w:val="auto"/>
          <w:sz w:val="24"/>
          <w:szCs w:val="24"/>
          <w:highlight w:val="none"/>
        </w:rPr>
      </w:pPr>
    </w:p>
    <w:p w14:paraId="60B0090B">
      <w:pPr>
        <w:pStyle w:val="4"/>
        <w:rPr>
          <w:rFonts w:ascii="仿宋" w:hAnsi="仿宋" w:eastAsia="仿宋" w:cs="仿宋"/>
          <w:color w:val="auto"/>
          <w:sz w:val="24"/>
          <w:szCs w:val="24"/>
          <w:highlight w:val="none"/>
        </w:rPr>
      </w:pPr>
    </w:p>
    <w:p w14:paraId="5C0B012D">
      <w:pPr>
        <w:pStyle w:val="4"/>
        <w:rPr>
          <w:rFonts w:ascii="仿宋" w:hAnsi="仿宋" w:eastAsia="仿宋" w:cs="仿宋"/>
          <w:color w:val="auto"/>
          <w:sz w:val="24"/>
          <w:szCs w:val="24"/>
          <w:highlight w:val="none"/>
        </w:rPr>
      </w:pPr>
    </w:p>
    <w:p w14:paraId="4173E67B">
      <w:pPr>
        <w:pStyle w:val="4"/>
        <w:rPr>
          <w:rFonts w:ascii="仿宋" w:hAnsi="仿宋" w:eastAsia="仿宋" w:cs="仿宋"/>
          <w:color w:val="auto"/>
          <w:sz w:val="24"/>
          <w:szCs w:val="24"/>
          <w:highlight w:val="none"/>
        </w:rPr>
      </w:pPr>
    </w:p>
    <w:p w14:paraId="69BD75BE">
      <w:pPr>
        <w:pStyle w:val="4"/>
        <w:rPr>
          <w:rFonts w:ascii="仿宋" w:hAnsi="仿宋" w:eastAsia="仿宋" w:cs="仿宋"/>
          <w:color w:val="auto"/>
          <w:sz w:val="24"/>
          <w:szCs w:val="24"/>
          <w:highlight w:val="none"/>
        </w:rPr>
      </w:pPr>
    </w:p>
    <w:p w14:paraId="0DBE53B5">
      <w:pPr>
        <w:pStyle w:val="4"/>
        <w:rPr>
          <w:rFonts w:ascii="仿宋" w:hAnsi="仿宋" w:eastAsia="仿宋" w:cs="仿宋"/>
          <w:color w:val="auto"/>
          <w:sz w:val="24"/>
          <w:szCs w:val="24"/>
          <w:highlight w:val="none"/>
        </w:rPr>
      </w:pPr>
    </w:p>
    <w:p w14:paraId="3A94C21F">
      <w:pPr>
        <w:pStyle w:val="4"/>
        <w:rPr>
          <w:rFonts w:ascii="仿宋" w:hAnsi="仿宋" w:eastAsia="仿宋" w:cs="仿宋"/>
          <w:color w:val="auto"/>
          <w:sz w:val="24"/>
          <w:szCs w:val="24"/>
          <w:highlight w:val="none"/>
        </w:rPr>
      </w:pPr>
    </w:p>
    <w:p w14:paraId="383462B1">
      <w:pPr>
        <w:pStyle w:val="4"/>
        <w:rPr>
          <w:rFonts w:ascii="仿宋" w:hAnsi="仿宋" w:eastAsia="仿宋" w:cs="仿宋"/>
          <w:color w:val="auto"/>
          <w:sz w:val="24"/>
          <w:szCs w:val="24"/>
          <w:highlight w:val="none"/>
        </w:rPr>
      </w:pPr>
    </w:p>
    <w:p w14:paraId="44CA01E8">
      <w:pPr>
        <w:pStyle w:val="4"/>
        <w:rPr>
          <w:rFonts w:ascii="仿宋" w:hAnsi="仿宋" w:eastAsia="仿宋" w:cs="仿宋"/>
          <w:color w:val="auto"/>
          <w:sz w:val="24"/>
          <w:szCs w:val="24"/>
          <w:highlight w:val="none"/>
        </w:rPr>
      </w:pPr>
    </w:p>
    <w:p w14:paraId="3B4EBA5A">
      <w:pPr>
        <w:pStyle w:val="4"/>
        <w:rPr>
          <w:rFonts w:ascii="仿宋" w:hAnsi="仿宋" w:eastAsia="仿宋" w:cs="仿宋"/>
          <w:color w:val="auto"/>
          <w:sz w:val="24"/>
          <w:szCs w:val="24"/>
          <w:highlight w:val="none"/>
        </w:rPr>
      </w:pPr>
    </w:p>
    <w:p w14:paraId="05CD248C">
      <w:pPr>
        <w:pStyle w:val="4"/>
        <w:rPr>
          <w:rFonts w:ascii="仿宋" w:hAnsi="仿宋" w:eastAsia="仿宋" w:cs="仿宋"/>
          <w:color w:val="auto"/>
          <w:sz w:val="24"/>
          <w:szCs w:val="24"/>
          <w:highlight w:val="none"/>
        </w:rPr>
      </w:pPr>
    </w:p>
    <w:p w14:paraId="2C609537">
      <w:pPr>
        <w:pStyle w:val="4"/>
        <w:rPr>
          <w:rFonts w:ascii="仿宋" w:hAnsi="仿宋" w:eastAsia="仿宋" w:cs="仿宋"/>
          <w:color w:val="auto"/>
          <w:sz w:val="24"/>
          <w:szCs w:val="24"/>
          <w:highlight w:val="none"/>
        </w:rPr>
      </w:pPr>
    </w:p>
    <w:p w14:paraId="4EF61B3D">
      <w:pPr>
        <w:pStyle w:val="4"/>
        <w:rPr>
          <w:rFonts w:ascii="仿宋" w:hAnsi="仿宋" w:eastAsia="仿宋" w:cs="仿宋"/>
          <w:color w:val="auto"/>
          <w:sz w:val="24"/>
          <w:szCs w:val="24"/>
          <w:highlight w:val="none"/>
        </w:rPr>
      </w:pPr>
    </w:p>
    <w:p w14:paraId="7F39230E">
      <w:pPr>
        <w:pStyle w:val="4"/>
        <w:rPr>
          <w:rFonts w:ascii="仿宋" w:hAnsi="仿宋" w:eastAsia="仿宋" w:cs="仿宋"/>
          <w:color w:val="auto"/>
          <w:sz w:val="24"/>
          <w:szCs w:val="24"/>
          <w:highlight w:val="none"/>
        </w:rPr>
      </w:pPr>
    </w:p>
    <w:p w14:paraId="6E203182">
      <w:pPr>
        <w:pStyle w:val="4"/>
        <w:rPr>
          <w:rFonts w:ascii="仿宋" w:hAnsi="仿宋" w:eastAsia="仿宋" w:cs="仿宋"/>
          <w:color w:val="auto"/>
          <w:sz w:val="24"/>
          <w:szCs w:val="24"/>
          <w:highlight w:val="none"/>
        </w:rPr>
      </w:pPr>
    </w:p>
    <w:p w14:paraId="14D252F3">
      <w:pPr>
        <w:pStyle w:val="4"/>
        <w:rPr>
          <w:rFonts w:ascii="仿宋" w:hAnsi="仿宋" w:eastAsia="仿宋" w:cs="仿宋"/>
          <w:color w:val="auto"/>
          <w:sz w:val="24"/>
          <w:szCs w:val="24"/>
          <w:highlight w:val="none"/>
        </w:rPr>
      </w:pPr>
    </w:p>
    <w:p w14:paraId="76A2A5DB">
      <w:pPr>
        <w:pStyle w:val="4"/>
        <w:rPr>
          <w:rFonts w:ascii="仿宋" w:hAnsi="仿宋" w:eastAsia="仿宋" w:cs="仿宋"/>
          <w:color w:val="auto"/>
          <w:sz w:val="24"/>
          <w:szCs w:val="24"/>
          <w:highlight w:val="none"/>
        </w:rPr>
      </w:pPr>
    </w:p>
    <w:p w14:paraId="7CC534D6">
      <w:pPr>
        <w:widowControl/>
        <w:autoSpaceDE w:val="0"/>
        <w:autoSpaceDN w:val="0"/>
        <w:spacing w:line="360" w:lineRule="auto"/>
        <w:jc w:val="center"/>
        <w:rPr>
          <w:rFonts w:ascii="宋体" w:hAnsi="宋体" w:cs="宋体"/>
          <w:color w:val="auto"/>
          <w:sz w:val="23"/>
          <w:szCs w:val="23"/>
          <w:highlight w:val="none"/>
        </w:rPr>
      </w:pPr>
      <w:r>
        <w:rPr>
          <w:rFonts w:hint="eastAsia" w:ascii="宋体" w:hAnsi="宋体" w:cs="宋体"/>
          <w:color w:val="auto"/>
          <w:sz w:val="23"/>
          <w:szCs w:val="23"/>
          <w:highlight w:val="none"/>
        </w:rPr>
        <w:t xml:space="preserve">  </w:t>
      </w:r>
    </w:p>
    <w:p w14:paraId="5116BD3D">
      <w:pPr>
        <w:widowControl/>
        <w:autoSpaceDE w:val="0"/>
        <w:autoSpaceDN w:val="0"/>
        <w:spacing w:line="360" w:lineRule="auto"/>
        <w:ind w:firstLine="660" w:firstLineChars="313"/>
        <w:jc w:val="left"/>
        <w:rPr>
          <w:rFonts w:hint="eastAsia" w:ascii="宋体" w:hAnsi="宋体" w:cs="宋体"/>
          <w:b/>
          <w:bCs/>
          <w:color w:val="auto"/>
          <w:highlight w:val="none"/>
        </w:rPr>
      </w:pPr>
    </w:p>
    <w:p w14:paraId="65002372">
      <w:pPr>
        <w:pStyle w:val="9"/>
        <w:jc w:val="left"/>
        <w:rPr>
          <w:rFonts w:hint="eastAsia" w:eastAsia="宋体"/>
          <w:b/>
          <w:sz w:val="32"/>
          <w:szCs w:val="32"/>
          <w:highlight w:val="none"/>
          <w:lang w:val="en-US" w:eastAsia="zh-CN"/>
        </w:rPr>
      </w:pPr>
      <w:r>
        <w:rPr>
          <w:rFonts w:hint="eastAsia" w:ascii="宋体" w:hAnsi="宋体" w:cs="宋体"/>
          <w:b/>
          <w:color w:val="auto"/>
          <w:sz w:val="28"/>
          <w:szCs w:val="28"/>
          <w:highlight w:val="none"/>
        </w:rPr>
        <w:t>附件</w:t>
      </w:r>
      <w:r>
        <w:rPr>
          <w:rFonts w:hint="eastAsia" w:cs="宋体"/>
          <w:b/>
          <w:color w:val="auto"/>
          <w:sz w:val="28"/>
          <w:szCs w:val="28"/>
          <w:highlight w:val="none"/>
          <w:lang w:val="en-US" w:eastAsia="zh-CN"/>
        </w:rPr>
        <w:t>十</w:t>
      </w:r>
    </w:p>
    <w:p w14:paraId="58DC5A86">
      <w:pPr>
        <w:pStyle w:val="9"/>
        <w:jc w:val="center"/>
        <w:rPr>
          <w:rFonts w:hAnsi="宋体"/>
          <w:b/>
          <w:sz w:val="32"/>
          <w:szCs w:val="32"/>
          <w:highlight w:val="none"/>
        </w:rPr>
      </w:pPr>
      <w:r>
        <w:rPr>
          <w:rFonts w:hint="eastAsia"/>
          <w:b/>
          <w:sz w:val="32"/>
          <w:szCs w:val="32"/>
          <w:highlight w:val="none"/>
        </w:rPr>
        <w:t>拟派人员情况表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214"/>
        <w:gridCol w:w="874"/>
        <w:gridCol w:w="1043"/>
        <w:gridCol w:w="1213"/>
        <w:gridCol w:w="1043"/>
        <w:gridCol w:w="1043"/>
        <w:gridCol w:w="1025"/>
      </w:tblGrid>
      <w:tr w14:paraId="20E8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Borders>
              <w:top w:val="single" w:color="auto" w:sz="4" w:space="0"/>
              <w:left w:val="single" w:color="auto" w:sz="4" w:space="0"/>
              <w:bottom w:val="single" w:color="auto" w:sz="4" w:space="0"/>
              <w:right w:val="single" w:color="auto" w:sz="4" w:space="0"/>
            </w:tcBorders>
            <w:noWrap w:val="0"/>
            <w:vAlign w:val="center"/>
          </w:tcPr>
          <w:p w14:paraId="214F9E64">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名　　称</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7235413">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姓　名</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D4E6FAE">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年龄</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0246E5B">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职称</w:t>
            </w:r>
          </w:p>
          <w:p w14:paraId="5E02F85E">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或执业资格</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F6A345B">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职务</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DC0EBD1">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专业</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DCCB433">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负责</w:t>
            </w:r>
          </w:p>
          <w:p w14:paraId="59CBE5C5">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内容</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8BB6E35">
            <w:pPr>
              <w:adjustRightInd w:val="0"/>
              <w:snapToGrid w:val="0"/>
              <w:spacing w:line="360" w:lineRule="auto"/>
              <w:jc w:val="center"/>
              <w:rPr>
                <w:rFonts w:ascii="宋体" w:hAnsi="宋体"/>
                <w:b/>
                <w:bCs/>
                <w:szCs w:val="21"/>
                <w:highlight w:val="none"/>
              </w:rPr>
            </w:pPr>
            <w:r>
              <w:rPr>
                <w:rFonts w:hint="eastAsia" w:ascii="宋体" w:hAnsi="宋体"/>
                <w:b/>
                <w:bCs/>
                <w:szCs w:val="21"/>
                <w:highlight w:val="none"/>
              </w:rPr>
              <w:t>备注</w:t>
            </w:r>
          </w:p>
        </w:tc>
      </w:tr>
      <w:tr w14:paraId="57B7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3" w:type="dxa"/>
            <w:vMerge w:val="restart"/>
            <w:tcBorders>
              <w:top w:val="single" w:color="auto" w:sz="4" w:space="0"/>
              <w:left w:val="single" w:color="auto" w:sz="4" w:space="0"/>
              <w:bottom w:val="single" w:color="auto" w:sz="4" w:space="0"/>
              <w:right w:val="single" w:color="auto" w:sz="4" w:space="0"/>
            </w:tcBorders>
            <w:noWrap w:val="0"/>
            <w:vAlign w:val="center"/>
          </w:tcPr>
          <w:p w14:paraId="294B0FC0">
            <w:pPr>
              <w:adjustRightInd w:val="0"/>
              <w:snapToGrid w:val="0"/>
              <w:spacing w:line="360" w:lineRule="auto"/>
              <w:jc w:val="center"/>
              <w:rPr>
                <w:rFonts w:ascii="宋体" w:hAnsi="宋体"/>
                <w:szCs w:val="21"/>
                <w:highlight w:val="none"/>
              </w:rPr>
            </w:pPr>
            <w:r>
              <w:rPr>
                <w:rFonts w:hint="eastAsia" w:ascii="宋体" w:hAnsi="宋体"/>
                <w:szCs w:val="21"/>
                <w:highlight w:val="none"/>
              </w:rPr>
              <w:t>1.项目负责人</w:t>
            </w:r>
          </w:p>
        </w:tc>
        <w:tc>
          <w:tcPr>
            <w:tcW w:w="1214" w:type="dxa"/>
            <w:tcBorders>
              <w:top w:val="single" w:color="auto" w:sz="4" w:space="0"/>
              <w:left w:val="single" w:color="auto" w:sz="4" w:space="0"/>
              <w:bottom w:val="single" w:color="auto" w:sz="4" w:space="0"/>
              <w:right w:val="single" w:color="auto" w:sz="4" w:space="0"/>
            </w:tcBorders>
            <w:noWrap w:val="0"/>
            <w:vAlign w:val="top"/>
          </w:tcPr>
          <w:p w14:paraId="49F05F02">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EEE236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A406F05">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85AC3F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522AE49">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B892ABD">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37FBD19">
            <w:pPr>
              <w:adjustRightInd w:val="0"/>
              <w:snapToGrid w:val="0"/>
              <w:spacing w:line="360" w:lineRule="auto"/>
              <w:rPr>
                <w:rFonts w:ascii="宋体" w:hAnsi="宋体"/>
                <w:szCs w:val="21"/>
                <w:highlight w:val="none"/>
              </w:rPr>
            </w:pPr>
          </w:p>
        </w:tc>
      </w:tr>
      <w:tr w14:paraId="723D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146D74F9">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4CDEF61">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C4AFFEF">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455BF02">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60DA10D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735F57E">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1C4B712">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762781C">
            <w:pPr>
              <w:adjustRightInd w:val="0"/>
              <w:snapToGrid w:val="0"/>
              <w:spacing w:line="360" w:lineRule="auto"/>
              <w:rPr>
                <w:rFonts w:ascii="宋体" w:hAnsi="宋体"/>
                <w:szCs w:val="21"/>
                <w:highlight w:val="none"/>
              </w:rPr>
            </w:pPr>
          </w:p>
        </w:tc>
      </w:tr>
      <w:tr w14:paraId="690E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restart"/>
            <w:tcBorders>
              <w:top w:val="single" w:color="auto" w:sz="4" w:space="0"/>
              <w:left w:val="single" w:color="auto" w:sz="4" w:space="0"/>
              <w:bottom w:val="single" w:color="auto" w:sz="4" w:space="0"/>
              <w:right w:val="single" w:color="auto" w:sz="4" w:space="0"/>
            </w:tcBorders>
            <w:noWrap w:val="0"/>
            <w:vAlign w:val="center"/>
          </w:tcPr>
          <w:p w14:paraId="22A5E469">
            <w:pPr>
              <w:adjustRightInd w:val="0"/>
              <w:snapToGrid w:val="0"/>
              <w:spacing w:line="360" w:lineRule="auto"/>
              <w:rPr>
                <w:rFonts w:ascii="宋体" w:hAnsi="宋体"/>
                <w:szCs w:val="21"/>
                <w:highlight w:val="none"/>
              </w:rPr>
            </w:pPr>
            <w:r>
              <w:rPr>
                <w:rFonts w:hint="eastAsia" w:ascii="宋体" w:hAnsi="宋体"/>
                <w:szCs w:val="21"/>
                <w:highlight w:val="none"/>
              </w:rPr>
              <w:t>2.拟投入的主要人员</w:t>
            </w:r>
          </w:p>
        </w:tc>
        <w:tc>
          <w:tcPr>
            <w:tcW w:w="1214" w:type="dxa"/>
            <w:tcBorders>
              <w:top w:val="single" w:color="auto" w:sz="4" w:space="0"/>
              <w:left w:val="single" w:color="auto" w:sz="4" w:space="0"/>
              <w:bottom w:val="single" w:color="auto" w:sz="4" w:space="0"/>
              <w:right w:val="single" w:color="auto" w:sz="4" w:space="0"/>
            </w:tcBorders>
            <w:noWrap w:val="0"/>
            <w:vAlign w:val="top"/>
          </w:tcPr>
          <w:p w14:paraId="0592EA7C">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42662B0">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3471EF2B">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CE76358">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BD1B24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1832CD1E">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22A1752">
            <w:pPr>
              <w:adjustRightInd w:val="0"/>
              <w:snapToGrid w:val="0"/>
              <w:spacing w:line="360" w:lineRule="auto"/>
              <w:rPr>
                <w:rFonts w:ascii="宋体" w:hAnsi="宋体"/>
                <w:szCs w:val="21"/>
                <w:highlight w:val="none"/>
              </w:rPr>
            </w:pPr>
          </w:p>
        </w:tc>
      </w:tr>
      <w:tr w14:paraId="017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55C09CE1">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5DAA1B3">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54EE85D">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20C653F8">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5C2EA840">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B8BE34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278C0212">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5B49FF3">
            <w:pPr>
              <w:adjustRightInd w:val="0"/>
              <w:snapToGrid w:val="0"/>
              <w:spacing w:line="360" w:lineRule="auto"/>
              <w:rPr>
                <w:rFonts w:ascii="宋体" w:hAnsi="宋体"/>
                <w:szCs w:val="21"/>
                <w:highlight w:val="none"/>
              </w:rPr>
            </w:pPr>
          </w:p>
        </w:tc>
      </w:tr>
      <w:tr w14:paraId="383E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71D446E9">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6B27248">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0E8B86E">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17DB041">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60282A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EEF2D59">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2CE83276">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387FA054">
            <w:pPr>
              <w:adjustRightInd w:val="0"/>
              <w:snapToGrid w:val="0"/>
              <w:spacing w:line="360" w:lineRule="auto"/>
              <w:rPr>
                <w:rFonts w:ascii="宋体" w:hAnsi="宋体"/>
                <w:szCs w:val="21"/>
                <w:highlight w:val="none"/>
              </w:rPr>
            </w:pPr>
          </w:p>
        </w:tc>
      </w:tr>
      <w:tr w14:paraId="5D74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162FA5AC">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73E141">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B30DE4C">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3E0BDB60">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71F9E52">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536AC0D">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EEB7E94">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95C8C10">
            <w:pPr>
              <w:adjustRightInd w:val="0"/>
              <w:snapToGrid w:val="0"/>
              <w:spacing w:line="360" w:lineRule="auto"/>
              <w:rPr>
                <w:rFonts w:ascii="宋体" w:hAnsi="宋体"/>
                <w:szCs w:val="21"/>
                <w:highlight w:val="none"/>
              </w:rPr>
            </w:pPr>
          </w:p>
        </w:tc>
      </w:tr>
      <w:tr w14:paraId="7B4F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0F35C4CC">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C957985">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EF3859E">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2B9EF6B5">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22EBB0DD">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3DCFD8A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203ED4BA">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0D2C2A5">
            <w:pPr>
              <w:adjustRightInd w:val="0"/>
              <w:snapToGrid w:val="0"/>
              <w:spacing w:line="360" w:lineRule="auto"/>
              <w:rPr>
                <w:rFonts w:ascii="宋体" w:hAnsi="宋体"/>
                <w:szCs w:val="21"/>
                <w:highlight w:val="none"/>
              </w:rPr>
            </w:pPr>
          </w:p>
        </w:tc>
      </w:tr>
      <w:tr w14:paraId="5A35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5EB86C1B">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DC02E7A">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78023F9">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E94B8E0">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064244E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0867D3F">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AD9EBD1">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5FF4CBF">
            <w:pPr>
              <w:adjustRightInd w:val="0"/>
              <w:snapToGrid w:val="0"/>
              <w:spacing w:line="360" w:lineRule="auto"/>
              <w:rPr>
                <w:rFonts w:ascii="宋体" w:hAnsi="宋体"/>
                <w:szCs w:val="21"/>
                <w:highlight w:val="none"/>
              </w:rPr>
            </w:pPr>
          </w:p>
        </w:tc>
      </w:tr>
      <w:tr w14:paraId="71B0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4B01F8EA">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1860A6">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C451E4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3E12688F">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87F98E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50AB4F7">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1A166E0">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0F734D1">
            <w:pPr>
              <w:adjustRightInd w:val="0"/>
              <w:snapToGrid w:val="0"/>
              <w:spacing w:line="360" w:lineRule="auto"/>
              <w:rPr>
                <w:rFonts w:ascii="宋体" w:hAnsi="宋体"/>
                <w:szCs w:val="21"/>
                <w:highlight w:val="none"/>
              </w:rPr>
            </w:pPr>
          </w:p>
        </w:tc>
      </w:tr>
      <w:tr w14:paraId="6050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5605AD78">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E63B62D">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35C1BF7">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38732E4">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0BB1E827">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149D62C9">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0C13981">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A24820D">
            <w:pPr>
              <w:adjustRightInd w:val="0"/>
              <w:snapToGrid w:val="0"/>
              <w:spacing w:line="360" w:lineRule="auto"/>
              <w:rPr>
                <w:rFonts w:ascii="宋体" w:hAnsi="宋体"/>
                <w:szCs w:val="21"/>
                <w:highlight w:val="none"/>
              </w:rPr>
            </w:pPr>
          </w:p>
        </w:tc>
      </w:tr>
      <w:tr w14:paraId="6596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4363BA13">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C0B8167">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12D89C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CC6B518">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F2B1D6C">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2DF4596">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D5903DD">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1DA790D">
            <w:pPr>
              <w:adjustRightInd w:val="0"/>
              <w:snapToGrid w:val="0"/>
              <w:spacing w:line="360" w:lineRule="auto"/>
              <w:rPr>
                <w:rFonts w:ascii="宋体" w:hAnsi="宋体"/>
                <w:szCs w:val="21"/>
                <w:highlight w:val="none"/>
              </w:rPr>
            </w:pPr>
          </w:p>
        </w:tc>
      </w:tr>
      <w:tr w14:paraId="21C7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5160CE1C">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B0FB42">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8193966">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9742E04">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DCD1278">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3F3EA2B">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A9C64D6">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C96D42C">
            <w:pPr>
              <w:adjustRightInd w:val="0"/>
              <w:snapToGrid w:val="0"/>
              <w:spacing w:line="360" w:lineRule="auto"/>
              <w:rPr>
                <w:rFonts w:ascii="宋体" w:hAnsi="宋体"/>
                <w:szCs w:val="21"/>
                <w:highlight w:val="none"/>
              </w:rPr>
            </w:pPr>
          </w:p>
        </w:tc>
      </w:tr>
      <w:tr w14:paraId="1B5B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0AACF0BE">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E2E3BF">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3CE6815">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89BF07D">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7E39C5F3">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20D3923">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B8E53DB">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94FA0DB">
            <w:pPr>
              <w:adjustRightInd w:val="0"/>
              <w:snapToGrid w:val="0"/>
              <w:spacing w:line="360" w:lineRule="auto"/>
              <w:rPr>
                <w:rFonts w:ascii="宋体" w:hAnsi="宋体"/>
                <w:szCs w:val="21"/>
                <w:highlight w:val="none"/>
              </w:rPr>
            </w:pPr>
          </w:p>
        </w:tc>
      </w:tr>
      <w:tr w14:paraId="12E8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204F24E5">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8CE7EE9">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BFDD9A1">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4EC7363D">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C599D3C">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D973F55">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BF5D879">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4DD88EC">
            <w:pPr>
              <w:adjustRightInd w:val="0"/>
              <w:snapToGrid w:val="0"/>
              <w:spacing w:line="360" w:lineRule="auto"/>
              <w:rPr>
                <w:rFonts w:ascii="宋体" w:hAnsi="宋体"/>
                <w:szCs w:val="21"/>
                <w:highlight w:val="none"/>
              </w:rPr>
            </w:pPr>
          </w:p>
        </w:tc>
      </w:tr>
      <w:tr w14:paraId="6C2E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vMerge w:val="continue"/>
            <w:tcBorders>
              <w:top w:val="single" w:color="auto" w:sz="4" w:space="0"/>
              <w:left w:val="single" w:color="auto" w:sz="4" w:space="0"/>
              <w:bottom w:val="single" w:color="auto" w:sz="4" w:space="0"/>
              <w:right w:val="single" w:color="auto" w:sz="4" w:space="0"/>
            </w:tcBorders>
            <w:noWrap w:val="0"/>
            <w:vAlign w:val="center"/>
          </w:tcPr>
          <w:p w14:paraId="68885D0A">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E3F8C9D">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6FD408D">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50C9DEFC">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E336BF9">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20EE3A4">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78F045DB">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371649F">
            <w:pPr>
              <w:adjustRightInd w:val="0"/>
              <w:snapToGrid w:val="0"/>
              <w:spacing w:line="360" w:lineRule="auto"/>
              <w:rPr>
                <w:rFonts w:ascii="宋体" w:hAnsi="宋体"/>
                <w:szCs w:val="21"/>
                <w:highlight w:val="none"/>
              </w:rPr>
            </w:pPr>
          </w:p>
        </w:tc>
      </w:tr>
      <w:tr w14:paraId="2BD2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3" w:type="dxa"/>
            <w:tcBorders>
              <w:top w:val="single" w:color="auto" w:sz="4" w:space="0"/>
              <w:left w:val="single" w:color="auto" w:sz="4" w:space="0"/>
              <w:bottom w:val="single" w:color="auto" w:sz="4" w:space="0"/>
              <w:right w:val="single" w:color="auto" w:sz="4" w:space="0"/>
            </w:tcBorders>
            <w:noWrap w:val="0"/>
            <w:vAlign w:val="center"/>
          </w:tcPr>
          <w:p w14:paraId="3049BC45">
            <w:pPr>
              <w:widowControl/>
              <w:jc w:val="left"/>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B18CDF7">
            <w:pPr>
              <w:adjustRightInd w:val="0"/>
              <w:snapToGrid w:val="0"/>
              <w:spacing w:line="360" w:lineRule="auto"/>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F0EB287">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138EA89">
            <w:pPr>
              <w:adjustRightInd w:val="0"/>
              <w:snapToGrid w:val="0"/>
              <w:spacing w:line="360" w:lineRule="auto"/>
              <w:rPr>
                <w:rFonts w:ascii="宋体" w:hAnsi="宋体"/>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C390D48">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6D98EBD7">
            <w:pPr>
              <w:adjustRightInd w:val="0"/>
              <w:snapToGrid w:val="0"/>
              <w:spacing w:line="360" w:lineRule="auto"/>
              <w:rPr>
                <w:rFonts w:ascii="宋体" w:hAnsi="宋体"/>
                <w:szCs w:val="21"/>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top"/>
          </w:tcPr>
          <w:p w14:paraId="01E42C4C">
            <w:pPr>
              <w:adjustRightInd w:val="0"/>
              <w:snapToGrid w:val="0"/>
              <w:spacing w:line="360" w:lineRule="auto"/>
              <w:rPr>
                <w:rFonts w:ascii="宋体" w:hAnsi="宋体"/>
                <w:szCs w:val="21"/>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19D5ECF">
            <w:pPr>
              <w:adjustRightInd w:val="0"/>
              <w:snapToGrid w:val="0"/>
              <w:spacing w:line="360" w:lineRule="auto"/>
              <w:rPr>
                <w:rFonts w:ascii="宋体" w:hAnsi="宋体"/>
                <w:szCs w:val="21"/>
                <w:highlight w:val="none"/>
              </w:rPr>
            </w:pPr>
          </w:p>
        </w:tc>
      </w:tr>
    </w:tbl>
    <w:p w14:paraId="6D3B1548">
      <w:pPr>
        <w:spacing w:before="48"/>
        <w:ind w:right="83"/>
        <w:rPr>
          <w:rFonts w:ascii="宋体" w:hAnsi="宋体" w:cs="宋体"/>
          <w:bCs/>
          <w:szCs w:val="21"/>
          <w:highlight w:val="none"/>
        </w:rPr>
      </w:pPr>
      <w:r>
        <w:rPr>
          <w:rFonts w:hint="eastAsia" w:ascii="宋体" w:hAnsi="宋体"/>
          <w:highlight w:val="none"/>
        </w:rPr>
        <w:t>附：</w:t>
      </w:r>
      <w:r>
        <w:rPr>
          <w:spacing w:val="9"/>
          <w:sz w:val="20"/>
          <w:szCs w:val="20"/>
          <w:highlight w:val="none"/>
          <w:lang w:eastAsia="zh-CN"/>
        </w:rPr>
        <w:t>须提供人员</w:t>
      </w:r>
      <w:r>
        <w:rPr>
          <w:rFonts w:hint="eastAsia"/>
          <w:spacing w:val="9"/>
          <w:sz w:val="20"/>
          <w:szCs w:val="20"/>
          <w:highlight w:val="none"/>
          <w:lang w:val="en-US" w:eastAsia="zh-CN"/>
        </w:rPr>
        <w:t>身份证、无人机操作人员</w:t>
      </w:r>
      <w:r>
        <w:rPr>
          <w:rFonts w:hint="eastAsia" w:ascii="宋体" w:hAnsi="宋体"/>
          <w:highlight w:val="none"/>
          <w:lang w:val="en-US" w:eastAsia="zh-CN"/>
        </w:rPr>
        <w:t>的</w:t>
      </w:r>
      <w:r>
        <w:rPr>
          <w:rFonts w:hint="eastAsia"/>
          <w:spacing w:val="7"/>
          <w:sz w:val="20"/>
          <w:szCs w:val="20"/>
          <w:highlight w:val="none"/>
          <w:lang w:eastAsia="zh-CN"/>
        </w:rPr>
        <w:t>无人机驾驶证复印件或飞手的无人机云执照APP 查询结果。</w:t>
      </w:r>
      <w:r>
        <w:rPr>
          <w:rFonts w:ascii="宋体" w:hAnsi="宋体"/>
          <w:highlight w:val="none"/>
        </w:rPr>
        <w:t>所有复印件均要求加盖公章。</w:t>
      </w:r>
    </w:p>
    <w:p w14:paraId="77484C46">
      <w:pPr>
        <w:pStyle w:val="9"/>
        <w:rPr>
          <w:rFonts w:hint="eastAsia"/>
          <w:highlight w:val="none"/>
        </w:rPr>
      </w:pPr>
    </w:p>
    <w:p w14:paraId="2B1E4347">
      <w:pPr>
        <w:pStyle w:val="9"/>
        <w:rPr>
          <w:highlight w:val="none"/>
        </w:rPr>
      </w:pPr>
      <w:r>
        <w:rPr>
          <w:rFonts w:hint="eastAsia"/>
          <w:highlight w:val="none"/>
        </w:rPr>
        <w:t>供应商（公章）：</w:t>
      </w:r>
      <w:r>
        <w:rPr>
          <w:rFonts w:hint="eastAsia"/>
          <w:highlight w:val="none"/>
          <w:u w:val="single"/>
        </w:rPr>
        <w:t xml:space="preserve">                                </w:t>
      </w:r>
    </w:p>
    <w:p w14:paraId="7BD5F7C9">
      <w:pPr>
        <w:pStyle w:val="9"/>
        <w:rPr>
          <w:rFonts w:hint="eastAsia"/>
          <w:highlight w:val="none"/>
        </w:rPr>
      </w:pPr>
    </w:p>
    <w:p w14:paraId="5B5A426B">
      <w:pPr>
        <w:pStyle w:val="9"/>
        <w:rPr>
          <w:rFonts w:hint="eastAsia"/>
          <w:highlight w:val="none"/>
        </w:rPr>
      </w:pPr>
      <w:r>
        <w:rPr>
          <w:rFonts w:hint="eastAsia"/>
          <w:highlight w:val="none"/>
        </w:rPr>
        <w:t>法定代表人或委托代理人签字：</w:t>
      </w:r>
      <w:r>
        <w:rPr>
          <w:rFonts w:hint="eastAsia"/>
          <w:highlight w:val="none"/>
          <w:u w:val="single"/>
        </w:rPr>
        <w:t xml:space="preserve">                  </w:t>
      </w:r>
    </w:p>
    <w:p w14:paraId="03B942E4">
      <w:pPr>
        <w:pStyle w:val="9"/>
        <w:spacing w:line="240" w:lineRule="exact"/>
        <w:rPr>
          <w:rFonts w:hint="eastAsia" w:ascii="金山简魏碑" w:eastAsia="金山简魏碑"/>
          <w:b/>
          <w:sz w:val="44"/>
          <w:highlight w:val="none"/>
        </w:rPr>
      </w:pPr>
    </w:p>
    <w:p w14:paraId="109FFFE4">
      <w:pPr>
        <w:pStyle w:val="9"/>
        <w:rPr>
          <w:rFonts w:hint="eastAsia"/>
          <w:highlight w:val="none"/>
        </w:rPr>
      </w:pPr>
      <w:r>
        <w:rPr>
          <w:rFonts w:hint="eastAsia"/>
          <w:highlight w:val="none"/>
        </w:rPr>
        <w:t>日        期：</w:t>
      </w:r>
      <w:r>
        <w:rPr>
          <w:rFonts w:hint="eastAsia"/>
          <w:highlight w:val="none"/>
          <w:u w:val="single"/>
        </w:rPr>
        <w:t xml:space="preserve">                               </w:t>
      </w:r>
      <w:r>
        <w:rPr>
          <w:rFonts w:hint="eastAsia"/>
          <w:highlight w:val="none"/>
        </w:rPr>
        <w:t xml:space="preserve">                            </w:t>
      </w:r>
    </w:p>
    <w:p w14:paraId="62FCBD9D">
      <w:pPr>
        <w:pStyle w:val="9"/>
        <w:rPr>
          <w:rFonts w:hint="eastAsia"/>
          <w:highlight w:val="none"/>
        </w:rPr>
      </w:pPr>
    </w:p>
    <w:p w14:paraId="17316874">
      <w:pPr>
        <w:pStyle w:val="9"/>
        <w:rPr>
          <w:rFonts w:hint="eastAsia"/>
          <w:highlight w:val="none"/>
        </w:rPr>
      </w:pPr>
      <w:r>
        <w:rPr>
          <w:rFonts w:hint="eastAsia"/>
          <w:highlight w:val="none"/>
        </w:rPr>
        <w:t>注：供应商必须加盖公章并签字，若此表由多页构成的，应逐页加盖供应商公章并由法定代表人（或委托代理人）签字，无签字、盖公章的磋商无效。</w:t>
      </w:r>
    </w:p>
    <w:p w14:paraId="58447318">
      <w:pPr>
        <w:widowControl/>
        <w:autoSpaceDE w:val="0"/>
        <w:autoSpaceDN w:val="0"/>
        <w:spacing w:line="360" w:lineRule="auto"/>
        <w:ind w:firstLine="660" w:firstLineChars="313"/>
        <w:jc w:val="left"/>
        <w:rPr>
          <w:rFonts w:ascii="宋体" w:hAnsi="宋体" w:cs="宋体"/>
          <w:b/>
          <w:bCs/>
          <w:color w:val="auto"/>
          <w:highlight w:val="none"/>
        </w:rPr>
      </w:pPr>
      <w:r>
        <w:rPr>
          <w:rFonts w:hint="eastAsia" w:ascii="宋体" w:hAnsi="宋体" w:cs="宋体"/>
          <w:b/>
          <w:bCs/>
          <w:color w:val="auto"/>
          <w:highlight w:val="none"/>
        </w:rPr>
        <w:t xml:space="preserve">其他附件： </w:t>
      </w:r>
    </w:p>
    <w:p w14:paraId="041B8350">
      <w:pPr>
        <w:spacing w:line="400" w:lineRule="exact"/>
        <w:jc w:val="center"/>
        <w:rPr>
          <w:rFonts w:ascii="宋体" w:hAnsi="宋体" w:cs="宋体"/>
          <w:b/>
          <w:bCs/>
          <w:color w:val="auto"/>
          <w:highlight w:val="none"/>
        </w:rPr>
      </w:pPr>
      <w:r>
        <w:rPr>
          <w:rFonts w:hint="eastAsia" w:ascii="宋体" w:hAnsi="宋体" w:cs="宋体"/>
          <w:b/>
          <w:bCs/>
          <w:color w:val="auto"/>
          <w:highlight w:val="none"/>
        </w:rPr>
        <w:t>履约保证金退付确认函</w:t>
      </w:r>
    </w:p>
    <w:p w14:paraId="53C66E9E">
      <w:pPr>
        <w:spacing w:line="200" w:lineRule="exact"/>
        <w:rPr>
          <w:rFonts w:ascii="宋体" w:hAnsi="Courier New"/>
          <w:b/>
          <w:color w:val="auto"/>
          <w:highlight w:val="none"/>
        </w:rPr>
      </w:pPr>
      <w:r>
        <w:rPr>
          <w:rFonts w:hint="eastAsia" w:ascii="宋体" w:hAnsi="Courier New"/>
          <w:b/>
          <w:color w:val="auto"/>
          <w:highlight w:val="none"/>
        </w:rPr>
        <w:t xml:space="preserve"> </w:t>
      </w:r>
    </w:p>
    <w:tbl>
      <w:tblPr>
        <w:tblStyle w:val="19"/>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07"/>
      </w:tblGrid>
      <w:tr w14:paraId="1DAC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5B8889">
            <w:pPr>
              <w:widowControl/>
              <w:autoSpaceDE w:val="0"/>
              <w:autoSpaceDN w:val="0"/>
              <w:snapToGrid w:val="0"/>
              <w:jc w:val="center"/>
              <w:rPr>
                <w:rFonts w:ascii="宋体" w:hAnsi="宋体" w:cs="宋体"/>
                <w:color w:val="auto"/>
                <w:highlight w:val="none"/>
              </w:rPr>
            </w:pPr>
            <w:r>
              <w:rPr>
                <w:rFonts w:hint="eastAsia" w:ascii="宋体" w:hAnsi="宋体" w:cs="宋体"/>
                <w:color w:val="auto"/>
                <w:highlight w:val="none"/>
              </w:rPr>
              <w:t>供应商申请</w:t>
            </w:r>
          </w:p>
        </w:tc>
        <w:tc>
          <w:tcPr>
            <w:tcW w:w="8007" w:type="dxa"/>
            <w:tcBorders>
              <w:top w:val="single" w:color="auto" w:sz="4" w:space="0"/>
              <w:left w:val="nil"/>
              <w:bottom w:val="single" w:color="auto" w:sz="4" w:space="0"/>
              <w:right w:val="single" w:color="auto" w:sz="4" w:space="0"/>
            </w:tcBorders>
            <w:shd w:val="clear" w:color="auto" w:fill="auto"/>
            <w:vAlign w:val="center"/>
          </w:tcPr>
          <w:p w14:paraId="168FF778">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采购项目名称：</w:t>
            </w:r>
          </w:p>
        </w:tc>
      </w:tr>
      <w:tr w14:paraId="6726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378B0">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7E70DBDF">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采购项目编号：</w:t>
            </w:r>
          </w:p>
        </w:tc>
      </w:tr>
      <w:tr w14:paraId="6A9F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14B3B">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42C63742">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项目标段：</w:t>
            </w:r>
          </w:p>
        </w:tc>
      </w:tr>
      <w:tr w14:paraId="625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96B0E">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66E66963">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履约保证金金额：（大写）</w:t>
            </w:r>
          </w:p>
          <w:p w14:paraId="7748D3F6">
            <w:pPr>
              <w:widowControl/>
              <w:autoSpaceDE w:val="0"/>
              <w:autoSpaceDN w:val="0"/>
              <w:snapToGrid w:val="0"/>
              <w:spacing w:line="400" w:lineRule="exact"/>
              <w:ind w:firstLine="1680" w:firstLineChars="800"/>
              <w:jc w:val="left"/>
              <w:rPr>
                <w:rFonts w:ascii="宋体" w:hAnsi="宋体" w:cs="宋体"/>
                <w:color w:val="auto"/>
                <w:highlight w:val="none"/>
              </w:rPr>
            </w:pPr>
            <w:r>
              <w:rPr>
                <w:rFonts w:hint="eastAsia" w:ascii="宋体" w:hAnsi="宋体" w:cs="宋体"/>
                <w:color w:val="auto"/>
                <w:highlight w:val="none"/>
              </w:rPr>
              <w:t>（小写）</w:t>
            </w:r>
          </w:p>
        </w:tc>
      </w:tr>
      <w:tr w14:paraId="7A8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B4F8D">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6070587B">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该项目已于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日履约完毕。请将履约金退付到以下帐户。</w:t>
            </w:r>
          </w:p>
          <w:p w14:paraId="6765386E">
            <w:pPr>
              <w:widowControl/>
              <w:autoSpaceDE w:val="0"/>
              <w:autoSpaceDN w:val="0"/>
              <w:snapToGrid w:val="0"/>
              <w:spacing w:line="400" w:lineRule="exact"/>
              <w:ind w:firstLine="420" w:firstLineChars="200"/>
              <w:jc w:val="left"/>
              <w:rPr>
                <w:rFonts w:ascii="宋体" w:hAnsi="宋体" w:cs="宋体"/>
                <w:color w:val="auto"/>
                <w:highlight w:val="none"/>
              </w:rPr>
            </w:pPr>
          </w:p>
          <w:p w14:paraId="09949BCE">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开户名称：</w:t>
            </w:r>
          </w:p>
          <w:p w14:paraId="117E2C3B">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帐    号：</w:t>
            </w:r>
          </w:p>
          <w:p w14:paraId="66FF0341">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开 户 行：</w:t>
            </w:r>
          </w:p>
          <w:p w14:paraId="34F21239">
            <w:pPr>
              <w:widowControl/>
              <w:autoSpaceDE w:val="0"/>
              <w:autoSpaceDN w:val="0"/>
              <w:snapToGrid w:val="0"/>
              <w:spacing w:line="400" w:lineRule="exact"/>
              <w:jc w:val="left"/>
              <w:rPr>
                <w:rFonts w:ascii="宋体" w:hAnsi="宋体" w:cs="宋体"/>
                <w:color w:val="auto"/>
                <w:highlight w:val="none"/>
              </w:rPr>
            </w:pPr>
          </w:p>
          <w:p w14:paraId="3EF1C095">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联系人：</w:t>
            </w:r>
          </w:p>
          <w:p w14:paraId="7239856B">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联系电话：</w:t>
            </w:r>
          </w:p>
          <w:p w14:paraId="1CA90211">
            <w:pPr>
              <w:widowControl/>
              <w:autoSpaceDE w:val="0"/>
              <w:autoSpaceDN w:val="0"/>
              <w:snapToGrid w:val="0"/>
              <w:spacing w:line="400" w:lineRule="exact"/>
              <w:ind w:firstLine="3885" w:firstLineChars="1850"/>
              <w:jc w:val="left"/>
              <w:rPr>
                <w:rFonts w:ascii="宋体" w:hAnsi="宋体" w:cs="宋体"/>
                <w:color w:val="auto"/>
                <w:highlight w:val="none"/>
              </w:rPr>
            </w:pPr>
            <w:r>
              <w:rPr>
                <w:rFonts w:hint="eastAsia" w:ascii="宋体" w:hAnsi="宋体" w:cs="宋体"/>
                <w:color w:val="auto"/>
                <w:highlight w:val="none"/>
              </w:rPr>
              <w:t>供应商：（盖章）</w:t>
            </w:r>
          </w:p>
          <w:p w14:paraId="6046631E">
            <w:pPr>
              <w:widowControl/>
              <w:autoSpaceDE w:val="0"/>
              <w:autoSpaceDN w:val="0"/>
              <w:snapToGrid w:val="0"/>
              <w:spacing w:line="400" w:lineRule="exact"/>
              <w:ind w:firstLine="4620" w:firstLineChars="2200"/>
              <w:jc w:val="left"/>
              <w:rPr>
                <w:rFonts w:ascii="宋体" w:hAnsi="宋体" w:cs="宋体"/>
                <w:color w:val="auto"/>
                <w:highlight w:val="none"/>
              </w:rPr>
            </w:pPr>
            <w:r>
              <w:rPr>
                <w:rFonts w:hint="eastAsia" w:ascii="宋体" w:hAnsi="宋体" w:cs="宋体"/>
                <w:color w:val="auto"/>
                <w:highlight w:val="none"/>
              </w:rPr>
              <w:t>年　　月　　日</w:t>
            </w:r>
          </w:p>
        </w:tc>
      </w:tr>
      <w:tr w14:paraId="4752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5FFDDA9">
            <w:pPr>
              <w:widowControl/>
              <w:autoSpaceDE w:val="0"/>
              <w:autoSpaceDN w:val="0"/>
              <w:snapToGrid w:val="0"/>
              <w:jc w:val="center"/>
              <w:rPr>
                <w:rFonts w:ascii="宋体" w:hAnsi="宋体" w:cs="宋体"/>
                <w:color w:val="auto"/>
                <w:highlight w:val="none"/>
              </w:rPr>
            </w:pPr>
            <w:r>
              <w:rPr>
                <w:rFonts w:hint="eastAsia" w:ascii="宋体" w:hAnsi="宋体" w:cs="宋体"/>
                <w:color w:val="auto"/>
                <w:highlight w:val="none"/>
              </w:rPr>
              <w:t>采购单位意见</w:t>
            </w:r>
          </w:p>
        </w:tc>
        <w:tc>
          <w:tcPr>
            <w:tcW w:w="8007" w:type="dxa"/>
            <w:tcBorders>
              <w:top w:val="single" w:color="auto" w:sz="4" w:space="0"/>
              <w:left w:val="nil"/>
              <w:bottom w:val="single" w:color="auto" w:sz="4" w:space="0"/>
              <w:right w:val="single" w:color="auto" w:sz="4" w:space="0"/>
            </w:tcBorders>
            <w:shd w:val="clear" w:color="auto" w:fill="auto"/>
            <w:vAlign w:val="center"/>
          </w:tcPr>
          <w:p w14:paraId="5E4AE164">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意见：(是否同意退付履约保证金)。</w:t>
            </w:r>
          </w:p>
          <w:p w14:paraId="56CB1240">
            <w:pPr>
              <w:widowControl/>
              <w:autoSpaceDE w:val="0"/>
              <w:autoSpaceDN w:val="0"/>
              <w:snapToGrid w:val="0"/>
              <w:spacing w:line="400" w:lineRule="exact"/>
              <w:ind w:firstLine="420" w:firstLineChars="200"/>
              <w:jc w:val="left"/>
              <w:rPr>
                <w:rFonts w:ascii="宋体" w:hAnsi="宋体" w:cs="宋体"/>
                <w:color w:val="auto"/>
                <w:highlight w:val="none"/>
              </w:rPr>
            </w:pPr>
          </w:p>
          <w:p w14:paraId="0507C087">
            <w:pPr>
              <w:widowControl/>
              <w:autoSpaceDE w:val="0"/>
              <w:autoSpaceDN w:val="0"/>
              <w:snapToGrid w:val="0"/>
              <w:spacing w:line="400" w:lineRule="exact"/>
              <w:ind w:firstLine="420" w:firstLineChars="200"/>
              <w:jc w:val="left"/>
              <w:rPr>
                <w:rFonts w:ascii="宋体" w:hAnsi="宋体" w:cs="宋体"/>
                <w:color w:val="auto"/>
                <w:highlight w:val="none"/>
              </w:rPr>
            </w:pPr>
          </w:p>
          <w:p w14:paraId="452EF10C">
            <w:pPr>
              <w:widowControl/>
              <w:autoSpaceDE w:val="0"/>
              <w:autoSpaceDN w:val="0"/>
              <w:snapToGrid w:val="0"/>
              <w:spacing w:line="400" w:lineRule="exact"/>
              <w:ind w:firstLine="420" w:firstLineChars="200"/>
              <w:jc w:val="left"/>
              <w:rPr>
                <w:rFonts w:ascii="宋体" w:hAnsi="宋体" w:cs="宋体"/>
                <w:color w:val="auto"/>
                <w:highlight w:val="none"/>
              </w:rPr>
            </w:pPr>
          </w:p>
          <w:p w14:paraId="6375B96D">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单位负责人：</w:t>
            </w:r>
          </w:p>
          <w:p w14:paraId="08DA85BF">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联系电话：</w:t>
            </w:r>
          </w:p>
          <w:p w14:paraId="22D6DA77">
            <w:pPr>
              <w:widowControl/>
              <w:autoSpaceDE w:val="0"/>
              <w:autoSpaceDN w:val="0"/>
              <w:snapToGrid w:val="0"/>
              <w:spacing w:line="400" w:lineRule="exact"/>
              <w:ind w:firstLine="3885" w:firstLineChars="1850"/>
              <w:jc w:val="left"/>
              <w:rPr>
                <w:rFonts w:ascii="宋体" w:hAnsi="宋体" w:cs="宋体"/>
                <w:color w:val="auto"/>
                <w:highlight w:val="none"/>
              </w:rPr>
            </w:pPr>
            <w:r>
              <w:rPr>
                <w:rFonts w:hint="eastAsia" w:ascii="宋体" w:hAnsi="宋体" w:cs="宋体"/>
                <w:color w:val="auto"/>
                <w:highlight w:val="none"/>
              </w:rPr>
              <w:t>采购单位盖章：</w:t>
            </w:r>
          </w:p>
          <w:p w14:paraId="5A6C9415">
            <w:pPr>
              <w:widowControl/>
              <w:autoSpaceDE w:val="0"/>
              <w:autoSpaceDN w:val="0"/>
              <w:snapToGrid w:val="0"/>
              <w:spacing w:line="400" w:lineRule="exact"/>
              <w:ind w:firstLine="4725" w:firstLineChars="2250"/>
              <w:jc w:val="left"/>
              <w:rPr>
                <w:rFonts w:ascii="宋体" w:hAnsi="宋体" w:cs="宋体"/>
                <w:color w:val="auto"/>
                <w:highlight w:val="none"/>
              </w:rPr>
            </w:pPr>
            <w:r>
              <w:rPr>
                <w:rFonts w:hint="eastAsia" w:ascii="宋体" w:hAnsi="宋体" w:cs="宋体"/>
                <w:color w:val="auto"/>
                <w:highlight w:val="none"/>
              </w:rPr>
              <w:t>年　　月　　日</w:t>
            </w:r>
          </w:p>
        </w:tc>
      </w:tr>
      <w:tr w14:paraId="4B61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7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36FD4A">
            <w:pPr>
              <w:widowControl/>
              <w:autoSpaceDE w:val="0"/>
              <w:autoSpaceDN w:val="0"/>
              <w:snapToGrid w:val="0"/>
              <w:spacing w:line="360" w:lineRule="exact"/>
              <w:ind w:left="630" w:hanging="630" w:hangingChars="300"/>
              <w:jc w:val="left"/>
              <w:rPr>
                <w:rFonts w:ascii="宋体" w:hAnsi="宋体" w:cs="宋体"/>
                <w:color w:val="auto"/>
                <w:spacing w:val="-6"/>
                <w:highlight w:val="none"/>
              </w:rPr>
            </w:pPr>
            <w:r>
              <w:rPr>
                <w:rFonts w:hint="eastAsia" w:ascii="宋体" w:hAnsi="宋体" w:cs="宋体"/>
                <w:color w:val="auto"/>
                <w:highlight w:val="none"/>
              </w:rPr>
              <w:t>备注：</w:t>
            </w:r>
            <w:r>
              <w:rPr>
                <w:rFonts w:hint="eastAsia" w:ascii="宋体" w:hAnsi="宋体" w:cs="宋体"/>
                <w:color w:val="auto"/>
                <w:spacing w:val="-6"/>
                <w:highlight w:val="none"/>
              </w:rPr>
              <w:t>1、附收款收据原件、银行转帐单复印件，工程类项目另附工程竣工验收报告复印件；</w:t>
            </w:r>
          </w:p>
          <w:p w14:paraId="15120253">
            <w:pPr>
              <w:widowControl/>
              <w:autoSpaceDE w:val="0"/>
              <w:autoSpaceDN w:val="0"/>
              <w:snapToGrid w:val="0"/>
              <w:spacing w:line="360" w:lineRule="exact"/>
              <w:ind w:left="680" w:leftChars="324"/>
              <w:jc w:val="left"/>
              <w:rPr>
                <w:rFonts w:ascii="宋体" w:hAnsi="宋体" w:cs="宋体"/>
                <w:color w:val="auto"/>
                <w:highlight w:val="none"/>
              </w:rPr>
            </w:pPr>
            <w:r>
              <w:rPr>
                <w:rFonts w:hint="eastAsia" w:ascii="宋体" w:hAnsi="宋体" w:cs="宋体"/>
                <w:color w:val="auto"/>
                <w:highlight w:val="none"/>
              </w:rPr>
              <w:t>2、用浆糊粘贴在左上角，不能用订书机装订。</w:t>
            </w:r>
          </w:p>
        </w:tc>
      </w:tr>
    </w:tbl>
    <w:p w14:paraId="0295255E">
      <w:pPr>
        <w:rPr>
          <w:rFonts w:hint="eastAsia"/>
          <w:color w:val="auto"/>
          <w:highlight w:val="none"/>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C83E">
    <w:pPr>
      <w:pStyle w:val="1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B7FF7">
                          <w:pPr>
                            <w:pStyle w:val="12"/>
                            <w:rPr>
                              <w:rFonts w:hint="eastAsia"/>
                            </w:rPr>
                          </w:pPr>
                          <w:r>
                            <w:fldChar w:fldCharType="begin"/>
                          </w:r>
                          <w:r>
                            <w:instrText xml:space="preserve"> PAGE  \* MERGEFORMAT </w:instrText>
                          </w:r>
                          <w:r>
                            <w:fldChar w:fldCharType="separate"/>
                          </w:r>
                          <w:r>
                            <w:rPr>
                              <w:rFonts w:hint="eastAsia"/>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14:paraId="42FB7FF7">
                    <w:pPr>
                      <w:pStyle w:val="12"/>
                      <w:rPr>
                        <w:rFonts w:hint="eastAsia"/>
                      </w:rPr>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B771">
    <w:pPr>
      <w:pStyle w:val="6"/>
      <w:spacing w:line="14" w:lineRule="auto"/>
      <w:rPr>
        <w:rFonts w:hint="eastAsia"/>
        <w:sz w:val="20"/>
      </w:rPr>
    </w:pPr>
    <w:r>
      <w:rPr>
        <w:rFonts w:hint="eastAsia"/>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3F0C9">
                          <w:pPr>
                            <w:pStyle w:val="12"/>
                            <w:rPr>
                              <w:rFonts w:hint="eastAsia"/>
                            </w:rPr>
                          </w:pPr>
                          <w:r>
                            <w:fldChar w:fldCharType="begin"/>
                          </w:r>
                          <w:r>
                            <w:instrText xml:space="preserve"> PAGE  \* MERGEFORMAT </w:instrText>
                          </w:r>
                          <w:r>
                            <w:fldChar w:fldCharType="separate"/>
                          </w:r>
                          <w:r>
                            <w:rPr>
                              <w:rFonts w:hint="eastAsia"/>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49F3F0C9">
                    <w:pPr>
                      <w:pStyle w:val="12"/>
                      <w:rPr>
                        <w:rFonts w:hint="eastAsia"/>
                      </w:rPr>
                    </w:pPr>
                    <w:r>
                      <w:fldChar w:fldCharType="begin"/>
                    </w:r>
                    <w:r>
                      <w:instrText xml:space="preserve"> PAGE  \* MERGEFORMAT </w:instrText>
                    </w:r>
                    <w:r>
                      <w:fldChar w:fldCharType="separate"/>
                    </w:r>
                    <w:r>
                      <w:rPr>
                        <w:rFonts w:hint="eastAsia"/>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B1AC">
    <w:pPr>
      <w:pStyle w:val="1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9EF25"/>
    <w:multiLevelType w:val="singleLevel"/>
    <w:tmpl w:val="BED9EF25"/>
    <w:lvl w:ilvl="0" w:tentative="0">
      <w:start w:val="2"/>
      <w:numFmt w:val="chineseCounting"/>
      <w:suff w:val="nothing"/>
      <w:lvlText w:val="%1、"/>
      <w:lvlJc w:val="left"/>
      <w:rPr>
        <w:rFonts w:hint="eastAsia"/>
      </w:rPr>
    </w:lvl>
  </w:abstractNum>
  <w:abstractNum w:abstractNumId="1">
    <w:nsid w:val="F0B37356"/>
    <w:multiLevelType w:val="singleLevel"/>
    <w:tmpl w:val="F0B37356"/>
    <w:lvl w:ilvl="0" w:tentative="0">
      <w:start w:val="1"/>
      <w:numFmt w:val="chineseCounting"/>
      <w:suff w:val="nothing"/>
      <w:lvlText w:val="%1、"/>
      <w:lvlJc w:val="left"/>
      <w:pPr>
        <w:ind w:left="-431"/>
      </w:pPr>
      <w:rPr>
        <w:rFonts w:hint="eastAsia"/>
      </w:rPr>
    </w:lvl>
  </w:abstractNum>
  <w:abstractNum w:abstractNumId="2">
    <w:nsid w:val="28910517"/>
    <w:multiLevelType w:val="multilevel"/>
    <w:tmpl w:val="289105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1601E67"/>
    <w:multiLevelType w:val="singleLevel"/>
    <w:tmpl w:val="31601E67"/>
    <w:lvl w:ilvl="0" w:tentative="0">
      <w:start w:val="5"/>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zU3YzQ3OTRmYWU3ZjZlNjI2MzJhMWE1ZDU3MjUifQ=="/>
  </w:docVars>
  <w:rsids>
    <w:rsidRoot w:val="24E57EB5"/>
    <w:rsid w:val="00034C21"/>
    <w:rsid w:val="00055393"/>
    <w:rsid w:val="000656CC"/>
    <w:rsid w:val="00084468"/>
    <w:rsid w:val="000939F8"/>
    <w:rsid w:val="000A7ECF"/>
    <w:rsid w:val="000B0EFE"/>
    <w:rsid w:val="000B767C"/>
    <w:rsid w:val="00106C38"/>
    <w:rsid w:val="00194644"/>
    <w:rsid w:val="001B58AB"/>
    <w:rsid w:val="001B6B50"/>
    <w:rsid w:val="0020149E"/>
    <w:rsid w:val="002152B8"/>
    <w:rsid w:val="0021578E"/>
    <w:rsid w:val="0025767B"/>
    <w:rsid w:val="002970BD"/>
    <w:rsid w:val="002C3B3D"/>
    <w:rsid w:val="002D6541"/>
    <w:rsid w:val="002E07BF"/>
    <w:rsid w:val="002E340C"/>
    <w:rsid w:val="002F3154"/>
    <w:rsid w:val="00300895"/>
    <w:rsid w:val="003143EB"/>
    <w:rsid w:val="00317D8E"/>
    <w:rsid w:val="003207B3"/>
    <w:rsid w:val="00327E94"/>
    <w:rsid w:val="00333FD8"/>
    <w:rsid w:val="00346BEA"/>
    <w:rsid w:val="00372B9D"/>
    <w:rsid w:val="003A751B"/>
    <w:rsid w:val="003B49FC"/>
    <w:rsid w:val="0041530C"/>
    <w:rsid w:val="004213DC"/>
    <w:rsid w:val="004477CF"/>
    <w:rsid w:val="004B14C7"/>
    <w:rsid w:val="004C3F7D"/>
    <w:rsid w:val="004F0D7A"/>
    <w:rsid w:val="00500E36"/>
    <w:rsid w:val="00525ECD"/>
    <w:rsid w:val="005A1CF7"/>
    <w:rsid w:val="005D29A3"/>
    <w:rsid w:val="005D3A0E"/>
    <w:rsid w:val="005D5630"/>
    <w:rsid w:val="005E423C"/>
    <w:rsid w:val="005E67E7"/>
    <w:rsid w:val="005F090C"/>
    <w:rsid w:val="005F7D4A"/>
    <w:rsid w:val="00624BD5"/>
    <w:rsid w:val="00632F0D"/>
    <w:rsid w:val="006601FC"/>
    <w:rsid w:val="00667C9E"/>
    <w:rsid w:val="00697460"/>
    <w:rsid w:val="006A46DB"/>
    <w:rsid w:val="006C1C30"/>
    <w:rsid w:val="006D4BCA"/>
    <w:rsid w:val="00700B51"/>
    <w:rsid w:val="00701BE3"/>
    <w:rsid w:val="0073606E"/>
    <w:rsid w:val="00745041"/>
    <w:rsid w:val="00773916"/>
    <w:rsid w:val="00791534"/>
    <w:rsid w:val="00795225"/>
    <w:rsid w:val="007A7B47"/>
    <w:rsid w:val="007B5B5B"/>
    <w:rsid w:val="007E7DDF"/>
    <w:rsid w:val="00821D5B"/>
    <w:rsid w:val="0083513B"/>
    <w:rsid w:val="0086110B"/>
    <w:rsid w:val="00865B42"/>
    <w:rsid w:val="00870EEE"/>
    <w:rsid w:val="00892928"/>
    <w:rsid w:val="008C1D45"/>
    <w:rsid w:val="008C3696"/>
    <w:rsid w:val="008D3C18"/>
    <w:rsid w:val="008F7F4D"/>
    <w:rsid w:val="00925C35"/>
    <w:rsid w:val="009450E6"/>
    <w:rsid w:val="00956EA4"/>
    <w:rsid w:val="009B1C05"/>
    <w:rsid w:val="009D300B"/>
    <w:rsid w:val="009D6623"/>
    <w:rsid w:val="009E01B4"/>
    <w:rsid w:val="009E14BC"/>
    <w:rsid w:val="00A302E6"/>
    <w:rsid w:val="00A30ABF"/>
    <w:rsid w:val="00A5316C"/>
    <w:rsid w:val="00A7747A"/>
    <w:rsid w:val="00AB7B81"/>
    <w:rsid w:val="00AD48CE"/>
    <w:rsid w:val="00AD4A4A"/>
    <w:rsid w:val="00B03E3F"/>
    <w:rsid w:val="00B122A4"/>
    <w:rsid w:val="00B40C76"/>
    <w:rsid w:val="00B50D61"/>
    <w:rsid w:val="00B671B4"/>
    <w:rsid w:val="00B70677"/>
    <w:rsid w:val="00B77F63"/>
    <w:rsid w:val="00B805FB"/>
    <w:rsid w:val="00B83DD2"/>
    <w:rsid w:val="00B851EA"/>
    <w:rsid w:val="00BE7D07"/>
    <w:rsid w:val="00BF5C8F"/>
    <w:rsid w:val="00C47F27"/>
    <w:rsid w:val="00C544A9"/>
    <w:rsid w:val="00C60B47"/>
    <w:rsid w:val="00C708EC"/>
    <w:rsid w:val="00C75D89"/>
    <w:rsid w:val="00C90619"/>
    <w:rsid w:val="00CA53B9"/>
    <w:rsid w:val="00CB5CFD"/>
    <w:rsid w:val="00CC4248"/>
    <w:rsid w:val="00CD15AA"/>
    <w:rsid w:val="00CD5F91"/>
    <w:rsid w:val="00CE1E3C"/>
    <w:rsid w:val="00D20809"/>
    <w:rsid w:val="00D22E0A"/>
    <w:rsid w:val="00D348C5"/>
    <w:rsid w:val="00D5651F"/>
    <w:rsid w:val="00D9759A"/>
    <w:rsid w:val="00DA02D0"/>
    <w:rsid w:val="00DF7A82"/>
    <w:rsid w:val="00E03D76"/>
    <w:rsid w:val="00E62A4E"/>
    <w:rsid w:val="00E64C93"/>
    <w:rsid w:val="00E67FA1"/>
    <w:rsid w:val="00EA4C10"/>
    <w:rsid w:val="00EB22A1"/>
    <w:rsid w:val="00EB3EBC"/>
    <w:rsid w:val="00EB6F8A"/>
    <w:rsid w:val="00ED2354"/>
    <w:rsid w:val="00ED32E1"/>
    <w:rsid w:val="00EE28FB"/>
    <w:rsid w:val="00EF1213"/>
    <w:rsid w:val="00F05C7D"/>
    <w:rsid w:val="00F171F5"/>
    <w:rsid w:val="00F17A82"/>
    <w:rsid w:val="00F232D7"/>
    <w:rsid w:val="00F271FD"/>
    <w:rsid w:val="00F4012F"/>
    <w:rsid w:val="00F41949"/>
    <w:rsid w:val="00F718AF"/>
    <w:rsid w:val="00F764BF"/>
    <w:rsid w:val="00F766A7"/>
    <w:rsid w:val="00FC55AB"/>
    <w:rsid w:val="00FD09C2"/>
    <w:rsid w:val="00FD159C"/>
    <w:rsid w:val="00FD3969"/>
    <w:rsid w:val="01DF5C17"/>
    <w:rsid w:val="02A1118D"/>
    <w:rsid w:val="02BB4AA4"/>
    <w:rsid w:val="030C1194"/>
    <w:rsid w:val="033113D7"/>
    <w:rsid w:val="0333345C"/>
    <w:rsid w:val="034E6052"/>
    <w:rsid w:val="042D202E"/>
    <w:rsid w:val="044B6171"/>
    <w:rsid w:val="04BD73D3"/>
    <w:rsid w:val="04F07081"/>
    <w:rsid w:val="04FF212C"/>
    <w:rsid w:val="05706B86"/>
    <w:rsid w:val="05E76E48"/>
    <w:rsid w:val="060070EE"/>
    <w:rsid w:val="06954AF6"/>
    <w:rsid w:val="06991BA9"/>
    <w:rsid w:val="070140D7"/>
    <w:rsid w:val="072E0AA7"/>
    <w:rsid w:val="078A266C"/>
    <w:rsid w:val="0797588D"/>
    <w:rsid w:val="079C4409"/>
    <w:rsid w:val="07A33243"/>
    <w:rsid w:val="07AE74E0"/>
    <w:rsid w:val="07E35D35"/>
    <w:rsid w:val="08420CAE"/>
    <w:rsid w:val="085B3B1D"/>
    <w:rsid w:val="08823CF3"/>
    <w:rsid w:val="08C60FA0"/>
    <w:rsid w:val="091B5EEE"/>
    <w:rsid w:val="095E6CA5"/>
    <w:rsid w:val="09FB37D1"/>
    <w:rsid w:val="0A750C87"/>
    <w:rsid w:val="0B6727D9"/>
    <w:rsid w:val="0BA67416"/>
    <w:rsid w:val="0BD14798"/>
    <w:rsid w:val="0C466ADC"/>
    <w:rsid w:val="0C6017A0"/>
    <w:rsid w:val="0C7D1820"/>
    <w:rsid w:val="0D036E13"/>
    <w:rsid w:val="0DBA5729"/>
    <w:rsid w:val="0E40652B"/>
    <w:rsid w:val="0E4A64C8"/>
    <w:rsid w:val="102D265C"/>
    <w:rsid w:val="103E4958"/>
    <w:rsid w:val="11736136"/>
    <w:rsid w:val="11951A46"/>
    <w:rsid w:val="11E409AA"/>
    <w:rsid w:val="129E11D6"/>
    <w:rsid w:val="12FC2CA7"/>
    <w:rsid w:val="13810729"/>
    <w:rsid w:val="13BE42F7"/>
    <w:rsid w:val="1405580E"/>
    <w:rsid w:val="14524026"/>
    <w:rsid w:val="14697BE6"/>
    <w:rsid w:val="14B7427D"/>
    <w:rsid w:val="151D2886"/>
    <w:rsid w:val="15826B8D"/>
    <w:rsid w:val="15DA4146"/>
    <w:rsid w:val="16436D08"/>
    <w:rsid w:val="1694224E"/>
    <w:rsid w:val="16A160CD"/>
    <w:rsid w:val="16F75866"/>
    <w:rsid w:val="17287BD2"/>
    <w:rsid w:val="185A16FC"/>
    <w:rsid w:val="1861064A"/>
    <w:rsid w:val="189879CD"/>
    <w:rsid w:val="189C385F"/>
    <w:rsid w:val="18DA6E66"/>
    <w:rsid w:val="19004B9A"/>
    <w:rsid w:val="19382A99"/>
    <w:rsid w:val="195F2281"/>
    <w:rsid w:val="19FA7950"/>
    <w:rsid w:val="1A2377C1"/>
    <w:rsid w:val="1A4F1D25"/>
    <w:rsid w:val="1A521976"/>
    <w:rsid w:val="1B247BA0"/>
    <w:rsid w:val="1B3A3A66"/>
    <w:rsid w:val="1B703F63"/>
    <w:rsid w:val="1C684463"/>
    <w:rsid w:val="1D3A5FA0"/>
    <w:rsid w:val="1D3F3149"/>
    <w:rsid w:val="1D44297A"/>
    <w:rsid w:val="1D4B3D09"/>
    <w:rsid w:val="1D4D7A81"/>
    <w:rsid w:val="1DD91315"/>
    <w:rsid w:val="1DF443A0"/>
    <w:rsid w:val="1E1F5612"/>
    <w:rsid w:val="1E2E44E7"/>
    <w:rsid w:val="1E2F7187"/>
    <w:rsid w:val="1E3E0603"/>
    <w:rsid w:val="1E9A4F48"/>
    <w:rsid w:val="1ECA4600"/>
    <w:rsid w:val="1ED316A0"/>
    <w:rsid w:val="1F08515F"/>
    <w:rsid w:val="1F0E3B08"/>
    <w:rsid w:val="1F323E48"/>
    <w:rsid w:val="1F3B7069"/>
    <w:rsid w:val="1F6D0420"/>
    <w:rsid w:val="1F830C5D"/>
    <w:rsid w:val="20D07FC2"/>
    <w:rsid w:val="20D6455E"/>
    <w:rsid w:val="210C7C53"/>
    <w:rsid w:val="21197E96"/>
    <w:rsid w:val="21896A55"/>
    <w:rsid w:val="22353228"/>
    <w:rsid w:val="224D2022"/>
    <w:rsid w:val="22884B9B"/>
    <w:rsid w:val="22C500B9"/>
    <w:rsid w:val="22D622C7"/>
    <w:rsid w:val="22F30D80"/>
    <w:rsid w:val="234B506B"/>
    <w:rsid w:val="23C465C3"/>
    <w:rsid w:val="23CB5BA3"/>
    <w:rsid w:val="243E4D8C"/>
    <w:rsid w:val="24E06EFC"/>
    <w:rsid w:val="24E22A16"/>
    <w:rsid w:val="24E57EB5"/>
    <w:rsid w:val="250A2C55"/>
    <w:rsid w:val="251B66B7"/>
    <w:rsid w:val="25693668"/>
    <w:rsid w:val="259B2A80"/>
    <w:rsid w:val="25E122A6"/>
    <w:rsid w:val="265E217B"/>
    <w:rsid w:val="26AD3FF9"/>
    <w:rsid w:val="26DB7EAB"/>
    <w:rsid w:val="27557B9B"/>
    <w:rsid w:val="276566DF"/>
    <w:rsid w:val="27F16AAB"/>
    <w:rsid w:val="2800750A"/>
    <w:rsid w:val="283831AD"/>
    <w:rsid w:val="283E7090"/>
    <w:rsid w:val="28B64EC8"/>
    <w:rsid w:val="28C8445F"/>
    <w:rsid w:val="28D01566"/>
    <w:rsid w:val="28D63848"/>
    <w:rsid w:val="28F02BD3"/>
    <w:rsid w:val="29BD3A0D"/>
    <w:rsid w:val="29F179E6"/>
    <w:rsid w:val="29FD638B"/>
    <w:rsid w:val="2A6E7417"/>
    <w:rsid w:val="2AC670C5"/>
    <w:rsid w:val="2B591CE7"/>
    <w:rsid w:val="2B9D6DAF"/>
    <w:rsid w:val="2C1F4CDE"/>
    <w:rsid w:val="2C5C3550"/>
    <w:rsid w:val="2C6B12B4"/>
    <w:rsid w:val="2C7C7A94"/>
    <w:rsid w:val="2C8132A3"/>
    <w:rsid w:val="2CCE3C82"/>
    <w:rsid w:val="2CF16BCB"/>
    <w:rsid w:val="2D0B7EC6"/>
    <w:rsid w:val="2D0E09B2"/>
    <w:rsid w:val="2D3622E0"/>
    <w:rsid w:val="2DBE4B0C"/>
    <w:rsid w:val="2DC35A89"/>
    <w:rsid w:val="2DCD5564"/>
    <w:rsid w:val="2E636010"/>
    <w:rsid w:val="2ED27BE7"/>
    <w:rsid w:val="2EE44ABF"/>
    <w:rsid w:val="2F063F34"/>
    <w:rsid w:val="2F1347AF"/>
    <w:rsid w:val="2F3A14D5"/>
    <w:rsid w:val="2F590507"/>
    <w:rsid w:val="2F6B1FE9"/>
    <w:rsid w:val="2F942940"/>
    <w:rsid w:val="2FCC6F2B"/>
    <w:rsid w:val="30085CE4"/>
    <w:rsid w:val="30552D33"/>
    <w:rsid w:val="30A97645"/>
    <w:rsid w:val="3140475F"/>
    <w:rsid w:val="31D04050"/>
    <w:rsid w:val="31D73965"/>
    <w:rsid w:val="31DE6AA2"/>
    <w:rsid w:val="32531DF4"/>
    <w:rsid w:val="32550514"/>
    <w:rsid w:val="32C85759"/>
    <w:rsid w:val="32CD1B51"/>
    <w:rsid w:val="3330332D"/>
    <w:rsid w:val="33871A2D"/>
    <w:rsid w:val="33DE73FB"/>
    <w:rsid w:val="34063EAD"/>
    <w:rsid w:val="348B6F5E"/>
    <w:rsid w:val="348C5F98"/>
    <w:rsid w:val="3491429F"/>
    <w:rsid w:val="34BA51BE"/>
    <w:rsid w:val="34BF5115"/>
    <w:rsid w:val="34D972C4"/>
    <w:rsid w:val="34EC3AAE"/>
    <w:rsid w:val="35283CA8"/>
    <w:rsid w:val="35FE3BB6"/>
    <w:rsid w:val="37797999"/>
    <w:rsid w:val="37986A75"/>
    <w:rsid w:val="37B72567"/>
    <w:rsid w:val="37B81B43"/>
    <w:rsid w:val="380E68BD"/>
    <w:rsid w:val="3885411B"/>
    <w:rsid w:val="38AC359E"/>
    <w:rsid w:val="397A17A6"/>
    <w:rsid w:val="39CC1BC7"/>
    <w:rsid w:val="3A50591E"/>
    <w:rsid w:val="3A9E3272"/>
    <w:rsid w:val="3AB25ED1"/>
    <w:rsid w:val="3AD56225"/>
    <w:rsid w:val="3AF41515"/>
    <w:rsid w:val="3AFB635A"/>
    <w:rsid w:val="3B550268"/>
    <w:rsid w:val="3B677B08"/>
    <w:rsid w:val="3BDD6FAF"/>
    <w:rsid w:val="3BE4158F"/>
    <w:rsid w:val="3C3158BD"/>
    <w:rsid w:val="3CCD7C2C"/>
    <w:rsid w:val="3D0D706A"/>
    <w:rsid w:val="3D0E0B83"/>
    <w:rsid w:val="3D6A733F"/>
    <w:rsid w:val="3D9C1C82"/>
    <w:rsid w:val="3E4800C5"/>
    <w:rsid w:val="3E96424C"/>
    <w:rsid w:val="3F055FB6"/>
    <w:rsid w:val="3F1C6E5B"/>
    <w:rsid w:val="3F6D021D"/>
    <w:rsid w:val="3FA41AC3"/>
    <w:rsid w:val="3FAF07C6"/>
    <w:rsid w:val="3FB672B0"/>
    <w:rsid w:val="407E705F"/>
    <w:rsid w:val="40D65438"/>
    <w:rsid w:val="410D2FD2"/>
    <w:rsid w:val="41C20357"/>
    <w:rsid w:val="42000AAB"/>
    <w:rsid w:val="42112A00"/>
    <w:rsid w:val="42115866"/>
    <w:rsid w:val="42207EC8"/>
    <w:rsid w:val="42530DE6"/>
    <w:rsid w:val="426C3CC5"/>
    <w:rsid w:val="42D22F30"/>
    <w:rsid w:val="43F87E97"/>
    <w:rsid w:val="44302CD1"/>
    <w:rsid w:val="451500E7"/>
    <w:rsid w:val="451A7D74"/>
    <w:rsid w:val="45576E3F"/>
    <w:rsid w:val="457B7323"/>
    <w:rsid w:val="459874C7"/>
    <w:rsid w:val="45BF616D"/>
    <w:rsid w:val="45CD0828"/>
    <w:rsid w:val="45EB1F55"/>
    <w:rsid w:val="46160AA8"/>
    <w:rsid w:val="46372646"/>
    <w:rsid w:val="464475A7"/>
    <w:rsid w:val="46DB13AA"/>
    <w:rsid w:val="46FB14CC"/>
    <w:rsid w:val="473556B1"/>
    <w:rsid w:val="473A6858"/>
    <w:rsid w:val="477064AC"/>
    <w:rsid w:val="47AF0F94"/>
    <w:rsid w:val="47B36DEE"/>
    <w:rsid w:val="4800731A"/>
    <w:rsid w:val="492F0154"/>
    <w:rsid w:val="49AA7718"/>
    <w:rsid w:val="49E028A4"/>
    <w:rsid w:val="4A9D52F4"/>
    <w:rsid w:val="4AC16767"/>
    <w:rsid w:val="4AC8226D"/>
    <w:rsid w:val="4B7F1C31"/>
    <w:rsid w:val="4BD30F62"/>
    <w:rsid w:val="4C1B0FD0"/>
    <w:rsid w:val="4C2F3D13"/>
    <w:rsid w:val="4C59524B"/>
    <w:rsid w:val="4CCC3C6F"/>
    <w:rsid w:val="4D3F5F4E"/>
    <w:rsid w:val="4D706CF0"/>
    <w:rsid w:val="4D782049"/>
    <w:rsid w:val="4DD07721"/>
    <w:rsid w:val="4DF3631E"/>
    <w:rsid w:val="4E1F3B2A"/>
    <w:rsid w:val="4E3B1018"/>
    <w:rsid w:val="4E4735F6"/>
    <w:rsid w:val="4EC17723"/>
    <w:rsid w:val="4ECA71B4"/>
    <w:rsid w:val="4FA531CE"/>
    <w:rsid w:val="4FB555CB"/>
    <w:rsid w:val="500740A4"/>
    <w:rsid w:val="50081258"/>
    <w:rsid w:val="505B41A1"/>
    <w:rsid w:val="5060129E"/>
    <w:rsid w:val="508E09A5"/>
    <w:rsid w:val="50A646BD"/>
    <w:rsid w:val="51B82E8C"/>
    <w:rsid w:val="51EA75AD"/>
    <w:rsid w:val="522917F2"/>
    <w:rsid w:val="53323747"/>
    <w:rsid w:val="53BF4A89"/>
    <w:rsid w:val="53C145C2"/>
    <w:rsid w:val="53D63625"/>
    <w:rsid w:val="53E6626A"/>
    <w:rsid w:val="53EC78B0"/>
    <w:rsid w:val="53F52018"/>
    <w:rsid w:val="54784539"/>
    <w:rsid w:val="54FB4092"/>
    <w:rsid w:val="55077F55"/>
    <w:rsid w:val="5523184A"/>
    <w:rsid w:val="553E1F9A"/>
    <w:rsid w:val="55A001AB"/>
    <w:rsid w:val="56CD1230"/>
    <w:rsid w:val="58217784"/>
    <w:rsid w:val="58B93579"/>
    <w:rsid w:val="58C06A9A"/>
    <w:rsid w:val="59142684"/>
    <w:rsid w:val="591A2BA2"/>
    <w:rsid w:val="5999390B"/>
    <w:rsid w:val="59B61F2F"/>
    <w:rsid w:val="59C81C62"/>
    <w:rsid w:val="59D423B5"/>
    <w:rsid w:val="59E8636C"/>
    <w:rsid w:val="5AF01686"/>
    <w:rsid w:val="5B041BCF"/>
    <w:rsid w:val="5B4A1675"/>
    <w:rsid w:val="5B7F5B92"/>
    <w:rsid w:val="5B8E55D8"/>
    <w:rsid w:val="5C0342E2"/>
    <w:rsid w:val="5C1B7B96"/>
    <w:rsid w:val="5C913BC5"/>
    <w:rsid w:val="5CA80A66"/>
    <w:rsid w:val="5CAF4D41"/>
    <w:rsid w:val="5D1D444E"/>
    <w:rsid w:val="5D1E6319"/>
    <w:rsid w:val="5D2842F3"/>
    <w:rsid w:val="5DAC7735"/>
    <w:rsid w:val="5E103836"/>
    <w:rsid w:val="5E217287"/>
    <w:rsid w:val="5E341674"/>
    <w:rsid w:val="5E6E3037"/>
    <w:rsid w:val="5E9538BA"/>
    <w:rsid w:val="5E9603F4"/>
    <w:rsid w:val="5EFD23AE"/>
    <w:rsid w:val="5F3B6A32"/>
    <w:rsid w:val="5FD26808"/>
    <w:rsid w:val="5FE84843"/>
    <w:rsid w:val="610E6FE2"/>
    <w:rsid w:val="61181721"/>
    <w:rsid w:val="61B97D21"/>
    <w:rsid w:val="61F25ACE"/>
    <w:rsid w:val="62312DDA"/>
    <w:rsid w:val="62561697"/>
    <w:rsid w:val="62915D14"/>
    <w:rsid w:val="62BB2364"/>
    <w:rsid w:val="62D20258"/>
    <w:rsid w:val="6367429A"/>
    <w:rsid w:val="64097EDC"/>
    <w:rsid w:val="6443298D"/>
    <w:rsid w:val="64AF1CD4"/>
    <w:rsid w:val="65562077"/>
    <w:rsid w:val="655A7D9D"/>
    <w:rsid w:val="65A67EAA"/>
    <w:rsid w:val="65F52031"/>
    <w:rsid w:val="66300088"/>
    <w:rsid w:val="664B7760"/>
    <w:rsid w:val="66655CF3"/>
    <w:rsid w:val="66680A54"/>
    <w:rsid w:val="670D1B86"/>
    <w:rsid w:val="67564D51"/>
    <w:rsid w:val="67AD39E0"/>
    <w:rsid w:val="67D419A6"/>
    <w:rsid w:val="67E67DCC"/>
    <w:rsid w:val="68727968"/>
    <w:rsid w:val="690F1463"/>
    <w:rsid w:val="691F1A31"/>
    <w:rsid w:val="69367FD8"/>
    <w:rsid w:val="693B7D5A"/>
    <w:rsid w:val="6A0960AB"/>
    <w:rsid w:val="6A1A3E14"/>
    <w:rsid w:val="6A4E7C2B"/>
    <w:rsid w:val="6A622C3D"/>
    <w:rsid w:val="6A8D4BE5"/>
    <w:rsid w:val="6AB37DC4"/>
    <w:rsid w:val="6AD11260"/>
    <w:rsid w:val="6B110C69"/>
    <w:rsid w:val="6B452339"/>
    <w:rsid w:val="6B905DD2"/>
    <w:rsid w:val="6B9F7ED9"/>
    <w:rsid w:val="6BA41B70"/>
    <w:rsid w:val="6C7B7A43"/>
    <w:rsid w:val="6CAC27CB"/>
    <w:rsid w:val="6CC80171"/>
    <w:rsid w:val="6CD018A2"/>
    <w:rsid w:val="6CDD463E"/>
    <w:rsid w:val="6CFE7A1D"/>
    <w:rsid w:val="6D341690"/>
    <w:rsid w:val="6D3F3613"/>
    <w:rsid w:val="6DAC0977"/>
    <w:rsid w:val="6DF65834"/>
    <w:rsid w:val="6E370799"/>
    <w:rsid w:val="6E677844"/>
    <w:rsid w:val="6EFE46BB"/>
    <w:rsid w:val="6F0F0F25"/>
    <w:rsid w:val="6FB30185"/>
    <w:rsid w:val="7004359C"/>
    <w:rsid w:val="70223A22"/>
    <w:rsid w:val="70E779FB"/>
    <w:rsid w:val="70F00F54"/>
    <w:rsid w:val="71155335"/>
    <w:rsid w:val="71437225"/>
    <w:rsid w:val="717E5CAF"/>
    <w:rsid w:val="72085BC5"/>
    <w:rsid w:val="721B532A"/>
    <w:rsid w:val="72722AE1"/>
    <w:rsid w:val="72BC34AF"/>
    <w:rsid w:val="72C63AF9"/>
    <w:rsid w:val="72D808D5"/>
    <w:rsid w:val="73276935"/>
    <w:rsid w:val="734A5229"/>
    <w:rsid w:val="739262CD"/>
    <w:rsid w:val="73AA52DA"/>
    <w:rsid w:val="740314EE"/>
    <w:rsid w:val="74251D33"/>
    <w:rsid w:val="74772846"/>
    <w:rsid w:val="74950A66"/>
    <w:rsid w:val="74F87447"/>
    <w:rsid w:val="75504B8E"/>
    <w:rsid w:val="755C61C4"/>
    <w:rsid w:val="766F2884"/>
    <w:rsid w:val="78026677"/>
    <w:rsid w:val="781F2A16"/>
    <w:rsid w:val="78601357"/>
    <w:rsid w:val="789502F8"/>
    <w:rsid w:val="78A5386D"/>
    <w:rsid w:val="797A0E54"/>
    <w:rsid w:val="79F5721B"/>
    <w:rsid w:val="7A08012D"/>
    <w:rsid w:val="7A805F15"/>
    <w:rsid w:val="7A81676D"/>
    <w:rsid w:val="7B1E65AE"/>
    <w:rsid w:val="7C9072C3"/>
    <w:rsid w:val="7CFF74C1"/>
    <w:rsid w:val="7D0365DC"/>
    <w:rsid w:val="7D5B796C"/>
    <w:rsid w:val="7D6A0B9A"/>
    <w:rsid w:val="7DB859C6"/>
    <w:rsid w:val="7DD75A9B"/>
    <w:rsid w:val="7DD84EB4"/>
    <w:rsid w:val="7DFF1923"/>
    <w:rsid w:val="7E2D0162"/>
    <w:rsid w:val="7E3E2388"/>
    <w:rsid w:val="7EA66297"/>
    <w:rsid w:val="7F120AED"/>
    <w:rsid w:val="7F1D6663"/>
    <w:rsid w:val="7F7B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ascii="Calibri" w:hAnsi="Calibri"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0"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Document Map"/>
    <w:basedOn w:val="1"/>
    <w:link w:val="31"/>
    <w:autoRedefine/>
    <w:qFormat/>
    <w:uiPriority w:val="0"/>
    <w:rPr>
      <w:rFonts w:ascii="宋体"/>
      <w:sz w:val="18"/>
      <w:szCs w:val="18"/>
    </w:rPr>
  </w:style>
  <w:style w:type="paragraph" w:styleId="6">
    <w:name w:val="Body Text"/>
    <w:basedOn w:val="1"/>
    <w:autoRedefine/>
    <w:unhideWhenUsed/>
    <w:qFormat/>
    <w:uiPriority w:val="0"/>
    <w:pPr>
      <w:spacing w:after="120"/>
    </w:pPr>
  </w:style>
  <w:style w:type="paragraph" w:styleId="7">
    <w:name w:val="Body Text Indent"/>
    <w:basedOn w:val="1"/>
    <w:qFormat/>
    <w:uiPriority w:val="0"/>
    <w:pPr>
      <w:ind w:firstLine="830"/>
    </w:pPr>
    <w:rPr>
      <w:rFonts w:hint="eastAsia" w:ascii="仿宋_GB2312" w:hAnsi="宋体" w:eastAsia="仿宋_GB2312"/>
      <w:sz w:val="32"/>
      <w:szCs w:val="32"/>
    </w:rPr>
  </w:style>
  <w:style w:type="paragraph" w:styleId="8">
    <w:name w:val="Block Text"/>
    <w:basedOn w:val="1"/>
    <w:qFormat/>
    <w:uiPriority w:val="0"/>
    <w:pPr>
      <w:adjustRightInd w:val="0"/>
      <w:snapToGrid w:val="0"/>
      <w:spacing w:line="480" w:lineRule="atLeast"/>
      <w:ind w:left="-57" w:right="69"/>
    </w:pPr>
    <w:rPr>
      <w:rFonts w:ascii="宋体" w:hAnsi="Times New Roman"/>
      <w:b/>
      <w:sz w:val="24"/>
      <w:szCs w:val="20"/>
    </w:rPr>
  </w:style>
  <w:style w:type="paragraph" w:styleId="9">
    <w:name w:val="Plain Text"/>
    <w:basedOn w:val="1"/>
    <w:qFormat/>
    <w:uiPriority w:val="99"/>
    <w:rPr>
      <w:rFonts w:hint="eastAsia" w:ascii="宋体" w:hAnsi="宋体"/>
      <w:sz w:val="20"/>
      <w:szCs w:val="20"/>
    </w:rPr>
  </w:style>
  <w:style w:type="paragraph" w:styleId="10">
    <w:name w:val="Date"/>
    <w:basedOn w:val="1"/>
    <w:next w:val="1"/>
    <w:qFormat/>
    <w:uiPriority w:val="0"/>
    <w:pPr>
      <w:ind w:left="100" w:leftChars="2500"/>
    </w:pPr>
    <w:rPr>
      <w:rFonts w:ascii="宋体" w:hAnsi="Courier New"/>
      <w:szCs w:val="20"/>
    </w:rPr>
  </w:style>
  <w:style w:type="paragraph" w:styleId="11">
    <w:name w:val="Balloon Text"/>
    <w:basedOn w:val="1"/>
    <w:link w:val="30"/>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15">
    <w:name w:val="Normal (Web)"/>
    <w:basedOn w:val="1"/>
    <w:autoRedefine/>
    <w:qFormat/>
    <w:uiPriority w:val="0"/>
    <w:pPr>
      <w:jc w:val="left"/>
    </w:pPr>
    <w:rPr>
      <w:kern w:val="0"/>
      <w:sz w:val="18"/>
      <w:szCs w:val="18"/>
    </w:rPr>
  </w:style>
  <w:style w:type="paragraph" w:styleId="16">
    <w:name w:val="Title"/>
    <w:basedOn w:val="1"/>
    <w:autoRedefine/>
    <w:qFormat/>
    <w:uiPriority w:val="0"/>
    <w:pPr>
      <w:jc w:val="center"/>
    </w:pPr>
    <w:rPr>
      <w:rFonts w:ascii="Tahoma" w:hAnsi="Tahoma"/>
      <w:sz w:val="30"/>
    </w:rPr>
  </w:style>
  <w:style w:type="paragraph" w:styleId="17">
    <w:name w:val="Body Text First Indent"/>
    <w:basedOn w:val="6"/>
    <w:next w:val="1"/>
    <w:autoRedefine/>
    <w:unhideWhenUsed/>
    <w:qFormat/>
    <w:uiPriority w:val="99"/>
    <w:pPr>
      <w:ind w:firstLine="420" w:firstLineChars="100"/>
    </w:pPr>
  </w:style>
  <w:style w:type="paragraph" w:styleId="18">
    <w:name w:val="Body Text First Indent 2"/>
    <w:basedOn w:val="7"/>
    <w:autoRedefine/>
    <w:qFormat/>
    <w:uiPriority w:val="99"/>
    <w:pPr>
      <w:spacing w:after="120"/>
      <w:ind w:left="420" w:leftChars="200" w:firstLine="420" w:firstLineChars="200"/>
    </w:pPr>
    <w:rPr>
      <w:rFonts w:hint="default" w:ascii="Calibri" w:hAnsi="Calibri" w:eastAsia="宋体"/>
      <w:sz w:val="21"/>
      <w:szCs w:val="21"/>
    </w:rPr>
  </w:style>
  <w:style w:type="table" w:styleId="20">
    <w:name w:val="Table Grid"/>
    <w:basedOn w:val="1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autoRedefine/>
    <w:semiHidden/>
    <w:unhideWhenUsed/>
    <w:qFormat/>
    <w:uiPriority w:val="0"/>
    <w:rPr>
      <w:color w:val="954F72" w:themeColor="followedHyperlink"/>
      <w:u w:val="single"/>
      <w14:textFill>
        <w14:solidFill>
          <w14:schemeClr w14:val="folHlink"/>
        </w14:solidFill>
      </w14:textFill>
    </w:rPr>
  </w:style>
  <w:style w:type="character" w:styleId="23">
    <w:name w:val="Hyperlink"/>
    <w:basedOn w:val="21"/>
    <w:autoRedefine/>
    <w:qFormat/>
    <w:uiPriority w:val="0"/>
    <w:rPr>
      <w:color w:val="0000FF"/>
      <w:u w:val="single"/>
    </w:rPr>
  </w:style>
  <w:style w:type="paragraph" w:customStyle="1" w:styleId="24">
    <w:name w:val="样式 0正文 + 首行缩进:  2 字符1"/>
    <w:basedOn w:val="1"/>
    <w:autoRedefine/>
    <w:qFormat/>
    <w:uiPriority w:val="99"/>
    <w:pPr>
      <w:spacing w:line="360" w:lineRule="auto"/>
      <w:ind w:firstLine="200" w:firstLineChars="200"/>
    </w:pPr>
    <w:rPr>
      <w:szCs w:val="20"/>
    </w:rPr>
  </w:style>
  <w:style w:type="paragraph" w:customStyle="1" w:styleId="25">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6">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7">
    <w:name w:val="无间隔1"/>
    <w:basedOn w:val="1"/>
    <w:autoRedefine/>
    <w:qFormat/>
    <w:uiPriority w:val="0"/>
    <w:rPr>
      <w:kern w:val="1"/>
    </w:rPr>
  </w:style>
  <w:style w:type="paragraph" w:customStyle="1" w:styleId="28">
    <w:name w:val="列出段落1"/>
    <w:basedOn w:val="1"/>
    <w:autoRedefine/>
    <w:qFormat/>
    <w:uiPriority w:val="99"/>
    <w:pPr>
      <w:ind w:firstLine="420" w:firstLineChars="200"/>
    </w:pPr>
  </w:style>
  <w:style w:type="paragraph" w:customStyle="1" w:styleId="29">
    <w:name w:val="TableOfAuthoring"/>
    <w:basedOn w:val="1"/>
    <w:next w:val="1"/>
    <w:autoRedefine/>
    <w:semiHidden/>
    <w:qFormat/>
    <w:uiPriority w:val="0"/>
    <w:pPr>
      <w:tabs>
        <w:tab w:val="left" w:pos="0"/>
      </w:tabs>
      <w:ind w:left="420" w:leftChars="200" w:firstLine="200" w:firstLineChars="200"/>
      <w:textAlignment w:val="baseline"/>
    </w:pPr>
    <w:rPr>
      <w:rFonts w:eastAsia="微软雅黑"/>
      <w:kern w:val="2"/>
      <w:szCs w:val="24"/>
    </w:rPr>
  </w:style>
  <w:style w:type="character" w:customStyle="1" w:styleId="30">
    <w:name w:val="批注框文本 Char"/>
    <w:basedOn w:val="21"/>
    <w:link w:val="11"/>
    <w:autoRedefine/>
    <w:qFormat/>
    <w:uiPriority w:val="0"/>
    <w:rPr>
      <w:rFonts w:ascii="Calibri" w:hAnsi="Calibri" w:eastAsia="宋体" w:cs="Times New Roman"/>
      <w:color w:val="000000"/>
      <w:sz w:val="18"/>
      <w:szCs w:val="18"/>
    </w:rPr>
  </w:style>
  <w:style w:type="character" w:customStyle="1" w:styleId="31">
    <w:name w:val="文档结构图 Char"/>
    <w:basedOn w:val="21"/>
    <w:link w:val="5"/>
    <w:autoRedefine/>
    <w:qFormat/>
    <w:uiPriority w:val="0"/>
    <w:rPr>
      <w:rFonts w:ascii="宋体" w:hAnsi="Calibri" w:eastAsia="宋体" w:cs="Times New Roman"/>
      <w:color w:val="000000"/>
      <w:sz w:val="18"/>
      <w:szCs w:val="18"/>
    </w:rPr>
  </w:style>
  <w:style w:type="character" w:customStyle="1" w:styleId="32">
    <w:name w:val="NormalCharacter"/>
    <w:autoRedefine/>
    <w:qFormat/>
    <w:uiPriority w:val="0"/>
  </w:style>
  <w:style w:type="paragraph" w:customStyle="1" w:styleId="33">
    <w:name w:val="Body text|1"/>
    <w:autoRedefine/>
    <w:qFormat/>
    <w:uiPriority w:val="0"/>
    <w:pPr>
      <w:widowControl w:val="0"/>
      <w:spacing w:line="436" w:lineRule="auto"/>
      <w:ind w:firstLine="400"/>
      <w:jc w:val="left"/>
    </w:pPr>
    <w:rPr>
      <w:rFonts w:ascii="宋体" w:hAnsi="宋体" w:eastAsia="宋体" w:cs="宋体"/>
      <w:color w:val="41383B"/>
      <w:kern w:val="0"/>
      <w:sz w:val="22"/>
      <w:szCs w:val="22"/>
      <w:lang w:val="zh-TW" w:eastAsia="zh-TW" w:bidi="zh-TW"/>
    </w:rPr>
  </w:style>
  <w:style w:type="paragraph" w:customStyle="1" w:styleId="34">
    <w:name w:val="Other|1"/>
    <w:autoRedefine/>
    <w:qFormat/>
    <w:uiPriority w:val="0"/>
    <w:pPr>
      <w:widowControl w:val="0"/>
      <w:spacing w:line="436" w:lineRule="auto"/>
      <w:ind w:firstLine="400"/>
      <w:jc w:val="both"/>
    </w:pPr>
    <w:rPr>
      <w:rFonts w:ascii="宋体" w:hAnsi="宋体" w:eastAsia="宋体" w:cs="宋体"/>
      <w:color w:val="41383B"/>
      <w:kern w:val="2"/>
      <w:sz w:val="22"/>
      <w:szCs w:val="22"/>
      <w:lang w:val="zh-TW" w:eastAsia="zh-TW" w:bidi="zh-TW"/>
    </w:rPr>
  </w:style>
  <w:style w:type="paragraph" w:customStyle="1" w:styleId="35">
    <w:name w:val="p0"/>
    <w:basedOn w:val="1"/>
    <w:autoRedefine/>
    <w:qFormat/>
    <w:uiPriority w:val="0"/>
    <w:pPr>
      <w:widowControl/>
    </w:pPr>
    <w:rPr>
      <w:kern w:val="0"/>
      <w:szCs w:val="21"/>
    </w:rPr>
  </w:style>
  <w:style w:type="paragraph" w:customStyle="1" w:styleId="36">
    <w:name w:val="表格文字"/>
    <w:basedOn w:val="1"/>
    <w:qFormat/>
    <w:uiPriority w:val="0"/>
    <w:pPr>
      <w:spacing w:line="360" w:lineRule="auto"/>
      <w:ind w:firstLine="200" w:firstLineChars="200"/>
      <w:jc w:val="left"/>
    </w:pPr>
    <w:rPr>
      <w:bCs/>
      <w:spacing w:val="10"/>
      <w:kern w:val="0"/>
      <w:sz w:val="24"/>
      <w:szCs w:val="20"/>
    </w:rPr>
  </w:style>
  <w:style w:type="character" w:customStyle="1" w:styleId="37">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13072</Words>
  <Characters>14305</Characters>
  <Lines>227</Lines>
  <Paragraphs>63</Paragraphs>
  <TotalTime>41</TotalTime>
  <ScaleCrop>false</ScaleCrop>
  <LinksUpToDate>false</LinksUpToDate>
  <CharactersWithSpaces>14482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2021-12-14T06:07:00Z</dcterms:created>
  <dc:creator>Administrator</dc:creator>
  <cp:lastModifiedBy>藏</cp:lastModifiedBy>
  <cp:lastPrinted>2021-11-04T02:53:00Z</cp:lastPrinted>
  <dcterms:modified xsi:type="dcterms:W3CDTF">2025-01-09T02:10:20Z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8F23AA4A53C94945942208A0A19C8E6B_13</vt:lpwstr>
  </property>
  <property fmtid="{D5CDD505-2E9C-101B-9397-08002B2CF9AE}" pid="4" name="KSOTemplateDocerSaveRecord">
    <vt:lpwstr>eyJoZGlkIjoiMzExYzU3YzQ3OTRmYWU3ZjZlNjI2MzJhMWE1ZDU3MjUiLCJ1c2VySWQiOiIyMTc5MTA0MjMifQ==</vt:lpwstr>
  </property>
</Properties>
</file>