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DEEE2">
      <w:pPr>
        <w:keepNext w:val="0"/>
        <w:keepLines w:val="0"/>
        <w:pageBreakBefore w:val="0"/>
        <w:widowControl/>
        <w:kinsoku/>
        <w:wordWrap/>
        <w:overflowPunct/>
        <w:topLinePunct w:val="0"/>
        <w:autoSpaceDE/>
        <w:autoSpaceDN/>
        <w:bidi w:val="0"/>
        <w:adjustRightInd/>
        <w:snapToGrid/>
        <w:jc w:val="center"/>
        <w:textAlignment w:val="baseline"/>
        <w:rPr>
          <w:rFonts w:hint="eastAsia" w:ascii="黑体" w:hAnsi="黑体" w:eastAsia="黑体"/>
          <w:b/>
          <w:bCs/>
          <w:color w:val="auto"/>
          <w:sz w:val="72"/>
          <w:szCs w:val="72"/>
          <w:highlight w:val="none"/>
        </w:rPr>
      </w:pPr>
      <w:bookmarkStart w:id="0" w:name="_Toc434315322"/>
    </w:p>
    <w:p w14:paraId="15DBB676">
      <w:pPr>
        <w:pStyle w:val="10"/>
        <w:jc w:val="center"/>
        <w:rPr>
          <w:rFonts w:hint="eastAsia" w:ascii="方正小标宋简体" w:hAnsi="方正小标宋简体" w:eastAsia="方正小标宋简体" w:cs="方正小标宋简体"/>
          <w:color w:val="auto"/>
          <w:sz w:val="32"/>
          <w:szCs w:val="32"/>
          <w:u w:val="none"/>
          <w:lang w:eastAsia="zh-CN"/>
        </w:rPr>
      </w:pPr>
      <w:r>
        <w:rPr>
          <w:rFonts w:hint="eastAsia" w:ascii="方正小标宋简体" w:hAnsi="方正小标宋简体" w:eastAsia="方正小标宋简体" w:cs="方正小标宋简体"/>
          <w:b/>
          <w:bCs/>
          <w:color w:val="auto"/>
          <w:sz w:val="44"/>
          <w:szCs w:val="44"/>
          <w:u w:val="none"/>
          <w:lang w:val="en-US" w:eastAsia="zh-CN"/>
        </w:rPr>
        <w:t>钦北区民政局居家养老服务中心装修项目</w:t>
      </w:r>
    </w:p>
    <w:p w14:paraId="38309A0F">
      <w:pPr>
        <w:pStyle w:val="10"/>
        <w:tabs>
          <w:tab w:val="left" w:pos="7854"/>
        </w:tabs>
        <w:rPr>
          <w:rFonts w:hint="eastAsia" w:ascii="方正小标宋简体" w:hAnsi="方正小标宋简体" w:eastAsia="方正小标宋简体" w:cs="方正小标宋简体"/>
          <w:color w:val="auto"/>
          <w:sz w:val="20"/>
          <w:lang w:eastAsia="zh-CN"/>
        </w:rPr>
      </w:pPr>
    </w:p>
    <w:p w14:paraId="35CE3865">
      <w:pPr>
        <w:tabs>
          <w:tab w:val="left" w:pos="1079"/>
          <w:tab w:val="left" w:pos="3240"/>
        </w:tabs>
        <w:spacing w:line="821" w:lineRule="exact"/>
        <w:ind w:right="138"/>
        <w:jc w:val="both"/>
        <w:rPr>
          <w:rFonts w:hint="eastAsia" w:ascii="方正小标宋简体" w:hAnsi="方正小标宋简体" w:eastAsia="方正小标宋简体" w:cs="方正小标宋简体"/>
          <w:color w:val="auto"/>
          <w:sz w:val="72"/>
          <w:lang w:eastAsia="zh-CN"/>
        </w:rPr>
      </w:pPr>
    </w:p>
    <w:p w14:paraId="68409DEA">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lang w:eastAsia="zh-CN"/>
        </w:rPr>
      </w:pPr>
      <w:r>
        <w:rPr>
          <w:rFonts w:hint="eastAsia" w:ascii="方正小标宋简体" w:hAnsi="方正小标宋简体" w:eastAsia="方正小标宋简体" w:cs="方正小标宋简体"/>
          <w:color w:val="auto"/>
          <w:sz w:val="72"/>
          <w:lang w:val="en-US" w:eastAsia="zh-CN"/>
        </w:rPr>
        <w:t>竞争性磋商采购文件</w:t>
      </w:r>
    </w:p>
    <w:p w14:paraId="70FE9631">
      <w:pPr>
        <w:pStyle w:val="10"/>
        <w:rPr>
          <w:rFonts w:hint="eastAsia" w:ascii="方正小标宋简体" w:hAnsi="方正小标宋简体" w:eastAsia="方正小标宋简体" w:cs="方正小标宋简体"/>
          <w:color w:val="auto"/>
          <w:sz w:val="68"/>
          <w:lang w:eastAsia="zh-CN"/>
        </w:rPr>
      </w:pPr>
    </w:p>
    <w:p w14:paraId="2A096C8B">
      <w:pPr>
        <w:spacing w:before="1"/>
        <w:ind w:right="136"/>
        <w:jc w:val="center"/>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项目编号：QZZC2025-C2-030019-GXTM</w:t>
      </w:r>
      <w:bookmarkStart w:id="78" w:name="_GoBack"/>
      <w:bookmarkEnd w:id="78"/>
    </w:p>
    <w:p w14:paraId="3E0D6BC6">
      <w:pPr>
        <w:pStyle w:val="10"/>
        <w:rPr>
          <w:rFonts w:hint="eastAsia" w:ascii="方正小标宋简体" w:hAnsi="方正小标宋简体" w:eastAsia="方正小标宋简体" w:cs="方正小标宋简体"/>
          <w:color w:val="auto"/>
          <w:sz w:val="20"/>
          <w:lang w:eastAsia="zh-CN"/>
        </w:rPr>
      </w:pPr>
    </w:p>
    <w:p w14:paraId="59C54F5B">
      <w:pPr>
        <w:pStyle w:val="10"/>
        <w:rPr>
          <w:rFonts w:hint="eastAsia" w:ascii="方正小标宋简体" w:hAnsi="方正小标宋简体" w:eastAsia="方正小标宋简体" w:cs="方正小标宋简体"/>
          <w:color w:val="auto"/>
          <w:sz w:val="20"/>
          <w:lang w:eastAsia="zh-CN"/>
        </w:rPr>
      </w:pPr>
    </w:p>
    <w:p w14:paraId="06577AC4">
      <w:pPr>
        <w:pStyle w:val="10"/>
        <w:rPr>
          <w:rFonts w:hint="eastAsia" w:ascii="方正小标宋简体" w:hAnsi="方正小标宋简体" w:eastAsia="方正小标宋简体" w:cs="方正小标宋简体"/>
          <w:color w:val="auto"/>
          <w:sz w:val="20"/>
          <w:lang w:eastAsia="zh-CN"/>
        </w:rPr>
      </w:pPr>
    </w:p>
    <w:p w14:paraId="2555D0AD">
      <w:pPr>
        <w:pStyle w:val="10"/>
        <w:rPr>
          <w:rFonts w:hint="eastAsia" w:ascii="方正小标宋简体" w:hAnsi="方正小标宋简体" w:eastAsia="方正小标宋简体" w:cs="方正小标宋简体"/>
          <w:color w:val="auto"/>
          <w:sz w:val="20"/>
          <w:lang w:eastAsia="zh-CN"/>
        </w:rPr>
      </w:pPr>
    </w:p>
    <w:p w14:paraId="75D59588">
      <w:pPr>
        <w:pStyle w:val="10"/>
        <w:spacing w:before="10"/>
        <w:rPr>
          <w:rFonts w:hint="eastAsia" w:ascii="方正小标宋简体" w:hAnsi="方正小标宋简体" w:eastAsia="方正小标宋简体" w:cs="方正小标宋简体"/>
          <w:color w:val="auto"/>
          <w:sz w:val="15"/>
          <w:lang w:eastAsia="zh-CN"/>
        </w:rPr>
      </w:pPr>
    </w:p>
    <w:p w14:paraId="0392DB7E">
      <w:pPr>
        <w:spacing w:before="1"/>
        <w:jc w:val="center"/>
        <w:rPr>
          <w:rFonts w:hint="eastAsia" w:ascii="方正小标宋简体" w:hAnsi="方正小标宋简体" w:eastAsia="方正小标宋简体" w:cs="方正小标宋简体"/>
          <w:color w:val="auto"/>
          <w:sz w:val="32"/>
          <w:lang w:eastAsia="zh-CN"/>
        </w:rPr>
      </w:pPr>
      <w:r>
        <w:rPr>
          <w:rFonts w:hint="eastAsia" w:ascii="方正小标宋简体" w:hAnsi="方正小标宋简体" w:eastAsia="方正小标宋简体" w:cs="方正小标宋简体"/>
          <w:color w:val="auto"/>
          <w:w w:val="95"/>
          <w:sz w:val="32"/>
          <w:lang w:eastAsia="zh-CN"/>
        </w:rPr>
        <w:t>招标人：</w:t>
      </w:r>
      <w:r>
        <w:rPr>
          <w:rFonts w:hint="eastAsia" w:ascii="方正小标宋简体" w:hAnsi="方正小标宋简体" w:eastAsia="方正小标宋简体" w:cs="方正小标宋简体"/>
          <w:color w:val="auto"/>
          <w:w w:val="95"/>
          <w:sz w:val="32"/>
          <w:u w:val="single"/>
          <w:lang w:eastAsia="zh-CN"/>
        </w:rPr>
        <w:t>钦州市钦北区民政局</w:t>
      </w:r>
    </w:p>
    <w:p w14:paraId="778F44B8">
      <w:pPr>
        <w:pStyle w:val="10"/>
        <w:rPr>
          <w:rFonts w:hint="eastAsia" w:ascii="方正小标宋简体" w:hAnsi="方正小标宋简体" w:eastAsia="方正小标宋简体" w:cs="方正小标宋简体"/>
          <w:color w:val="auto"/>
          <w:sz w:val="20"/>
          <w:lang w:eastAsia="zh-CN"/>
        </w:rPr>
      </w:pPr>
    </w:p>
    <w:p w14:paraId="6E3C663D">
      <w:pPr>
        <w:pStyle w:val="10"/>
        <w:rPr>
          <w:rFonts w:hint="eastAsia" w:ascii="方正小标宋简体" w:hAnsi="方正小标宋简体" w:eastAsia="方正小标宋简体" w:cs="方正小标宋简体"/>
          <w:color w:val="auto"/>
          <w:sz w:val="20"/>
          <w:lang w:eastAsia="zh-CN"/>
        </w:rPr>
      </w:pPr>
    </w:p>
    <w:p w14:paraId="44C01268">
      <w:pPr>
        <w:spacing w:before="138"/>
        <w:jc w:val="center"/>
        <w:rPr>
          <w:rFonts w:hint="eastAsia" w:ascii="方正小标宋简体" w:hAnsi="方正小标宋简体" w:eastAsia="方正小标宋简体" w:cs="方正小标宋简体"/>
          <w:color w:val="auto"/>
          <w:sz w:val="32"/>
          <w:lang w:eastAsia="zh-CN"/>
        </w:rPr>
      </w:pPr>
      <w:r>
        <w:rPr>
          <w:rFonts w:hint="eastAsia" w:ascii="方正小标宋简体" w:hAnsi="方正小标宋简体" w:eastAsia="方正小标宋简体" w:cs="方正小标宋简体"/>
          <w:color w:val="auto"/>
          <w:sz w:val="32"/>
          <w:lang w:eastAsia="zh-CN"/>
        </w:rPr>
        <w:t>招标代理机构：</w:t>
      </w:r>
      <w:r>
        <w:rPr>
          <w:rFonts w:hint="eastAsia" w:ascii="方正小标宋简体" w:hAnsi="方正小标宋简体" w:eastAsia="方正小标宋简体" w:cs="方正小标宋简体"/>
          <w:color w:val="auto"/>
          <w:sz w:val="32"/>
          <w:u w:val="single"/>
          <w:lang w:eastAsia="zh-CN"/>
        </w:rPr>
        <w:t>广西天明建筑咨询有限公司</w:t>
      </w:r>
    </w:p>
    <w:p w14:paraId="42613585">
      <w:pPr>
        <w:pStyle w:val="10"/>
        <w:rPr>
          <w:rFonts w:hint="eastAsia" w:ascii="方正小标宋简体" w:hAnsi="方正小标宋简体" w:eastAsia="方正小标宋简体" w:cs="方正小标宋简体"/>
          <w:color w:val="auto"/>
          <w:sz w:val="20"/>
          <w:lang w:eastAsia="zh-CN"/>
        </w:rPr>
      </w:pPr>
    </w:p>
    <w:p w14:paraId="36BCF13B">
      <w:pPr>
        <w:pStyle w:val="10"/>
        <w:rPr>
          <w:rFonts w:hint="eastAsia" w:ascii="方正小标宋简体" w:hAnsi="方正小标宋简体" w:eastAsia="方正小标宋简体" w:cs="方正小标宋简体"/>
          <w:color w:val="auto"/>
          <w:sz w:val="20"/>
          <w:lang w:eastAsia="zh-CN"/>
        </w:rPr>
      </w:pPr>
    </w:p>
    <w:p w14:paraId="49D4FE69">
      <w:pPr>
        <w:spacing w:before="138"/>
        <w:ind w:left="2607"/>
        <w:rPr>
          <w:rFonts w:hint="eastAsia" w:ascii="方正小标宋简体" w:hAnsi="方正小标宋简体" w:eastAsia="方正小标宋简体" w:cs="方正小标宋简体"/>
          <w:color w:val="auto"/>
          <w:sz w:val="32"/>
          <w:u w:val="none"/>
          <w:lang w:val="en-US" w:eastAsia="zh-CN"/>
        </w:rPr>
        <w:sectPr>
          <w:headerReference r:id="rId3" w:type="default"/>
          <w:pgSz w:w="11910" w:h="16840"/>
          <w:pgMar w:top="1580" w:right="1180" w:bottom="280" w:left="1680" w:header="720" w:footer="720" w:gutter="0"/>
          <w:cols w:space="720" w:num="1"/>
        </w:sectPr>
      </w:pPr>
      <w:r>
        <w:rPr>
          <w:rFonts w:hint="eastAsia" w:ascii="方正小标宋简体" w:hAnsi="方正小标宋简体" w:eastAsia="方正小标宋简体" w:cs="方正小标宋简体"/>
          <w:color w:val="auto"/>
          <w:sz w:val="32"/>
          <w:lang w:eastAsia="zh-CN"/>
        </w:rPr>
        <w:t>发布日期：</w:t>
      </w:r>
      <w:r>
        <w:rPr>
          <w:rFonts w:hint="eastAsia" w:ascii="方正小标宋简体" w:hAnsi="方正小标宋简体" w:eastAsia="方正小标宋简体" w:cs="方正小标宋简体"/>
          <w:color w:val="auto"/>
          <w:sz w:val="32"/>
          <w:u w:val="single"/>
          <w:lang w:eastAsia="zh-CN"/>
        </w:rPr>
        <w:t>2025</w:t>
      </w:r>
      <w:r>
        <w:rPr>
          <w:rFonts w:hint="eastAsia" w:ascii="方正小标宋简体" w:hAnsi="方正小标宋简体" w:eastAsia="方正小标宋简体" w:cs="方正小标宋简体"/>
          <w:color w:val="auto"/>
          <w:sz w:val="32"/>
          <w:lang w:eastAsia="zh-CN"/>
        </w:rPr>
        <w:t>年</w:t>
      </w:r>
      <w:r>
        <w:rPr>
          <w:rFonts w:hint="eastAsia" w:ascii="方正小标宋简体" w:hAnsi="方正小标宋简体" w:eastAsia="方正小标宋简体" w:cs="方正小标宋简体"/>
          <w:color w:val="auto"/>
          <w:sz w:val="32"/>
          <w:u w:val="single"/>
          <w:lang w:val="en-US" w:eastAsia="zh-CN"/>
        </w:rPr>
        <w:t>04</w:t>
      </w:r>
      <w:r>
        <w:rPr>
          <w:rFonts w:hint="eastAsia" w:ascii="方正小标宋简体" w:hAnsi="方正小标宋简体" w:eastAsia="方正小标宋简体" w:cs="方正小标宋简体"/>
          <w:color w:val="auto"/>
          <w:sz w:val="32"/>
          <w:lang w:eastAsia="zh-CN"/>
        </w:rPr>
        <w:t>月</w:t>
      </w:r>
      <w:r>
        <w:rPr>
          <w:rFonts w:hint="eastAsia" w:ascii="方正小标宋简体" w:hAnsi="方正小标宋简体" w:eastAsia="方正小标宋简体" w:cs="方正小标宋简体"/>
          <w:color w:val="auto"/>
          <w:sz w:val="32"/>
          <w:u w:val="single"/>
          <w:lang w:val="en-US" w:eastAsia="zh-CN"/>
        </w:rPr>
        <w:t>07</w:t>
      </w:r>
      <w:r>
        <w:rPr>
          <w:rFonts w:hint="eastAsia" w:ascii="方正小标宋简体" w:hAnsi="方正小标宋简体" w:eastAsia="方正小标宋简体" w:cs="方正小标宋简体"/>
          <w:color w:val="auto"/>
          <w:sz w:val="32"/>
          <w:lang w:val="en-US" w:eastAsia="zh-CN"/>
        </w:rPr>
        <w:t>日</w:t>
      </w:r>
    </w:p>
    <w:p w14:paraId="6F7FB6B1">
      <w:pPr>
        <w:rPr>
          <w:rFonts w:hint="eastAsia"/>
          <w:color w:val="auto"/>
        </w:rPr>
      </w:pPr>
    </w:p>
    <w:p w14:paraId="3D401743">
      <w:pPr>
        <w:pStyle w:val="37"/>
        <w:rPr>
          <w:color w:val="auto"/>
          <w:lang w:val="en-US" w:eastAsia="zh-CN"/>
        </w:rPr>
      </w:pPr>
    </w:p>
    <w:sdt>
      <w:sdtPr>
        <w:rPr>
          <w:rFonts w:ascii="宋体" w:hAnsi="宋体" w:eastAsia="宋体" w:cs="Times New Roman"/>
          <w:color w:val="auto"/>
          <w:kern w:val="2"/>
          <w:sz w:val="28"/>
          <w:szCs w:val="36"/>
          <w:lang w:val="en-US" w:eastAsia="zh-CN" w:bidi="ar-SA"/>
        </w:rPr>
        <w:id w:val="147475717"/>
        <w15:color w:val="DBDBDB"/>
        <w:docPartObj>
          <w:docPartGallery w:val="Table of Contents"/>
          <w:docPartUnique/>
        </w:docPartObj>
      </w:sdtPr>
      <w:sdtEndPr>
        <w:rPr>
          <w:rFonts w:ascii="宋体" w:hAnsi="宋体" w:eastAsia="宋体" w:cs="宋体"/>
          <w:color w:val="auto"/>
          <w:kern w:val="2"/>
          <w:sz w:val="28"/>
          <w:szCs w:val="40"/>
          <w:lang w:val="en-US" w:eastAsia="zh-CN" w:bidi="ar-SA"/>
        </w:rPr>
      </w:sdtEndPr>
      <w:sdtContent>
        <w:p w14:paraId="3AAA2605">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color w:val="auto"/>
              <w:sz w:val="44"/>
              <w:szCs w:val="44"/>
            </w:rPr>
          </w:pPr>
          <w:r>
            <w:rPr>
              <w:rFonts w:ascii="宋体" w:hAnsi="宋体" w:eastAsia="宋体"/>
              <w:b/>
              <w:bCs/>
              <w:color w:val="auto"/>
              <w:sz w:val="44"/>
              <w:szCs w:val="44"/>
            </w:rPr>
            <w:t>目</w:t>
          </w:r>
          <w:r>
            <w:rPr>
              <w:rFonts w:hint="eastAsia" w:ascii="宋体" w:hAnsi="宋体"/>
              <w:b/>
              <w:bCs/>
              <w:color w:val="auto"/>
              <w:sz w:val="44"/>
              <w:szCs w:val="44"/>
              <w:lang w:val="en-US" w:eastAsia="zh-CN"/>
            </w:rPr>
            <w:t xml:space="preserve">  </w:t>
          </w:r>
          <w:r>
            <w:rPr>
              <w:rFonts w:ascii="宋体" w:hAnsi="宋体" w:eastAsia="宋体"/>
              <w:b/>
              <w:bCs/>
              <w:color w:val="auto"/>
              <w:sz w:val="44"/>
              <w:szCs w:val="44"/>
            </w:rPr>
            <w:t>录</w:t>
          </w:r>
        </w:p>
        <w:p w14:paraId="5152EB05">
          <w:pPr>
            <w:pStyle w:val="18"/>
            <w:tabs>
              <w:tab w:val="right" w:leader="dot" w:pos="9799"/>
            </w:tabs>
            <w:rPr>
              <w:rFonts w:hint="eastAsia" w:ascii="宋体" w:hAnsi="宋体" w:eastAsia="宋体" w:cs="宋体"/>
              <w:color w:val="auto"/>
              <w:sz w:val="28"/>
              <w:szCs w:val="36"/>
            </w:rPr>
          </w:pPr>
          <w:r>
            <w:rPr>
              <w:rFonts w:ascii="宋体" w:hAnsi="宋体" w:cs="宋体"/>
              <w:color w:val="auto"/>
              <w:sz w:val="32"/>
              <w:szCs w:val="40"/>
            </w:rPr>
            <w:fldChar w:fldCharType="begin"/>
          </w:r>
          <w:r>
            <w:rPr>
              <w:rFonts w:ascii="宋体" w:hAnsi="宋体" w:cs="宋体"/>
              <w:color w:val="auto"/>
              <w:sz w:val="32"/>
              <w:szCs w:val="40"/>
            </w:rPr>
            <w:instrText xml:space="preserve">TOC \o "1-1" \h \u </w:instrText>
          </w:r>
          <w:r>
            <w:rPr>
              <w:rFonts w:ascii="宋体" w:hAnsi="宋体" w:cs="宋体"/>
              <w:color w:val="auto"/>
              <w:sz w:val="32"/>
              <w:szCs w:val="40"/>
            </w:rPr>
            <w:fldChar w:fldCharType="separate"/>
          </w:r>
        </w:p>
        <w:p w14:paraId="1891246A">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C25B54A">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第二章 </w:t>
          </w:r>
          <w:r>
            <w:rPr>
              <w:rFonts w:hint="eastAsia" w:ascii="宋体" w:hAnsi="宋体" w:cs="宋体"/>
              <w:bCs/>
              <w:color w:val="auto"/>
              <w:spacing w:val="-14"/>
              <w:kern w:val="0"/>
              <w:position w:val="-6"/>
              <w:sz w:val="24"/>
              <w:szCs w:val="24"/>
              <w:lang w:val="en-US" w:eastAsia="zh-CN"/>
            </w:rPr>
            <w:t xml:space="preserve">  供应商</w:t>
          </w:r>
          <w:r>
            <w:rPr>
              <w:rFonts w:hint="eastAsia" w:ascii="宋体" w:hAnsi="宋体" w:eastAsia="宋体" w:cs="宋体"/>
              <w:bCs/>
              <w:color w:val="auto"/>
              <w:spacing w:val="-14"/>
              <w:kern w:val="0"/>
              <w:position w:val="-6"/>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4D04E62">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_Toc26558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pacing w:val="-14"/>
              <w:kern w:val="0"/>
              <w:position w:val="-6"/>
              <w:sz w:val="24"/>
              <w:szCs w:val="24"/>
            </w:rPr>
            <w:t xml:space="preserve">第三章  </w:t>
          </w:r>
          <w:r>
            <w:rPr>
              <w:rFonts w:hint="eastAsia" w:ascii="宋体" w:hAnsi="宋体" w:cs="宋体"/>
              <w:bCs/>
              <w:color w:val="auto"/>
              <w:spacing w:val="-14"/>
              <w:kern w:val="0"/>
              <w:position w:val="-6"/>
              <w:sz w:val="24"/>
              <w:szCs w:val="24"/>
              <w:lang w:val="en-US" w:eastAsia="zh-CN"/>
            </w:rPr>
            <w:t xml:space="preserve"> </w:t>
          </w:r>
          <w:r>
            <w:rPr>
              <w:rFonts w:hint="eastAsia" w:ascii="宋体" w:hAnsi="宋体" w:eastAsia="宋体" w:cs="宋体"/>
              <w:bCs/>
              <w:color w:val="auto"/>
              <w:spacing w:val="-14"/>
              <w:kern w:val="0"/>
              <w:position w:val="-6"/>
              <w:sz w:val="24"/>
              <w:szCs w:val="24"/>
            </w:rPr>
            <w:t>项目基本情况及要求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_Toc26558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9654B36">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_Toc20069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lang w:val="en-US" w:eastAsia="zh-CN"/>
            </w:rPr>
            <w:t>第四章</w:t>
          </w:r>
          <w:r>
            <w:rPr>
              <w:rFonts w:hint="eastAsia" w:ascii="宋体" w:hAnsi="宋体" w:eastAsia="宋体" w:cs="宋体"/>
              <w:bCs/>
              <w:color w:val="auto"/>
              <w:kern w:val="0"/>
              <w:sz w:val="24"/>
              <w:szCs w:val="24"/>
            </w:rPr>
            <w:t xml:space="preserve"> </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F1077DA">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_Toc15543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第</w:t>
          </w:r>
          <w:r>
            <w:rPr>
              <w:rFonts w:hint="eastAsia" w:ascii="宋体" w:hAnsi="宋体" w:eastAsia="宋体" w:cs="宋体"/>
              <w:bCs/>
              <w:color w:val="auto"/>
              <w:kern w:val="0"/>
              <w:sz w:val="24"/>
              <w:szCs w:val="24"/>
              <w:lang w:val="en-US" w:eastAsia="zh-CN"/>
            </w:rPr>
            <w:t>五</w:t>
          </w:r>
          <w:r>
            <w:rPr>
              <w:rFonts w:hint="eastAsia" w:ascii="宋体" w:hAnsi="宋体" w:eastAsia="宋体" w:cs="宋体"/>
              <w:bCs/>
              <w:color w:val="auto"/>
              <w:kern w:val="0"/>
              <w:sz w:val="24"/>
              <w:szCs w:val="24"/>
            </w:rPr>
            <w:t>章</w:t>
          </w:r>
          <w:r>
            <w:rPr>
              <w:rFonts w:hint="eastAsia" w:ascii="宋体" w:hAnsi="宋体" w:cs="宋体"/>
              <w:bCs/>
              <w:color w:val="auto"/>
              <w:kern w:val="0"/>
              <w:sz w:val="24"/>
              <w:szCs w:val="24"/>
              <w:lang w:val="en-US" w:eastAsia="zh-CN"/>
            </w:rPr>
            <w:t xml:space="preserve"> </w:t>
          </w:r>
          <w:r>
            <w:rPr>
              <w:rFonts w:hint="eastAsia" w:ascii="宋体" w:hAnsi="宋体" w:eastAsia="宋体" w:cs="宋体"/>
              <w:bCs/>
              <w:color w:val="auto"/>
              <w:kern w:val="0"/>
              <w:sz w:val="24"/>
              <w:szCs w:val="24"/>
            </w:rPr>
            <w:t xml:space="preserve">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36F4C9E">
          <w:pPr>
            <w:pStyle w:val="18"/>
            <w:keepNext w:val="0"/>
            <w:keepLines w:val="0"/>
            <w:pageBreakBefore w:val="0"/>
            <w:widowControl w:val="0"/>
            <w:tabs>
              <w:tab w:val="right" w:leader="dot" w:pos="9799"/>
            </w:tabs>
            <w:kinsoku/>
            <w:wordWrap/>
            <w:overflowPunct/>
            <w:topLinePunct w:val="0"/>
            <w:autoSpaceDE/>
            <w:autoSpaceDN/>
            <w:bidi w:val="0"/>
            <w:adjustRightInd/>
            <w:snapToGrid/>
            <w:spacing w:line="700" w:lineRule="exact"/>
            <w:ind w:left="315" w:leftChars="150" w:right="210" w:rightChars="100"/>
            <w:textAlignment w:val="auto"/>
            <w:rPr>
              <w:rFonts w:hint="eastAsia" w:ascii="宋体" w:hAnsi="宋体" w:eastAsia="宋体" w:cs="宋体"/>
              <w:color w:val="auto"/>
              <w:sz w:val="24"/>
              <w:szCs w:val="32"/>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_Toc3612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4"/>
              <w:kern w:val="0"/>
              <w:position w:val="-6"/>
              <w:sz w:val="24"/>
              <w:szCs w:val="24"/>
            </w:rPr>
            <w:t xml:space="preserve">第六章 </w:t>
          </w:r>
          <w:r>
            <w:rPr>
              <w:rFonts w:hint="eastAsia" w:ascii="宋体" w:hAnsi="宋体" w:cs="宋体"/>
              <w:color w:val="auto"/>
              <w:spacing w:val="-14"/>
              <w:kern w:val="0"/>
              <w:position w:val="-6"/>
              <w:sz w:val="24"/>
              <w:szCs w:val="24"/>
              <w:lang w:val="en-US" w:eastAsia="zh-CN"/>
            </w:rPr>
            <w:t xml:space="preserve">  </w:t>
          </w:r>
          <w:r>
            <w:rPr>
              <w:rFonts w:hint="eastAsia" w:ascii="宋体" w:hAnsi="宋体" w:eastAsia="宋体" w:cs="宋体"/>
              <w:color w:val="auto"/>
              <w:spacing w:val="-14"/>
              <w:kern w:val="0"/>
              <w:position w:val="-6"/>
              <w:sz w:val="24"/>
              <w:szCs w:val="24"/>
            </w:rPr>
            <w:t>合同主要条款 (参考格式)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45E36F3">
          <w:pPr>
            <w:pStyle w:val="18"/>
            <w:tabs>
              <w:tab w:val="right" w:leader="dot" w:pos="9799"/>
            </w:tabs>
            <w:spacing w:line="360" w:lineRule="auto"/>
            <w:rPr>
              <w:color w:val="auto"/>
              <w:sz w:val="20"/>
              <w:szCs w:val="22"/>
            </w:rPr>
          </w:pPr>
        </w:p>
        <w:p w14:paraId="0DD1D141">
          <w:pPr>
            <w:pStyle w:val="18"/>
            <w:keepNext w:val="0"/>
            <w:keepLines w:val="0"/>
            <w:pageBreakBefore w:val="0"/>
            <w:tabs>
              <w:tab w:val="center" w:pos="4899"/>
            </w:tabs>
            <w:kinsoku/>
            <w:wordWrap/>
            <w:overflowPunct/>
            <w:topLinePunct w:val="0"/>
            <w:autoSpaceDE/>
            <w:autoSpaceDN/>
            <w:bidi w:val="0"/>
            <w:adjustRightInd/>
            <w:snapToGrid/>
            <w:spacing w:line="360" w:lineRule="auto"/>
            <w:textAlignment w:val="auto"/>
            <w:rPr>
              <w:rFonts w:ascii="宋体" w:hAnsi="宋体" w:cs="宋体"/>
              <w:color w:val="auto"/>
              <w:sz w:val="32"/>
              <w:szCs w:val="40"/>
            </w:rPr>
          </w:pPr>
          <w:r>
            <w:rPr>
              <w:rFonts w:ascii="宋体" w:hAnsi="宋体" w:cs="宋体"/>
              <w:color w:val="auto"/>
              <w:szCs w:val="40"/>
            </w:rPr>
            <w:fldChar w:fldCharType="end"/>
          </w:r>
          <w:r>
            <w:rPr>
              <w:rFonts w:hint="eastAsia" w:ascii="宋体" w:hAnsi="宋体" w:cs="宋体"/>
              <w:color w:val="auto"/>
              <w:szCs w:val="40"/>
              <w:lang w:eastAsia="zh-CN"/>
            </w:rPr>
            <w:tab/>
          </w:r>
        </w:p>
      </w:sdtContent>
    </w:sdt>
    <w:p w14:paraId="1EF45385">
      <w:pPr>
        <w:pStyle w:val="10"/>
        <w:tabs>
          <w:tab w:val="left" w:pos="4386"/>
        </w:tabs>
        <w:autoSpaceDE/>
        <w:autoSpaceDN/>
        <w:adjustRightInd/>
        <w:spacing w:line="320" w:lineRule="exact"/>
        <w:jc w:val="left"/>
        <w:rPr>
          <w:rFonts w:hint="eastAsia" w:hAnsi="宋体" w:eastAsia="宋体" w:cs="宋体"/>
          <w:b/>
          <w:bCs/>
          <w:color w:val="auto"/>
          <w:spacing w:val="-14"/>
          <w:position w:val="-6"/>
          <w:sz w:val="36"/>
          <w:szCs w:val="36"/>
          <w:lang w:eastAsia="zh-CN"/>
        </w:rPr>
      </w:pPr>
      <w:r>
        <w:rPr>
          <w:rFonts w:hint="eastAsia" w:hAnsi="宋体" w:cs="宋体"/>
          <w:b/>
          <w:bCs/>
          <w:color w:val="auto"/>
          <w:spacing w:val="-14"/>
          <w:position w:val="-6"/>
          <w:sz w:val="36"/>
          <w:szCs w:val="36"/>
          <w:lang w:eastAsia="zh-CN"/>
        </w:rPr>
        <w:tab/>
      </w:r>
    </w:p>
    <w:p w14:paraId="285BB2ED">
      <w:pPr>
        <w:tabs>
          <w:tab w:val="left" w:pos="6703"/>
        </w:tabs>
        <w:bidi w:val="0"/>
        <w:jc w:val="left"/>
        <w:rPr>
          <w:rFonts w:hint="eastAsia" w:eastAsia="宋体"/>
          <w:color w:val="auto"/>
          <w:lang w:eastAsia="zh-CN"/>
        </w:rPr>
        <w:sectPr>
          <w:headerReference r:id="rId4" w:type="default"/>
          <w:footerReference r:id="rId5" w:type="default"/>
          <w:pgSz w:w="11906" w:h="16838"/>
          <w:pgMar w:top="1440" w:right="1080" w:bottom="1440" w:left="460" w:header="851" w:footer="794" w:gutter="567"/>
          <w:pgNumType w:fmt="decimal" w:start="1"/>
          <w:cols w:space="720" w:num="1"/>
        </w:sectPr>
      </w:pPr>
      <w:r>
        <w:rPr>
          <w:rFonts w:hint="eastAsia"/>
          <w:color w:val="auto"/>
          <w:lang w:eastAsia="zh-CN"/>
        </w:rPr>
        <w:tab/>
      </w:r>
    </w:p>
    <w:p w14:paraId="658D31E3">
      <w:pPr>
        <w:pStyle w:val="3"/>
        <w:keepNext/>
        <w:keepLines/>
        <w:pageBreakBefore w:val="0"/>
        <w:widowControl w:val="0"/>
        <w:kinsoku/>
        <w:wordWrap/>
        <w:overflowPunct/>
        <w:topLinePunct w:val="0"/>
        <w:autoSpaceDE/>
        <w:autoSpaceDN/>
        <w:bidi w:val="0"/>
        <w:adjustRightInd/>
        <w:snapToGrid/>
        <w:spacing w:before="0" w:after="0" w:afterLines="50" w:line="520" w:lineRule="exact"/>
        <w:jc w:val="center"/>
        <w:textAlignment w:val="auto"/>
        <w:rPr>
          <w:rFonts w:hint="eastAsia"/>
          <w:color w:val="auto"/>
          <w:sz w:val="32"/>
          <w:szCs w:val="32"/>
          <w:lang w:eastAsia="zh-CN"/>
        </w:rPr>
      </w:pPr>
      <w:bookmarkStart w:id="1" w:name="_Toc29312"/>
      <w:r>
        <w:rPr>
          <w:rFonts w:hint="eastAsia"/>
          <w:color w:val="auto"/>
          <w:sz w:val="32"/>
          <w:szCs w:val="32"/>
        </w:rPr>
        <w:t>第一章</w:t>
      </w:r>
      <w:bookmarkEnd w:id="0"/>
      <w:bookmarkEnd w:id="1"/>
      <w:bookmarkStart w:id="2" w:name="_Toc434315323"/>
      <w:r>
        <w:rPr>
          <w:rFonts w:hint="eastAsia"/>
          <w:color w:val="auto"/>
          <w:sz w:val="32"/>
          <w:szCs w:val="32"/>
          <w:lang w:val="en-US" w:eastAsia="zh-CN"/>
        </w:rPr>
        <w:t xml:space="preserve">  竞争性</w:t>
      </w:r>
      <w:r>
        <w:rPr>
          <w:rFonts w:hint="eastAsia"/>
          <w:color w:val="auto"/>
          <w:sz w:val="32"/>
          <w:szCs w:val="32"/>
          <w:lang w:eastAsia="zh-CN"/>
        </w:rPr>
        <w:t>磋商公告</w:t>
      </w:r>
    </w:p>
    <w:p w14:paraId="447518FC">
      <w:pPr>
        <w:keepNext w:val="0"/>
        <w:keepLines w:val="0"/>
        <w:pageBreakBefore w:val="0"/>
        <w:widowControl w:val="0"/>
        <w:kinsoku/>
        <w:wordWrap/>
        <w:overflowPunct/>
        <w:topLinePunct w:val="0"/>
        <w:autoSpaceDE/>
        <w:autoSpaceDN/>
        <w:bidi w:val="0"/>
        <w:adjustRightInd/>
        <w:snapToGrid/>
        <w:spacing w:after="0" w:afterLines="50" w:line="460" w:lineRule="exact"/>
        <w:jc w:val="center"/>
        <w:textAlignment w:val="auto"/>
        <w:rPr>
          <w:color w:val="auto"/>
        </w:rPr>
      </w:pPr>
      <w:r>
        <w:rPr>
          <w:rFonts w:hint="eastAsia" w:ascii="宋体" w:hAnsi="宋体"/>
          <w:b/>
          <w:color w:val="auto"/>
          <w:sz w:val="28"/>
          <w:szCs w:val="28"/>
          <w:lang w:val="en-US" w:eastAsia="zh-CN"/>
        </w:rPr>
        <w:t>广西天明建筑咨询有限公司</w:t>
      </w:r>
      <w:r>
        <w:rPr>
          <w:rFonts w:hint="eastAsia" w:ascii="宋体" w:hAnsi="宋体"/>
          <w:b/>
          <w:color w:val="auto"/>
          <w:sz w:val="28"/>
          <w:szCs w:val="28"/>
        </w:rPr>
        <w:t>关于</w:t>
      </w:r>
      <w:bookmarkStart w:id="3" w:name="_Toc2948"/>
      <w:r>
        <w:rPr>
          <w:rFonts w:hint="eastAsia" w:ascii="宋体" w:hAnsi="宋体"/>
          <w:b/>
          <w:color w:val="auto"/>
          <w:sz w:val="28"/>
          <w:szCs w:val="28"/>
          <w:u w:val="none"/>
          <w:lang w:val="en-US" w:eastAsia="zh-CN"/>
        </w:rPr>
        <w:t>钦北区民政局居家养老服务中心装修项目</w:t>
      </w:r>
      <w:r>
        <w:rPr>
          <w:rFonts w:hint="eastAsia" w:ascii="宋体" w:hAnsi="宋体"/>
          <w:b/>
          <w:color w:val="auto"/>
          <w:sz w:val="28"/>
          <w:szCs w:val="28"/>
          <w:lang w:eastAsia="zh-CN"/>
        </w:rPr>
        <w:t>的</w:t>
      </w:r>
      <w:r>
        <w:rPr>
          <w:rFonts w:hint="eastAsia" w:ascii="宋体" w:hAnsi="宋体" w:eastAsia="宋体"/>
          <w:b/>
          <w:color w:val="auto"/>
          <w:sz w:val="28"/>
          <w:szCs w:val="28"/>
          <w:lang w:val="en-US" w:eastAsia="zh-CN"/>
        </w:rPr>
        <w:t>竞争性</w:t>
      </w:r>
      <w:r>
        <w:rPr>
          <w:rFonts w:hint="eastAsia" w:ascii="宋体" w:hAnsi="宋体" w:eastAsia="宋体"/>
          <w:b/>
          <w:color w:val="auto"/>
          <w:sz w:val="28"/>
          <w:szCs w:val="28"/>
          <w:lang w:eastAsia="zh-CN"/>
        </w:rPr>
        <w:t>磋商公告</w:t>
      </w:r>
      <w:bookmarkEnd w:id="3"/>
      <w:r>
        <w:rPr>
          <w:rFonts w:hint="eastAsia" w:ascii="宋体" w:hAnsi="宋体"/>
          <w:b/>
          <w:color w:val="auto"/>
          <w:sz w:val="28"/>
          <w:szCs w:val="28"/>
          <w:lang w:eastAsia="zh-CN"/>
        </w:rPr>
        <w:t>（</w:t>
      </w:r>
      <w:r>
        <w:rPr>
          <w:rFonts w:hint="eastAsia" w:ascii="宋体" w:hAnsi="宋体"/>
          <w:b/>
          <w:color w:val="auto"/>
          <w:sz w:val="28"/>
          <w:szCs w:val="28"/>
          <w:lang w:val="en-US" w:eastAsia="zh-CN"/>
        </w:rPr>
        <w:t>远程异地评标</w:t>
      </w:r>
      <w:r>
        <w:rPr>
          <w:rFonts w:hint="eastAsia" w:ascii="宋体" w:hAnsi="宋体"/>
          <w:b/>
          <w:color w:val="auto"/>
          <w:sz w:val="28"/>
          <w:szCs w:val="28"/>
          <w:lang w:eastAsia="zh-CN"/>
        </w:rPr>
        <w:t>）</w:t>
      </w:r>
    </w:p>
    <w:tbl>
      <w:tblPr>
        <w:tblStyle w:val="2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4DEE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42D2D68">
            <w:pPr>
              <w:spacing w:line="400" w:lineRule="exact"/>
              <w:rPr>
                <w:rFonts w:ascii="宋体" w:hAnsi="宋体" w:cs="宋体"/>
                <w:color w:val="auto"/>
                <w:szCs w:val="21"/>
              </w:rPr>
            </w:pPr>
            <w:r>
              <w:rPr>
                <w:rFonts w:hint="eastAsia" w:ascii="宋体" w:hAnsi="宋体" w:cs="宋体"/>
                <w:color w:val="auto"/>
                <w:szCs w:val="21"/>
              </w:rPr>
              <w:t>项目概况</w:t>
            </w:r>
          </w:p>
          <w:p w14:paraId="68BCDEED">
            <w:pPr>
              <w:spacing w:line="400" w:lineRule="exact"/>
              <w:ind w:firstLine="420" w:firstLineChars="200"/>
              <w:rPr>
                <w:color w:val="auto"/>
              </w:rPr>
            </w:pPr>
            <w:r>
              <w:rPr>
                <w:rFonts w:hint="eastAsia" w:ascii="宋体" w:hAnsi="宋体" w:cs="宋体"/>
                <w:color w:val="auto"/>
                <w:szCs w:val="21"/>
                <w:u w:val="single"/>
                <w:lang w:val="en-US" w:eastAsia="zh-CN"/>
              </w:rPr>
              <w:t>钦北区民政局居家养老服务中心装修项目</w:t>
            </w:r>
            <w:r>
              <w:rPr>
                <w:rFonts w:hint="eastAsia" w:ascii="宋体" w:hAnsi="宋体" w:cs="宋体"/>
                <w:color w:val="auto"/>
                <w:szCs w:val="21"/>
              </w:rPr>
              <w:t>采购项目的潜在供应商应在</w:t>
            </w:r>
            <w:r>
              <w:rPr>
                <w:rFonts w:hint="eastAsia" w:ascii="宋体" w:hAnsi="宋体" w:cs="宋体"/>
                <w:color w:val="auto"/>
                <w:szCs w:val="21"/>
                <w:u w:val="single"/>
                <w:lang w:eastAsia="zh-CN"/>
              </w:rPr>
              <w:t>广西政府采购云平台（https://www.gcy.zfcg.gxzf.gov.cn/）</w:t>
            </w:r>
            <w:r>
              <w:rPr>
                <w:rFonts w:hint="eastAsia" w:ascii="宋体" w:hAnsi="宋体" w:cs="宋体"/>
                <w:color w:val="auto"/>
                <w:szCs w:val="21"/>
              </w:rPr>
              <w:t>获取</w:t>
            </w:r>
            <w:r>
              <w:rPr>
                <w:rFonts w:hint="eastAsia" w:ascii="宋体" w:hAnsi="宋体" w:cs="宋体"/>
                <w:color w:val="auto"/>
              </w:rPr>
              <w:t>采购文件</w:t>
            </w:r>
            <w:r>
              <w:rPr>
                <w:rFonts w:hint="eastAsia" w:ascii="宋体" w:hAnsi="宋体" w:cs="宋体"/>
                <w:color w:val="auto"/>
                <w:szCs w:val="21"/>
              </w:rPr>
              <w:t>，并于</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04</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18 </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分（北京时间）</w:t>
            </w:r>
            <w:r>
              <w:rPr>
                <w:rFonts w:hint="eastAsia" w:ascii="宋体" w:hAnsi="宋体" w:cs="宋体"/>
                <w:color w:val="auto"/>
                <w:szCs w:val="21"/>
              </w:rPr>
              <w:t>前提交响应文件。</w:t>
            </w:r>
          </w:p>
        </w:tc>
      </w:tr>
    </w:tbl>
    <w:p w14:paraId="23548DCA">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4" w:name="_Toc28359012"/>
      <w:bookmarkStart w:id="5" w:name="_Toc35393629"/>
      <w:bookmarkStart w:id="6" w:name="_Toc28359089"/>
      <w:bookmarkStart w:id="7" w:name="_Toc9324"/>
      <w:bookmarkStart w:id="8" w:name="_Toc31859"/>
      <w:bookmarkStart w:id="9" w:name="_Toc35393798"/>
      <w:r>
        <w:rPr>
          <w:rFonts w:hint="eastAsia" w:ascii="宋体" w:hAnsi="宋体" w:eastAsia="宋体" w:cs="宋体"/>
          <w:bCs w:val="0"/>
          <w:color w:val="auto"/>
          <w:sz w:val="21"/>
          <w:szCs w:val="21"/>
        </w:rPr>
        <w:t>一、项目基本情况</w:t>
      </w:r>
      <w:bookmarkEnd w:id="4"/>
      <w:bookmarkEnd w:id="5"/>
      <w:bookmarkEnd w:id="6"/>
      <w:bookmarkEnd w:id="7"/>
      <w:bookmarkEnd w:id="8"/>
      <w:bookmarkEnd w:id="9"/>
    </w:p>
    <w:p w14:paraId="2F83ABE0">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项目编号：</w:t>
      </w:r>
      <w:r>
        <w:rPr>
          <w:rFonts w:hint="eastAsia" w:ascii="宋体" w:hAnsi="宋体" w:cs="宋体"/>
          <w:color w:val="auto"/>
          <w:szCs w:val="21"/>
          <w:lang w:eastAsia="zh-CN"/>
        </w:rPr>
        <w:t>QZZC2025-C2-030019-GXTM</w:t>
      </w:r>
    </w:p>
    <w:p w14:paraId="51C5B0D1">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u w:val="single"/>
          <w:lang w:val="en-US" w:eastAsia="zh-CN"/>
        </w:rPr>
      </w:pPr>
      <w:r>
        <w:rPr>
          <w:rFonts w:hint="eastAsia" w:ascii="宋体" w:hAnsi="宋体" w:cs="宋体"/>
          <w:color w:val="auto"/>
          <w:szCs w:val="21"/>
        </w:rPr>
        <w:t>项目名称：</w:t>
      </w:r>
      <w:r>
        <w:rPr>
          <w:rFonts w:hint="eastAsia" w:ascii="宋体" w:hAnsi="宋体" w:cs="宋体"/>
          <w:color w:val="auto"/>
          <w:szCs w:val="21"/>
          <w:u w:val="none"/>
          <w:lang w:val="en-US" w:eastAsia="zh-CN"/>
        </w:rPr>
        <w:t>钦北区民政局居家养老服务中心装修项目</w:t>
      </w:r>
    </w:p>
    <w:p w14:paraId="393492A7">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采购方式：</w:t>
      </w:r>
      <w:r>
        <w:rPr>
          <w:rFonts w:hint="eastAsia" w:ascii="宋体" w:hAnsi="宋体" w:cs="宋体"/>
          <w:color w:val="auto"/>
        </w:rPr>
        <w:t>竞争性磋商</w:t>
      </w:r>
    </w:p>
    <w:p w14:paraId="7BA31FAB">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预算</w:t>
      </w:r>
      <w:r>
        <w:rPr>
          <w:rFonts w:hint="eastAsia" w:ascii="宋体" w:hAnsi="宋体" w:cs="宋体"/>
          <w:color w:val="auto"/>
          <w:szCs w:val="21"/>
          <w:lang w:eastAsia="zh-CN"/>
        </w:rPr>
        <w:t>总</w:t>
      </w:r>
      <w:r>
        <w:rPr>
          <w:rFonts w:hint="eastAsia" w:ascii="宋体" w:hAnsi="宋体" w:cs="宋体"/>
          <w:color w:val="auto"/>
          <w:szCs w:val="21"/>
        </w:rPr>
        <w:t>金额：</w:t>
      </w:r>
      <w:r>
        <w:rPr>
          <w:rFonts w:hint="eastAsia" w:ascii="宋体" w:hAnsi="宋体" w:cs="宋体"/>
          <w:color w:val="auto"/>
          <w:szCs w:val="21"/>
          <w:lang w:eastAsia="zh-CN"/>
        </w:rPr>
        <w:t>927404.03</w:t>
      </w:r>
      <w:r>
        <w:rPr>
          <w:rFonts w:hint="eastAsia" w:ascii="宋体" w:hAnsi="宋体" w:cs="宋体"/>
          <w:color w:val="auto"/>
          <w:szCs w:val="21"/>
          <w:lang w:val="en-US" w:eastAsia="zh-CN"/>
        </w:rPr>
        <w:t>元</w:t>
      </w:r>
    </w:p>
    <w:p w14:paraId="1419CFC2">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eastAsia="zh-CN"/>
        </w:rPr>
        <w:t>（</w:t>
      </w:r>
      <w:r>
        <w:rPr>
          <w:rFonts w:hint="eastAsia" w:ascii="宋体" w:hAnsi="宋体" w:cs="宋体"/>
          <w:color w:val="auto"/>
          <w:szCs w:val="21"/>
        </w:rPr>
        <w:t>如有）：</w:t>
      </w:r>
      <w:r>
        <w:rPr>
          <w:rFonts w:hint="eastAsia" w:ascii="宋体" w:hAnsi="宋体" w:cs="宋体"/>
          <w:color w:val="auto"/>
          <w:szCs w:val="21"/>
          <w:lang w:eastAsia="zh-CN"/>
        </w:rPr>
        <w:t>927404.03</w:t>
      </w:r>
      <w:r>
        <w:rPr>
          <w:rFonts w:hint="eastAsia" w:ascii="宋体" w:hAnsi="宋体" w:cs="宋体"/>
          <w:color w:val="auto"/>
          <w:szCs w:val="21"/>
          <w:lang w:val="en-US" w:eastAsia="zh-CN"/>
        </w:rPr>
        <w:t>元</w:t>
      </w:r>
    </w:p>
    <w:p w14:paraId="4EE0EE03">
      <w:pPr>
        <w:pageBreakBefore w:val="0"/>
        <w:widowControl w:val="0"/>
        <w:kinsoku/>
        <w:wordWrap/>
        <w:overflowPunct/>
        <w:topLinePunct w:val="0"/>
        <w:bidi w:val="0"/>
        <w:adjustRightInd/>
        <w:spacing w:line="420" w:lineRule="exact"/>
        <w:ind w:firstLine="420" w:firstLineChars="200"/>
        <w:textAlignment w:val="auto"/>
        <w:rPr>
          <w:rFonts w:hint="default" w:ascii="宋体" w:hAnsi="宋体" w:eastAsia="宋体" w:cs="宋体"/>
          <w:color w:val="auto"/>
          <w:szCs w:val="21"/>
          <w:lang w:val="en-US" w:eastAsia="zh-CN"/>
        </w:rPr>
      </w:pPr>
      <w:r>
        <w:rPr>
          <w:rFonts w:hint="eastAsia" w:ascii="宋体" w:hAnsi="宋体" w:cs="宋体"/>
          <w:color w:val="auto"/>
          <w:szCs w:val="21"/>
        </w:rPr>
        <w:t>采购需求：</w:t>
      </w:r>
      <w:r>
        <w:rPr>
          <w:rFonts w:hint="eastAsia" w:ascii="宋体" w:hAnsi="宋体" w:cs="宋体"/>
          <w:color w:val="auto"/>
          <w:szCs w:val="21"/>
          <w:highlight w:val="none"/>
          <w:lang w:val="en-US" w:eastAsia="zh-CN"/>
        </w:rPr>
        <w:t>1.白水塘社区旧办公楼改造为</w:t>
      </w:r>
      <w:r>
        <w:rPr>
          <w:rFonts w:hint="eastAsia" w:ascii="宋体" w:hAnsi="宋体" w:cs="宋体"/>
          <w:color w:val="auto"/>
          <w:szCs w:val="21"/>
          <w:highlight w:val="none"/>
          <w:lang w:val="en-US" w:eastAsia="zh-CN"/>
        </w:rPr>
        <w:t>钦北区子材街道</w:t>
      </w:r>
      <w:r>
        <w:rPr>
          <w:rFonts w:hint="eastAsia" w:ascii="宋体" w:hAnsi="宋体" w:cs="宋体"/>
          <w:color w:val="auto"/>
          <w:szCs w:val="21"/>
          <w:highlight w:val="none"/>
          <w:lang w:val="en-US" w:eastAsia="zh-CN"/>
        </w:rPr>
        <w:t>智慧养老服务中心项目,建筑面积400平方米；2.恒大御景半岛</w:t>
      </w:r>
      <w:r>
        <w:rPr>
          <w:rFonts w:hint="eastAsia" w:ascii="宋体" w:hAnsi="宋体" w:cs="宋体"/>
          <w:color w:val="auto"/>
          <w:szCs w:val="21"/>
          <w:highlight w:val="none"/>
          <w:lang w:val="en-US" w:eastAsia="zh-CN"/>
        </w:rPr>
        <w:t>小区</w:t>
      </w:r>
      <w:r>
        <w:rPr>
          <w:rFonts w:hint="eastAsia" w:ascii="宋体" w:hAnsi="宋体" w:cs="宋体"/>
          <w:color w:val="auto"/>
          <w:szCs w:val="21"/>
          <w:highlight w:val="none"/>
          <w:lang w:val="en-US" w:eastAsia="zh-CN"/>
        </w:rPr>
        <w:t>长者饭堂装修项目，建筑面积180平方米；3.</w:t>
      </w:r>
      <w:r>
        <w:rPr>
          <w:rFonts w:hint="eastAsia" w:ascii="宋体" w:hAnsi="宋体" w:cs="宋体"/>
          <w:color w:val="auto"/>
          <w:szCs w:val="21"/>
          <w:highlight w:val="none"/>
          <w:lang w:val="en-US" w:eastAsia="zh-CN"/>
        </w:rPr>
        <w:t>钦北区</w:t>
      </w:r>
      <w:r>
        <w:rPr>
          <w:rFonts w:hint="eastAsia" w:ascii="宋体" w:hAnsi="宋体" w:cs="宋体"/>
          <w:color w:val="auto"/>
          <w:szCs w:val="21"/>
          <w:highlight w:val="none"/>
          <w:lang w:val="en-US" w:eastAsia="zh-CN"/>
        </w:rPr>
        <w:t>人和大地养老服务中心(6栋、13栋养老用房)装修项目，建筑面积399.23平方米；4.钦北区鸿亭街道综合养老服务中心(租用石化石油小区公寓商铺)装修项目，建筑面积391.38平方米。</w:t>
      </w:r>
      <w:r>
        <w:rPr>
          <w:rFonts w:hint="eastAsia" w:ascii="宋体" w:hAnsi="宋体" w:cs="宋体"/>
          <w:color w:val="auto"/>
          <w:szCs w:val="21"/>
          <w:highlight w:val="none"/>
          <w:lang w:eastAsia="zh-CN"/>
        </w:rPr>
        <w:t>具体详见竞争性磋商文件、工程量清单及图纸</w:t>
      </w:r>
      <w:r>
        <w:rPr>
          <w:rFonts w:hint="eastAsia" w:asciiTheme="minorEastAsia" w:hAnsiTheme="minorEastAsia" w:eastAsiaTheme="minorEastAsia" w:cstheme="minorEastAsia"/>
          <w:color w:val="auto"/>
          <w:sz w:val="21"/>
          <w:szCs w:val="21"/>
        </w:rPr>
        <w:t xml:space="preserve"> </w:t>
      </w:r>
      <w:r>
        <w:rPr>
          <w:rFonts w:hint="eastAsia" w:ascii="宋体" w:hAnsi="宋体" w:cs="宋体"/>
          <w:color w:val="auto"/>
          <w:szCs w:val="21"/>
          <w:lang w:val="en-US" w:eastAsia="zh-CN"/>
        </w:rPr>
        <w:t>。</w:t>
      </w:r>
    </w:p>
    <w:p w14:paraId="66B44E15">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val="en-US" w:eastAsia="zh-CN"/>
        </w:rPr>
        <w:t xml:space="preserve">60  </w:t>
      </w:r>
      <w:r>
        <w:rPr>
          <w:rFonts w:hint="eastAsia" w:ascii="宋体" w:hAnsi="宋体" w:cs="宋体"/>
          <w:color w:val="auto"/>
          <w:szCs w:val="21"/>
          <w:lang w:eastAsia="zh-CN"/>
        </w:rPr>
        <w:t>日</w:t>
      </w:r>
      <w:r>
        <w:rPr>
          <w:rFonts w:hint="eastAsia" w:ascii="宋体" w:hAnsi="宋体" w:cs="宋体"/>
          <w:color w:val="auto"/>
          <w:szCs w:val="21"/>
          <w:lang w:eastAsia="zh-CN"/>
        </w:rPr>
        <w:t>历天</w:t>
      </w:r>
    </w:p>
    <w:p w14:paraId="34BBADB5">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本项目</w:t>
      </w:r>
      <w:r>
        <w:rPr>
          <w:rFonts w:hint="eastAsia" w:ascii="宋体" w:hAnsi="宋体" w:cs="宋体"/>
          <w:color w:val="auto"/>
          <w:szCs w:val="21"/>
          <w:u w:val="single"/>
        </w:rPr>
        <w:t>不接受</w:t>
      </w:r>
      <w:r>
        <w:rPr>
          <w:rFonts w:hint="eastAsia" w:ascii="宋体" w:hAnsi="宋体" w:cs="宋体"/>
          <w:color w:val="auto"/>
          <w:szCs w:val="21"/>
        </w:rPr>
        <w:t>联合体</w:t>
      </w:r>
      <w:r>
        <w:rPr>
          <w:rFonts w:hint="eastAsia" w:ascii="宋体" w:hAnsi="宋体" w:cs="宋体"/>
          <w:color w:val="auto"/>
          <w:szCs w:val="21"/>
          <w:lang w:eastAsia="zh-CN"/>
        </w:rPr>
        <w:t>竞标</w:t>
      </w:r>
    </w:p>
    <w:p w14:paraId="060F0E78">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10" w:name="_Toc35393799"/>
      <w:bookmarkStart w:id="11" w:name="_Toc35393630"/>
      <w:bookmarkStart w:id="12" w:name="_Toc21513"/>
      <w:bookmarkStart w:id="13" w:name="_Toc28359090"/>
      <w:bookmarkStart w:id="14" w:name="_Toc28359013"/>
      <w:r>
        <w:rPr>
          <w:rFonts w:hint="eastAsia" w:ascii="宋体" w:hAnsi="宋体" w:eastAsia="宋体" w:cs="宋体"/>
          <w:bCs w:val="0"/>
          <w:color w:val="auto"/>
          <w:sz w:val="21"/>
          <w:szCs w:val="21"/>
        </w:rPr>
        <w:t>二、申请人的资格要求：</w:t>
      </w:r>
      <w:bookmarkEnd w:id="10"/>
      <w:bookmarkEnd w:id="11"/>
      <w:bookmarkEnd w:id="12"/>
      <w:bookmarkEnd w:id="13"/>
      <w:bookmarkEnd w:id="14"/>
    </w:p>
    <w:p w14:paraId="781F185E">
      <w:pPr>
        <w:pageBreakBefore w:val="0"/>
        <w:widowControl w:val="0"/>
        <w:kinsoku/>
        <w:wordWrap/>
        <w:overflowPunct/>
        <w:topLinePunct w:val="0"/>
        <w:bidi w:val="0"/>
        <w:adjustRightInd/>
        <w:snapToGrid w:val="0"/>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1.符合《中华人民共和国政府采购法》第二十二条规定</w:t>
      </w:r>
      <w:r>
        <w:rPr>
          <w:rFonts w:hint="eastAsia" w:ascii="宋体" w:hAnsi="宋体" w:cs="宋体"/>
          <w:color w:val="auto"/>
          <w:szCs w:val="21"/>
          <w:lang w:eastAsia="zh-CN"/>
        </w:rPr>
        <w:t>；</w:t>
      </w:r>
      <w:r>
        <w:rPr>
          <w:rFonts w:hint="eastAsia" w:ascii="宋体" w:hAnsi="宋体" w:cs="宋体"/>
          <w:color w:val="auto"/>
          <w:szCs w:val="21"/>
        </w:rPr>
        <w:t xml:space="preserve"> </w:t>
      </w:r>
    </w:p>
    <w:p w14:paraId="1A5DB6A7">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2.落实政府采购政策需满足的资格要求：专门面向中小企业采购的项目（供应商应为中小微企业)</w:t>
      </w:r>
      <w:r>
        <w:rPr>
          <w:rFonts w:hint="eastAsia" w:ascii="宋体" w:hAnsi="宋体" w:cs="宋体"/>
          <w:color w:val="auto"/>
          <w:szCs w:val="21"/>
          <w:lang w:eastAsia="zh-CN"/>
        </w:rPr>
        <w:t>；</w:t>
      </w:r>
    </w:p>
    <w:p w14:paraId="412203C8">
      <w:pPr>
        <w:pStyle w:val="10"/>
        <w:keepNext w:val="0"/>
        <w:keepLines w:val="0"/>
        <w:pageBreakBefore w:val="0"/>
        <w:widowControl w:val="0"/>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auto"/>
          <w:sz w:val="21"/>
          <w:szCs w:val="21"/>
          <w:lang w:val="en-US" w:eastAsia="zh-CN"/>
        </w:rPr>
      </w:pPr>
      <w:bookmarkStart w:id="15" w:name="_Toc28359014"/>
      <w:bookmarkStart w:id="16" w:name="_Toc28359091"/>
      <w:r>
        <w:rPr>
          <w:rFonts w:hint="eastAsia" w:hAnsi="宋体" w:cs="宋体"/>
          <w:color w:val="auto"/>
          <w:sz w:val="21"/>
          <w:szCs w:val="21"/>
        </w:rPr>
        <w:t>3.本项目的特定资格要求：</w:t>
      </w:r>
      <w:r>
        <w:rPr>
          <w:rFonts w:hint="eastAsia" w:ascii="宋体" w:hAnsi="宋体" w:cs="宋体"/>
          <w:color w:val="auto"/>
          <w:kern w:val="0"/>
          <w:sz w:val="21"/>
          <w:szCs w:val="21"/>
          <w:lang w:val="en-US" w:eastAsia="zh-CN" w:bidi="ar-SA"/>
        </w:rPr>
        <w:t>无</w:t>
      </w:r>
      <w:r>
        <w:rPr>
          <w:rFonts w:hint="eastAsia" w:ascii="宋体" w:hAnsi="宋体" w:eastAsia="宋体" w:cs="宋体"/>
          <w:color w:val="auto"/>
          <w:sz w:val="21"/>
          <w:szCs w:val="21"/>
          <w:lang w:val="en-US" w:eastAsia="zh-CN"/>
        </w:rPr>
        <w:t>。</w:t>
      </w:r>
    </w:p>
    <w:p w14:paraId="43CA0F07">
      <w:pPr>
        <w:pStyle w:val="4"/>
        <w:pageBreakBefore w:val="0"/>
        <w:widowControl w:val="0"/>
        <w:kinsoku/>
        <w:wordWrap/>
        <w:overflowPunct/>
        <w:topLinePunct w:val="0"/>
        <w:bidi w:val="0"/>
        <w:adjustRightInd/>
        <w:spacing w:line="420" w:lineRule="exact"/>
        <w:textAlignment w:val="auto"/>
        <w:outlineLvl w:val="0"/>
        <w:rPr>
          <w:rFonts w:hint="eastAsia" w:ascii="宋体" w:hAnsi="宋体" w:eastAsia="宋体" w:cs="宋体"/>
          <w:bCs w:val="0"/>
          <w:color w:val="auto"/>
          <w:sz w:val="21"/>
          <w:szCs w:val="21"/>
        </w:rPr>
      </w:pPr>
      <w:bookmarkStart w:id="17" w:name="_Toc35393631"/>
      <w:bookmarkStart w:id="18" w:name="_Toc35393800"/>
      <w:bookmarkStart w:id="19" w:name="_Toc9125"/>
      <w:bookmarkStart w:id="20" w:name="_Toc13777"/>
      <w:r>
        <w:rPr>
          <w:rFonts w:hint="eastAsia" w:ascii="宋体" w:hAnsi="宋体" w:eastAsia="宋体" w:cs="宋体"/>
          <w:bCs w:val="0"/>
          <w:color w:val="auto"/>
          <w:sz w:val="21"/>
          <w:szCs w:val="21"/>
        </w:rPr>
        <w:t>三、获取采购文件</w:t>
      </w:r>
      <w:bookmarkEnd w:id="15"/>
      <w:bookmarkEnd w:id="16"/>
      <w:bookmarkEnd w:id="17"/>
      <w:bookmarkEnd w:id="18"/>
      <w:bookmarkEnd w:id="19"/>
      <w:bookmarkEnd w:id="20"/>
    </w:p>
    <w:p w14:paraId="61B4E6E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color w:val="auto"/>
          <w:szCs w:val="21"/>
          <w:u w:val="none"/>
          <w:lang w:eastAsia="zh-CN"/>
        </w:rPr>
      </w:pPr>
      <w:r>
        <w:rPr>
          <w:rFonts w:hint="eastAsia" w:ascii="宋体" w:hAnsi="宋体" w:cs="宋体"/>
          <w:color w:val="auto"/>
          <w:szCs w:val="21"/>
          <w:u w:val="none"/>
        </w:rPr>
        <w:t>时间：</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04</w:t>
      </w:r>
      <w:r>
        <w:rPr>
          <w:rFonts w:hint="eastAsia" w:ascii="宋体" w:hAnsi="宋体" w:cs="宋体"/>
          <w:color w:val="auto"/>
          <w:szCs w:val="21"/>
          <w:u w:val="none"/>
        </w:rPr>
        <w:t>月</w:t>
      </w:r>
      <w:r>
        <w:rPr>
          <w:rFonts w:hint="eastAsia" w:ascii="宋体" w:hAnsi="宋体" w:cs="宋体"/>
          <w:color w:val="auto"/>
          <w:szCs w:val="21"/>
          <w:u w:val="none"/>
          <w:lang w:val="en-US" w:eastAsia="zh-CN"/>
        </w:rPr>
        <w:t xml:space="preserve">07 </w:t>
      </w:r>
      <w:r>
        <w:rPr>
          <w:rFonts w:hint="eastAsia" w:ascii="宋体" w:hAnsi="宋体" w:cs="宋体"/>
          <w:color w:val="auto"/>
          <w:szCs w:val="21"/>
          <w:u w:val="none"/>
        </w:rPr>
        <w:t>日至</w:t>
      </w:r>
      <w:r>
        <w:rPr>
          <w:rFonts w:hint="eastAsia" w:ascii="宋体" w:hAnsi="宋体" w:cs="宋体"/>
          <w:color w:val="auto"/>
          <w:szCs w:val="21"/>
          <w:u w:val="none"/>
          <w:lang w:eastAsia="zh-CN"/>
        </w:rPr>
        <w:t>2025年</w:t>
      </w:r>
      <w:r>
        <w:rPr>
          <w:rFonts w:hint="eastAsia" w:ascii="宋体" w:hAnsi="宋体" w:cs="宋体"/>
          <w:color w:val="auto"/>
          <w:szCs w:val="21"/>
          <w:u w:val="none"/>
          <w:lang w:val="en-US" w:eastAsia="zh-CN"/>
        </w:rPr>
        <w:t xml:space="preserve">04 </w:t>
      </w:r>
      <w:r>
        <w:rPr>
          <w:rFonts w:hint="eastAsia" w:ascii="宋体" w:hAnsi="宋体" w:cs="宋体"/>
          <w:color w:val="auto"/>
          <w:szCs w:val="21"/>
          <w:u w:val="none"/>
        </w:rPr>
        <w:t>月</w:t>
      </w:r>
      <w:r>
        <w:rPr>
          <w:rFonts w:hint="eastAsia" w:ascii="宋体" w:hAnsi="宋体" w:cs="宋体"/>
          <w:color w:val="auto"/>
          <w:szCs w:val="21"/>
          <w:u w:val="none"/>
          <w:lang w:val="en-US" w:eastAsia="zh-CN"/>
        </w:rPr>
        <w:t>14</w:t>
      </w:r>
      <w:r>
        <w:rPr>
          <w:rFonts w:hint="eastAsia" w:ascii="宋体" w:hAnsi="宋体" w:cs="宋体"/>
          <w:color w:val="auto"/>
          <w:szCs w:val="21"/>
          <w:u w:val="none"/>
        </w:rPr>
        <w:t>日，每天上午8:00至12:00，下午</w:t>
      </w:r>
      <w:r>
        <w:rPr>
          <w:rFonts w:hint="eastAsia" w:ascii="宋体" w:hAnsi="宋体" w:cs="宋体"/>
          <w:color w:val="auto"/>
          <w:szCs w:val="21"/>
          <w:u w:val="none"/>
          <w:lang w:val="en-US" w:eastAsia="zh-CN"/>
        </w:rPr>
        <w:t>12</w:t>
      </w:r>
      <w:r>
        <w:rPr>
          <w:rFonts w:hint="eastAsia" w:ascii="宋体" w:hAnsi="宋体" w:cs="宋体"/>
          <w:color w:val="auto"/>
          <w:szCs w:val="21"/>
          <w:u w:val="none"/>
        </w:rPr>
        <w:t>:00至</w:t>
      </w:r>
      <w:r>
        <w:rPr>
          <w:rFonts w:hint="eastAsia" w:ascii="宋体" w:hAnsi="宋体" w:cs="宋体"/>
          <w:color w:val="auto"/>
          <w:szCs w:val="21"/>
          <w:u w:val="none"/>
          <w:lang w:val="en-US" w:eastAsia="zh-CN"/>
        </w:rPr>
        <w:t>23</w:t>
      </w:r>
      <w:r>
        <w:rPr>
          <w:rFonts w:hint="eastAsia" w:ascii="宋体" w:hAnsi="宋体" w:cs="宋体"/>
          <w:color w:val="auto"/>
          <w:szCs w:val="21"/>
          <w:u w:val="none"/>
        </w:rPr>
        <w:t>:</w:t>
      </w:r>
      <w:r>
        <w:rPr>
          <w:rFonts w:hint="eastAsia" w:ascii="宋体" w:hAnsi="宋体" w:cs="宋体"/>
          <w:color w:val="auto"/>
          <w:szCs w:val="21"/>
          <w:u w:val="none"/>
          <w:lang w:val="en-US" w:eastAsia="zh-CN"/>
        </w:rPr>
        <w:t>59</w:t>
      </w:r>
      <w:r>
        <w:rPr>
          <w:rFonts w:hint="eastAsia" w:ascii="宋体" w:hAnsi="宋体" w:cs="宋体"/>
          <w:color w:val="auto"/>
          <w:szCs w:val="21"/>
          <w:u w:val="none"/>
        </w:rPr>
        <w:t>（北京时间，法定节假日除外）</w:t>
      </w:r>
      <w:r>
        <w:rPr>
          <w:rFonts w:hint="eastAsia" w:ascii="宋体" w:hAnsi="宋体" w:cs="宋体"/>
          <w:color w:val="auto"/>
          <w:szCs w:val="21"/>
          <w:u w:val="none"/>
          <w:lang w:eastAsia="zh-CN"/>
        </w:rPr>
        <w:t>。</w:t>
      </w:r>
    </w:p>
    <w:p w14:paraId="6D749AA9">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iCs/>
          <w:color w:val="auto"/>
          <w:spacing w:val="0"/>
          <w:sz w:val="21"/>
          <w:szCs w:val="21"/>
          <w:u w:val="none"/>
          <w:lang w:eastAsia="zh-CN"/>
        </w:rPr>
      </w:pPr>
      <w:r>
        <w:rPr>
          <w:rFonts w:hint="eastAsia" w:ascii="宋体" w:hAnsi="宋体" w:eastAsia="宋体" w:cs="宋体"/>
          <w:color w:val="auto"/>
          <w:spacing w:val="0"/>
          <w:sz w:val="21"/>
          <w:szCs w:val="21"/>
          <w:u w:val="none"/>
        </w:rPr>
        <w:t>地</w:t>
      </w:r>
      <w:r>
        <w:rPr>
          <w:rFonts w:hint="eastAsia" w:ascii="宋体" w:hAnsi="宋体" w:cs="宋体"/>
          <w:color w:val="auto"/>
          <w:spacing w:val="0"/>
          <w:sz w:val="21"/>
          <w:szCs w:val="21"/>
          <w:u w:val="none"/>
          <w:lang w:eastAsia="zh-CN"/>
        </w:rPr>
        <w:t>点</w:t>
      </w:r>
      <w:r>
        <w:rPr>
          <w:rFonts w:hint="eastAsia" w:ascii="宋体" w:hAnsi="宋体" w:cs="宋体"/>
          <w:color w:val="auto"/>
          <w:spacing w:val="0"/>
          <w:sz w:val="21"/>
          <w:szCs w:val="21"/>
          <w:u w:val="none"/>
          <w:lang w:val="en-US" w:eastAsia="zh-CN"/>
        </w:rPr>
        <w:t>（网址）</w:t>
      </w:r>
      <w:r>
        <w:rPr>
          <w:rFonts w:hint="eastAsia" w:ascii="宋体" w:hAnsi="宋体" w:eastAsia="宋体" w:cs="宋体"/>
          <w:color w:val="auto"/>
          <w:spacing w:val="0"/>
          <w:sz w:val="21"/>
          <w:szCs w:val="21"/>
          <w:u w:val="none"/>
          <w:lang w:val="en-US" w:eastAsia="zh-CN"/>
        </w:rPr>
        <w:t>：</w:t>
      </w:r>
      <w:r>
        <w:rPr>
          <w:rFonts w:hint="eastAsia" w:ascii="宋体" w:hAnsi="宋体" w:cs="Times New Roman"/>
          <w:color w:val="auto"/>
          <w:szCs w:val="21"/>
          <w:u w:val="none"/>
          <w:lang w:eastAsia="zh-CN"/>
        </w:rPr>
        <w:t>广西政府采购云平台（https://www.gcy.zfcg.gxzf.gov.cn/）。</w:t>
      </w:r>
    </w:p>
    <w:p w14:paraId="0565D000">
      <w:pPr>
        <w:keepNext w:val="0"/>
        <w:keepLines w:val="0"/>
        <w:pageBreakBefore w:val="0"/>
        <w:widowControl w:val="0"/>
        <w:kinsoku/>
        <w:wordWrap/>
        <w:overflowPunct/>
        <w:topLinePunct w:val="0"/>
        <w:autoSpaceDE/>
        <w:autoSpaceDN/>
        <w:bidi w:val="0"/>
        <w:adjustRightInd/>
        <w:snapToGrid w:val="0"/>
        <w:spacing w:line="420" w:lineRule="exact"/>
        <w:ind w:left="0" w:leftChars="0" w:firstLine="367" w:firstLineChars="175"/>
        <w:textAlignment w:val="auto"/>
        <w:rPr>
          <w:color w:val="auto"/>
        </w:rPr>
      </w:pPr>
      <w:r>
        <w:rPr>
          <w:rFonts w:hint="eastAsia" w:ascii="宋体" w:hAnsi="宋体"/>
          <w:color w:val="auto"/>
          <w:szCs w:val="21"/>
        </w:rPr>
        <w:t>方式</w:t>
      </w:r>
      <w:r>
        <w:rPr>
          <w:rFonts w:hint="eastAsia" w:ascii="宋体" w:hAnsi="宋体"/>
          <w:color w:val="auto"/>
          <w:szCs w:val="21"/>
          <w:lang w:eastAsia="zh-CN"/>
        </w:rPr>
        <w:t>：供应商登录广西政府采购云平台（https://www.gcy.zfcg.gxzf.gov.cn/）在线申请获取采购文件（进入“项目采购”应用，在获取采购文件菜单中选择项目，申请获取采购文件）。</w:t>
      </w:r>
    </w:p>
    <w:p w14:paraId="3180DFDA">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21" w:name="_Toc18110"/>
      <w:bookmarkStart w:id="22" w:name="_Toc28359092"/>
      <w:bookmarkStart w:id="23" w:name="_Toc28359015"/>
      <w:bookmarkStart w:id="24" w:name="_Toc35393632"/>
      <w:bookmarkStart w:id="25" w:name="_Toc28970"/>
      <w:bookmarkStart w:id="26" w:name="_Toc35393801"/>
      <w:r>
        <w:rPr>
          <w:rFonts w:hint="eastAsia" w:ascii="宋体" w:hAnsi="宋体" w:eastAsia="宋体" w:cs="宋体"/>
          <w:bCs w:val="0"/>
          <w:color w:val="auto"/>
          <w:sz w:val="21"/>
          <w:szCs w:val="21"/>
        </w:rPr>
        <w:t>四、响应文件提交</w:t>
      </w:r>
      <w:bookmarkEnd w:id="21"/>
      <w:bookmarkEnd w:id="22"/>
      <w:bookmarkEnd w:id="23"/>
      <w:bookmarkEnd w:id="24"/>
      <w:bookmarkEnd w:id="25"/>
      <w:bookmarkEnd w:id="26"/>
    </w:p>
    <w:p w14:paraId="1B42B6FE">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cs="宋体"/>
          <w:color w:val="auto"/>
          <w:szCs w:val="21"/>
          <w:u w:val="none"/>
          <w:lang w:eastAsia="zh-CN"/>
        </w:rPr>
      </w:pPr>
      <w:r>
        <w:rPr>
          <w:rFonts w:hint="eastAsia" w:ascii="宋体" w:hAnsi="宋体"/>
          <w:bCs/>
          <w:color w:val="auto"/>
          <w:szCs w:val="21"/>
          <w:u w:val="none"/>
        </w:rPr>
        <w:t>截止时间：</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04</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18 </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bCs/>
          <w:color w:val="auto"/>
          <w:szCs w:val="21"/>
          <w:u w:val="none"/>
        </w:rPr>
        <w:t>（北京时间）</w:t>
      </w:r>
    </w:p>
    <w:p w14:paraId="0D67B38B">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ascii="宋体" w:hAnsi="宋体" w:cs="宋体"/>
          <w:bCs/>
          <w:color w:val="auto"/>
          <w:szCs w:val="21"/>
          <w:u w:val="none"/>
        </w:rPr>
      </w:pPr>
      <w:r>
        <w:rPr>
          <w:rFonts w:hint="eastAsia" w:ascii="宋体" w:hAnsi="宋体"/>
          <w:color w:val="auto"/>
          <w:szCs w:val="21"/>
          <w:u w:val="none"/>
        </w:rPr>
        <w:t>地点（网址）：</w:t>
      </w:r>
      <w:r>
        <w:rPr>
          <w:rFonts w:hint="eastAsia" w:ascii="宋体" w:hAnsi="宋体"/>
          <w:color w:val="auto"/>
          <w:szCs w:val="21"/>
          <w:u w:val="none"/>
          <w:lang w:eastAsia="zh-CN"/>
        </w:rPr>
        <w:t>通过广西政府采购云平台（https://www.gcy.zfcg.gxzf.gov.cn/）在线响应</w:t>
      </w:r>
    </w:p>
    <w:p w14:paraId="7EC5643C">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27" w:name="_Toc24973"/>
      <w:bookmarkStart w:id="28" w:name="_Toc28359016"/>
      <w:bookmarkStart w:id="29" w:name="_Toc35393802"/>
      <w:bookmarkStart w:id="30" w:name="_Toc28359093"/>
      <w:bookmarkStart w:id="31" w:name="_Toc35393633"/>
      <w:bookmarkStart w:id="32" w:name="_Toc3197"/>
      <w:r>
        <w:rPr>
          <w:rFonts w:hint="eastAsia" w:ascii="宋体" w:hAnsi="宋体" w:eastAsia="宋体" w:cs="宋体"/>
          <w:bCs w:val="0"/>
          <w:color w:val="auto"/>
          <w:sz w:val="21"/>
          <w:szCs w:val="21"/>
          <w:u w:val="none"/>
        </w:rPr>
        <w:t>五、响应文件开启</w:t>
      </w:r>
      <w:bookmarkEnd w:id="27"/>
      <w:bookmarkEnd w:id="28"/>
      <w:bookmarkEnd w:id="29"/>
      <w:bookmarkEnd w:id="30"/>
      <w:bookmarkEnd w:id="31"/>
      <w:bookmarkEnd w:id="32"/>
    </w:p>
    <w:p w14:paraId="0B5BF208">
      <w:pPr>
        <w:keepNext w:val="0"/>
        <w:keepLines w:val="0"/>
        <w:pageBreakBefore w:val="0"/>
        <w:widowControl w:val="0"/>
        <w:kinsoku/>
        <w:wordWrap/>
        <w:overflowPunct/>
        <w:topLinePunct w:val="0"/>
        <w:autoSpaceDE/>
        <w:autoSpaceDN/>
        <w:bidi w:val="0"/>
        <w:adjustRightInd/>
        <w:spacing w:line="420" w:lineRule="exact"/>
        <w:ind w:left="0" w:leftChars="0" w:firstLine="367" w:firstLineChars="175"/>
        <w:textAlignment w:val="auto"/>
        <w:rPr>
          <w:rFonts w:hint="eastAsia" w:ascii="宋体" w:hAnsi="宋体" w:eastAsia="宋体"/>
          <w:bCs/>
          <w:color w:val="auto"/>
          <w:szCs w:val="21"/>
          <w:u w:val="none"/>
          <w:lang w:eastAsia="zh-CN"/>
        </w:rPr>
      </w:pPr>
      <w:r>
        <w:rPr>
          <w:rFonts w:hint="eastAsia" w:ascii="宋体" w:hAnsi="宋体"/>
          <w:bCs/>
          <w:color w:val="auto"/>
          <w:szCs w:val="21"/>
          <w:u w:val="none"/>
        </w:rPr>
        <w:t>开启时间：</w:t>
      </w:r>
      <w:r>
        <w:rPr>
          <w:rFonts w:hint="eastAsia" w:ascii="宋体" w:hAnsi="宋体" w:cs="宋体"/>
          <w:color w:val="auto"/>
          <w:szCs w:val="21"/>
          <w:u w:val="single"/>
          <w:lang w:eastAsia="zh-CN"/>
        </w:rPr>
        <w:t>2025年</w:t>
      </w:r>
      <w:r>
        <w:rPr>
          <w:rFonts w:hint="eastAsia" w:ascii="宋体" w:hAnsi="宋体" w:cs="宋体"/>
          <w:color w:val="auto"/>
          <w:szCs w:val="21"/>
          <w:u w:val="single"/>
          <w:lang w:val="en-US" w:eastAsia="zh-CN"/>
        </w:rPr>
        <w:t>04</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18 </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bCs/>
          <w:color w:val="auto"/>
          <w:szCs w:val="21"/>
          <w:u w:val="none"/>
        </w:rPr>
        <w:t>（北京时间）</w:t>
      </w:r>
    </w:p>
    <w:p w14:paraId="13EC07C6">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eastAsia="宋体" w:cs="宋体"/>
          <w:bCs/>
          <w:color w:val="auto"/>
          <w:szCs w:val="21"/>
          <w:u w:val="none"/>
          <w:lang w:eastAsia="zh-CN"/>
        </w:rPr>
      </w:pPr>
      <w:r>
        <w:rPr>
          <w:rFonts w:hint="eastAsia" w:ascii="宋体" w:hAnsi="宋体"/>
          <w:bCs/>
          <w:color w:val="auto"/>
          <w:szCs w:val="21"/>
          <w:u w:val="none"/>
        </w:rPr>
        <w:t>地点：</w:t>
      </w:r>
      <w:r>
        <w:rPr>
          <w:rFonts w:hint="eastAsia" w:ascii="宋体" w:hAnsi="宋体"/>
          <w:bCs/>
          <w:color w:val="auto"/>
          <w:szCs w:val="21"/>
          <w:u w:val="none"/>
          <w:lang w:eastAsia="zh-CN"/>
        </w:rPr>
        <w:t>“广西政府采购云”平台</w:t>
      </w:r>
      <w:r>
        <w:rPr>
          <w:rFonts w:hint="eastAsia" w:ascii="宋体" w:hAnsi="宋体"/>
          <w:bCs/>
          <w:color w:val="auto"/>
          <w:szCs w:val="21"/>
          <w:u w:val="none"/>
        </w:rPr>
        <w:t>电子开标大厅在线解密开启 </w:t>
      </w:r>
    </w:p>
    <w:p w14:paraId="06BA3E55">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u w:val="none"/>
        </w:rPr>
      </w:pPr>
      <w:bookmarkStart w:id="33" w:name="_Toc17419"/>
      <w:bookmarkStart w:id="34" w:name="_Toc5452"/>
      <w:bookmarkStart w:id="35" w:name="_Toc35393634"/>
      <w:bookmarkStart w:id="36" w:name="_Toc28359017"/>
      <w:bookmarkStart w:id="37" w:name="_Toc35393803"/>
      <w:bookmarkStart w:id="38" w:name="_Toc28359094"/>
      <w:r>
        <w:rPr>
          <w:rFonts w:hint="eastAsia" w:ascii="宋体" w:hAnsi="宋体" w:eastAsia="宋体" w:cs="宋体"/>
          <w:bCs w:val="0"/>
          <w:color w:val="auto"/>
          <w:sz w:val="21"/>
          <w:szCs w:val="21"/>
          <w:u w:val="none"/>
        </w:rPr>
        <w:t>六、公告期限</w:t>
      </w:r>
      <w:bookmarkEnd w:id="33"/>
      <w:bookmarkEnd w:id="34"/>
      <w:bookmarkEnd w:id="35"/>
      <w:bookmarkEnd w:id="36"/>
      <w:bookmarkEnd w:id="37"/>
      <w:bookmarkEnd w:id="38"/>
    </w:p>
    <w:p w14:paraId="446064D2">
      <w:pPr>
        <w:pageBreakBefore w:val="0"/>
        <w:widowControl w:val="0"/>
        <w:kinsoku/>
        <w:wordWrap/>
        <w:overflowPunct/>
        <w:topLinePunct w:val="0"/>
        <w:bidi w:val="0"/>
        <w:adjustRightInd/>
        <w:spacing w:line="420" w:lineRule="exact"/>
        <w:ind w:firstLine="420" w:firstLineChars="200"/>
        <w:textAlignment w:val="auto"/>
        <w:rPr>
          <w:rFonts w:ascii="宋体" w:hAnsi="宋体" w:cs="宋体"/>
          <w:color w:val="auto"/>
          <w:szCs w:val="21"/>
        </w:rPr>
      </w:pPr>
      <w:r>
        <w:rPr>
          <w:rFonts w:hint="eastAsia" w:ascii="宋体" w:hAnsi="宋体" w:cs="宋体"/>
          <w:color w:val="auto"/>
          <w:szCs w:val="21"/>
        </w:rPr>
        <w:t>自本公告发布之日起5个工作日。</w:t>
      </w:r>
    </w:p>
    <w:p w14:paraId="6085E9C0">
      <w:pPr>
        <w:pStyle w:val="4"/>
        <w:pageBreakBefore w:val="0"/>
        <w:widowControl w:val="0"/>
        <w:kinsoku/>
        <w:wordWrap/>
        <w:overflowPunct/>
        <w:topLinePunct w:val="0"/>
        <w:bidi w:val="0"/>
        <w:adjustRightInd/>
        <w:spacing w:line="420" w:lineRule="exact"/>
        <w:textAlignment w:val="auto"/>
        <w:outlineLvl w:val="0"/>
        <w:rPr>
          <w:rFonts w:ascii="宋体" w:hAnsi="宋体" w:eastAsia="宋体" w:cs="宋体"/>
          <w:bCs w:val="0"/>
          <w:color w:val="auto"/>
          <w:sz w:val="21"/>
          <w:szCs w:val="21"/>
        </w:rPr>
      </w:pPr>
      <w:bookmarkStart w:id="39" w:name="_Toc26297"/>
      <w:bookmarkStart w:id="40" w:name="_Toc35393804"/>
      <w:bookmarkStart w:id="41" w:name="_Toc35393635"/>
      <w:bookmarkStart w:id="42" w:name="_Toc321"/>
      <w:r>
        <w:rPr>
          <w:rFonts w:hint="eastAsia" w:ascii="宋体" w:hAnsi="宋体" w:eastAsia="宋体" w:cs="宋体"/>
          <w:bCs w:val="0"/>
          <w:color w:val="auto"/>
          <w:sz w:val="21"/>
          <w:szCs w:val="21"/>
        </w:rPr>
        <w:t>七、其他补充事宜</w:t>
      </w:r>
      <w:bookmarkEnd w:id="39"/>
      <w:bookmarkEnd w:id="40"/>
      <w:bookmarkEnd w:id="41"/>
      <w:bookmarkEnd w:id="42"/>
    </w:p>
    <w:p w14:paraId="15585D1E">
      <w:pPr>
        <w:pageBreakBefore w:val="0"/>
        <w:widowControl w:val="0"/>
        <w:kinsoku/>
        <w:wordWrap/>
        <w:overflowPunct/>
        <w:topLinePunct w:val="0"/>
        <w:bidi w:val="0"/>
        <w:adjustRightInd/>
        <w:spacing w:line="420" w:lineRule="exact"/>
        <w:ind w:firstLine="420" w:firstLineChars="200"/>
        <w:textAlignment w:val="auto"/>
        <w:rPr>
          <w:rFonts w:hint="eastAsia" w:ascii="宋体" w:hAnsi="宋体"/>
          <w:color w:val="auto"/>
          <w:szCs w:val="21"/>
          <w:u w:val="none"/>
        </w:rPr>
      </w:pPr>
      <w:bookmarkStart w:id="43" w:name="_Toc35393636"/>
      <w:bookmarkStart w:id="44" w:name="_Toc28359095"/>
      <w:bookmarkStart w:id="45" w:name="_Toc28359018"/>
      <w:bookmarkStart w:id="46" w:name="_Toc35393805"/>
      <w:r>
        <w:rPr>
          <w:rFonts w:hint="eastAsia" w:ascii="宋体" w:hAnsi="宋体" w:cs="宋体"/>
          <w:b w:val="0"/>
          <w:bCs w:val="0"/>
          <w:color w:val="auto"/>
          <w:szCs w:val="21"/>
          <w:lang w:val="en-US" w:eastAsia="zh-CN"/>
        </w:rPr>
        <w:t>1</w:t>
      </w:r>
      <w:r>
        <w:rPr>
          <w:rFonts w:hint="eastAsia" w:ascii="宋体" w:hAnsi="宋体" w:cs="宋体"/>
          <w:b w:val="0"/>
          <w:bCs w:val="0"/>
          <w:color w:val="auto"/>
          <w:szCs w:val="21"/>
        </w:rPr>
        <w:t>.</w:t>
      </w:r>
      <w:r>
        <w:rPr>
          <w:rFonts w:hint="eastAsia" w:hAnsi="宋体"/>
          <w:b w:val="0"/>
          <w:bCs w:val="0"/>
          <w:color w:val="auto"/>
        </w:rPr>
        <w:t>网上公告媒体查询：</w:t>
      </w:r>
      <w:r>
        <w:rPr>
          <w:rFonts w:hint="eastAsia" w:ascii="宋体" w:hAnsi="宋体"/>
          <w:color w:val="auto"/>
          <w:szCs w:val="21"/>
        </w:rPr>
        <w:t>广西壮族自治区政府采购网</w:t>
      </w:r>
      <w:r>
        <w:rPr>
          <w:rFonts w:hint="eastAsia" w:ascii="宋体" w:hAnsi="宋体"/>
          <w:color w:val="auto"/>
          <w:szCs w:val="21"/>
          <w:lang w:eastAsia="zh-CN"/>
        </w:rPr>
        <w:t>、</w:t>
      </w:r>
      <w:r>
        <w:rPr>
          <w:rFonts w:hint="eastAsia" w:ascii="宋体" w:hAnsi="宋体"/>
          <w:color w:val="auto"/>
          <w:szCs w:val="21"/>
          <w:u w:val="none"/>
        </w:rPr>
        <w:fldChar w:fldCharType="begin"/>
      </w:r>
      <w:r>
        <w:rPr>
          <w:rFonts w:hint="eastAsia" w:ascii="宋体" w:hAnsi="宋体"/>
          <w:color w:val="auto"/>
          <w:szCs w:val="21"/>
          <w:u w:val="none"/>
        </w:rPr>
        <w:instrText xml:space="preserve"> HYPERLINK "http://www.chinabidding.com.cn/（中国采购与招标网）" </w:instrText>
      </w:r>
      <w:r>
        <w:rPr>
          <w:rFonts w:hint="eastAsia" w:ascii="宋体" w:hAnsi="宋体"/>
          <w:color w:val="auto"/>
          <w:szCs w:val="21"/>
          <w:u w:val="none"/>
        </w:rPr>
        <w:fldChar w:fldCharType="separate"/>
      </w:r>
      <w:r>
        <w:rPr>
          <w:rStyle w:val="31"/>
          <w:rFonts w:hint="eastAsia" w:ascii="宋体" w:hAnsi="宋体"/>
          <w:color w:val="auto"/>
          <w:szCs w:val="21"/>
          <w:u w:val="none"/>
          <w:lang w:eastAsia="zh-CN"/>
        </w:rPr>
        <w:t>中国政府采购网</w:t>
      </w:r>
      <w:r>
        <w:rPr>
          <w:rFonts w:hint="eastAsia" w:ascii="宋体" w:hAnsi="宋体"/>
          <w:color w:val="auto"/>
          <w:szCs w:val="21"/>
          <w:u w:val="none"/>
        </w:rPr>
        <w:fldChar w:fldCharType="end"/>
      </w:r>
    </w:p>
    <w:p w14:paraId="1BC2BB46">
      <w:pPr>
        <w:pageBreakBefore w:val="0"/>
        <w:widowControl w:val="0"/>
        <w:kinsoku/>
        <w:wordWrap/>
        <w:overflowPunct/>
        <w:topLinePunct w:val="0"/>
        <w:bidi w:val="0"/>
        <w:adjustRightInd/>
        <w:spacing w:line="420" w:lineRule="exact"/>
        <w:ind w:firstLine="420" w:firstLineChars="200"/>
        <w:textAlignment w:val="auto"/>
        <w:rPr>
          <w:rFonts w:hint="default" w:hAnsi="宋体"/>
          <w:b w:val="0"/>
          <w:bCs w:val="0"/>
          <w:color w:val="auto"/>
          <w:lang w:val="en-US" w:eastAsia="zh-CN"/>
        </w:rPr>
      </w:pPr>
      <w:r>
        <w:rPr>
          <w:rFonts w:hint="eastAsia" w:ascii="宋体" w:hAnsi="宋体" w:cs="宋体"/>
          <w:b w:val="0"/>
          <w:bCs w:val="0"/>
          <w:color w:val="auto"/>
          <w:szCs w:val="21"/>
          <w:lang w:val="en-US" w:eastAsia="zh-CN"/>
        </w:rPr>
        <w:t>2.磋商保证金：无</w:t>
      </w:r>
    </w:p>
    <w:p w14:paraId="4835B273">
      <w:pPr>
        <w:pageBreakBefore w:val="0"/>
        <w:widowControl w:val="0"/>
        <w:kinsoku/>
        <w:wordWrap/>
        <w:overflowPunct/>
        <w:topLinePunct w:val="0"/>
        <w:bidi w:val="0"/>
        <w:adjustRightInd/>
        <w:spacing w:line="420" w:lineRule="exact"/>
        <w:ind w:firstLine="420" w:firstLineChars="200"/>
        <w:textAlignment w:val="auto"/>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lang w:val="en-US" w:eastAsia="zh-CN"/>
        </w:rPr>
        <w:t>3.供应商竞</w:t>
      </w:r>
      <w:r>
        <w:rPr>
          <w:rFonts w:hint="eastAsia" w:asciiTheme="minorEastAsia" w:hAnsiTheme="minorEastAsia" w:eastAsiaTheme="minorEastAsia" w:cstheme="minorEastAsia"/>
          <w:color w:val="auto"/>
          <w:kern w:val="0"/>
          <w:sz w:val="21"/>
          <w:szCs w:val="21"/>
          <w:highlight w:val="none"/>
        </w:rPr>
        <w:t>标注意事项</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693DBFC7">
      <w:pPr>
        <w:pageBreakBefore w:val="0"/>
        <w:widowControl w:val="0"/>
        <w:kinsoku/>
        <w:wordWrap/>
        <w:overflowPunct/>
        <w:topLinePunct w:val="0"/>
        <w:bidi w:val="0"/>
        <w:adjustRightInd/>
        <w:spacing w:line="440" w:lineRule="exact"/>
        <w:ind w:firstLine="315" w:firstLineChars="15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（1）本项目为全流程电子化采购项目，通过</w:t>
      </w:r>
      <w:r>
        <w:rPr>
          <w:rFonts w:hint="eastAsia" w:ascii="宋体" w:hAnsi="宋体"/>
          <w:color w:val="auto"/>
          <w:szCs w:val="21"/>
          <w:u w:val="none"/>
          <w:lang w:eastAsia="zh-CN"/>
        </w:rPr>
        <w:t>“</w:t>
      </w:r>
      <w:r>
        <w:rPr>
          <w:rFonts w:hint="eastAsia" w:ascii="宋体" w:hAnsi="宋体"/>
          <w:color w:val="auto"/>
          <w:szCs w:val="21"/>
          <w:lang w:eastAsia="zh-CN"/>
        </w:rPr>
        <w:t>广西政府采购云平台</w:t>
      </w:r>
      <w:r>
        <w:rPr>
          <w:rFonts w:hint="eastAsia" w:ascii="宋体" w:hAnsi="宋体"/>
          <w:color w:val="auto"/>
          <w:szCs w:val="21"/>
          <w:u w:val="none"/>
          <w:lang w:eastAsia="zh-CN"/>
        </w:rPr>
        <w:t>”（</w:t>
      </w:r>
      <w:r>
        <w:rPr>
          <w:rFonts w:hint="eastAsia" w:ascii="宋体" w:hAnsi="宋体"/>
          <w:color w:val="auto"/>
          <w:szCs w:val="21"/>
          <w:lang w:eastAsia="zh-CN"/>
        </w:rPr>
        <w:t>https://www.gcy.zfcg.gxzf.gov.cn/</w:t>
      </w:r>
      <w:r>
        <w:rPr>
          <w:rFonts w:hint="eastAsia" w:ascii="宋体" w:hAnsi="宋体"/>
          <w:color w:val="auto"/>
          <w:szCs w:val="21"/>
          <w:u w:val="none"/>
          <w:lang w:eastAsia="zh-CN"/>
        </w:rPr>
        <w:t>）</w:t>
      </w:r>
      <w:r>
        <w:rPr>
          <w:rFonts w:hint="eastAsia" w:ascii="宋体" w:hAnsi="宋体" w:eastAsia="宋体" w:cs="宋体"/>
          <w:color w:val="auto"/>
          <w:kern w:val="0"/>
          <w:sz w:val="21"/>
          <w:szCs w:val="21"/>
          <w:highlight w:val="none"/>
        </w:rPr>
        <w:t>实行在线电子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应先安装“广西政府采购云平台新版客户端”（新版客户端下载路径：请自行前往广西政府采购网（访问地址http://zfcg.gxzf.gov.cn/）—办事服务—下载专区），并按照本项目</w:t>
      </w:r>
      <w:r>
        <w:rPr>
          <w:rFonts w:hint="eastAsia" w:ascii="宋体" w:hAnsi="宋体" w:eastAsia="宋体" w:cs="宋体"/>
          <w:color w:val="auto"/>
          <w:kern w:val="0"/>
          <w:sz w:val="21"/>
          <w:szCs w:val="21"/>
          <w:highlight w:val="none"/>
          <w:lang w:eastAsia="zh-CN"/>
        </w:rPr>
        <w:t>竞争性磋商</w:t>
      </w:r>
      <w:r>
        <w:rPr>
          <w:rFonts w:hint="eastAsia" w:ascii="宋体" w:hAnsi="宋体" w:eastAsia="宋体" w:cs="宋体"/>
          <w:color w:val="auto"/>
          <w:kern w:val="0"/>
          <w:sz w:val="21"/>
          <w:szCs w:val="21"/>
          <w:highlight w:val="none"/>
        </w:rPr>
        <w:t>文件和“</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”的要求编制、加密后在</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标截止时间前通过网络上传至 “</w:t>
      </w:r>
      <w:r>
        <w:rPr>
          <w:rFonts w:hint="eastAsia" w:ascii="宋体" w:hAnsi="宋体"/>
          <w:color w:val="auto"/>
          <w:szCs w:val="21"/>
          <w:lang w:eastAsia="zh-CN"/>
        </w:rPr>
        <w:t>广西政府采购云平台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提交电子</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文件时，请填写参加远程开标活动经办人联系方式。</w:t>
      </w:r>
      <w:r>
        <w:rPr>
          <w:rFonts w:hint="eastAsia" w:ascii="宋体" w:hAnsi="宋体" w:eastAsia="宋体" w:cs="宋体"/>
          <w:color w:val="auto"/>
          <w:kern w:val="0"/>
          <w:sz w:val="21"/>
          <w:szCs w:val="21"/>
          <w:highlight w:val="none"/>
          <w:lang w:eastAsia="zh-CN"/>
        </w:rPr>
        <w:t>供应商</w:t>
      </w:r>
      <w:r>
        <w:rPr>
          <w:rFonts w:hint="eastAsia" w:ascii="宋体" w:hAnsi="宋体" w:eastAsia="宋体" w:cs="宋体"/>
          <w:color w:val="auto"/>
          <w:kern w:val="0"/>
          <w:sz w:val="21"/>
          <w:szCs w:val="21"/>
          <w:highlight w:val="none"/>
        </w:rPr>
        <w:t>登录</w:t>
      </w:r>
      <w:r>
        <w:rPr>
          <w:rFonts w:hint="eastAsia" w:ascii="宋体" w:hAnsi="宋体" w:eastAsia="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，依次进入“服务中心-项目采购-操作流程-电子招投标-政府采购项目电子交易管理操作指南-供应商”查看电子</w:t>
      </w:r>
      <w:r>
        <w:rPr>
          <w:rFonts w:hint="eastAsia" w:ascii="宋体" w:hAnsi="宋体" w:eastAsia="宋体" w:cs="宋体"/>
          <w:color w:val="auto"/>
          <w:kern w:val="0"/>
          <w:sz w:val="21"/>
          <w:szCs w:val="21"/>
          <w:highlight w:val="none"/>
          <w:lang w:eastAsia="zh-CN"/>
        </w:rPr>
        <w:t>竞</w:t>
      </w:r>
      <w:r>
        <w:rPr>
          <w:rFonts w:hint="eastAsia" w:ascii="宋体" w:hAnsi="宋体" w:eastAsia="宋体" w:cs="宋体"/>
          <w:color w:val="auto"/>
          <w:kern w:val="0"/>
          <w:sz w:val="21"/>
          <w:szCs w:val="21"/>
          <w:highlight w:val="none"/>
        </w:rPr>
        <w:t>标具体操作流程。</w:t>
      </w:r>
    </w:p>
    <w:p w14:paraId="21153255">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（2）未进行网上注册并办理数字证书（CA认证）的</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将无法参与本项目政府采购活动，</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标截止时间前，完成电子交易平台上的CA数字证书办理及</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文件的提交（</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可登录“广西政府采购网”，依次进入“办事服务-下载专区”或者登陆</w:t>
      </w:r>
      <w:r>
        <w:rPr>
          <w:rFonts w:hint="eastAsia" w:asciiTheme="minorEastAsia" w:hAnsiTheme="minorEastAsia" w:eastAsiaTheme="minorEastAsia" w:cstheme="minorEastAsia"/>
          <w:color w:val="auto"/>
          <w:kern w:val="0"/>
          <w:sz w:val="21"/>
          <w:szCs w:val="21"/>
          <w:highlight w:val="none"/>
          <w:lang w:eastAsia="zh-CN"/>
        </w:rPr>
        <w:t>“广西政府采购云”平台</w:t>
      </w:r>
      <w:r>
        <w:rPr>
          <w:rFonts w:hint="eastAsia" w:asciiTheme="minorEastAsia" w:hAnsiTheme="minorEastAsia" w:eastAsiaTheme="minorEastAsia" w:cstheme="minorEastAsia"/>
          <w:color w:val="auto"/>
          <w:kern w:val="0"/>
          <w:sz w:val="21"/>
          <w:szCs w:val="21"/>
          <w:highlight w:val="none"/>
        </w:rPr>
        <w:t>，依次进入“服务中心-入驻与配置”中查看CA数字证书办理操作流程。如在操作过程中遇到问题或者需要技术支持，请致电政采云客服热线：</w:t>
      </w:r>
      <w:r>
        <w:rPr>
          <w:rFonts w:hint="eastAsia" w:asciiTheme="minorEastAsia" w:hAnsiTheme="minorEastAsia" w:eastAsiaTheme="minorEastAsia" w:cstheme="minorEastAsia"/>
          <w:color w:val="auto"/>
          <w:kern w:val="0"/>
          <w:sz w:val="21"/>
          <w:szCs w:val="21"/>
          <w:highlight w:val="none"/>
          <w:lang w:eastAsia="zh-CN"/>
        </w:rPr>
        <w:t>95763</w:t>
      </w:r>
      <w:r>
        <w:rPr>
          <w:rFonts w:hint="eastAsia" w:asciiTheme="minorEastAsia" w:hAnsiTheme="minorEastAsia" w:eastAsiaTheme="minorEastAsia" w:cstheme="minorEastAsia"/>
          <w:color w:val="auto"/>
          <w:kern w:val="0"/>
          <w:sz w:val="21"/>
          <w:szCs w:val="21"/>
          <w:highlight w:val="none"/>
        </w:rPr>
        <w:t>）。</w:t>
      </w:r>
    </w:p>
    <w:p w14:paraId="2C456234">
      <w:pPr>
        <w:pageBreakBefore w:val="0"/>
        <w:widowControl w:val="0"/>
        <w:kinsoku/>
        <w:wordWrap/>
        <w:overflowPunct/>
        <w:topLinePunct w:val="0"/>
        <w:bidi w:val="0"/>
        <w:adjustRightInd/>
        <w:spacing w:line="420" w:lineRule="exact"/>
        <w:ind w:firstLine="315" w:firstLineChars="15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（3）CA证书在线解密：</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投标时，需凭制作</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文件时用来加密的有效数字证书（CA认证）登录</w:t>
      </w:r>
      <w:r>
        <w:rPr>
          <w:rFonts w:hint="eastAsia" w:asciiTheme="minorEastAsia" w:hAnsiTheme="minorEastAsia" w:eastAsiaTheme="minorEastAsia" w:cstheme="minorEastAsia"/>
          <w:color w:val="auto"/>
          <w:kern w:val="0"/>
          <w:sz w:val="21"/>
          <w:szCs w:val="21"/>
          <w:highlight w:val="none"/>
          <w:lang w:eastAsia="zh-CN"/>
        </w:rPr>
        <w:t>“广西政府采购云”平台</w:t>
      </w:r>
      <w:r>
        <w:rPr>
          <w:rFonts w:hint="eastAsia" w:asciiTheme="minorEastAsia" w:hAnsiTheme="minorEastAsia" w:eastAsiaTheme="minorEastAsia" w:cstheme="minorEastAsia"/>
          <w:color w:val="auto"/>
          <w:kern w:val="0"/>
          <w:sz w:val="21"/>
          <w:szCs w:val="21"/>
          <w:highlight w:val="none"/>
        </w:rPr>
        <w:t>电子开标大厅现场按规定时间对加密的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文件进行解密，否则后果自负。</w:t>
      </w:r>
    </w:p>
    <w:p w14:paraId="3D905853">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ascii="宋体" w:hAnsi="宋体" w:eastAsia="宋体" w:cs="宋体"/>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注：1）为确保网上操作合法、有效和安全，请</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确保在电子投标过程中能够对相关数据电文进行加密和使用电子签章，妥善保管CA数字证书并使用有效的CA数字证书参与整个</w:t>
      </w:r>
      <w:r>
        <w:rPr>
          <w:rFonts w:hint="eastAsia" w:asciiTheme="minorEastAsia" w:hAnsiTheme="minorEastAsia" w:eastAsiaTheme="minorEastAsia" w:cstheme="minorEastAsia"/>
          <w:color w:val="auto"/>
          <w:kern w:val="0"/>
          <w:sz w:val="21"/>
          <w:szCs w:val="21"/>
          <w:highlight w:val="none"/>
          <w:lang w:eastAsia="zh-CN"/>
        </w:rPr>
        <w:t>采购</w:t>
      </w:r>
      <w:r>
        <w:rPr>
          <w:rFonts w:hint="eastAsia" w:asciiTheme="minorEastAsia" w:hAnsiTheme="minorEastAsia" w:eastAsiaTheme="minorEastAsia" w:cstheme="minorEastAsia"/>
          <w:color w:val="auto"/>
          <w:kern w:val="0"/>
          <w:sz w:val="21"/>
          <w:szCs w:val="21"/>
          <w:highlight w:val="none"/>
        </w:rPr>
        <w:t>活动。2）</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应当在</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标截止时间前完成电子</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文件的上传、提交，</w:t>
      </w:r>
      <w:r>
        <w:rPr>
          <w:rFonts w:hint="eastAsia" w:asciiTheme="minorEastAsia" w:hAnsiTheme="minorEastAsia" w:eastAsiaTheme="minorEastAsia" w:cstheme="minorEastAsia"/>
          <w:color w:val="auto"/>
          <w:kern w:val="0"/>
          <w:sz w:val="21"/>
          <w:szCs w:val="21"/>
          <w:highlight w:val="none"/>
          <w:lang w:eastAsia="zh-CN"/>
        </w:rPr>
        <w:t>竞</w:t>
      </w:r>
      <w:r>
        <w:rPr>
          <w:rFonts w:hint="eastAsia" w:asciiTheme="minorEastAsia" w:hAnsiTheme="minorEastAsia" w:eastAsiaTheme="minorEastAsia" w:cstheme="minorEastAsia"/>
          <w:color w:val="auto"/>
          <w:kern w:val="0"/>
          <w:sz w:val="21"/>
          <w:szCs w:val="21"/>
          <w:highlight w:val="none"/>
        </w:rPr>
        <w:t>标截止时间前可以补充、修改或者撤回</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w:t>
      </w:r>
      <w:r>
        <w:rPr>
          <w:rFonts w:hint="eastAsia" w:ascii="宋体" w:hAnsi="宋体" w:eastAsia="宋体" w:cs="宋体"/>
          <w:color w:val="auto"/>
          <w:kern w:val="0"/>
          <w:sz w:val="21"/>
          <w:szCs w:val="21"/>
          <w:highlight w:val="none"/>
        </w:rPr>
        <w:t>件。补充或者修改</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文件的，应当先行撤回原</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文件，补充、修改后重新上传、提交，</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截止时间前未完成上传、提交的，视为撤回</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eastAsia="zh-CN"/>
        </w:rPr>
        <w:t>提交响应文件</w:t>
      </w:r>
      <w:r>
        <w:rPr>
          <w:rFonts w:hint="eastAsia" w:ascii="宋体" w:hAnsi="宋体" w:eastAsia="宋体" w:cs="宋体"/>
          <w:color w:val="auto"/>
          <w:kern w:val="0"/>
          <w:sz w:val="21"/>
          <w:szCs w:val="21"/>
          <w:highlight w:val="none"/>
        </w:rPr>
        <w:t>截止时间以后上传递交的</w:t>
      </w:r>
      <w:r>
        <w:rPr>
          <w:rFonts w:hint="eastAsia" w:ascii="宋体" w:hAnsi="宋体" w:eastAsia="宋体" w:cs="宋体"/>
          <w:color w:val="auto"/>
          <w:kern w:val="0"/>
          <w:sz w:val="21"/>
          <w:szCs w:val="21"/>
          <w:highlight w:val="none"/>
          <w:lang w:eastAsia="zh-CN"/>
        </w:rPr>
        <w:t>响应</w:t>
      </w:r>
      <w:r>
        <w:rPr>
          <w:rFonts w:hint="eastAsia" w:ascii="宋体" w:hAnsi="宋体" w:eastAsia="宋体" w:cs="宋体"/>
          <w:color w:val="auto"/>
          <w:kern w:val="0"/>
          <w:sz w:val="21"/>
          <w:szCs w:val="21"/>
          <w:highlight w:val="none"/>
        </w:rPr>
        <w:t>文件，</w:t>
      </w:r>
      <w:r>
        <w:rPr>
          <w:rFonts w:hint="eastAsia" w:ascii="宋体" w:hAnsi="宋体" w:cs="宋体"/>
          <w:color w:val="auto"/>
          <w:kern w:val="0"/>
          <w:sz w:val="21"/>
          <w:szCs w:val="21"/>
          <w:highlight w:val="none"/>
          <w:lang w:eastAsia="zh-CN"/>
        </w:rPr>
        <w:t>“广西政府采购云”平台</w:t>
      </w:r>
      <w:r>
        <w:rPr>
          <w:rFonts w:hint="eastAsia" w:ascii="宋体" w:hAnsi="宋体" w:eastAsia="宋体" w:cs="宋体"/>
          <w:color w:val="auto"/>
          <w:kern w:val="0"/>
          <w:sz w:val="21"/>
          <w:szCs w:val="21"/>
          <w:highlight w:val="none"/>
        </w:rPr>
        <w:t>将予以拒收。</w:t>
      </w:r>
    </w:p>
    <w:p w14:paraId="6EA044BB">
      <w:pPr>
        <w:pStyle w:val="35"/>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20" w:firstLineChars="200"/>
        <w:textAlignment w:val="auto"/>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（4）供应商需要在具备有摄像头及语音功能且互联网网络状况良好的电脑登录</w:t>
      </w:r>
      <w:r>
        <w:rPr>
          <w:rFonts w:hint="eastAsia" w:ascii="宋体" w:hAnsi="宋体" w:cs="宋体"/>
          <w:bCs w:val="0"/>
          <w:color w:val="auto"/>
          <w:spacing w:val="0"/>
          <w:kern w:val="0"/>
          <w:sz w:val="21"/>
          <w:szCs w:val="21"/>
          <w:highlight w:val="none"/>
          <w:lang w:val="en-US" w:eastAsia="zh-CN" w:bidi="ar-SA"/>
        </w:rPr>
        <w:t>“广西政府采购云”平台</w:t>
      </w:r>
      <w:r>
        <w:rPr>
          <w:rFonts w:hint="eastAsia" w:ascii="宋体" w:hAnsi="宋体" w:eastAsia="宋体" w:cs="宋体"/>
          <w:bCs w:val="0"/>
          <w:color w:val="auto"/>
          <w:spacing w:val="0"/>
          <w:kern w:val="0"/>
          <w:sz w:val="21"/>
          <w:szCs w:val="21"/>
          <w:highlight w:val="none"/>
          <w:lang w:val="en-US" w:eastAsia="zh-CN" w:bidi="ar-SA"/>
        </w:rPr>
        <w:t>远程开标大厅参与本次磋商，否则后果自负。</w:t>
      </w:r>
    </w:p>
    <w:p w14:paraId="00F33D4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若对项目采购电子交易系统操作有疑问，可登录</w:t>
      </w:r>
      <w:r>
        <w:rPr>
          <w:rFonts w:hint="eastAsia" w:ascii="宋体" w:hAnsi="宋体" w:cs="宋体"/>
          <w:color w:val="auto"/>
          <w:kern w:val="0"/>
          <w:sz w:val="21"/>
          <w:szCs w:val="21"/>
          <w:highlight w:val="none"/>
          <w:lang w:eastAsia="zh-CN"/>
        </w:rPr>
        <w:t>广西政府采购云平台（https://www.gcy.zfcg.gxzf.gov.cn/）</w:t>
      </w:r>
      <w:r>
        <w:rPr>
          <w:rFonts w:hint="eastAsia" w:ascii="宋体" w:hAnsi="宋体" w:eastAsia="宋体" w:cs="宋体"/>
          <w:color w:val="auto"/>
          <w:kern w:val="0"/>
          <w:sz w:val="21"/>
          <w:szCs w:val="21"/>
          <w:highlight w:val="none"/>
        </w:rPr>
        <w:t>，点击右侧咨询小采，获取采小蜜智能服务管家帮助，或拨打政采云服务热线</w:t>
      </w:r>
      <w:r>
        <w:rPr>
          <w:rFonts w:hint="eastAsia" w:ascii="宋体" w:hAnsi="宋体" w:cs="宋体"/>
          <w:color w:val="auto"/>
          <w:kern w:val="0"/>
          <w:sz w:val="21"/>
          <w:szCs w:val="21"/>
          <w:highlight w:val="none"/>
          <w:lang w:eastAsia="zh-CN"/>
        </w:rPr>
        <w:t>95763</w:t>
      </w:r>
      <w:r>
        <w:rPr>
          <w:rFonts w:hint="eastAsia" w:ascii="宋体" w:hAnsi="宋体" w:eastAsia="宋体" w:cs="宋体"/>
          <w:color w:val="auto"/>
          <w:kern w:val="0"/>
          <w:sz w:val="21"/>
          <w:szCs w:val="21"/>
          <w:highlight w:val="none"/>
        </w:rPr>
        <w:t>获取热线服务帮助。</w:t>
      </w:r>
    </w:p>
    <w:p w14:paraId="7948BD07">
      <w:pPr>
        <w:pStyle w:val="4"/>
        <w:pageBreakBefore w:val="0"/>
        <w:widowControl w:val="0"/>
        <w:kinsoku/>
        <w:wordWrap/>
        <w:overflowPunct/>
        <w:topLinePunct w:val="0"/>
        <w:bidi w:val="0"/>
        <w:adjustRightInd/>
        <w:spacing w:line="360" w:lineRule="auto"/>
        <w:textAlignment w:val="auto"/>
        <w:outlineLvl w:val="0"/>
        <w:rPr>
          <w:rFonts w:hint="eastAsia" w:ascii="宋体" w:hAnsi="宋体" w:eastAsia="宋体" w:cs="宋体"/>
          <w:bCs w:val="0"/>
          <w:color w:val="auto"/>
          <w:sz w:val="21"/>
          <w:szCs w:val="21"/>
        </w:rPr>
      </w:pPr>
      <w:bookmarkStart w:id="47" w:name="_Toc23726"/>
      <w:bookmarkStart w:id="48" w:name="_Toc227"/>
      <w:r>
        <w:rPr>
          <w:rFonts w:hint="eastAsia" w:ascii="宋体" w:hAnsi="宋体" w:eastAsia="宋体" w:cs="宋体"/>
          <w:bCs w:val="0"/>
          <w:color w:val="auto"/>
          <w:sz w:val="21"/>
          <w:szCs w:val="21"/>
        </w:rPr>
        <w:t>八、凡对本次采购提出询问，请按以下方式联系</w:t>
      </w:r>
      <w:bookmarkEnd w:id="43"/>
      <w:bookmarkEnd w:id="44"/>
      <w:bookmarkEnd w:id="45"/>
      <w:bookmarkEnd w:id="46"/>
      <w:bookmarkEnd w:id="47"/>
      <w:bookmarkEnd w:id="48"/>
    </w:p>
    <w:p w14:paraId="43E3F7CB">
      <w:pPr>
        <w:pStyle w:val="4"/>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49" w:name="_Toc35393637"/>
      <w:bookmarkStart w:id="50" w:name="_Toc28359096"/>
      <w:bookmarkStart w:id="51" w:name="_Toc28359019"/>
      <w:bookmarkStart w:id="52" w:name="_Toc35393806"/>
      <w:r>
        <w:rPr>
          <w:rFonts w:hint="eastAsia" w:asciiTheme="minorEastAsia" w:hAnsiTheme="minorEastAsia" w:eastAsiaTheme="minorEastAsia" w:cstheme="minorEastAsia"/>
          <w:b w:val="0"/>
          <w:bCs w:val="0"/>
          <w:color w:val="auto"/>
          <w:kern w:val="0"/>
          <w:sz w:val="21"/>
          <w:szCs w:val="21"/>
          <w:highlight w:val="none"/>
          <w:lang w:val="en-US" w:eastAsia="zh-CN" w:bidi="ar-SA"/>
        </w:rPr>
        <w:t>1.采购人信息</w:t>
      </w:r>
      <w:bookmarkEnd w:id="49"/>
      <w:bookmarkEnd w:id="50"/>
      <w:bookmarkEnd w:id="51"/>
      <w:bookmarkEnd w:id="52"/>
    </w:p>
    <w:p w14:paraId="3B1E02B1">
      <w:pPr>
        <w:pageBreakBefore w:val="0"/>
        <w:widowControl w:val="0"/>
        <w:kinsoku/>
        <w:wordWrap/>
        <w:overflowPunct/>
        <w:topLinePunct w:val="0"/>
        <w:bidi w:val="0"/>
        <w:adjustRightInd/>
        <w:spacing w:line="360" w:lineRule="auto"/>
        <w:ind w:firstLine="840" w:firstLineChars="40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xml:space="preserve">名    称：钦州市钦北区民政局  </w:t>
      </w:r>
    </w:p>
    <w:p w14:paraId="37F65F2E">
      <w:pPr>
        <w:pStyle w:val="4"/>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bookmarkStart w:id="53" w:name="_Toc28359097"/>
      <w:bookmarkStart w:id="54" w:name="_Toc35393638"/>
      <w:bookmarkStart w:id="55" w:name="_Toc35393807"/>
      <w:bookmarkStart w:id="56" w:name="_Toc28359020"/>
      <w:r>
        <w:rPr>
          <w:rFonts w:hint="eastAsia" w:asciiTheme="minorEastAsia" w:hAnsiTheme="minorEastAsia" w:eastAsiaTheme="minorEastAsia" w:cstheme="minorEastAsia"/>
          <w:b w:val="0"/>
          <w:bCs w:val="0"/>
          <w:color w:val="auto"/>
          <w:kern w:val="0"/>
          <w:sz w:val="21"/>
          <w:szCs w:val="21"/>
          <w:highlight w:val="none"/>
          <w:lang w:val="en-US" w:eastAsia="zh-CN" w:bidi="ar-SA"/>
        </w:rPr>
        <w:t>地    址：钦州市钦北区行政中心钦北民政局</w:t>
      </w:r>
    </w:p>
    <w:p w14:paraId="3F0E8B6D">
      <w:pPr>
        <w:pStyle w:val="4"/>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联系方式：韦工 0777-</w:t>
      </w:r>
      <w:r>
        <w:rPr>
          <w:rFonts w:hint="eastAsia" w:asciiTheme="minorEastAsia" w:hAnsiTheme="minorEastAsia" w:eastAsiaTheme="minorEastAsia" w:cstheme="minorEastAsia"/>
          <w:b w:val="0"/>
          <w:bCs w:val="0"/>
          <w:color w:val="auto"/>
          <w:kern w:val="0"/>
          <w:sz w:val="21"/>
          <w:szCs w:val="21"/>
          <w:highlight w:val="none"/>
          <w:lang w:val="en-US" w:eastAsia="zh-CN" w:bidi="ar-SA"/>
        </w:rPr>
        <w:t>3685288</w:t>
      </w:r>
    </w:p>
    <w:p w14:paraId="737A8725">
      <w:pPr>
        <w:pStyle w:val="4"/>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2.采购代理机构信息</w:t>
      </w:r>
      <w:bookmarkEnd w:id="53"/>
      <w:bookmarkEnd w:id="54"/>
      <w:bookmarkEnd w:id="55"/>
      <w:bookmarkEnd w:id="56"/>
    </w:p>
    <w:p w14:paraId="74785D4E">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名    称：广西天明建筑咨询有限公司　</w:t>
      </w:r>
    </w:p>
    <w:p w14:paraId="65628B18">
      <w:pPr>
        <w:pageBreakBefore w:val="0"/>
        <w:widowControl w:val="0"/>
        <w:kinsoku/>
        <w:wordWrap/>
        <w:overflowPunct/>
        <w:topLinePunct w:val="0"/>
        <w:bidi w:val="0"/>
        <w:adjustRightInd/>
        <w:spacing w:line="360" w:lineRule="auto"/>
        <w:ind w:firstLine="840" w:firstLineChars="4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地　　址：</w:t>
      </w:r>
      <w:bookmarkStart w:id="57" w:name="_Toc28359021"/>
      <w:bookmarkStart w:id="58" w:name="_Toc28359098"/>
      <w:bookmarkStart w:id="59" w:name="_Toc35393639"/>
      <w:bookmarkStart w:id="60" w:name="_Toc35393808"/>
      <w:r>
        <w:rPr>
          <w:rFonts w:hint="eastAsia" w:asciiTheme="minorEastAsia" w:hAnsiTheme="minorEastAsia" w:eastAsiaTheme="minorEastAsia" w:cstheme="minorEastAsia"/>
          <w:b w:val="0"/>
          <w:bCs w:val="0"/>
          <w:color w:val="auto"/>
          <w:kern w:val="0"/>
          <w:sz w:val="21"/>
          <w:szCs w:val="21"/>
          <w:highlight w:val="none"/>
          <w:lang w:val="en-US" w:eastAsia="zh-CN" w:bidi="ar-SA"/>
        </w:rPr>
        <w:t>钦州市泥桥物流市场旁2栋四楼        </w:t>
      </w:r>
    </w:p>
    <w:p w14:paraId="3C6E0BCB">
      <w:pPr>
        <w:pStyle w:val="4"/>
        <w:pageBreakBefore w:val="0"/>
        <w:widowControl w:val="0"/>
        <w:kinsoku/>
        <w:wordWrap/>
        <w:overflowPunct/>
        <w:topLinePunct w:val="0"/>
        <w:bidi w:val="0"/>
        <w:adjustRightInd/>
        <w:spacing w:line="360" w:lineRule="auto"/>
        <w:ind w:firstLine="630" w:firstLineChars="300"/>
        <w:textAlignment w:val="auto"/>
        <w:rPr>
          <w:rFonts w:hint="default"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项目联系人：陆飞</w:t>
      </w:r>
      <w:r>
        <w:rPr>
          <w:rFonts w:hint="eastAsia" w:asciiTheme="minorEastAsia" w:hAnsiTheme="minorEastAsia" w:eastAsiaTheme="minorEastAsia" w:cstheme="minorEastAsia"/>
          <w:b w:val="0"/>
          <w:bCs w:val="0"/>
          <w:color w:val="auto"/>
          <w:kern w:val="0"/>
          <w:sz w:val="21"/>
          <w:szCs w:val="21"/>
          <w:highlight w:val="none"/>
          <w:lang w:val="en-US" w:eastAsia="zh-CN" w:bidi="ar-SA"/>
        </w:rPr>
        <w:tab/>
      </w:r>
    </w:p>
    <w:p w14:paraId="12B32A30">
      <w:pPr>
        <w:pStyle w:val="4"/>
        <w:pageBreakBefore w:val="0"/>
        <w:widowControl w:val="0"/>
        <w:kinsoku/>
        <w:wordWrap/>
        <w:overflowPunct/>
        <w:topLinePunct w:val="0"/>
        <w:bidi w:val="0"/>
        <w:adjustRightInd/>
        <w:spacing w:line="360" w:lineRule="auto"/>
        <w:ind w:firstLine="630" w:firstLineChars="300"/>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SA"/>
        </w:rPr>
        <w:t> 项目联系方式：</w:t>
      </w:r>
      <w:bookmarkEnd w:id="57"/>
      <w:bookmarkEnd w:id="58"/>
      <w:bookmarkEnd w:id="59"/>
      <w:bookmarkEnd w:id="60"/>
      <w:r>
        <w:rPr>
          <w:rFonts w:hint="eastAsia" w:asciiTheme="minorEastAsia" w:hAnsiTheme="minorEastAsia" w:eastAsiaTheme="minorEastAsia" w:cstheme="minorEastAsia"/>
          <w:b w:val="0"/>
          <w:bCs w:val="0"/>
          <w:color w:val="auto"/>
          <w:kern w:val="0"/>
          <w:sz w:val="21"/>
          <w:szCs w:val="21"/>
          <w:highlight w:val="none"/>
          <w:lang w:val="en-US" w:eastAsia="zh-CN" w:bidi="ar-SA"/>
        </w:rPr>
        <w:t>0777-5682186</w:t>
      </w:r>
    </w:p>
    <w:p w14:paraId="488113B5">
      <w:pPr>
        <w:pStyle w:val="37"/>
        <w:numPr>
          <w:ilvl w:val="0"/>
          <w:numId w:val="0"/>
        </w:numPr>
        <w:rPr>
          <w:rFonts w:hint="default"/>
          <w:color w:val="auto"/>
          <w:lang w:val="en-US" w:eastAsia="zh-CN"/>
        </w:rPr>
      </w:pPr>
    </w:p>
    <w:p w14:paraId="52C868D1">
      <w:pPr>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3DAB3F99">
      <w:pPr>
        <w:pStyle w:val="37"/>
        <w:rPr>
          <w:rFonts w:hint="eastAsia" w:asciiTheme="minorEastAsia" w:hAnsiTheme="minorEastAsia" w:eastAsiaTheme="minorEastAsia" w:cstheme="minorEastAsia"/>
          <w:b w:val="0"/>
          <w:bCs w:val="0"/>
          <w:color w:val="auto"/>
          <w:kern w:val="0"/>
          <w:sz w:val="21"/>
          <w:szCs w:val="21"/>
          <w:highlight w:val="none"/>
          <w:lang w:val="en-US" w:eastAsia="zh-CN" w:bidi="ar-SA"/>
        </w:rPr>
      </w:pPr>
    </w:p>
    <w:p w14:paraId="25B93BEE">
      <w:pPr>
        <w:pStyle w:val="37"/>
        <w:rPr>
          <w:rFonts w:hint="eastAsia" w:ascii="宋体" w:hAnsi="宋体" w:eastAsia="宋体" w:cs="宋体"/>
          <w:b w:val="0"/>
          <w:color w:val="auto"/>
          <w:sz w:val="21"/>
          <w:szCs w:val="21"/>
          <w:lang w:val="en-US" w:eastAsia="zh-CN"/>
        </w:rPr>
      </w:pPr>
    </w:p>
    <w:p w14:paraId="7BA69EC0">
      <w:pPr>
        <w:pStyle w:val="37"/>
        <w:rPr>
          <w:rFonts w:hint="eastAsia" w:ascii="宋体" w:hAnsi="宋体" w:eastAsia="宋体" w:cs="宋体"/>
          <w:b w:val="0"/>
          <w:color w:val="auto"/>
          <w:sz w:val="21"/>
          <w:szCs w:val="21"/>
          <w:lang w:val="en-US" w:eastAsia="zh-CN"/>
        </w:rPr>
      </w:pPr>
    </w:p>
    <w:p w14:paraId="7FBF614E">
      <w:pPr>
        <w:pStyle w:val="37"/>
        <w:rPr>
          <w:rFonts w:hint="eastAsia" w:ascii="宋体" w:hAnsi="宋体" w:eastAsia="宋体" w:cs="宋体"/>
          <w:b w:val="0"/>
          <w:color w:val="auto"/>
          <w:sz w:val="21"/>
          <w:szCs w:val="21"/>
          <w:lang w:val="en-US" w:eastAsia="zh-CN"/>
        </w:rPr>
      </w:pPr>
    </w:p>
    <w:p w14:paraId="58608BC0">
      <w:pPr>
        <w:pStyle w:val="37"/>
        <w:rPr>
          <w:rFonts w:hint="eastAsia" w:ascii="宋体" w:hAnsi="宋体" w:eastAsia="宋体" w:cs="宋体"/>
          <w:b w:val="0"/>
          <w:color w:val="auto"/>
          <w:sz w:val="21"/>
          <w:szCs w:val="21"/>
          <w:lang w:val="en-US" w:eastAsia="zh-CN"/>
        </w:rPr>
      </w:pPr>
    </w:p>
    <w:p w14:paraId="16085FE5">
      <w:pPr>
        <w:pStyle w:val="37"/>
        <w:rPr>
          <w:rFonts w:hint="default" w:ascii="宋体" w:hAnsi="宋体" w:eastAsia="宋体" w:cs="宋体"/>
          <w:b w:val="0"/>
          <w:color w:val="auto"/>
          <w:sz w:val="21"/>
          <w:szCs w:val="21"/>
          <w:lang w:val="en-US" w:eastAsia="zh-CN"/>
        </w:rPr>
      </w:pPr>
    </w:p>
    <w:p w14:paraId="2D89AA6D">
      <w:pPr>
        <w:pStyle w:val="37"/>
        <w:rPr>
          <w:rFonts w:hint="eastAsia" w:ascii="宋体" w:hAnsi="宋体"/>
          <w:color w:val="auto"/>
          <w:szCs w:val="21"/>
        </w:rPr>
      </w:pPr>
    </w:p>
    <w:p w14:paraId="7E622A4B">
      <w:pPr>
        <w:rPr>
          <w:rFonts w:hint="eastAsia" w:ascii="宋体" w:hAnsi="宋体"/>
          <w:color w:val="auto"/>
          <w:szCs w:val="21"/>
        </w:rPr>
      </w:pPr>
      <w:r>
        <w:rPr>
          <w:rFonts w:hint="eastAsia" w:ascii="宋体" w:hAnsi="宋体"/>
          <w:color w:val="auto"/>
          <w:szCs w:val="21"/>
        </w:rPr>
        <w:br w:type="page"/>
      </w:r>
    </w:p>
    <w:p w14:paraId="71320492">
      <w:pPr>
        <w:numPr>
          <w:ilvl w:val="0"/>
          <w:numId w:val="2"/>
        </w:numPr>
        <w:jc w:val="center"/>
        <w:outlineLvl w:val="0"/>
        <w:rPr>
          <w:rFonts w:ascii="宋体" w:hAnsi="宋体" w:cs="宋体"/>
          <w:b/>
          <w:bCs/>
          <w:color w:val="auto"/>
          <w:spacing w:val="-14"/>
          <w:kern w:val="0"/>
          <w:position w:val="-6"/>
          <w:sz w:val="36"/>
          <w:szCs w:val="36"/>
        </w:rPr>
      </w:pPr>
      <w:bookmarkStart w:id="61" w:name="_Toc5416"/>
      <w:r>
        <w:rPr>
          <w:rFonts w:hint="eastAsia" w:ascii="宋体" w:hAnsi="宋体" w:cs="宋体"/>
          <w:b/>
          <w:bCs/>
          <w:color w:val="auto"/>
          <w:spacing w:val="-14"/>
          <w:kern w:val="0"/>
          <w:position w:val="-6"/>
          <w:sz w:val="36"/>
          <w:szCs w:val="36"/>
          <w:lang w:eastAsia="zh-CN"/>
        </w:rPr>
        <w:t>供应商</w:t>
      </w:r>
      <w:r>
        <w:rPr>
          <w:rFonts w:hint="eastAsia" w:ascii="宋体" w:hAnsi="宋体" w:cs="宋体"/>
          <w:b/>
          <w:bCs/>
          <w:color w:val="auto"/>
          <w:spacing w:val="-14"/>
          <w:kern w:val="0"/>
          <w:position w:val="-6"/>
          <w:sz w:val="36"/>
          <w:szCs w:val="36"/>
        </w:rPr>
        <w:t>须知前附表</w:t>
      </w:r>
      <w:bookmarkEnd w:id="61"/>
    </w:p>
    <w:bookmarkEnd w:id="2"/>
    <w:tbl>
      <w:tblPr>
        <w:tblStyle w:val="27"/>
        <w:tblpPr w:leftFromText="180" w:rightFromText="180" w:vertAnchor="text" w:horzAnchor="page" w:tblpX="1215" w:tblpY="304"/>
        <w:tblOverlap w:val="never"/>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92"/>
        <w:gridCol w:w="7164"/>
      </w:tblGrid>
      <w:tr w14:paraId="2C18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30BC3101">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序号</w:t>
            </w:r>
          </w:p>
        </w:tc>
        <w:tc>
          <w:tcPr>
            <w:tcW w:w="1992" w:type="dxa"/>
            <w:tcBorders>
              <w:top w:val="single" w:color="auto" w:sz="4" w:space="0"/>
              <w:left w:val="single" w:color="auto" w:sz="4" w:space="0"/>
              <w:bottom w:val="single" w:color="auto" w:sz="4" w:space="0"/>
              <w:right w:val="single" w:color="auto" w:sz="4" w:space="0"/>
            </w:tcBorders>
            <w:vAlign w:val="center"/>
          </w:tcPr>
          <w:p w14:paraId="4A3E70D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条款名称</w:t>
            </w:r>
          </w:p>
        </w:tc>
        <w:tc>
          <w:tcPr>
            <w:tcW w:w="7164" w:type="dxa"/>
            <w:tcBorders>
              <w:top w:val="single" w:color="auto" w:sz="4" w:space="0"/>
              <w:left w:val="single" w:color="auto" w:sz="4" w:space="0"/>
              <w:bottom w:val="single" w:color="auto" w:sz="4" w:space="0"/>
              <w:right w:val="single" w:color="auto" w:sz="4" w:space="0"/>
            </w:tcBorders>
            <w:vAlign w:val="center"/>
          </w:tcPr>
          <w:p w14:paraId="28CE6F84">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内容</w:t>
            </w:r>
          </w:p>
        </w:tc>
      </w:tr>
      <w:tr w14:paraId="3145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48" w:type="dxa"/>
            <w:tcBorders>
              <w:top w:val="single" w:color="auto" w:sz="4" w:space="0"/>
              <w:left w:val="single" w:color="auto" w:sz="4" w:space="0"/>
              <w:bottom w:val="single" w:color="auto" w:sz="4" w:space="0"/>
              <w:right w:val="single" w:color="auto" w:sz="4" w:space="0"/>
            </w:tcBorders>
            <w:vAlign w:val="center"/>
          </w:tcPr>
          <w:p w14:paraId="6CDC087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1</w:t>
            </w:r>
          </w:p>
        </w:tc>
        <w:tc>
          <w:tcPr>
            <w:tcW w:w="1992" w:type="dxa"/>
            <w:tcBorders>
              <w:top w:val="single" w:color="auto" w:sz="4" w:space="0"/>
              <w:left w:val="single" w:color="auto" w:sz="4" w:space="0"/>
              <w:bottom w:val="single" w:color="auto" w:sz="4" w:space="0"/>
              <w:right w:val="single" w:color="auto" w:sz="4" w:space="0"/>
            </w:tcBorders>
            <w:vAlign w:val="center"/>
          </w:tcPr>
          <w:p w14:paraId="3FDFC1FD">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项目名称和编号</w:t>
            </w:r>
          </w:p>
        </w:tc>
        <w:tc>
          <w:tcPr>
            <w:tcW w:w="7164" w:type="dxa"/>
            <w:tcBorders>
              <w:top w:val="single" w:color="auto" w:sz="4" w:space="0"/>
              <w:left w:val="single" w:color="auto" w:sz="4" w:space="0"/>
              <w:bottom w:val="single" w:color="auto" w:sz="4" w:space="0"/>
              <w:right w:val="single" w:color="auto" w:sz="4" w:space="0"/>
            </w:tcBorders>
            <w:vAlign w:val="center"/>
          </w:tcPr>
          <w:p w14:paraId="6D15DD6C">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钦北区民政局居家养老服务中心装修项目</w:t>
            </w:r>
          </w:p>
          <w:p w14:paraId="15DB0C8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u w:val="single"/>
                <w:lang w:eastAsia="zh-CN"/>
              </w:rPr>
            </w:pPr>
            <w:r>
              <w:rPr>
                <w:rFonts w:hint="eastAsia" w:ascii="宋体" w:hAnsi="宋体" w:cs="宋体"/>
                <w:color w:val="auto"/>
                <w:szCs w:val="21"/>
                <w:lang w:val="en-US" w:eastAsia="zh-CN"/>
              </w:rPr>
              <w:t>项目</w:t>
            </w:r>
            <w:r>
              <w:rPr>
                <w:rFonts w:hint="eastAsia" w:ascii="宋体" w:hAnsi="宋体" w:cs="宋体"/>
                <w:color w:val="auto"/>
                <w:szCs w:val="21"/>
              </w:rPr>
              <w:t>编号：</w:t>
            </w:r>
            <w:r>
              <w:rPr>
                <w:rFonts w:hint="eastAsia" w:ascii="宋体" w:hAnsi="宋体" w:cs="宋体"/>
                <w:color w:val="auto"/>
                <w:szCs w:val="21"/>
                <w:lang w:eastAsia="zh-CN"/>
              </w:rPr>
              <w:t>QZZC2025-C2-030019-GXTM</w:t>
            </w:r>
          </w:p>
        </w:tc>
      </w:tr>
      <w:tr w14:paraId="0C7D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54356413">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2</w:t>
            </w:r>
          </w:p>
        </w:tc>
        <w:tc>
          <w:tcPr>
            <w:tcW w:w="1992" w:type="dxa"/>
            <w:tcBorders>
              <w:top w:val="single" w:color="auto" w:sz="4" w:space="0"/>
              <w:left w:val="single" w:color="auto" w:sz="4" w:space="0"/>
              <w:bottom w:val="single" w:color="auto" w:sz="4" w:space="0"/>
              <w:right w:val="single" w:color="auto" w:sz="4" w:space="0"/>
            </w:tcBorders>
            <w:vAlign w:val="center"/>
          </w:tcPr>
          <w:p w14:paraId="4660A3DB">
            <w:pPr>
              <w:pStyle w:val="13"/>
              <w:keepNext w:val="0"/>
              <w:keepLines w:val="0"/>
              <w:pageBreakBefore w:val="0"/>
              <w:widowControl w:val="0"/>
              <w:kinsoku/>
              <w:wordWrap/>
              <w:overflowPunct/>
              <w:topLinePunct w:val="0"/>
              <w:autoSpaceDE/>
              <w:autoSpaceDN/>
              <w:bidi w:val="0"/>
              <w:adjustRightInd/>
              <w:spacing w:line="400" w:lineRule="exact"/>
              <w:jc w:val="center"/>
              <w:textAlignment w:val="auto"/>
              <w:rPr>
                <w:rFonts w:hAnsi="宋体" w:cs="宋体"/>
                <w:color w:val="auto"/>
              </w:rPr>
            </w:pPr>
            <w:r>
              <w:rPr>
                <w:rFonts w:hint="eastAsia"/>
                <w:color w:val="auto"/>
                <w:lang w:eastAsia="zh-CN"/>
              </w:rPr>
              <w:t>供应商</w:t>
            </w:r>
            <w:r>
              <w:rPr>
                <w:rFonts w:hint="eastAsia"/>
                <w:color w:val="auto"/>
              </w:rPr>
              <w:t>资格</w:t>
            </w:r>
          </w:p>
        </w:tc>
        <w:tc>
          <w:tcPr>
            <w:tcW w:w="7164" w:type="dxa"/>
            <w:tcBorders>
              <w:top w:val="single" w:color="auto" w:sz="4" w:space="0"/>
              <w:left w:val="single" w:color="auto" w:sz="4" w:space="0"/>
              <w:bottom w:val="single" w:color="auto" w:sz="4" w:space="0"/>
              <w:right w:val="single" w:color="auto" w:sz="4" w:space="0"/>
            </w:tcBorders>
            <w:vAlign w:val="center"/>
          </w:tcPr>
          <w:p w14:paraId="1D6972C2">
            <w:pPr>
              <w:keepNext w:val="0"/>
              <w:keepLines w:val="0"/>
              <w:pageBreakBefore w:val="0"/>
              <w:widowControl w:val="0"/>
              <w:kinsoku/>
              <w:wordWrap/>
              <w:overflowPunct/>
              <w:topLinePunct w:val="0"/>
              <w:autoSpaceDE/>
              <w:autoSpaceDN/>
              <w:bidi w:val="0"/>
              <w:adjustRightInd/>
              <w:spacing w:line="400" w:lineRule="exact"/>
              <w:jc w:val="left"/>
              <w:textAlignment w:val="auto"/>
              <w:rPr>
                <w:color w:val="auto"/>
              </w:rPr>
            </w:pPr>
            <w:bookmarkStart w:id="62" w:name="OLE_LINK8"/>
            <w:r>
              <w:rPr>
                <w:rFonts w:hint="eastAsia"/>
                <w:color w:val="auto"/>
                <w:lang w:eastAsia="zh-CN"/>
              </w:rPr>
              <w:t>供应商</w:t>
            </w:r>
            <w:r>
              <w:rPr>
                <w:rFonts w:hint="eastAsia"/>
                <w:color w:val="auto"/>
              </w:rPr>
              <w:t>资格</w:t>
            </w:r>
            <w:r>
              <w:rPr>
                <w:rFonts w:hint="eastAsia"/>
                <w:color w:val="auto"/>
                <w:lang w:eastAsia="zh-CN"/>
              </w:rPr>
              <w:t>要求</w:t>
            </w:r>
            <w:r>
              <w:rPr>
                <w:rFonts w:hint="eastAsia"/>
                <w:color w:val="auto"/>
              </w:rPr>
              <w:t>：</w:t>
            </w:r>
          </w:p>
          <w:bookmarkEnd w:id="62"/>
          <w:p w14:paraId="0B41BC2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宋体" w:hAnsi="宋体" w:cs="宋体"/>
                <w:color w:val="auto"/>
                <w:szCs w:val="21"/>
              </w:rPr>
            </w:pPr>
            <w:r>
              <w:rPr>
                <w:rFonts w:hint="eastAsia" w:ascii="宋体" w:hAnsi="宋体" w:cs="宋体"/>
                <w:color w:val="auto"/>
                <w:szCs w:val="21"/>
              </w:rPr>
              <w:t xml:space="preserve">1.符合《中华人民共和国政府采购法》第二十二条规定。 </w:t>
            </w:r>
          </w:p>
          <w:p w14:paraId="4A44ADF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cs="宋体"/>
                <w:color w:val="auto"/>
                <w:szCs w:val="21"/>
              </w:rPr>
              <w:t>2.落实政府采购政策需满足的资格要求：专门面向中小企业采购的项目（供应商应为中小微企业)</w:t>
            </w:r>
            <w:r>
              <w:rPr>
                <w:rFonts w:hint="eastAsia" w:ascii="宋体" w:hAnsi="宋体" w:cs="宋体"/>
                <w:color w:val="auto"/>
                <w:szCs w:val="21"/>
                <w:lang w:eastAsia="zh-CN"/>
              </w:rPr>
              <w:t>；</w:t>
            </w:r>
          </w:p>
          <w:p w14:paraId="36358946">
            <w:pPr>
              <w:pStyle w:val="10"/>
              <w:keepNext w:val="0"/>
              <w:keepLines w:val="0"/>
              <w:pageBreakBefore w:val="0"/>
              <w:widowControl w:val="0"/>
              <w:kinsoku/>
              <w:wordWrap/>
              <w:overflowPunct/>
              <w:topLinePunct w:val="0"/>
              <w:autoSpaceDE/>
              <w:autoSpaceDN/>
              <w:bidi w:val="0"/>
              <w:adjustRightInd/>
              <w:spacing w:after="0" w:line="400" w:lineRule="exact"/>
              <w:ind w:firstLine="420" w:firstLineChars="200"/>
              <w:textAlignment w:val="auto"/>
              <w:rPr>
                <w:rFonts w:hint="eastAsia" w:eastAsia="宋体"/>
                <w:color w:val="auto"/>
                <w:lang w:val="en-US" w:eastAsia="zh-CN"/>
              </w:rPr>
            </w:pPr>
            <w:r>
              <w:rPr>
                <w:rFonts w:hint="eastAsia" w:hAnsi="宋体" w:cs="宋体"/>
                <w:color w:val="auto"/>
                <w:sz w:val="21"/>
                <w:szCs w:val="21"/>
              </w:rPr>
              <w:t>3.本项目的特定资格要求：</w:t>
            </w:r>
            <w:r>
              <w:rPr>
                <w:rFonts w:hint="eastAsia" w:hAnsi="宋体" w:cs="宋体"/>
                <w:color w:val="auto"/>
                <w:sz w:val="21"/>
                <w:szCs w:val="21"/>
                <w:lang w:val="en-US" w:eastAsia="zh-CN"/>
              </w:rPr>
              <w:t>无。</w:t>
            </w:r>
          </w:p>
        </w:tc>
      </w:tr>
      <w:tr w14:paraId="2A38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088F84F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3</w:t>
            </w:r>
          </w:p>
        </w:tc>
        <w:tc>
          <w:tcPr>
            <w:tcW w:w="1992" w:type="dxa"/>
            <w:tcBorders>
              <w:top w:val="single" w:color="auto" w:sz="4" w:space="0"/>
              <w:left w:val="single" w:color="auto" w:sz="4" w:space="0"/>
              <w:bottom w:val="single" w:color="auto" w:sz="4" w:space="0"/>
              <w:right w:val="single" w:color="auto" w:sz="4" w:space="0"/>
            </w:tcBorders>
            <w:vAlign w:val="center"/>
          </w:tcPr>
          <w:p w14:paraId="44EC35FA">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lang w:eastAsia="zh-CN"/>
              </w:rPr>
              <w:t>竞标</w:t>
            </w:r>
            <w:r>
              <w:rPr>
                <w:rFonts w:hint="eastAsia" w:ascii="宋体" w:hAnsi="宋体" w:cs="宋体"/>
                <w:color w:val="auto"/>
                <w:szCs w:val="21"/>
              </w:rPr>
              <w:t>报价</w:t>
            </w:r>
          </w:p>
        </w:tc>
        <w:tc>
          <w:tcPr>
            <w:tcW w:w="7164" w:type="dxa"/>
            <w:tcBorders>
              <w:top w:val="single" w:color="auto" w:sz="4" w:space="0"/>
              <w:left w:val="single" w:color="auto" w:sz="4" w:space="0"/>
              <w:bottom w:val="single" w:color="auto" w:sz="4" w:space="0"/>
              <w:right w:val="single" w:color="auto" w:sz="4" w:space="0"/>
            </w:tcBorders>
            <w:vAlign w:val="center"/>
          </w:tcPr>
          <w:p w14:paraId="3C0E135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val="en-US" w:eastAsia="zh-CN"/>
              </w:rPr>
              <w:t>竞标</w:t>
            </w:r>
            <w:r>
              <w:rPr>
                <w:rFonts w:hint="eastAsia" w:ascii="宋体" w:hAnsi="宋体" w:cs="宋体"/>
                <w:color w:val="auto"/>
                <w:lang w:eastAsia="zh-CN"/>
              </w:rPr>
              <w:t>报价：</w:t>
            </w:r>
          </w:p>
          <w:p w14:paraId="5A2F468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eastAsia="zh-CN"/>
              </w:rPr>
              <w:t>1.供应商必须就所投项目的全部内容作完整唯一报价，漏项报价的或有选择的或有条件的报价，其磋商将视为无效。</w:t>
            </w:r>
          </w:p>
          <w:p w14:paraId="15004EB5">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cs="宋体"/>
                <w:color w:val="auto"/>
                <w:lang w:eastAsia="zh-CN"/>
              </w:rPr>
            </w:pPr>
            <w:r>
              <w:rPr>
                <w:rFonts w:hint="eastAsia" w:ascii="宋体" w:hAnsi="宋体" w:cs="宋体"/>
                <w:color w:val="auto"/>
                <w:lang w:eastAsia="zh-CN"/>
              </w:rPr>
              <w:t xml:space="preserve">磋商报价为二次报价，第二次报价为最后报价。                            </w:t>
            </w:r>
          </w:p>
          <w:p w14:paraId="08CC89FD">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lang w:eastAsia="zh-CN"/>
              </w:rPr>
              <w:t>2.本项目报价采用综合单价的方式，合同价在合同实施期间因市场价格波动可调整合同价格，合同价含服务资料、人员成本、服务费、管理、材料、利润、税金、政策性文件规定及合同包含的应有风险、责任等各项应有费用。</w:t>
            </w:r>
          </w:p>
        </w:tc>
      </w:tr>
      <w:tr w14:paraId="220F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72C2ABF">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4</w:t>
            </w:r>
          </w:p>
        </w:tc>
        <w:tc>
          <w:tcPr>
            <w:tcW w:w="1992" w:type="dxa"/>
            <w:tcBorders>
              <w:top w:val="single" w:color="auto" w:sz="4" w:space="0"/>
              <w:left w:val="single" w:color="auto" w:sz="4" w:space="0"/>
              <w:bottom w:val="single" w:color="auto" w:sz="4" w:space="0"/>
              <w:right w:val="single" w:color="auto" w:sz="4" w:space="0"/>
            </w:tcBorders>
            <w:vAlign w:val="center"/>
          </w:tcPr>
          <w:p w14:paraId="0DDB16C9">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响应文件电子版要求</w:t>
            </w:r>
          </w:p>
        </w:tc>
        <w:tc>
          <w:tcPr>
            <w:tcW w:w="7164" w:type="dxa"/>
            <w:tcBorders>
              <w:top w:val="single" w:color="auto" w:sz="4" w:space="0"/>
              <w:left w:val="single" w:color="auto" w:sz="4" w:space="0"/>
              <w:bottom w:val="single" w:color="auto" w:sz="4" w:space="0"/>
              <w:right w:val="single" w:color="auto" w:sz="4" w:space="0"/>
            </w:tcBorders>
            <w:vAlign w:val="center"/>
          </w:tcPr>
          <w:p w14:paraId="7D817F2F">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cs="宋体"/>
                <w:color w:val="auto"/>
                <w:szCs w:val="21"/>
              </w:rPr>
            </w:pPr>
            <w:r>
              <w:rPr>
                <w:rFonts w:hint="eastAsia" w:ascii="宋体" w:hAnsi="宋体" w:cs="宋体"/>
                <w:color w:val="auto"/>
                <w:szCs w:val="21"/>
              </w:rPr>
              <w:t>1.响应文件电子版要求：按照本采购文件“</w:t>
            </w:r>
            <w:r>
              <w:rPr>
                <w:rFonts w:hint="eastAsia" w:ascii="宋体" w:hAnsi="宋体"/>
                <w:color w:val="auto"/>
                <w:szCs w:val="21"/>
              </w:rPr>
              <w:t>第五章 响应文件格式</w:t>
            </w:r>
            <w:r>
              <w:rPr>
                <w:rFonts w:hint="eastAsia" w:ascii="宋体" w:hAnsi="宋体" w:cs="宋体"/>
                <w:color w:val="auto"/>
                <w:szCs w:val="21"/>
              </w:rPr>
              <w:t>”编写（第五章未附格式的，由供应商自行拟定），不可涂改并在规定加盖公章处加盖电子公章，</w:t>
            </w:r>
            <w:r>
              <w:rPr>
                <w:rFonts w:hint="eastAsia" w:ascii="宋体" w:hAnsi="宋体" w:cs="宋体"/>
                <w:b/>
                <w:color w:val="auto"/>
                <w:szCs w:val="21"/>
              </w:rPr>
              <w:t>否则响应文件按无效响应处理</w:t>
            </w:r>
            <w:r>
              <w:rPr>
                <w:rFonts w:hint="eastAsia" w:ascii="宋体" w:hAnsi="宋体" w:cs="宋体"/>
                <w:color w:val="auto"/>
                <w:szCs w:val="21"/>
              </w:rPr>
              <w:t>。</w:t>
            </w:r>
          </w:p>
          <w:p w14:paraId="0690F88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2</w:t>
            </w:r>
            <w:r>
              <w:rPr>
                <w:rFonts w:hint="eastAsia" w:ascii="宋体" w:hAnsi="宋体" w:cs="Courier New"/>
                <w:color w:val="auto"/>
                <w:szCs w:val="21"/>
              </w:rPr>
              <w:t>.响应文件电子版密封方式：电子响应文件通过平台有效CA加密后在</w:t>
            </w:r>
            <w:r>
              <w:rPr>
                <w:rFonts w:hint="eastAsia" w:ascii="宋体" w:hAnsi="宋体" w:cs="Courier New"/>
                <w:color w:val="auto"/>
                <w:szCs w:val="21"/>
                <w:lang w:eastAsia="zh-CN"/>
              </w:rPr>
              <w:t>“广西政府采购云”平台递交</w:t>
            </w:r>
            <w:r>
              <w:rPr>
                <w:rFonts w:hint="eastAsia" w:ascii="宋体" w:hAnsi="宋体" w:cs="Courier New"/>
                <w:color w:val="auto"/>
                <w:szCs w:val="21"/>
              </w:rPr>
              <w:t>。</w:t>
            </w:r>
          </w:p>
        </w:tc>
      </w:tr>
      <w:tr w14:paraId="5080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34B2C87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695A88C1">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备份响应文件</w:t>
            </w:r>
          </w:p>
        </w:tc>
        <w:tc>
          <w:tcPr>
            <w:tcW w:w="7164" w:type="dxa"/>
            <w:tcBorders>
              <w:top w:val="single" w:color="auto" w:sz="4" w:space="0"/>
              <w:left w:val="single" w:color="auto" w:sz="4" w:space="0"/>
              <w:bottom w:val="single" w:color="auto" w:sz="4" w:space="0"/>
              <w:right w:val="single" w:color="auto" w:sz="4" w:space="0"/>
            </w:tcBorders>
            <w:vAlign w:val="center"/>
          </w:tcPr>
          <w:p w14:paraId="31CC93E5">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eastAsia="宋体"/>
                <w:color w:val="auto"/>
                <w:szCs w:val="21"/>
                <w:lang w:val="en-US" w:eastAsia="zh-CN"/>
              </w:rPr>
            </w:pPr>
            <w:r>
              <w:rPr>
                <w:rFonts w:hint="eastAsia" w:ascii="宋体" w:hAnsi="宋体"/>
                <w:color w:val="auto"/>
                <w:szCs w:val="21"/>
                <w:lang w:val="en-US" w:eastAsia="zh-CN"/>
              </w:rPr>
              <w:t>□</w:t>
            </w:r>
            <w:r>
              <w:rPr>
                <w:rFonts w:hint="eastAsia" w:ascii="宋体" w:hAnsi="宋体"/>
                <w:color w:val="auto"/>
                <w:szCs w:val="21"/>
              </w:rPr>
              <w:t>本项目不接受</w:t>
            </w:r>
            <w:r>
              <w:rPr>
                <w:color w:val="auto"/>
                <w:spacing w:val="-3"/>
                <w:sz w:val="21"/>
              </w:rPr>
              <w:t>以介质存储的数据电文形式的电子备份响应文件</w:t>
            </w:r>
            <w:r>
              <w:rPr>
                <w:rFonts w:hint="eastAsia"/>
                <w:color w:val="auto"/>
                <w:spacing w:val="-3"/>
                <w:sz w:val="21"/>
                <w:lang w:eastAsia="zh-CN"/>
              </w:rPr>
              <w:t>。</w:t>
            </w:r>
          </w:p>
          <w:p w14:paraId="53EA218E">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宋体" w:hAnsi="宋体"/>
                <w:color w:val="auto"/>
                <w:szCs w:val="21"/>
                <w:lang w:eastAsia="zh-CN"/>
              </w:rPr>
            </w:pPr>
            <w:r>
              <w:rPr>
                <w:rFonts w:hint="eastAsia" w:ascii="宋体" w:hAnsi="宋体"/>
                <w:color w:val="auto"/>
                <w:szCs w:val="21"/>
                <w:lang w:val="en-US" w:eastAsia="zh-CN"/>
              </w:rPr>
              <w:t>☑</w:t>
            </w:r>
            <w:r>
              <w:rPr>
                <w:rFonts w:hint="eastAsia" w:ascii="宋体" w:hAnsi="宋体"/>
                <w:color w:val="auto"/>
                <w:szCs w:val="21"/>
              </w:rPr>
              <w:t>本项目接受</w:t>
            </w:r>
            <w:r>
              <w:rPr>
                <w:color w:val="auto"/>
                <w:spacing w:val="-3"/>
                <w:sz w:val="21"/>
              </w:rPr>
              <w:t>以介质存储的数据电文形式的电子备份响应文件</w:t>
            </w:r>
            <w:r>
              <w:rPr>
                <w:rFonts w:hint="eastAsia" w:ascii="宋体" w:hAnsi="宋体"/>
                <w:color w:val="auto"/>
                <w:szCs w:val="21"/>
                <w:lang w:eastAsia="zh-CN"/>
              </w:rPr>
              <w:t>。</w:t>
            </w:r>
          </w:p>
          <w:p w14:paraId="76B3F792">
            <w:pPr>
              <w:pStyle w:val="9"/>
              <w:keepNext w:val="0"/>
              <w:keepLines w:val="0"/>
              <w:pageBreakBefore w:val="0"/>
              <w:widowControl w:val="0"/>
              <w:kinsoku/>
              <w:wordWrap/>
              <w:overflowPunct/>
              <w:topLinePunct w:val="0"/>
              <w:autoSpaceDE/>
              <w:autoSpaceDN/>
              <w:bidi w:val="0"/>
              <w:adjustRightInd/>
              <w:spacing w:line="400" w:lineRule="exact"/>
              <w:ind w:left="0"/>
              <w:textAlignment w:val="auto"/>
              <w:rPr>
                <w:color w:val="auto"/>
                <w:spacing w:val="-3"/>
                <w:sz w:val="21"/>
              </w:rPr>
            </w:pPr>
            <w:r>
              <w:rPr>
                <w:color w:val="auto"/>
                <w:spacing w:val="-3"/>
                <w:sz w:val="21"/>
              </w:rPr>
              <w:t>供应商</w:t>
            </w:r>
            <w:r>
              <w:rPr>
                <w:rFonts w:hint="eastAsia"/>
                <w:color w:val="auto"/>
                <w:spacing w:val="-3"/>
                <w:sz w:val="21"/>
                <w:lang w:eastAsia="zh-CN"/>
              </w:rPr>
              <w:t>可根据自身情况自行准备</w:t>
            </w:r>
            <w:r>
              <w:rPr>
                <w:color w:val="auto"/>
                <w:spacing w:val="-3"/>
                <w:sz w:val="21"/>
              </w:rPr>
              <w:t xml:space="preserve">以介质存储的数据电文形式的电子备份响应文件： </w:t>
            </w:r>
          </w:p>
          <w:p w14:paraId="67CEB8B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ascii="Times New Roman" w:hAnsi="Times New Roman" w:eastAsia="宋体" w:cs="Times New Roman"/>
                <w:color w:val="auto"/>
                <w:spacing w:val="-3"/>
                <w:sz w:val="21"/>
              </w:rPr>
            </w:pPr>
            <w:r>
              <w:rPr>
                <w:rFonts w:hint="eastAsia"/>
                <w:color w:val="auto"/>
                <w:spacing w:val="-5"/>
                <w:sz w:val="21"/>
                <w:lang w:val="en-US" w:eastAsia="zh-CN"/>
              </w:rPr>
              <w:t>（1）</w:t>
            </w:r>
            <w:r>
              <w:rPr>
                <w:color w:val="auto"/>
                <w:spacing w:val="-3"/>
                <w:sz w:val="21"/>
              </w:rPr>
              <w:t>以介质存储的数据电文形式的电子备份响应文件，按</w:t>
            </w:r>
            <w:r>
              <w:rPr>
                <w:rFonts w:hint="eastAsia"/>
                <w:color w:val="auto"/>
                <w:spacing w:val="-3"/>
                <w:sz w:val="21"/>
                <w:lang w:eastAsia="zh-CN"/>
              </w:rPr>
              <w:t>广西政府采购云平台</w:t>
            </w:r>
            <w:r>
              <w:rPr>
                <w:color w:val="auto"/>
                <w:spacing w:val="-3"/>
                <w:sz w:val="21"/>
              </w:rPr>
              <w:t>项目采购-电子招</w:t>
            </w:r>
            <w:r>
              <w:rPr>
                <w:color w:val="auto"/>
                <w:spacing w:val="-7"/>
                <w:sz w:val="21"/>
              </w:rPr>
              <w:t>投标操作指南中上传的电子响应文件格式</w:t>
            </w:r>
            <w:r>
              <w:rPr>
                <w:rFonts w:hint="eastAsia"/>
                <w:color w:val="auto"/>
                <w:spacing w:val="-7"/>
                <w:sz w:val="21"/>
                <w:lang w:eastAsia="zh-CN"/>
              </w:rPr>
              <w:t>，</w:t>
            </w:r>
            <w:r>
              <w:rPr>
                <w:color w:val="auto"/>
                <w:spacing w:val="-7"/>
                <w:sz w:val="21"/>
              </w:rPr>
              <w:t>以</w:t>
            </w:r>
            <w:r>
              <w:rPr>
                <w:rFonts w:hint="eastAsia"/>
                <w:color w:val="auto"/>
                <w:spacing w:val="-7"/>
                <w:sz w:val="21"/>
                <w:lang w:eastAsia="zh-CN"/>
              </w:rPr>
              <w:t>邮件</w:t>
            </w:r>
            <w:r>
              <w:rPr>
                <w:color w:val="auto"/>
                <w:spacing w:val="-10"/>
                <w:sz w:val="21"/>
              </w:rPr>
              <w:t>形式提供。数量</w:t>
            </w:r>
            <w:r>
              <w:rPr>
                <w:rFonts w:ascii="Times New Roman" w:hAnsi="Times New Roman" w:eastAsia="宋体" w:cs="Times New Roman"/>
                <w:color w:val="auto"/>
                <w:spacing w:val="-3"/>
                <w:sz w:val="21"/>
              </w:rPr>
              <w:t>为1份。</w:t>
            </w:r>
          </w:p>
          <w:p w14:paraId="53FC6526">
            <w:pPr>
              <w:pStyle w:val="9"/>
              <w:keepNext w:val="0"/>
              <w:keepLines w:val="0"/>
              <w:pageBreakBefore w:val="0"/>
              <w:widowControl w:val="0"/>
              <w:kinsoku/>
              <w:wordWrap/>
              <w:overflowPunct/>
              <w:topLinePunct w:val="0"/>
              <w:autoSpaceDE/>
              <w:autoSpaceDN/>
              <w:bidi w:val="0"/>
              <w:adjustRightInd/>
              <w:spacing w:line="400" w:lineRule="exact"/>
              <w:ind w:left="0"/>
              <w:textAlignment w:val="auto"/>
              <w:rPr>
                <w:rFonts w:hint="eastAsia" w:ascii="Times New Roman" w:hAnsi="Times New Roman" w:eastAsia="宋体" w:cs="Times New Roman"/>
                <w:b w:val="0"/>
                <w:bCs w:val="0"/>
                <w:color w:val="auto"/>
                <w:spacing w:val="-3"/>
                <w:sz w:val="21"/>
                <w:lang w:eastAsia="zh-CN"/>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2</w:t>
            </w:r>
            <w:r>
              <w:rPr>
                <w:rFonts w:hint="eastAsia" w:ascii="Times New Roman" w:hAnsi="Times New Roman" w:eastAsia="宋体" w:cs="Times New Roman"/>
                <w:b w:val="0"/>
                <w:bCs w:val="0"/>
                <w:color w:val="auto"/>
                <w:spacing w:val="-3"/>
                <w:sz w:val="21"/>
                <w:lang w:eastAsia="zh-CN"/>
              </w:rPr>
              <w:t>）递交时间：出现电子加密响应文件（</w:t>
            </w:r>
            <w:r>
              <w:rPr>
                <w:color w:val="auto"/>
                <w:spacing w:val="-9"/>
                <w:sz w:val="21"/>
              </w:rPr>
              <w:t>按</w:t>
            </w:r>
            <w:r>
              <w:rPr>
                <w:rFonts w:hint="eastAsia"/>
                <w:color w:val="auto"/>
                <w:spacing w:val="-9"/>
                <w:sz w:val="21"/>
                <w:lang w:eastAsia="zh-CN"/>
              </w:rPr>
              <w:t>广西政府采购云平台</w:t>
            </w:r>
            <w:r>
              <w:rPr>
                <w:color w:val="auto"/>
                <w:spacing w:val="-9"/>
                <w:sz w:val="21"/>
              </w:rPr>
              <w:t>要求及本</w:t>
            </w:r>
            <w:r>
              <w:rPr>
                <w:rFonts w:hint="eastAsia"/>
                <w:color w:val="auto"/>
                <w:spacing w:val="-9"/>
                <w:sz w:val="21"/>
                <w:lang w:eastAsia="zh-CN"/>
              </w:rPr>
              <w:t>竞争性磋商</w:t>
            </w:r>
            <w:r>
              <w:rPr>
                <w:color w:val="auto"/>
                <w:spacing w:val="-9"/>
                <w:sz w:val="21"/>
              </w:rPr>
              <w:t>要求制作、加</w:t>
            </w:r>
            <w:r>
              <w:rPr>
                <w:color w:val="auto"/>
                <w:spacing w:val="-5"/>
                <w:sz w:val="21"/>
              </w:rPr>
              <w:t>密并递交</w:t>
            </w:r>
            <w:r>
              <w:rPr>
                <w:rFonts w:hint="eastAsia" w:ascii="Times New Roman" w:hAnsi="Times New Roman" w:eastAsia="宋体" w:cs="Times New Roman"/>
                <w:b w:val="0"/>
                <w:bCs w:val="0"/>
                <w:color w:val="auto"/>
                <w:spacing w:val="-3"/>
                <w:sz w:val="21"/>
                <w:lang w:eastAsia="zh-CN"/>
              </w:rPr>
              <w:t>）无法按时在</w:t>
            </w:r>
            <w:r>
              <w:rPr>
                <w:rFonts w:hint="eastAsia" w:hAnsi="宋体"/>
                <w:b w:val="0"/>
                <w:bCs w:val="0"/>
                <w:color w:val="auto"/>
                <w:sz w:val="21"/>
              </w:rPr>
              <w:t>30分钟</w:t>
            </w:r>
            <w:r>
              <w:rPr>
                <w:rFonts w:hint="eastAsia" w:hAnsi="宋体"/>
                <w:b w:val="0"/>
                <w:bCs w:val="0"/>
                <w:color w:val="auto"/>
                <w:sz w:val="21"/>
                <w:lang w:eastAsia="zh-CN"/>
              </w:rPr>
              <w:t>内完成在线</w:t>
            </w:r>
            <w:r>
              <w:rPr>
                <w:rFonts w:hint="eastAsia" w:hAnsi="宋体"/>
                <w:b w:val="0"/>
                <w:bCs w:val="0"/>
                <w:color w:val="auto"/>
                <w:sz w:val="21"/>
              </w:rPr>
              <w:t>解密</w:t>
            </w:r>
            <w:r>
              <w:rPr>
                <w:rFonts w:hint="eastAsia" w:hAnsi="宋体"/>
                <w:b w:val="0"/>
                <w:bCs w:val="0"/>
                <w:color w:val="auto"/>
                <w:sz w:val="21"/>
                <w:lang w:eastAsia="zh-CN"/>
              </w:rPr>
              <w:t>的</w:t>
            </w: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bCs/>
                <w:color w:val="auto"/>
                <w:spacing w:val="-3"/>
                <w:sz w:val="21"/>
                <w:lang w:eastAsia="zh-CN"/>
              </w:rPr>
              <w:t>在采购代理机构电话通知递交</w:t>
            </w:r>
            <w:r>
              <w:rPr>
                <w:b/>
                <w:bCs/>
                <w:color w:val="auto"/>
                <w:spacing w:val="-3"/>
                <w:sz w:val="21"/>
              </w:rPr>
              <w:t>电子备份响应文件</w:t>
            </w:r>
            <w:r>
              <w:rPr>
                <w:rFonts w:hint="eastAsia" w:ascii="Times New Roman" w:hAnsi="Times New Roman" w:eastAsia="宋体" w:cs="Times New Roman"/>
                <w:b/>
                <w:bCs/>
                <w:color w:val="auto"/>
                <w:spacing w:val="-3"/>
                <w:sz w:val="21"/>
                <w:lang w:eastAsia="zh-CN"/>
              </w:rPr>
              <w:t>之时起</w:t>
            </w:r>
            <w:r>
              <w:rPr>
                <w:rFonts w:hint="eastAsia" w:ascii="Times New Roman" w:hAnsi="Times New Roman" w:eastAsia="宋体" w:cs="Times New Roman"/>
                <w:b/>
                <w:bCs/>
                <w:color w:val="auto"/>
                <w:spacing w:val="-3"/>
                <w:sz w:val="21"/>
                <w:lang w:val="en-US" w:eastAsia="zh-CN"/>
              </w:rPr>
              <w:t>15</w:t>
            </w:r>
            <w:r>
              <w:rPr>
                <w:rFonts w:hint="eastAsia" w:ascii="Times New Roman" w:hAnsi="Times New Roman" w:eastAsia="宋体" w:cs="Times New Roman"/>
                <w:b/>
                <w:bCs/>
                <w:color w:val="auto"/>
                <w:spacing w:val="-3"/>
                <w:sz w:val="21"/>
                <w:lang w:eastAsia="zh-CN"/>
              </w:rPr>
              <w:t>分钟内递交，否则，竞标无效。</w:t>
            </w:r>
          </w:p>
          <w:p w14:paraId="4CD0402E">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val="0"/>
                <w:bCs w:val="0"/>
                <w:color w:val="auto"/>
                <w:szCs w:val="21"/>
                <w:highlight w:val="none"/>
                <w:lang w:eastAsia="zh-CN"/>
              </w:rPr>
            </w:pPr>
            <w:r>
              <w:rPr>
                <w:rFonts w:hint="eastAsia" w:ascii="宋体" w:hAnsi="宋体" w:eastAsia="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lang w:val="en-US" w:eastAsia="zh-CN"/>
              </w:rPr>
              <w:t>3</w:t>
            </w:r>
            <w:r>
              <w:rPr>
                <w:rFonts w:hint="eastAsia" w:ascii="宋体" w:hAnsi="宋体" w:eastAsia="宋体" w:cs="Times New Roman"/>
                <w:b w:val="0"/>
                <w:bCs w:val="0"/>
                <w:color w:val="auto"/>
                <w:szCs w:val="21"/>
                <w:highlight w:val="none"/>
                <w:lang w:eastAsia="zh-CN"/>
              </w:rPr>
              <w:t>）供应商邮件发送的内容如下：</w:t>
            </w:r>
          </w:p>
          <w:p w14:paraId="3B2AFA82">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项目名称：</w:t>
            </w:r>
            <w:r>
              <w:rPr>
                <w:rFonts w:hint="eastAsia" w:ascii="宋体" w:hAnsi="宋体" w:eastAsia="宋体" w:cs="宋体"/>
                <w:b w:val="0"/>
                <w:bCs w:val="0"/>
                <w:color w:val="auto"/>
                <w:spacing w:val="0"/>
                <w:sz w:val="21"/>
                <w:szCs w:val="21"/>
                <w:u w:val="single"/>
                <w:lang w:val="en-US" w:eastAsia="zh-CN"/>
              </w:rPr>
              <w:t xml:space="preserve">                 </w:t>
            </w:r>
          </w:p>
          <w:p w14:paraId="5ABBBA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项目编号</w:t>
            </w:r>
            <w:r>
              <w:rPr>
                <w:rFonts w:hint="eastAsia" w:ascii="宋体" w:hAnsi="宋体" w:eastAsia="宋体" w:cs="宋体"/>
                <w:b w:val="0"/>
                <w:bCs w:val="0"/>
                <w:color w:val="auto"/>
                <w:spacing w:val="0"/>
                <w:sz w:val="21"/>
                <w:szCs w:val="21"/>
                <w:u w:val="single"/>
                <w:lang w:eastAsia="zh-CN"/>
              </w:rPr>
              <w:t>：</w:t>
            </w:r>
            <w:r>
              <w:rPr>
                <w:rFonts w:hint="eastAsia" w:ascii="宋体" w:hAnsi="宋体" w:eastAsia="宋体" w:cs="宋体"/>
                <w:b w:val="0"/>
                <w:bCs w:val="0"/>
                <w:color w:val="auto"/>
                <w:spacing w:val="0"/>
                <w:sz w:val="21"/>
                <w:szCs w:val="21"/>
                <w:u w:val="single"/>
                <w:lang w:val="en-US" w:eastAsia="zh-CN"/>
              </w:rPr>
              <w:t xml:space="preserve">                 </w:t>
            </w:r>
          </w:p>
          <w:p w14:paraId="7F1E36E9">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eastAsia="zh-CN"/>
              </w:rPr>
            </w:pPr>
            <w:r>
              <w:rPr>
                <w:rFonts w:hint="eastAsia" w:ascii="宋体" w:hAnsi="宋体" w:eastAsia="宋体" w:cs="宋体"/>
                <w:b w:val="0"/>
                <w:bCs w:val="0"/>
                <w:color w:val="auto"/>
                <w:spacing w:val="0"/>
                <w:sz w:val="21"/>
                <w:szCs w:val="21"/>
                <w:u w:val="none"/>
                <w:lang w:eastAsia="zh-CN"/>
              </w:rPr>
              <w:t>标段（如有）：</w:t>
            </w:r>
            <w:r>
              <w:rPr>
                <w:rFonts w:hint="eastAsia" w:ascii="宋体" w:hAnsi="宋体" w:eastAsia="宋体" w:cs="宋体"/>
                <w:b w:val="0"/>
                <w:bCs w:val="0"/>
                <w:color w:val="auto"/>
                <w:spacing w:val="0"/>
                <w:sz w:val="21"/>
                <w:szCs w:val="21"/>
                <w:u w:val="single"/>
                <w:lang w:val="en-US" w:eastAsia="zh-CN"/>
              </w:rPr>
              <w:t xml:space="preserve">                 </w:t>
            </w:r>
          </w:p>
          <w:p w14:paraId="071F3726">
            <w:pPr>
              <w:pStyle w:val="18"/>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eastAsia="zh-CN"/>
              </w:rPr>
              <w:t>供应商名称：</w:t>
            </w:r>
            <w:r>
              <w:rPr>
                <w:rFonts w:hint="eastAsia" w:ascii="宋体" w:hAnsi="宋体" w:eastAsia="宋体" w:cs="宋体"/>
                <w:b w:val="0"/>
                <w:bCs w:val="0"/>
                <w:color w:val="auto"/>
                <w:spacing w:val="0"/>
                <w:sz w:val="21"/>
                <w:szCs w:val="21"/>
                <w:u w:val="single"/>
                <w:lang w:val="en-US" w:eastAsia="zh-CN"/>
              </w:rPr>
              <w:t xml:space="preserve">                 </w:t>
            </w:r>
          </w:p>
          <w:p w14:paraId="4FB28577">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宋体"/>
                <w:b w:val="0"/>
                <w:bCs w:val="0"/>
                <w:color w:val="auto"/>
                <w:spacing w:val="0"/>
                <w:sz w:val="21"/>
                <w:szCs w:val="21"/>
                <w:u w:val="single"/>
                <w:lang w:val="en-US" w:eastAsia="zh-CN"/>
              </w:rPr>
            </w:pPr>
            <w:r>
              <w:rPr>
                <w:rFonts w:hint="eastAsia" w:ascii="宋体" w:hAnsi="宋体" w:eastAsia="宋体" w:cs="宋体"/>
                <w:b w:val="0"/>
                <w:bCs w:val="0"/>
                <w:color w:val="auto"/>
                <w:spacing w:val="0"/>
                <w:sz w:val="21"/>
                <w:szCs w:val="21"/>
                <w:u w:val="none"/>
                <w:lang w:val="en-US" w:eastAsia="zh-CN"/>
              </w:rPr>
              <w:t>法定代表人或其委托代理人姓名：</w:t>
            </w:r>
            <w:r>
              <w:rPr>
                <w:rFonts w:hint="eastAsia" w:ascii="宋体" w:hAnsi="宋体" w:eastAsia="宋体" w:cs="宋体"/>
                <w:b w:val="0"/>
                <w:bCs w:val="0"/>
                <w:color w:val="auto"/>
                <w:spacing w:val="0"/>
                <w:sz w:val="21"/>
                <w:szCs w:val="21"/>
                <w:u w:val="single"/>
                <w:lang w:val="en-US" w:eastAsia="zh-CN"/>
              </w:rPr>
              <w:t xml:space="preserve">                  </w:t>
            </w:r>
          </w:p>
          <w:p w14:paraId="643A001E">
            <w:pPr>
              <w:keepNext w:val="0"/>
              <w:keepLines w:val="0"/>
              <w:pageBreakBefore w:val="0"/>
              <w:widowControl w:val="0"/>
              <w:kinsoku/>
              <w:wordWrap/>
              <w:overflowPunct/>
              <w:topLinePunct w:val="0"/>
              <w:autoSpaceDE/>
              <w:autoSpaceDN/>
              <w:bidi w:val="0"/>
              <w:adjustRightInd/>
              <w:snapToGrid w:val="0"/>
              <w:spacing w:line="400" w:lineRule="exact"/>
              <w:ind w:left="0"/>
              <w:jc w:val="left"/>
              <w:textAlignment w:val="auto"/>
              <w:rPr>
                <w:rFonts w:hint="eastAsia" w:ascii="宋体" w:hAnsi="宋体" w:eastAsia="宋体" w:cs="Times New Roman"/>
                <w:b w:val="0"/>
                <w:bCs w:val="0"/>
                <w:color w:val="auto"/>
                <w:szCs w:val="21"/>
                <w:highlight w:val="none"/>
                <w:u w:val="single"/>
                <w:lang w:eastAsia="zh-CN"/>
              </w:rPr>
            </w:pPr>
            <w:r>
              <w:rPr>
                <w:rFonts w:hint="eastAsia" w:ascii="宋体" w:hAnsi="宋体" w:eastAsia="宋体" w:cs="宋体"/>
                <w:b w:val="0"/>
                <w:bCs w:val="0"/>
                <w:color w:val="auto"/>
                <w:spacing w:val="0"/>
                <w:sz w:val="21"/>
                <w:szCs w:val="21"/>
                <w:u w:val="none"/>
                <w:lang w:val="en-US" w:eastAsia="zh-CN"/>
              </w:rPr>
              <w:t>法定代表人或其委托代理人手机号码：</w:t>
            </w:r>
            <w:r>
              <w:rPr>
                <w:rFonts w:hint="eastAsia" w:ascii="宋体" w:hAnsi="宋体" w:eastAsia="宋体" w:cs="宋体"/>
                <w:b w:val="0"/>
                <w:bCs w:val="0"/>
                <w:color w:val="auto"/>
                <w:spacing w:val="0"/>
                <w:sz w:val="21"/>
                <w:szCs w:val="21"/>
                <w:u w:val="single"/>
                <w:lang w:val="en-US" w:eastAsia="zh-CN"/>
              </w:rPr>
              <w:t xml:space="preserve">                  </w:t>
            </w:r>
          </w:p>
          <w:p w14:paraId="234377FA">
            <w:pPr>
              <w:pStyle w:val="9"/>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cs="宋体"/>
                <w:color w:val="auto"/>
                <w:szCs w:val="21"/>
              </w:rPr>
            </w:pPr>
            <w:r>
              <w:rPr>
                <w:rFonts w:hint="eastAsia" w:ascii="Times New Roman" w:hAnsi="Times New Roman" w:eastAsia="宋体" w:cs="Times New Roman"/>
                <w:b w:val="0"/>
                <w:bCs w:val="0"/>
                <w:color w:val="auto"/>
                <w:spacing w:val="-3"/>
                <w:sz w:val="21"/>
                <w:lang w:eastAsia="zh-CN"/>
              </w:rPr>
              <w:t>（</w:t>
            </w:r>
            <w:r>
              <w:rPr>
                <w:rFonts w:hint="eastAsia" w:ascii="Times New Roman" w:hAnsi="Times New Roman" w:eastAsia="宋体" w:cs="Times New Roman"/>
                <w:b w:val="0"/>
                <w:bCs w:val="0"/>
                <w:color w:val="auto"/>
                <w:spacing w:val="-3"/>
                <w:sz w:val="21"/>
                <w:lang w:val="en-US" w:eastAsia="zh-CN"/>
              </w:rPr>
              <w:t>4</w:t>
            </w:r>
            <w:r>
              <w:rPr>
                <w:rFonts w:hint="eastAsia" w:ascii="Times New Roman" w:hAnsi="Times New Roman" w:eastAsia="宋体" w:cs="Times New Roman"/>
                <w:b w:val="0"/>
                <w:bCs w:val="0"/>
                <w:color w:val="auto"/>
                <w:spacing w:val="-3"/>
                <w:sz w:val="21"/>
                <w:lang w:eastAsia="zh-CN"/>
              </w:rPr>
              <w:t>）</w:t>
            </w:r>
            <w:r>
              <w:rPr>
                <w:rFonts w:ascii="Times New Roman" w:hAnsi="Times New Roman" w:eastAsia="宋体" w:cs="Times New Roman"/>
                <w:b w:val="0"/>
                <w:bCs w:val="0"/>
                <w:color w:val="auto"/>
                <w:spacing w:val="-3"/>
                <w:sz w:val="21"/>
              </w:rPr>
              <w:t>响应文件启用顺序和效力：响应文件的启用，按先后顺位</w:t>
            </w:r>
            <w:r>
              <w:rPr>
                <w:rFonts w:ascii="Times New Roman" w:hAnsi="Times New Roman" w:eastAsia="宋体" w:cs="Times New Roman"/>
                <w:color w:val="auto"/>
                <w:spacing w:val="-3"/>
                <w:sz w:val="21"/>
              </w:rPr>
              <w:t>分别为电子响应文件、以介质存储的数据电文形式的电子备份响应文件。顺位在先的响应文件已按时解密的</w:t>
            </w:r>
            <w:r>
              <w:rPr>
                <w:rFonts w:hint="eastAsia" w:ascii="Times New Roman" w:hAnsi="Times New Roman" w:eastAsia="宋体" w:cs="Times New Roman"/>
                <w:color w:val="auto"/>
                <w:spacing w:val="-3"/>
                <w:sz w:val="21"/>
                <w:lang w:eastAsia="zh-CN"/>
              </w:rPr>
              <w:t>，</w:t>
            </w:r>
            <w:r>
              <w:rPr>
                <w:rFonts w:ascii="Times New Roman" w:hAnsi="Times New Roman" w:eastAsia="宋体" w:cs="Times New Roman"/>
                <w:color w:val="auto"/>
                <w:spacing w:val="-3"/>
                <w:sz w:val="21"/>
              </w:rPr>
              <w:t>下一顺位响应文件自动失效。在下一顺位的响应文件启用时，前一顺位的响应文件自动失效。</w:t>
            </w:r>
          </w:p>
        </w:tc>
      </w:tr>
      <w:tr w14:paraId="5790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7E77180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43767BCB">
            <w:pPr>
              <w:keepNext w:val="0"/>
              <w:keepLines w:val="0"/>
              <w:pageBreakBefore w:val="0"/>
              <w:widowControl w:val="0"/>
              <w:kinsoku/>
              <w:wordWrap/>
              <w:overflowPunct/>
              <w:topLinePunct w:val="0"/>
              <w:autoSpaceDE/>
              <w:autoSpaceDN/>
              <w:bidi w:val="0"/>
              <w:adjustRightInd/>
              <w:spacing w:line="400" w:lineRule="exact"/>
              <w:jc w:val="center"/>
              <w:textAlignment w:val="auto"/>
              <w:rPr>
                <w:color w:val="auto"/>
              </w:rPr>
            </w:pPr>
            <w:r>
              <w:rPr>
                <w:rFonts w:hint="eastAsia"/>
                <w:color w:val="auto"/>
                <w:lang w:eastAsia="zh-CN"/>
              </w:rPr>
              <w:t>竞标</w:t>
            </w:r>
            <w:r>
              <w:rPr>
                <w:rFonts w:hint="eastAsia"/>
                <w:color w:val="auto"/>
              </w:rPr>
              <w:t>有效期</w:t>
            </w:r>
          </w:p>
        </w:tc>
        <w:tc>
          <w:tcPr>
            <w:tcW w:w="7164" w:type="dxa"/>
            <w:tcBorders>
              <w:top w:val="single" w:color="auto" w:sz="4" w:space="0"/>
              <w:left w:val="single" w:color="auto" w:sz="4" w:space="0"/>
              <w:bottom w:val="single" w:color="auto" w:sz="4" w:space="0"/>
              <w:right w:val="single" w:color="auto" w:sz="4" w:space="0"/>
            </w:tcBorders>
            <w:vAlign w:val="center"/>
          </w:tcPr>
          <w:p w14:paraId="1CB51CCB">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有效期：</w:t>
            </w:r>
            <w:r>
              <w:rPr>
                <w:rFonts w:hint="eastAsia"/>
                <w:color w:val="auto"/>
                <w:lang w:eastAsia="zh-CN"/>
              </w:rPr>
              <w:t>竞</w:t>
            </w:r>
            <w:r>
              <w:rPr>
                <w:rFonts w:hint="eastAsia" w:ascii="宋体" w:hAnsi="宋体" w:cs="宋体"/>
                <w:color w:val="auto"/>
                <w:szCs w:val="21"/>
                <w:lang w:eastAsia="zh-CN"/>
              </w:rPr>
              <w:t>标</w:t>
            </w:r>
            <w:r>
              <w:rPr>
                <w:rFonts w:hint="eastAsia" w:ascii="宋体" w:hAnsi="宋体" w:cs="宋体"/>
                <w:color w:val="auto"/>
                <w:szCs w:val="21"/>
              </w:rPr>
              <w:t>截止日期后60天</w:t>
            </w:r>
          </w:p>
        </w:tc>
      </w:tr>
      <w:tr w14:paraId="37FA6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5EC07FE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1992" w:type="dxa"/>
            <w:tcBorders>
              <w:top w:val="single" w:color="auto" w:sz="4" w:space="0"/>
              <w:left w:val="single" w:color="auto" w:sz="4" w:space="0"/>
              <w:bottom w:val="single" w:color="auto" w:sz="4" w:space="0"/>
              <w:right w:val="single" w:color="auto" w:sz="4" w:space="0"/>
            </w:tcBorders>
            <w:vAlign w:val="center"/>
          </w:tcPr>
          <w:p w14:paraId="7BA7E85B">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磋商保证金</w:t>
            </w:r>
          </w:p>
        </w:tc>
        <w:tc>
          <w:tcPr>
            <w:tcW w:w="7164" w:type="dxa"/>
            <w:tcBorders>
              <w:top w:val="single" w:color="auto" w:sz="4" w:space="0"/>
              <w:left w:val="single" w:color="auto" w:sz="4" w:space="0"/>
              <w:bottom w:val="single" w:color="auto" w:sz="4" w:space="0"/>
              <w:right w:val="single" w:color="auto" w:sz="4" w:space="0"/>
            </w:tcBorders>
            <w:vAlign w:val="center"/>
          </w:tcPr>
          <w:p w14:paraId="2269746D">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eastAsia="宋体"/>
                <w:color w:val="auto"/>
                <w:lang w:eastAsia="zh-CN"/>
              </w:rPr>
            </w:pPr>
            <w:r>
              <w:rPr>
                <w:rFonts w:hint="eastAsia"/>
                <w:color w:val="auto"/>
                <w:lang w:val="en-US" w:eastAsia="zh-CN"/>
              </w:rPr>
              <w:t>不收取</w:t>
            </w:r>
          </w:p>
        </w:tc>
      </w:tr>
      <w:tr w14:paraId="37B3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7D4C44B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8</w:t>
            </w:r>
          </w:p>
        </w:tc>
        <w:tc>
          <w:tcPr>
            <w:tcW w:w="1992" w:type="dxa"/>
            <w:tcBorders>
              <w:top w:val="single" w:color="auto" w:sz="4" w:space="0"/>
              <w:left w:val="single" w:color="auto" w:sz="4" w:space="0"/>
              <w:bottom w:val="single" w:color="auto" w:sz="4" w:space="0"/>
              <w:right w:val="single" w:color="auto" w:sz="4" w:space="0"/>
            </w:tcBorders>
            <w:vAlign w:val="center"/>
          </w:tcPr>
          <w:p w14:paraId="7C7FFBD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hAnsi="宋体" w:cs="宋体"/>
                <w:color w:val="auto"/>
                <w:lang w:eastAsia="zh-CN"/>
              </w:rPr>
              <w:t>响应</w:t>
            </w:r>
            <w:r>
              <w:rPr>
                <w:rFonts w:hint="eastAsia" w:hAnsi="宋体" w:cs="宋体"/>
                <w:color w:val="auto"/>
              </w:rPr>
              <w:t>文件递交截止时间和地点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60B68C6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0593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DD2177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lang w:val="en-US" w:eastAsia="zh-CN"/>
              </w:rPr>
              <w:t>9</w:t>
            </w:r>
          </w:p>
        </w:tc>
        <w:tc>
          <w:tcPr>
            <w:tcW w:w="1992" w:type="dxa"/>
            <w:tcBorders>
              <w:top w:val="single" w:color="auto" w:sz="4" w:space="0"/>
              <w:left w:val="single" w:color="auto" w:sz="4" w:space="0"/>
              <w:bottom w:val="single" w:color="auto" w:sz="4" w:space="0"/>
              <w:right w:val="single" w:color="auto" w:sz="4" w:space="0"/>
            </w:tcBorders>
            <w:vAlign w:val="center"/>
          </w:tcPr>
          <w:p w14:paraId="51000709">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rPr>
              <w:t>评标委员会的组建</w:t>
            </w:r>
          </w:p>
        </w:tc>
        <w:tc>
          <w:tcPr>
            <w:tcW w:w="7164" w:type="dxa"/>
            <w:tcBorders>
              <w:top w:val="single" w:color="auto" w:sz="4" w:space="0"/>
              <w:left w:val="single" w:color="auto" w:sz="4" w:space="0"/>
              <w:bottom w:val="single" w:color="auto" w:sz="4" w:space="0"/>
              <w:right w:val="single" w:color="auto" w:sz="4" w:space="0"/>
            </w:tcBorders>
            <w:vAlign w:val="center"/>
          </w:tcPr>
          <w:p w14:paraId="4EBF8714">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Ansi="宋体" w:cs="宋体"/>
                <w:color w:val="auto"/>
              </w:rPr>
            </w:pPr>
            <w:r>
              <w:rPr>
                <w:rFonts w:hint="eastAsia" w:hAnsi="宋体" w:cs="宋体"/>
                <w:color w:val="auto"/>
              </w:rPr>
              <w:t>评标委员会构成：</w:t>
            </w:r>
            <w:r>
              <w:rPr>
                <w:rFonts w:hint="eastAsia" w:hAnsi="宋体" w:cs="宋体"/>
                <w:color w:val="auto"/>
                <w:lang w:val="en-US" w:eastAsia="zh-CN"/>
              </w:rPr>
              <w:t>3</w:t>
            </w:r>
            <w:r>
              <w:rPr>
                <w:rFonts w:hint="eastAsia" w:hAnsi="宋体" w:cs="宋体"/>
                <w:color w:val="auto"/>
              </w:rPr>
              <w:t>人，其中采购单位代表</w:t>
            </w:r>
            <w:r>
              <w:rPr>
                <w:rFonts w:hint="eastAsia" w:hAnsi="宋体" w:cs="宋体"/>
                <w:color w:val="auto"/>
                <w:lang w:val="en-US" w:eastAsia="zh-CN"/>
              </w:rPr>
              <w:t>1</w:t>
            </w:r>
            <w:r>
              <w:rPr>
                <w:rFonts w:hint="eastAsia" w:hAnsi="宋体" w:cs="宋体"/>
                <w:color w:val="auto"/>
              </w:rPr>
              <w:t>人，专家</w:t>
            </w:r>
            <w:r>
              <w:rPr>
                <w:rFonts w:hint="eastAsia" w:hAnsi="宋体" w:cs="宋体"/>
                <w:color w:val="auto"/>
                <w:lang w:val="en-US" w:eastAsia="zh-CN"/>
              </w:rPr>
              <w:t>2</w:t>
            </w:r>
            <w:r>
              <w:rPr>
                <w:rFonts w:hint="eastAsia" w:hAnsi="宋体" w:cs="宋体"/>
                <w:color w:val="auto"/>
              </w:rPr>
              <w:t>人；</w:t>
            </w:r>
          </w:p>
          <w:p w14:paraId="228773C9">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评标专家确定方式：随机抽取。</w:t>
            </w:r>
          </w:p>
        </w:tc>
      </w:tr>
      <w:tr w14:paraId="010C5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61BCFD9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1992" w:type="dxa"/>
            <w:tcBorders>
              <w:top w:val="single" w:color="auto" w:sz="4" w:space="0"/>
              <w:left w:val="single" w:color="auto" w:sz="4" w:space="0"/>
              <w:bottom w:val="single" w:color="auto" w:sz="4" w:space="0"/>
              <w:right w:val="single" w:color="auto" w:sz="4" w:space="0"/>
            </w:tcBorders>
            <w:vAlign w:val="center"/>
          </w:tcPr>
          <w:p w14:paraId="499E551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磋商时间和地点</w:t>
            </w:r>
          </w:p>
        </w:tc>
        <w:tc>
          <w:tcPr>
            <w:tcW w:w="7164" w:type="dxa"/>
            <w:tcBorders>
              <w:top w:val="single" w:color="auto" w:sz="4" w:space="0"/>
              <w:left w:val="single" w:color="auto" w:sz="4" w:space="0"/>
              <w:bottom w:val="single" w:color="auto" w:sz="4" w:space="0"/>
              <w:right w:val="single" w:color="auto" w:sz="4" w:space="0"/>
            </w:tcBorders>
            <w:vAlign w:val="center"/>
          </w:tcPr>
          <w:p w14:paraId="7F909637">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s="宋体"/>
                <w:color w:val="auto"/>
                <w:szCs w:val="21"/>
              </w:rPr>
              <w:t>详见竞争性磋商公告</w:t>
            </w:r>
          </w:p>
        </w:tc>
      </w:tr>
      <w:tr w14:paraId="316D4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F167616">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1</w:t>
            </w:r>
          </w:p>
        </w:tc>
        <w:tc>
          <w:tcPr>
            <w:tcW w:w="1992" w:type="dxa"/>
            <w:tcBorders>
              <w:top w:val="single" w:color="auto" w:sz="4" w:space="0"/>
              <w:left w:val="single" w:color="auto" w:sz="4" w:space="0"/>
              <w:bottom w:val="single" w:color="auto" w:sz="4" w:space="0"/>
              <w:right w:val="single" w:color="auto" w:sz="4" w:space="0"/>
            </w:tcBorders>
            <w:vAlign w:val="center"/>
          </w:tcPr>
          <w:p w14:paraId="7E05C33E">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评标方法</w:t>
            </w:r>
          </w:p>
        </w:tc>
        <w:tc>
          <w:tcPr>
            <w:tcW w:w="7164" w:type="dxa"/>
            <w:tcBorders>
              <w:top w:val="single" w:color="auto" w:sz="4" w:space="0"/>
              <w:left w:val="single" w:color="auto" w:sz="4" w:space="0"/>
              <w:bottom w:val="single" w:color="auto" w:sz="4" w:space="0"/>
              <w:right w:val="single" w:color="auto" w:sz="4" w:space="0"/>
            </w:tcBorders>
            <w:vAlign w:val="center"/>
          </w:tcPr>
          <w:p w14:paraId="786D71C8">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宋体" w:hAnsi="宋体"/>
                <w:color w:val="auto"/>
                <w:szCs w:val="21"/>
              </w:rPr>
              <w:t>评标方法：</w:t>
            </w:r>
            <w:r>
              <w:rPr>
                <w:rFonts w:hint="eastAsia"/>
                <w:color w:val="auto"/>
              </w:rPr>
              <w:t>综合评分法</w:t>
            </w:r>
          </w:p>
        </w:tc>
      </w:tr>
      <w:tr w14:paraId="0225A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6004BA3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w:t>
            </w:r>
          </w:p>
        </w:tc>
        <w:tc>
          <w:tcPr>
            <w:tcW w:w="1992" w:type="dxa"/>
            <w:tcBorders>
              <w:top w:val="single" w:color="auto" w:sz="4" w:space="0"/>
              <w:left w:val="single" w:color="auto" w:sz="4" w:space="0"/>
              <w:bottom w:val="single" w:color="auto" w:sz="4" w:space="0"/>
              <w:right w:val="single" w:color="auto" w:sz="4" w:space="0"/>
            </w:tcBorders>
            <w:vAlign w:val="center"/>
          </w:tcPr>
          <w:p w14:paraId="3D1A315B">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负偏离要求</w:t>
            </w:r>
          </w:p>
        </w:tc>
        <w:tc>
          <w:tcPr>
            <w:tcW w:w="7164" w:type="dxa"/>
            <w:tcBorders>
              <w:top w:val="single" w:color="auto" w:sz="4" w:space="0"/>
              <w:left w:val="single" w:color="auto" w:sz="4" w:space="0"/>
              <w:bottom w:val="single" w:color="auto" w:sz="4" w:space="0"/>
              <w:right w:val="single" w:color="auto" w:sz="4" w:space="0"/>
            </w:tcBorders>
            <w:vAlign w:val="center"/>
          </w:tcPr>
          <w:p w14:paraId="05F9E9E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cs="宋体"/>
                <w:color w:val="auto"/>
                <w:szCs w:val="21"/>
              </w:rPr>
            </w:pPr>
            <w:r>
              <w:rPr>
                <w:rFonts w:hint="eastAsia" w:ascii="宋体" w:hAnsi="宋体" w:cs="宋体"/>
                <w:color w:val="auto"/>
                <w:szCs w:val="21"/>
              </w:rPr>
              <w:t>商务条款评审中允许负偏离的非实质性条款数为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p w14:paraId="3FD4F39D">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color w:val="auto"/>
                <w:szCs w:val="21"/>
              </w:rPr>
            </w:pPr>
            <w:r>
              <w:rPr>
                <w:rFonts w:hint="eastAsia" w:ascii="宋体" w:hAnsi="宋体" w:cs="宋体"/>
                <w:color w:val="auto"/>
                <w:szCs w:val="21"/>
              </w:rPr>
              <w:t>服务需求评审中允许负偏离的非实质性条款数为</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项。</w:t>
            </w:r>
          </w:p>
        </w:tc>
      </w:tr>
      <w:tr w14:paraId="4A63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08AD0990">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3</w:t>
            </w:r>
          </w:p>
        </w:tc>
        <w:tc>
          <w:tcPr>
            <w:tcW w:w="1992" w:type="dxa"/>
            <w:tcBorders>
              <w:top w:val="single" w:color="auto" w:sz="4" w:space="0"/>
              <w:left w:val="single" w:color="auto" w:sz="4" w:space="0"/>
              <w:bottom w:val="single" w:color="auto" w:sz="4" w:space="0"/>
              <w:right w:val="single" w:color="auto" w:sz="4" w:space="0"/>
            </w:tcBorders>
            <w:vAlign w:val="center"/>
          </w:tcPr>
          <w:p w14:paraId="4570BCE2">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履约保证金</w:t>
            </w:r>
          </w:p>
        </w:tc>
        <w:tc>
          <w:tcPr>
            <w:tcW w:w="7164" w:type="dxa"/>
            <w:tcBorders>
              <w:top w:val="single" w:color="auto" w:sz="4" w:space="0"/>
              <w:left w:val="single" w:color="auto" w:sz="4" w:space="0"/>
              <w:bottom w:val="single" w:color="auto" w:sz="4" w:space="0"/>
              <w:right w:val="single" w:color="auto" w:sz="4" w:space="0"/>
            </w:tcBorders>
            <w:vAlign w:val="center"/>
          </w:tcPr>
          <w:p w14:paraId="0C31DCD5">
            <w:pPr>
              <w:pStyle w:val="40"/>
              <w:spacing w:before="76" w:line="348" w:lineRule="auto"/>
              <w:ind w:right="96"/>
              <w:rPr>
                <w:rFonts w:hint="eastAsia" w:asciiTheme="minorEastAsia" w:hAnsiTheme="minorEastAsia" w:eastAsiaTheme="minorEastAsia" w:cstheme="minorEastAsia"/>
                <w:color w:val="auto"/>
                <w:kern w:val="2"/>
                <w:sz w:val="21"/>
                <w:szCs w:val="21"/>
                <w:lang w:eastAsia="zh-CN"/>
              </w:rPr>
            </w:pPr>
            <w:r>
              <w:rPr>
                <w:rFonts w:hint="eastAsia" w:asciiTheme="minorEastAsia" w:hAnsiTheme="minorEastAsia" w:eastAsiaTheme="minorEastAsia" w:cstheme="minorEastAsia"/>
                <w:color w:val="auto"/>
                <w:kern w:val="2"/>
                <w:sz w:val="21"/>
                <w:szCs w:val="21"/>
                <w:lang w:eastAsia="zh-CN"/>
              </w:rPr>
              <w:t>履约保证金的形式：</w:t>
            </w:r>
            <w:r>
              <w:rPr>
                <w:rFonts w:hint="eastAsia" w:asciiTheme="minorEastAsia" w:hAnsiTheme="minorEastAsia" w:eastAsiaTheme="minorEastAsia" w:cstheme="minorEastAsia"/>
                <w:color w:val="auto"/>
                <w:spacing w:val="5"/>
                <w:kern w:val="2"/>
                <w:sz w:val="21"/>
                <w:szCs w:val="21"/>
                <w:u w:val="single"/>
                <w:lang w:eastAsia="zh-CN"/>
              </w:rPr>
              <w:t>支票、汇票、本票或者金融机构、担保机构出具的保函等非现金形式提交。</w:t>
            </w:r>
          </w:p>
          <w:p w14:paraId="246F0005">
            <w:pPr>
              <w:keepNext w:val="0"/>
              <w:keepLines w:val="0"/>
              <w:pageBreakBefore w:val="0"/>
              <w:widowControl w:val="0"/>
              <w:kinsoku/>
              <w:wordWrap/>
              <w:overflowPunct/>
              <w:topLinePunct w:val="0"/>
              <w:autoSpaceDE/>
              <w:autoSpaceDN/>
              <w:bidi w:val="0"/>
              <w:adjustRightInd/>
              <w:spacing w:line="400" w:lineRule="exact"/>
              <w:jc w:val="left"/>
              <w:textAlignment w:val="auto"/>
              <w:rPr>
                <w:rFonts w:ascii="宋体" w:hAnsi="宋体" w:cs="宋体"/>
                <w:color w:val="auto"/>
                <w:szCs w:val="21"/>
              </w:rPr>
            </w:pPr>
            <w:r>
              <w:rPr>
                <w:rFonts w:hint="eastAsia" w:asciiTheme="minorEastAsia" w:hAnsiTheme="minorEastAsia" w:eastAsiaTheme="minorEastAsia" w:cstheme="minorEastAsia"/>
                <w:color w:val="auto"/>
                <w:kern w:val="2"/>
                <w:sz w:val="21"/>
                <w:szCs w:val="21"/>
              </w:rPr>
              <w:t>履约</w:t>
            </w:r>
            <w:r>
              <w:rPr>
                <w:rFonts w:hint="eastAsia" w:asciiTheme="minorEastAsia" w:hAnsiTheme="minorEastAsia" w:eastAsiaTheme="minorEastAsia" w:cstheme="minorEastAsia"/>
                <w:color w:val="auto"/>
                <w:spacing w:val="-3"/>
                <w:kern w:val="2"/>
                <w:sz w:val="21"/>
                <w:szCs w:val="21"/>
              </w:rPr>
              <w:t>保</w:t>
            </w:r>
            <w:r>
              <w:rPr>
                <w:rFonts w:hint="eastAsia" w:asciiTheme="minorEastAsia" w:hAnsiTheme="minorEastAsia" w:eastAsiaTheme="minorEastAsia" w:cstheme="minorEastAsia"/>
                <w:color w:val="auto"/>
                <w:kern w:val="2"/>
                <w:sz w:val="21"/>
                <w:szCs w:val="21"/>
              </w:rPr>
              <w:t>证</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的</w:t>
            </w:r>
            <w:r>
              <w:rPr>
                <w:rFonts w:hint="eastAsia" w:asciiTheme="minorEastAsia" w:hAnsiTheme="minorEastAsia" w:eastAsiaTheme="minorEastAsia" w:cstheme="minorEastAsia"/>
                <w:color w:val="auto"/>
                <w:spacing w:val="-3"/>
                <w:kern w:val="2"/>
                <w:sz w:val="21"/>
                <w:szCs w:val="21"/>
              </w:rPr>
              <w:t>金</w:t>
            </w:r>
            <w:r>
              <w:rPr>
                <w:rFonts w:hint="eastAsia" w:asciiTheme="minorEastAsia" w:hAnsiTheme="minorEastAsia" w:eastAsiaTheme="minorEastAsia" w:cstheme="minorEastAsia"/>
                <w:color w:val="auto"/>
                <w:kern w:val="2"/>
                <w:sz w:val="21"/>
                <w:szCs w:val="21"/>
              </w:rPr>
              <w:t>额：</w:t>
            </w:r>
            <w:r>
              <w:rPr>
                <w:rFonts w:hint="eastAsia" w:asciiTheme="minorEastAsia" w:hAnsiTheme="minorEastAsia" w:eastAsiaTheme="minorEastAsia" w:cstheme="minorEastAsia"/>
                <w:color w:val="auto"/>
                <w:kern w:val="2"/>
                <w:sz w:val="21"/>
                <w:szCs w:val="21"/>
                <w:u w:val="single"/>
                <w:lang w:val="en-US" w:eastAsia="zh-CN"/>
              </w:rPr>
              <w:t>无。</w:t>
            </w:r>
          </w:p>
        </w:tc>
      </w:tr>
      <w:tr w14:paraId="02C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48" w:type="dxa"/>
            <w:tcBorders>
              <w:top w:val="single" w:color="auto" w:sz="4" w:space="0"/>
              <w:left w:val="single" w:color="auto" w:sz="4" w:space="0"/>
              <w:bottom w:val="single" w:color="auto" w:sz="4" w:space="0"/>
              <w:right w:val="single" w:color="auto" w:sz="4" w:space="0"/>
            </w:tcBorders>
            <w:vAlign w:val="center"/>
          </w:tcPr>
          <w:p w14:paraId="28013A8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4</w:t>
            </w:r>
          </w:p>
        </w:tc>
        <w:tc>
          <w:tcPr>
            <w:tcW w:w="1992" w:type="dxa"/>
            <w:tcBorders>
              <w:top w:val="single" w:color="auto" w:sz="4" w:space="0"/>
              <w:left w:val="single" w:color="auto" w:sz="4" w:space="0"/>
              <w:bottom w:val="single" w:color="auto" w:sz="4" w:space="0"/>
              <w:right w:val="single" w:color="auto" w:sz="4" w:space="0"/>
            </w:tcBorders>
            <w:vAlign w:val="center"/>
          </w:tcPr>
          <w:p w14:paraId="29D4513C">
            <w:pPr>
              <w:keepNext w:val="0"/>
              <w:keepLines w:val="0"/>
              <w:pageBreakBefore w:val="0"/>
              <w:widowControl w:val="0"/>
              <w:kinsoku/>
              <w:wordWrap/>
              <w:overflowPunct/>
              <w:topLinePunct w:val="0"/>
              <w:autoSpaceDE/>
              <w:autoSpaceDN/>
              <w:bidi w:val="0"/>
              <w:adjustRightInd/>
              <w:spacing w:line="400" w:lineRule="exact"/>
              <w:jc w:val="center"/>
              <w:textAlignment w:val="auto"/>
              <w:rPr>
                <w:rFonts w:ascii="宋体" w:hAnsi="宋体" w:cs="宋体"/>
                <w:color w:val="auto"/>
                <w:szCs w:val="21"/>
              </w:rPr>
            </w:pPr>
            <w:r>
              <w:rPr>
                <w:rFonts w:hint="eastAsia" w:ascii="宋体" w:hAnsi="宋体" w:cs="宋体"/>
                <w:color w:val="auto"/>
                <w:szCs w:val="21"/>
              </w:rPr>
              <w:t>采购预算价</w:t>
            </w:r>
          </w:p>
        </w:tc>
        <w:tc>
          <w:tcPr>
            <w:tcW w:w="7164" w:type="dxa"/>
            <w:tcBorders>
              <w:top w:val="single" w:color="auto" w:sz="4" w:space="0"/>
              <w:left w:val="single" w:color="auto" w:sz="4" w:space="0"/>
              <w:bottom w:val="single" w:color="auto" w:sz="4" w:space="0"/>
              <w:right w:val="single" w:color="auto" w:sz="4" w:space="0"/>
            </w:tcBorders>
            <w:vAlign w:val="center"/>
          </w:tcPr>
          <w:p w14:paraId="26288D8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rPr>
              <w:t>本项目采购预算价：</w:t>
            </w:r>
            <w:r>
              <w:rPr>
                <w:rFonts w:hint="eastAsia" w:ascii="宋体" w:hAnsi="宋体" w:cs="宋体"/>
                <w:color w:val="auto"/>
                <w:szCs w:val="21"/>
                <w:lang w:val="en-US" w:eastAsia="zh-CN"/>
              </w:rPr>
              <w:t xml:space="preserve">927404.03 </w:t>
            </w:r>
            <w:r>
              <w:rPr>
                <w:rFonts w:hint="eastAsia" w:asciiTheme="minorEastAsia" w:hAnsiTheme="minorEastAsia" w:eastAsiaTheme="minorEastAsia" w:cstheme="minorEastAsia"/>
                <w:color w:val="auto"/>
                <w:spacing w:val="-3"/>
                <w:kern w:val="2"/>
                <w:sz w:val="21"/>
                <w:szCs w:val="21"/>
                <w:lang w:val="en-US" w:eastAsia="zh-CN"/>
              </w:rPr>
              <w:t>元</w:t>
            </w:r>
          </w:p>
        </w:tc>
      </w:tr>
      <w:tr w14:paraId="58ED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2C3327F1">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5</w:t>
            </w:r>
          </w:p>
        </w:tc>
        <w:tc>
          <w:tcPr>
            <w:tcW w:w="1992" w:type="dxa"/>
            <w:tcBorders>
              <w:top w:val="single" w:color="auto" w:sz="4" w:space="0"/>
              <w:left w:val="single" w:color="auto" w:sz="4" w:space="0"/>
              <w:bottom w:val="single" w:color="auto" w:sz="4" w:space="0"/>
              <w:right w:val="single" w:color="auto" w:sz="4" w:space="0"/>
            </w:tcBorders>
            <w:vAlign w:val="center"/>
          </w:tcPr>
          <w:p w14:paraId="0A0EA798">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接收质疑函方式</w:t>
            </w:r>
          </w:p>
        </w:tc>
        <w:tc>
          <w:tcPr>
            <w:tcW w:w="7164" w:type="dxa"/>
            <w:tcBorders>
              <w:top w:val="single" w:color="auto" w:sz="4" w:space="0"/>
              <w:left w:val="single" w:color="auto" w:sz="4" w:space="0"/>
              <w:bottom w:val="single" w:color="auto" w:sz="4" w:space="0"/>
              <w:right w:val="single" w:color="auto" w:sz="4" w:space="0"/>
            </w:tcBorders>
            <w:vAlign w:val="center"/>
          </w:tcPr>
          <w:p w14:paraId="035D8F71">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ascii="宋体" w:hAnsi="宋体" w:cs="宋体"/>
                <w:color w:val="auto"/>
                <w:szCs w:val="21"/>
              </w:rPr>
            </w:pPr>
            <w:r>
              <w:rPr>
                <w:rFonts w:hint="eastAsia" w:ascii="宋体" w:hAnsi="宋体"/>
                <w:color w:val="auto"/>
                <w:szCs w:val="21"/>
              </w:rPr>
              <w:t>以书面形式</w:t>
            </w:r>
          </w:p>
        </w:tc>
      </w:tr>
      <w:tr w14:paraId="3C23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2AECD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Cs w:val="21"/>
                <w:lang w:eastAsia="zh-CN"/>
              </w:rPr>
            </w:pPr>
            <w:r>
              <w:rPr>
                <w:rFonts w:hint="eastAsia" w:ascii="宋体" w:hAnsi="宋体" w:cs="宋体"/>
                <w:color w:val="auto"/>
                <w:szCs w:val="21"/>
              </w:rPr>
              <w:t>1</w:t>
            </w:r>
            <w:r>
              <w:rPr>
                <w:rFonts w:hint="eastAsia" w:ascii="宋体" w:hAnsi="宋体" w:cs="宋体"/>
                <w:color w:val="auto"/>
                <w:szCs w:val="21"/>
                <w:lang w:val="en-US" w:eastAsia="zh-CN"/>
              </w:rPr>
              <w:t>6</w:t>
            </w:r>
          </w:p>
        </w:tc>
        <w:tc>
          <w:tcPr>
            <w:tcW w:w="1992" w:type="dxa"/>
            <w:tcBorders>
              <w:top w:val="single" w:color="auto" w:sz="4" w:space="0"/>
              <w:left w:val="single" w:color="auto" w:sz="4" w:space="0"/>
              <w:bottom w:val="single" w:color="auto" w:sz="4" w:space="0"/>
              <w:right w:val="single" w:color="auto" w:sz="4" w:space="0"/>
            </w:tcBorders>
            <w:vAlign w:val="center"/>
          </w:tcPr>
          <w:p w14:paraId="6F0A9E75">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ascii="宋体" w:hAnsi="宋体"/>
                <w:color w:val="auto"/>
                <w:szCs w:val="21"/>
              </w:rPr>
              <w:t>质疑联系部门及联系方式</w:t>
            </w:r>
          </w:p>
        </w:tc>
        <w:tc>
          <w:tcPr>
            <w:tcW w:w="7164" w:type="dxa"/>
            <w:tcBorders>
              <w:top w:val="single" w:color="auto" w:sz="4" w:space="0"/>
              <w:left w:val="single" w:color="auto" w:sz="4" w:space="0"/>
              <w:bottom w:val="single" w:color="auto" w:sz="4" w:space="0"/>
              <w:right w:val="single" w:color="auto" w:sz="4" w:space="0"/>
            </w:tcBorders>
            <w:vAlign w:val="center"/>
          </w:tcPr>
          <w:p w14:paraId="752AE68D">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default" w:ascii="宋体" w:hAnsi="宋体"/>
                <w:color w:val="auto"/>
                <w:szCs w:val="21"/>
                <w:u w:val="none"/>
                <w:lang w:val="en-US"/>
              </w:rPr>
            </w:pPr>
            <w:r>
              <w:rPr>
                <w:rFonts w:hint="eastAsia" w:ascii="宋体" w:hAnsi="宋体"/>
                <w:color w:val="auto"/>
                <w:szCs w:val="21"/>
                <w:u w:val="none"/>
                <w:lang w:eastAsia="zh-CN"/>
              </w:rPr>
              <w:t>广西天明建筑咨询有限公司</w:t>
            </w:r>
            <w:r>
              <w:rPr>
                <w:rFonts w:hint="eastAsia" w:ascii="宋体" w:hAnsi="宋体"/>
                <w:color w:val="auto"/>
                <w:szCs w:val="21"/>
                <w:u w:val="none"/>
                <w:lang w:val="en-US" w:eastAsia="zh-CN"/>
              </w:rPr>
              <w:t>钦州分公司</w:t>
            </w:r>
          </w:p>
          <w:p w14:paraId="3796EA6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宋体" w:hAnsi="宋体" w:eastAsia="宋体"/>
                <w:color w:val="auto"/>
                <w:szCs w:val="21"/>
                <w:u w:val="none"/>
                <w:lang w:val="en-US" w:eastAsia="zh-CN"/>
              </w:rPr>
            </w:pPr>
            <w:r>
              <w:rPr>
                <w:rFonts w:ascii="宋体" w:hAnsi="宋体"/>
                <w:color w:val="auto"/>
                <w:szCs w:val="21"/>
                <w:u w:val="none"/>
              </w:rPr>
              <w:t>联系电话</w:t>
            </w:r>
            <w:r>
              <w:rPr>
                <w:rFonts w:hint="eastAsia" w:ascii="宋体" w:hAnsi="宋体"/>
                <w:color w:val="auto"/>
                <w:szCs w:val="21"/>
                <w:u w:val="none"/>
              </w:rPr>
              <w:t>：</w:t>
            </w:r>
            <w:r>
              <w:rPr>
                <w:rFonts w:hint="eastAsia" w:ascii="宋体" w:hAnsi="宋体"/>
                <w:color w:val="auto"/>
                <w:szCs w:val="21"/>
                <w:u w:val="none"/>
                <w:lang w:val="en-US" w:eastAsia="zh-CN"/>
              </w:rPr>
              <w:t>0777-5682186</w:t>
            </w:r>
          </w:p>
          <w:p w14:paraId="55072E8A">
            <w:pPr>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b/>
                <w:color w:val="auto"/>
              </w:rPr>
            </w:pPr>
            <w:r>
              <w:rPr>
                <w:rFonts w:ascii="宋体" w:hAnsi="宋体"/>
                <w:color w:val="auto"/>
                <w:szCs w:val="21"/>
                <w:u w:val="none"/>
              </w:rPr>
              <w:t>通讯地址</w:t>
            </w:r>
            <w:r>
              <w:rPr>
                <w:rFonts w:hint="eastAsia" w:ascii="宋体" w:hAnsi="宋体" w:cs="Helvetica"/>
                <w:color w:val="auto"/>
                <w:szCs w:val="21"/>
                <w:u w:val="none"/>
              </w:rPr>
              <w:t>：</w:t>
            </w:r>
            <w:r>
              <w:rPr>
                <w:rFonts w:hint="eastAsia" w:ascii="宋体" w:hAnsi="宋体" w:cs="Times New Roman"/>
                <w:color w:val="auto"/>
                <w:szCs w:val="21"/>
                <w:u w:val="none"/>
                <w:lang w:eastAsia="zh-CN"/>
              </w:rPr>
              <w:t>钦州市泥桥物流市场旁2栋四楼</w:t>
            </w:r>
            <w:r>
              <w:rPr>
                <w:rFonts w:hint="eastAsia" w:ascii="宋体" w:hAnsi="宋体"/>
                <w:color w:val="auto"/>
                <w:szCs w:val="21"/>
                <w:u w:val="none"/>
              </w:rPr>
              <w:t xml:space="preserve"> </w:t>
            </w:r>
          </w:p>
        </w:tc>
      </w:tr>
      <w:tr w14:paraId="087A9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2504D51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17</w:t>
            </w:r>
          </w:p>
        </w:tc>
        <w:tc>
          <w:tcPr>
            <w:tcW w:w="1992" w:type="dxa"/>
            <w:tcBorders>
              <w:top w:val="single" w:color="auto" w:sz="4" w:space="0"/>
              <w:left w:val="single" w:color="auto" w:sz="4" w:space="0"/>
              <w:bottom w:val="single" w:color="auto" w:sz="4" w:space="0"/>
              <w:right w:val="single" w:color="auto" w:sz="4" w:space="0"/>
            </w:tcBorders>
            <w:vAlign w:val="center"/>
          </w:tcPr>
          <w:p w14:paraId="20DAD59E">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ascii="宋体" w:hAnsi="宋体" w:cs="宋体"/>
                <w:color w:val="auto"/>
                <w:szCs w:val="21"/>
              </w:rPr>
            </w:pPr>
            <w:r>
              <w:rPr>
                <w:rFonts w:hint="eastAsia" w:hAnsi="宋体"/>
                <w:color w:val="auto"/>
              </w:rPr>
              <w:t>现场提交质疑办理业务时间</w:t>
            </w:r>
          </w:p>
        </w:tc>
        <w:tc>
          <w:tcPr>
            <w:tcW w:w="7164" w:type="dxa"/>
            <w:tcBorders>
              <w:top w:val="single" w:color="auto" w:sz="4" w:space="0"/>
              <w:left w:val="single" w:color="auto" w:sz="4" w:space="0"/>
              <w:bottom w:val="single" w:color="auto" w:sz="4" w:space="0"/>
              <w:right w:val="single" w:color="auto" w:sz="4" w:space="0"/>
            </w:tcBorders>
            <w:vAlign w:val="center"/>
          </w:tcPr>
          <w:p w14:paraId="1131817A">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Ansi="宋体"/>
                <w:b/>
                <w:color w:val="auto"/>
              </w:rPr>
            </w:pPr>
            <w:r>
              <w:rPr>
                <w:rFonts w:hint="eastAsia" w:hAnsi="宋体"/>
                <w:color w:val="auto"/>
              </w:rPr>
              <w:t>质疑期内每个工作日</w:t>
            </w:r>
            <w:r>
              <w:rPr>
                <w:rFonts w:hint="eastAsia" w:hAnsi="宋体"/>
                <w:color w:val="auto"/>
                <w:u w:val="single"/>
              </w:rPr>
              <w:t>08</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12</w:t>
            </w:r>
            <w:r>
              <w:rPr>
                <w:rFonts w:hint="eastAsia" w:hAnsi="宋体"/>
                <w:color w:val="auto"/>
              </w:rPr>
              <w:t>时</w:t>
            </w:r>
            <w:r>
              <w:rPr>
                <w:rFonts w:hint="eastAsia" w:hAnsi="宋体"/>
                <w:color w:val="auto"/>
                <w:u w:val="single"/>
              </w:rPr>
              <w:t>00</w:t>
            </w:r>
            <w:r>
              <w:rPr>
                <w:rFonts w:hint="eastAsia" w:hAnsi="宋体"/>
                <w:color w:val="auto"/>
              </w:rPr>
              <w:t>分，</w:t>
            </w:r>
            <w:r>
              <w:rPr>
                <w:rFonts w:hint="eastAsia" w:hAnsi="宋体"/>
                <w:color w:val="auto"/>
                <w:u w:val="single"/>
              </w:rPr>
              <w:t>15</w:t>
            </w:r>
            <w:r>
              <w:rPr>
                <w:rFonts w:hint="eastAsia" w:hAnsi="宋体"/>
                <w:color w:val="auto"/>
              </w:rPr>
              <w:t>时</w:t>
            </w:r>
            <w:r>
              <w:rPr>
                <w:rFonts w:hint="eastAsia" w:hAnsi="宋体"/>
                <w:color w:val="auto"/>
                <w:u w:val="single"/>
              </w:rPr>
              <w:t>00</w:t>
            </w:r>
            <w:r>
              <w:rPr>
                <w:rFonts w:hint="eastAsia" w:hAnsi="宋体"/>
                <w:color w:val="auto"/>
              </w:rPr>
              <w:t>分到</w:t>
            </w:r>
            <w:r>
              <w:rPr>
                <w:rFonts w:hint="eastAsia" w:hAnsi="宋体"/>
                <w:color w:val="auto"/>
                <w:u w:val="single"/>
              </w:rPr>
              <w:t>18</w:t>
            </w:r>
            <w:r>
              <w:rPr>
                <w:rFonts w:hint="eastAsia" w:hAnsi="宋体"/>
                <w:color w:val="auto"/>
              </w:rPr>
              <w:t>时</w:t>
            </w:r>
            <w:r>
              <w:rPr>
                <w:rFonts w:hint="eastAsia" w:hAnsi="宋体"/>
                <w:color w:val="auto"/>
                <w:u w:val="single"/>
              </w:rPr>
              <w:t>00</w:t>
            </w:r>
            <w:r>
              <w:rPr>
                <w:rFonts w:hint="eastAsia" w:hAnsi="宋体"/>
                <w:color w:val="auto"/>
              </w:rPr>
              <w:t>分</w:t>
            </w:r>
          </w:p>
        </w:tc>
      </w:tr>
      <w:tr w14:paraId="0173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B7C8AC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18</w:t>
            </w:r>
          </w:p>
        </w:tc>
        <w:tc>
          <w:tcPr>
            <w:tcW w:w="1992" w:type="dxa"/>
            <w:tcBorders>
              <w:top w:val="single" w:color="auto" w:sz="4" w:space="0"/>
              <w:left w:val="single" w:color="auto" w:sz="4" w:space="0"/>
              <w:bottom w:val="single" w:color="auto" w:sz="4" w:space="0"/>
              <w:right w:val="single" w:color="auto" w:sz="4" w:space="0"/>
            </w:tcBorders>
            <w:vAlign w:val="center"/>
          </w:tcPr>
          <w:p w14:paraId="18AB3B4B">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hAnsi="宋体"/>
                <w:color w:val="auto"/>
              </w:rPr>
            </w:pPr>
            <w:r>
              <w:rPr>
                <w:rFonts w:hint="eastAsia" w:ascii="宋体" w:hAnsi="宋体" w:cs="宋体"/>
                <w:color w:val="auto"/>
                <w:szCs w:val="21"/>
              </w:rPr>
              <w:t>采购代理费</w:t>
            </w:r>
          </w:p>
        </w:tc>
        <w:tc>
          <w:tcPr>
            <w:tcW w:w="7164" w:type="dxa"/>
            <w:tcBorders>
              <w:top w:val="single" w:color="auto" w:sz="4" w:space="0"/>
              <w:left w:val="single" w:color="auto" w:sz="4" w:space="0"/>
              <w:bottom w:val="single" w:color="auto" w:sz="4" w:space="0"/>
              <w:right w:val="single" w:color="auto" w:sz="4" w:space="0"/>
            </w:tcBorders>
            <w:vAlign w:val="center"/>
          </w:tcPr>
          <w:p w14:paraId="5C8A70F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1.是否收取采购代理费：</w:t>
            </w:r>
          </w:p>
          <w:p w14:paraId="3F160B33">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是    □ 否</w:t>
            </w:r>
          </w:p>
          <w:p w14:paraId="014979E8">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2.采购代理费支付方式：</w:t>
            </w:r>
          </w:p>
          <w:p w14:paraId="618BCE82">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本项目代理服务费由</w:t>
            </w:r>
            <w:r>
              <w:rPr>
                <w:rFonts w:hint="eastAsia" w:hAnsi="宋体" w:cs="宋体"/>
                <w:color w:val="auto"/>
                <w:sz w:val="21"/>
                <w:u w:val="single"/>
                <w:lang w:val="en-US" w:eastAsia="zh-CN"/>
              </w:rPr>
              <w:t xml:space="preserve"> 成交供应商 </w:t>
            </w:r>
            <w:r>
              <w:rPr>
                <w:rFonts w:hint="eastAsia" w:hAnsi="宋体" w:cs="宋体"/>
                <w:color w:val="auto"/>
                <w:sz w:val="21"/>
                <w:lang w:val="en-US" w:eastAsia="zh-CN"/>
              </w:rPr>
              <w:t>一次性向采购代理机构支付。</w:t>
            </w:r>
          </w:p>
          <w:p w14:paraId="54F0B01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□采购人支付。</w:t>
            </w:r>
          </w:p>
          <w:p w14:paraId="1DFF44D8">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3.采购代理费收取标准：</w:t>
            </w:r>
          </w:p>
          <w:p w14:paraId="36761578">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以分标（☑成交金额/</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采购预算/□暂定成交金额/□其他</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lang w:val="en-US" w:eastAsia="zh-CN"/>
              </w:rPr>
              <w:t>）为计费额，按收费计算标准（□货物类/□服务类/</w:t>
            </w:r>
            <w:r>
              <w:rPr>
                <w:rFonts w:hint="eastAsia" w:hAnsi="宋体" w:cs="宋体"/>
                <w:color w:val="auto"/>
                <w:sz w:val="21"/>
                <w:lang w:val="en-US" w:eastAsia="zh-CN"/>
              </w:rPr>
              <w:sym w:font="Wingdings 2" w:char="0052"/>
            </w:r>
            <w:r>
              <w:rPr>
                <w:rFonts w:hint="eastAsia" w:hAnsi="宋体" w:cs="宋体"/>
                <w:color w:val="auto"/>
                <w:sz w:val="21"/>
                <w:lang w:val="en-US" w:eastAsia="zh-CN"/>
              </w:rPr>
              <w:t>工程类）采用差额定率累进法计算出收费基准价格，采购代理收费以（</w:t>
            </w:r>
            <w:r>
              <w:rPr>
                <w:rFonts w:hint="eastAsia" w:ascii="MS Mincho" w:hAnsi="MS Mincho" w:eastAsia="MS Mincho" w:cs="MS Mincho"/>
                <w:color w:val="auto"/>
                <w:sz w:val="21"/>
                <w:lang w:val="en-US" w:eastAsia="zh-CN"/>
              </w:rPr>
              <w:t>☑</w:t>
            </w:r>
            <w:r>
              <w:rPr>
                <w:rFonts w:hint="eastAsia" w:hAnsi="宋体" w:cs="宋体"/>
                <w:color w:val="auto"/>
                <w:sz w:val="21"/>
                <w:lang w:val="en-US" w:eastAsia="zh-CN"/>
              </w:rPr>
              <w:t>收费基准价格/□收费基准价格下浮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Ansi="宋体" w:cs="宋体"/>
                <w:color w:val="auto"/>
                <w:sz w:val="21"/>
                <w:lang w:val="en-US" w:eastAsia="zh-CN"/>
              </w:rPr>
              <w:t>/</w:t>
            </w:r>
            <w:r>
              <w:rPr>
                <w:rFonts w:hint="eastAsia" w:hAnsi="宋体" w:cs="宋体"/>
                <w:color w:val="auto"/>
                <w:sz w:val="21"/>
                <w:lang w:val="en-US" w:eastAsia="zh-CN"/>
              </w:rPr>
              <w:t>□收费基准价格上浮</w:t>
            </w:r>
            <w:r>
              <w:rPr>
                <w:rFonts w:hint="eastAsia" w:hAnsi="宋体" w:cs="宋体"/>
                <w:color w:val="auto"/>
                <w:sz w:val="21"/>
                <w:u w:val="single"/>
                <w:lang w:val="en-US" w:eastAsia="zh-CN"/>
              </w:rPr>
              <w:t xml:space="preserve"> </w:t>
            </w:r>
            <w:r>
              <w:rPr>
                <w:rFonts w:hAnsi="宋体" w:cs="宋体"/>
                <w:color w:val="auto"/>
                <w:sz w:val="21"/>
                <w:u w:val="single"/>
                <w:lang w:val="en-US" w:eastAsia="zh-CN"/>
              </w:rPr>
              <w:t xml:space="preserve">  </w:t>
            </w:r>
            <w:r>
              <w:rPr>
                <w:rFonts w:hint="eastAsia" w:hAnsi="宋体" w:cs="宋体"/>
                <w:color w:val="auto"/>
                <w:sz w:val="21"/>
                <w:u w:val="single"/>
                <w:lang w:val="en-US" w:eastAsia="zh-CN"/>
              </w:rPr>
              <w:t>%</w:t>
            </w:r>
            <w:r>
              <w:rPr>
                <w:rFonts w:hint="eastAsia" w:hAnsi="宋体" w:cs="宋体"/>
                <w:color w:val="auto"/>
                <w:sz w:val="21"/>
                <w:lang w:val="en-US" w:eastAsia="zh-CN"/>
              </w:rPr>
              <w:t>）收取。</w:t>
            </w:r>
          </w:p>
          <w:p w14:paraId="3AB1D105">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u w:val="single"/>
                <w:lang w:val="en-US" w:eastAsia="zh-CN"/>
              </w:rPr>
            </w:pPr>
            <w:r>
              <w:rPr>
                <w:rFonts w:hint="eastAsia" w:hAnsi="宋体" w:cs="宋体"/>
                <w:color w:val="auto"/>
                <w:sz w:val="21"/>
                <w:lang w:val="en-US" w:eastAsia="zh-CN"/>
              </w:rPr>
              <w:t>□固定采购代理收费</w:t>
            </w:r>
            <w:r>
              <w:rPr>
                <w:rFonts w:hint="eastAsia" w:hAnsi="宋体" w:cs="宋体"/>
                <w:color w:val="auto"/>
                <w:sz w:val="21"/>
                <w:u w:val="single"/>
                <w:lang w:val="en-US" w:eastAsia="zh-CN"/>
              </w:rPr>
              <w:t xml:space="preserve">                </w:t>
            </w:r>
            <w:r>
              <w:rPr>
                <w:rFonts w:hint="eastAsia" w:hAnsi="宋体" w:cs="宋体"/>
                <w:color w:val="auto"/>
                <w:sz w:val="21"/>
                <w:u w:val="none"/>
                <w:lang w:val="en-US" w:eastAsia="zh-CN"/>
              </w:rPr>
              <w:t>。</w:t>
            </w:r>
          </w:p>
          <w:p w14:paraId="3FE5D10B">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4. 采购代理费收取银行账户</w:t>
            </w:r>
          </w:p>
          <w:p w14:paraId="0D30C898">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开户名称：</w:t>
            </w:r>
            <w:r>
              <w:rPr>
                <w:rFonts w:hint="eastAsia" w:hAnsi="宋体" w:cs="宋体"/>
                <w:color w:val="auto"/>
                <w:sz w:val="21"/>
                <w:lang w:val="en-US" w:eastAsia="zh-CN"/>
              </w:rPr>
              <w:t>广西天明建筑咨询有限公司钦州分公司</w:t>
            </w:r>
          </w:p>
          <w:p w14:paraId="3616B1D6">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ascii="宋体" w:hAnsi="宋体" w:eastAsia="宋体" w:cs="宋体"/>
                <w:b/>
                <w:bCs/>
                <w:color w:val="auto"/>
                <w:sz w:val="21"/>
                <w:lang w:val="en-US" w:eastAsia="zh-CN"/>
              </w:rPr>
            </w:pPr>
            <w:r>
              <w:rPr>
                <w:rFonts w:hint="eastAsia" w:ascii="宋体" w:hAnsi="宋体" w:eastAsia="宋体" w:cs="宋体"/>
                <w:color w:val="auto"/>
                <w:sz w:val="21"/>
                <w:lang w:val="en-US" w:eastAsia="zh-CN"/>
              </w:rPr>
              <w:t>账</w:t>
            </w:r>
            <w:r>
              <w:rPr>
                <w:rFonts w:hint="eastAsia" w:hAnsi="宋体" w:cs="宋体"/>
                <w:color w:val="auto"/>
                <w:sz w:val="21"/>
                <w:lang w:val="en-US" w:eastAsia="zh-CN"/>
              </w:rPr>
              <w:t xml:space="preserve">  </w:t>
            </w:r>
            <w:r>
              <w:rPr>
                <w:rFonts w:hint="eastAsia" w:ascii="宋体" w:hAnsi="宋体" w:eastAsia="宋体" w:cs="宋体"/>
                <w:color w:val="auto"/>
                <w:sz w:val="21"/>
                <w:lang w:val="en-US" w:eastAsia="zh-CN"/>
              </w:rPr>
              <w:t>号：</w:t>
            </w:r>
            <w:r>
              <w:rPr>
                <w:rFonts w:hint="eastAsia" w:hAnsi="宋体" w:cs="宋体"/>
                <w:color w:val="auto"/>
                <w:sz w:val="21"/>
                <w:lang w:val="en-US" w:eastAsia="zh-CN"/>
              </w:rPr>
              <w:t>8007120101106559085</w:t>
            </w:r>
          </w:p>
          <w:p w14:paraId="396FC7A5">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hAnsi="宋体"/>
                <w:color w:val="auto"/>
              </w:rPr>
            </w:pPr>
            <w:r>
              <w:rPr>
                <w:rFonts w:hint="eastAsia" w:ascii="宋体" w:hAnsi="宋体" w:eastAsia="宋体" w:cs="宋体"/>
                <w:color w:val="auto"/>
                <w:sz w:val="21"/>
                <w:lang w:val="en-US" w:eastAsia="zh-CN"/>
              </w:rPr>
              <w:t>开户行：</w:t>
            </w:r>
            <w:r>
              <w:rPr>
                <w:rFonts w:hint="eastAsia" w:hAnsi="宋体" w:cs="宋体"/>
                <w:color w:val="auto"/>
                <w:sz w:val="21"/>
                <w:lang w:val="en-US" w:eastAsia="zh-CN"/>
              </w:rPr>
              <w:t xml:space="preserve">钦州市农村信用合作社联合社营业部 </w:t>
            </w:r>
          </w:p>
        </w:tc>
      </w:tr>
      <w:tr w14:paraId="3A73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54BD56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19</w:t>
            </w:r>
          </w:p>
        </w:tc>
        <w:tc>
          <w:tcPr>
            <w:tcW w:w="1992" w:type="dxa"/>
            <w:tcBorders>
              <w:top w:val="single" w:color="auto" w:sz="4" w:space="0"/>
              <w:left w:val="single" w:color="auto" w:sz="4" w:space="0"/>
              <w:bottom w:val="single" w:color="auto" w:sz="4" w:space="0"/>
              <w:right w:val="single" w:color="auto" w:sz="4" w:space="0"/>
            </w:tcBorders>
            <w:vAlign w:val="center"/>
          </w:tcPr>
          <w:p w14:paraId="2804B8E1">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hAnsi="宋体"/>
                <w:color w:val="auto"/>
              </w:rPr>
              <w:t>解释</w:t>
            </w:r>
          </w:p>
        </w:tc>
        <w:tc>
          <w:tcPr>
            <w:tcW w:w="7164" w:type="dxa"/>
            <w:tcBorders>
              <w:top w:val="single" w:color="auto" w:sz="4" w:space="0"/>
              <w:left w:val="single" w:color="auto" w:sz="4" w:space="0"/>
              <w:bottom w:val="single" w:color="auto" w:sz="4" w:space="0"/>
              <w:right w:val="single" w:color="auto" w:sz="4" w:space="0"/>
            </w:tcBorders>
            <w:vAlign w:val="center"/>
          </w:tcPr>
          <w:p w14:paraId="2B0E25C1">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b/>
                <w:color w:val="auto"/>
                <w:sz w:val="21"/>
                <w:lang w:val="en-US" w:eastAsia="zh-CN"/>
              </w:rPr>
            </w:pPr>
            <w:r>
              <w:rPr>
                <w:rFonts w:hint="eastAsia" w:hAnsi="宋体" w:cs="宋体"/>
                <w:b/>
                <w:color w:val="auto"/>
                <w:sz w:val="21"/>
                <w:lang w:val="en-US" w:eastAsia="zh-CN"/>
              </w:rPr>
              <w:t>解释权：</w:t>
            </w:r>
            <w:r>
              <w:rPr>
                <w:rFonts w:hAnsi="宋体" w:cs="宋体"/>
                <w:color w:val="auto"/>
                <w:sz w:val="21"/>
                <w:lang w:val="en-US" w:eastAsia="zh-CN"/>
              </w:rPr>
              <w:t>构成本</w:t>
            </w:r>
            <w:r>
              <w:rPr>
                <w:rFonts w:hint="eastAsia" w:hAnsi="宋体" w:cs="宋体"/>
                <w:color w:val="auto"/>
                <w:sz w:val="21"/>
                <w:lang w:val="en-US" w:eastAsia="zh-CN"/>
              </w:rPr>
              <w:t>磋商文件</w:t>
            </w:r>
            <w:r>
              <w:rPr>
                <w:rFonts w:hAnsi="宋体" w:cs="宋体"/>
                <w:color w:val="auto"/>
                <w:sz w:val="21"/>
                <w:lang w:val="en-US" w:eastAsia="zh-CN"/>
              </w:rPr>
              <w:t>的各个组成文件应互为解释，互为说明；除</w:t>
            </w:r>
            <w:r>
              <w:rPr>
                <w:rFonts w:hint="eastAsia" w:hAnsi="宋体" w:cs="宋体"/>
                <w:color w:val="auto"/>
                <w:sz w:val="21"/>
                <w:lang w:val="en-US" w:eastAsia="zh-CN"/>
              </w:rPr>
              <w:t>磋商文件</w:t>
            </w:r>
            <w:r>
              <w:rPr>
                <w:rFonts w:hAnsi="宋体" w:cs="宋体"/>
                <w:color w:val="auto"/>
                <w:sz w:val="21"/>
                <w:lang w:val="en-US" w:eastAsia="zh-CN"/>
              </w:rPr>
              <w:t>中有特别规定外，仅适用于</w:t>
            </w:r>
            <w:r>
              <w:rPr>
                <w:rFonts w:hint="eastAsia" w:hAnsi="宋体" w:cs="宋体"/>
                <w:color w:val="auto"/>
                <w:sz w:val="21"/>
                <w:lang w:val="en-US" w:eastAsia="zh-CN"/>
              </w:rPr>
              <w:t>竞标</w:t>
            </w:r>
            <w:r>
              <w:rPr>
                <w:rFonts w:hAnsi="宋体" w:cs="宋体"/>
                <w:color w:val="auto"/>
                <w:sz w:val="21"/>
                <w:lang w:val="en-US" w:eastAsia="zh-CN"/>
              </w:rPr>
              <w:t>阶段的规定，按</w:t>
            </w:r>
            <w:r>
              <w:rPr>
                <w:rFonts w:hint="eastAsia" w:hAnsi="宋体" w:cs="宋体"/>
                <w:color w:val="auto"/>
                <w:sz w:val="21"/>
                <w:lang w:val="en-US" w:eastAsia="zh-CN"/>
              </w:rPr>
              <w:t>更正公告（澄清公告）</w:t>
            </w:r>
            <w:r>
              <w:rPr>
                <w:rFonts w:hAnsi="宋体" w:cs="宋体"/>
                <w:color w:val="auto"/>
                <w:sz w:val="21"/>
                <w:lang w:val="en-US" w:eastAsia="zh-CN"/>
              </w:rPr>
              <w:t>、</w:t>
            </w:r>
            <w:r>
              <w:rPr>
                <w:rFonts w:hint="eastAsia" w:hAnsi="宋体" w:cs="宋体"/>
                <w:color w:val="auto"/>
                <w:sz w:val="21"/>
                <w:lang w:val="en-US" w:eastAsia="zh-CN"/>
              </w:rPr>
              <w:t>竞争性磋商</w:t>
            </w:r>
            <w:r>
              <w:rPr>
                <w:rFonts w:hAnsi="宋体" w:cs="宋体"/>
                <w:color w:val="auto"/>
                <w:sz w:val="21"/>
                <w:lang w:val="en-US" w:eastAsia="zh-CN"/>
              </w:rPr>
              <w:t>公告、</w:t>
            </w:r>
            <w:r>
              <w:rPr>
                <w:rFonts w:hint="eastAsia" w:hAnsi="宋体" w:cs="宋体"/>
                <w:color w:val="auto"/>
                <w:sz w:val="21"/>
                <w:lang w:val="en-US" w:eastAsia="zh-CN"/>
              </w:rPr>
              <w:t>供应商</w:t>
            </w:r>
            <w:r>
              <w:rPr>
                <w:rFonts w:hAnsi="宋体" w:cs="宋体"/>
                <w:color w:val="auto"/>
                <w:sz w:val="21"/>
                <w:lang w:val="en-US" w:eastAsia="zh-CN"/>
              </w:rPr>
              <w:t>须知</w:t>
            </w:r>
            <w:r>
              <w:rPr>
                <w:rFonts w:hint="eastAsia" w:hAnsi="宋体" w:cs="宋体"/>
                <w:color w:val="auto"/>
                <w:sz w:val="21"/>
                <w:lang w:val="en-US" w:eastAsia="zh-CN"/>
              </w:rPr>
              <w:t>、采购需求</w:t>
            </w:r>
            <w:r>
              <w:rPr>
                <w:rFonts w:hAnsi="宋体" w:cs="宋体"/>
                <w:color w:val="auto"/>
                <w:sz w:val="21"/>
                <w:lang w:val="en-US" w:eastAsia="zh-CN"/>
              </w:rPr>
              <w:t>、</w:t>
            </w:r>
            <w:r>
              <w:rPr>
                <w:rFonts w:hint="eastAsia" w:hAnsi="宋体" w:cs="宋体"/>
                <w:color w:val="auto"/>
                <w:sz w:val="21"/>
                <w:lang w:val="en-US" w:eastAsia="zh-CN"/>
              </w:rPr>
              <w:t>评审程序、评审方法和评审标准</w:t>
            </w:r>
            <w:r>
              <w:rPr>
                <w:rFonts w:hAnsi="宋体" w:cs="宋体"/>
                <w:color w:val="auto"/>
                <w:sz w:val="21"/>
                <w:lang w:val="en-US" w:eastAsia="zh-CN"/>
              </w:rPr>
              <w:t>、</w:t>
            </w:r>
            <w:r>
              <w:rPr>
                <w:rFonts w:hint="eastAsia" w:hAnsi="宋体" w:cs="宋体"/>
                <w:color w:val="auto"/>
                <w:sz w:val="21"/>
                <w:lang w:val="en-US" w:eastAsia="zh-CN"/>
              </w:rPr>
              <w:t>响应</w:t>
            </w:r>
            <w:r>
              <w:rPr>
                <w:rFonts w:hAnsi="宋体" w:cs="宋体"/>
                <w:color w:val="auto"/>
                <w:sz w:val="21"/>
                <w:lang w:val="en-US" w:eastAsia="zh-CN"/>
              </w:rPr>
              <w:t>文件格式</w:t>
            </w:r>
            <w:r>
              <w:rPr>
                <w:rFonts w:hint="eastAsia" w:hAnsi="宋体" w:cs="宋体"/>
                <w:color w:val="auto"/>
                <w:sz w:val="21"/>
                <w:lang w:val="en-US" w:eastAsia="zh-CN"/>
              </w:rPr>
              <w:t>、合同文本</w:t>
            </w:r>
            <w:r>
              <w:rPr>
                <w:rFonts w:hAnsi="宋体" w:cs="宋体"/>
                <w:color w:val="auto"/>
                <w:sz w:val="21"/>
                <w:lang w:val="en-US" w:eastAsia="zh-CN"/>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sz w:val="21"/>
                <w:lang w:val="en-US" w:eastAsia="zh-CN"/>
              </w:rPr>
              <w:t>更正公告（澄清公告）</w:t>
            </w:r>
            <w:r>
              <w:rPr>
                <w:rFonts w:hAnsi="宋体" w:cs="宋体"/>
                <w:color w:val="auto"/>
                <w:sz w:val="21"/>
                <w:lang w:val="en-US" w:eastAsia="zh-CN"/>
              </w:rPr>
              <w:t>与同步更新的</w:t>
            </w:r>
            <w:r>
              <w:rPr>
                <w:rFonts w:hint="eastAsia" w:hAnsi="宋体" w:cs="宋体"/>
                <w:color w:val="auto"/>
                <w:sz w:val="21"/>
                <w:lang w:val="en-US" w:eastAsia="zh-CN"/>
              </w:rPr>
              <w:t>磋商文件</w:t>
            </w:r>
            <w:r>
              <w:rPr>
                <w:rFonts w:hAnsi="宋体" w:cs="宋体"/>
                <w:color w:val="auto"/>
                <w:sz w:val="21"/>
                <w:lang w:val="en-US" w:eastAsia="zh-CN"/>
              </w:rPr>
              <w:t>不一致时以</w:t>
            </w:r>
            <w:r>
              <w:rPr>
                <w:rFonts w:hint="eastAsia" w:hAnsi="宋体" w:cs="宋体"/>
                <w:color w:val="auto"/>
                <w:sz w:val="21"/>
                <w:lang w:val="en-US" w:eastAsia="zh-CN"/>
              </w:rPr>
              <w:t>更正公告（澄清公告）</w:t>
            </w:r>
            <w:r>
              <w:rPr>
                <w:rFonts w:hAnsi="宋体" w:cs="宋体"/>
                <w:color w:val="auto"/>
                <w:sz w:val="21"/>
                <w:lang w:val="en-US" w:eastAsia="zh-CN"/>
              </w:rPr>
              <w:t>为准。按本款前述规定仍不能形成结论的，</w:t>
            </w:r>
            <w:r>
              <w:rPr>
                <w:rFonts w:hAnsi="宋体" w:cs="宋体"/>
                <w:b/>
                <w:color w:val="auto"/>
                <w:sz w:val="21"/>
                <w:lang w:val="en-US" w:eastAsia="zh-CN"/>
              </w:rPr>
              <w:t>由</w:t>
            </w:r>
            <w:r>
              <w:rPr>
                <w:rFonts w:hint="eastAsia" w:hAnsi="宋体" w:cs="宋体"/>
                <w:b/>
                <w:color w:val="auto"/>
                <w:sz w:val="21"/>
                <w:lang w:val="en-US" w:eastAsia="zh-CN"/>
              </w:rPr>
              <w:t>采购</w:t>
            </w:r>
            <w:r>
              <w:rPr>
                <w:rFonts w:hAnsi="宋体" w:cs="宋体"/>
                <w:b/>
                <w:color w:val="auto"/>
                <w:sz w:val="21"/>
                <w:lang w:val="en-US" w:eastAsia="zh-CN"/>
              </w:rPr>
              <w:t>人</w:t>
            </w:r>
            <w:r>
              <w:rPr>
                <w:rFonts w:hint="eastAsia" w:hAnsi="宋体" w:cs="宋体"/>
                <w:b/>
                <w:color w:val="auto"/>
                <w:sz w:val="21"/>
                <w:lang w:val="en-US" w:eastAsia="zh-CN"/>
              </w:rPr>
              <w:t>或者采购代理机构</w:t>
            </w:r>
            <w:r>
              <w:rPr>
                <w:rFonts w:hAnsi="宋体" w:cs="宋体"/>
                <w:b/>
                <w:color w:val="auto"/>
                <w:sz w:val="21"/>
                <w:lang w:val="en-US" w:eastAsia="zh-CN"/>
              </w:rPr>
              <w:t>负责解释。</w:t>
            </w:r>
          </w:p>
          <w:p w14:paraId="4B0E5190">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b/>
                <w:color w:val="auto"/>
                <w:sz w:val="21"/>
                <w:lang w:val="en-US" w:eastAsia="zh-CN"/>
              </w:rPr>
              <w:t>法律责任：</w:t>
            </w:r>
            <w:r>
              <w:rPr>
                <w:rFonts w:hint="eastAsia" w:hAnsi="宋体" w:cs="宋体"/>
                <w:color w:val="auto"/>
                <w:sz w:val="21"/>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225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2C18BE3">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20</w:t>
            </w:r>
          </w:p>
        </w:tc>
        <w:tc>
          <w:tcPr>
            <w:tcW w:w="1992" w:type="dxa"/>
            <w:tcBorders>
              <w:top w:val="single" w:color="auto" w:sz="4" w:space="0"/>
              <w:left w:val="single" w:color="auto" w:sz="4" w:space="0"/>
              <w:bottom w:val="single" w:color="auto" w:sz="4" w:space="0"/>
              <w:right w:val="single" w:color="auto" w:sz="4" w:space="0"/>
            </w:tcBorders>
            <w:vAlign w:val="center"/>
          </w:tcPr>
          <w:p w14:paraId="1CF6BE3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cs="宋体"/>
                <w:color w:val="auto"/>
                <w:szCs w:val="21"/>
              </w:rPr>
              <w:t>其他</w:t>
            </w:r>
          </w:p>
        </w:tc>
        <w:tc>
          <w:tcPr>
            <w:tcW w:w="7164" w:type="dxa"/>
            <w:tcBorders>
              <w:top w:val="single" w:color="auto" w:sz="4" w:space="0"/>
              <w:left w:val="single" w:color="auto" w:sz="4" w:space="0"/>
              <w:bottom w:val="single" w:color="auto" w:sz="4" w:space="0"/>
              <w:right w:val="single" w:color="auto" w:sz="4" w:space="0"/>
            </w:tcBorders>
            <w:vAlign w:val="center"/>
          </w:tcPr>
          <w:p w14:paraId="3E238421">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int="eastAsia" w:hAnsi="宋体" w:cs="宋体"/>
                <w:color w:val="auto"/>
                <w:sz w:val="21"/>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9FD0F7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int="eastAsia" w:hAnsi="宋体" w:cs="宋体"/>
                <w:color w:val="auto"/>
                <w:sz w:val="21"/>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3DD1930">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int="eastAsia" w:hAnsi="宋体" w:cs="宋体"/>
                <w:color w:val="auto"/>
                <w:sz w:val="21"/>
                <w:lang w:val="en-US" w:eastAsia="zh-CN"/>
              </w:rPr>
            </w:pPr>
            <w:r>
              <w:rPr>
                <w:rFonts w:hAnsi="宋体" w:cs="宋体"/>
                <w:color w:val="auto"/>
                <w:sz w:val="21"/>
                <w:lang w:val="en-US" w:eastAsia="zh-CN"/>
              </w:rPr>
              <w:t>3.</w:t>
            </w:r>
            <w:r>
              <w:rPr>
                <w:rFonts w:hint="eastAsia" w:hAnsi="宋体" w:cs="宋体"/>
                <w:color w:val="auto"/>
                <w:sz w:val="21"/>
                <w:lang w:val="en-US" w:eastAsia="zh-CN"/>
              </w:rPr>
              <w:t>本磋商文件中描述供应商的“签字”是指供应商的法定代表人或者委托代理人亲自在文件规定签署处亲笔写上个人的名字的行为，私章、签字章、印鉴、影印等其他形式均不能代替亲笔签字。</w:t>
            </w:r>
          </w:p>
          <w:p w14:paraId="7ECB7402">
            <w:pPr>
              <w:pStyle w:val="13"/>
              <w:keepNext w:val="0"/>
              <w:keepLines w:val="0"/>
              <w:pageBreakBefore w:val="0"/>
              <w:widowControl w:val="0"/>
              <w:kinsoku/>
              <w:wordWrap/>
              <w:overflowPunct/>
              <w:topLinePunct w:val="0"/>
              <w:autoSpaceDE/>
              <w:autoSpaceDN/>
              <w:bidi w:val="0"/>
              <w:adjustRightInd/>
              <w:snapToGrid w:val="0"/>
              <w:spacing w:line="400" w:lineRule="exact"/>
              <w:ind w:left="0"/>
              <w:textAlignment w:val="auto"/>
              <w:rPr>
                <w:rFonts w:hAnsi="宋体" w:cs="宋体"/>
                <w:color w:val="auto"/>
                <w:sz w:val="21"/>
                <w:lang w:val="en-US" w:eastAsia="zh-CN"/>
              </w:rPr>
            </w:pPr>
            <w:r>
              <w:rPr>
                <w:rFonts w:hAnsi="宋体" w:cs="宋体"/>
                <w:color w:val="auto"/>
                <w:sz w:val="21"/>
                <w:lang w:val="en-US" w:eastAsia="zh-CN"/>
              </w:rPr>
              <w:t>4.</w:t>
            </w:r>
            <w:r>
              <w:rPr>
                <w:rFonts w:hint="eastAsia" w:hAnsi="宋体" w:cs="宋体"/>
                <w:color w:val="auto"/>
                <w:sz w:val="21"/>
                <w:lang w:val="en-US" w:eastAsia="zh-CN"/>
              </w:rPr>
              <w:t>自然人竞标的，磋商文件规定盖公章处由自然人摁手指指印。</w:t>
            </w:r>
          </w:p>
          <w:p w14:paraId="5D831884">
            <w:pPr>
              <w:pStyle w:val="13"/>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宋体" w:hAnsi="宋体" w:eastAsia="宋体" w:cs="宋体"/>
                <w:color w:val="auto"/>
                <w:sz w:val="21"/>
                <w:lang w:val="en-US" w:eastAsia="zh-CN"/>
              </w:rPr>
            </w:pPr>
            <w:r>
              <w:rPr>
                <w:rFonts w:hint="eastAsia" w:hAnsi="宋体" w:cs="宋体"/>
                <w:color w:val="auto"/>
                <w:sz w:val="21"/>
                <w:lang w:val="en-US" w:eastAsia="zh-CN"/>
              </w:rPr>
              <w:t>5</w:t>
            </w:r>
            <w:r>
              <w:rPr>
                <w:rFonts w:hAnsi="宋体" w:cs="宋体"/>
                <w:color w:val="auto"/>
                <w:sz w:val="21"/>
                <w:lang w:val="en-US" w:eastAsia="zh-CN"/>
              </w:rPr>
              <w:t>.</w:t>
            </w:r>
            <w:r>
              <w:rPr>
                <w:rFonts w:hint="eastAsia" w:hAnsi="宋体" w:cs="宋体"/>
                <w:color w:val="auto"/>
                <w:sz w:val="21"/>
                <w:lang w:val="en-US" w:eastAsia="zh-CN"/>
              </w:rPr>
              <w:t>本磋商文件所称的“以上”“以下”“以内”“届满”，包括本数；所称的“不满”“超过”“以外”，不包括本数。</w:t>
            </w:r>
          </w:p>
        </w:tc>
      </w:tr>
      <w:tr w14:paraId="2FFC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46DABE3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21</w:t>
            </w:r>
          </w:p>
        </w:tc>
        <w:tc>
          <w:tcPr>
            <w:tcW w:w="1992" w:type="dxa"/>
            <w:tcBorders>
              <w:top w:val="single" w:color="auto" w:sz="4" w:space="0"/>
              <w:left w:val="single" w:color="auto" w:sz="4" w:space="0"/>
              <w:bottom w:val="single" w:color="auto" w:sz="4" w:space="0"/>
              <w:right w:val="single" w:color="auto" w:sz="4" w:space="0"/>
            </w:tcBorders>
            <w:vAlign w:val="center"/>
          </w:tcPr>
          <w:p w14:paraId="68C5E29C">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auto"/>
              <w:rPr>
                <w:rFonts w:hint="eastAsia" w:ascii="宋体" w:hAnsi="宋体" w:cs="宋体"/>
                <w:color w:val="auto"/>
                <w:szCs w:val="21"/>
              </w:rPr>
            </w:pPr>
            <w:r>
              <w:rPr>
                <w:rFonts w:hint="eastAsia" w:ascii="宋体" w:hAnsi="宋体" w:eastAsia="宋体" w:cs="宋体"/>
                <w:b/>
                <w:color w:val="auto"/>
                <w:spacing w:val="0"/>
                <w:szCs w:val="21"/>
                <w:highlight w:val="none"/>
              </w:rPr>
              <w:t>特别说明</w:t>
            </w:r>
          </w:p>
        </w:tc>
        <w:tc>
          <w:tcPr>
            <w:tcW w:w="7164" w:type="dxa"/>
            <w:tcBorders>
              <w:top w:val="single" w:color="auto" w:sz="4" w:space="0"/>
              <w:left w:val="single" w:color="auto" w:sz="4" w:space="0"/>
              <w:bottom w:val="single" w:color="auto" w:sz="4" w:space="0"/>
              <w:right w:val="single" w:color="auto" w:sz="4" w:space="0"/>
            </w:tcBorders>
            <w:vAlign w:val="center"/>
          </w:tcPr>
          <w:p w14:paraId="2B9DCBF8">
            <w:pPr>
              <w:pStyle w:val="13"/>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（1）</w:t>
            </w:r>
            <w:r>
              <w:rPr>
                <w:rFonts w:hint="eastAsia"/>
                <w:color w:val="auto"/>
                <w:lang w:eastAsia="zh-CN"/>
              </w:rPr>
              <w:t>响应文件</w:t>
            </w:r>
            <w:r>
              <w:rPr>
                <w:rFonts w:hint="eastAsia"/>
                <w:color w:val="auto"/>
              </w:rPr>
              <w:t>中须加盖供应商公章位置均采用CA签章，并根据“政府采购项目电子交易管理操作指南-供应商”及本</w:t>
            </w:r>
            <w:r>
              <w:rPr>
                <w:rFonts w:hint="eastAsia"/>
                <w:color w:val="auto"/>
                <w:lang w:eastAsia="zh-CN"/>
              </w:rPr>
              <w:t>竞争性磋商文件</w:t>
            </w:r>
            <w:r>
              <w:rPr>
                <w:rFonts w:hint="eastAsia"/>
                <w:color w:val="auto"/>
              </w:rPr>
              <w:t>规定的</w:t>
            </w:r>
            <w:r>
              <w:rPr>
                <w:rFonts w:hint="eastAsia"/>
                <w:color w:val="auto"/>
                <w:lang w:eastAsia="zh-CN"/>
              </w:rPr>
              <w:t>要求</w:t>
            </w:r>
            <w:r>
              <w:rPr>
                <w:rFonts w:hint="eastAsia"/>
                <w:color w:val="auto"/>
              </w:rPr>
              <w:t>编制</w:t>
            </w:r>
            <w:r>
              <w:rPr>
                <w:rFonts w:hint="eastAsia"/>
                <w:color w:val="auto"/>
                <w:lang w:eastAsia="zh-CN"/>
              </w:rPr>
              <w:t>响应文件</w:t>
            </w:r>
            <w:r>
              <w:rPr>
                <w:rFonts w:hint="eastAsia"/>
                <w:color w:val="auto"/>
              </w:rPr>
              <w:t>并进行关联定位，以便</w:t>
            </w:r>
            <w:r>
              <w:rPr>
                <w:rFonts w:hint="eastAsia"/>
                <w:color w:val="auto"/>
                <w:lang w:eastAsia="zh-CN"/>
              </w:rPr>
              <w:t>磋商小组</w:t>
            </w:r>
            <w:r>
              <w:rPr>
                <w:rFonts w:hint="eastAsia"/>
                <w:color w:val="auto"/>
              </w:rPr>
              <w:t>在评审时，点击评分项可直接定位到该评分项内容。如对</w:t>
            </w:r>
            <w:r>
              <w:rPr>
                <w:rFonts w:hint="eastAsia"/>
                <w:color w:val="auto"/>
                <w:lang w:eastAsia="zh-CN"/>
              </w:rPr>
              <w:t>竞争性磋商文件</w:t>
            </w:r>
            <w:r>
              <w:rPr>
                <w:rFonts w:hint="eastAsia"/>
                <w:color w:val="auto"/>
              </w:rPr>
              <w:t>的某项要求，供应商的</w:t>
            </w:r>
            <w:r>
              <w:rPr>
                <w:rFonts w:hint="eastAsia"/>
                <w:color w:val="auto"/>
                <w:lang w:eastAsia="zh-CN"/>
              </w:rPr>
              <w:t>响应文件</w:t>
            </w:r>
            <w:r>
              <w:rPr>
                <w:rFonts w:hint="eastAsia"/>
                <w:color w:val="auto"/>
              </w:rPr>
              <w:t>未能关联定位提供相应的内容与其对应，则</w:t>
            </w:r>
            <w:r>
              <w:rPr>
                <w:rFonts w:hint="eastAsia"/>
                <w:color w:val="auto"/>
                <w:lang w:eastAsia="zh-CN"/>
              </w:rPr>
              <w:t>磋商小组</w:t>
            </w:r>
            <w:r>
              <w:rPr>
                <w:rFonts w:hint="eastAsia"/>
                <w:color w:val="auto"/>
              </w:rPr>
              <w:t>在评审时如做出对供应商不利的评审由供应商自行承担。</w:t>
            </w:r>
            <w:r>
              <w:rPr>
                <w:rFonts w:hint="eastAsia"/>
                <w:color w:val="auto"/>
                <w:lang w:eastAsia="zh-CN"/>
              </w:rPr>
              <w:t>响应文件</w:t>
            </w:r>
            <w:r>
              <w:rPr>
                <w:rFonts w:hint="eastAsia"/>
                <w:color w:val="auto"/>
              </w:rPr>
              <w:t>如内容不完整、编排混乱导致</w:t>
            </w:r>
            <w:r>
              <w:rPr>
                <w:rFonts w:hint="eastAsia"/>
                <w:color w:val="auto"/>
                <w:lang w:eastAsia="zh-CN"/>
              </w:rPr>
              <w:t>响应文件</w:t>
            </w:r>
            <w:r>
              <w:rPr>
                <w:rFonts w:hint="eastAsia"/>
                <w:color w:val="auto"/>
              </w:rPr>
              <w:t>被误读、 漏读，或者在按</w:t>
            </w:r>
            <w:r>
              <w:rPr>
                <w:rFonts w:hint="eastAsia"/>
                <w:color w:val="auto"/>
                <w:lang w:eastAsia="zh-CN"/>
              </w:rPr>
              <w:t>磋商文件</w:t>
            </w:r>
            <w:r>
              <w:rPr>
                <w:rFonts w:hint="eastAsia"/>
                <w:color w:val="auto"/>
              </w:rPr>
              <w:t>规定的部位查找不到相关内容的，由供应商自行承担。</w:t>
            </w:r>
          </w:p>
          <w:p w14:paraId="705B1CB0">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color w:val="auto"/>
              </w:rPr>
            </w:pPr>
            <w:r>
              <w:rPr>
                <w:rFonts w:hint="eastAsia"/>
                <w:color w:val="auto"/>
              </w:rPr>
              <w:t>（2）</w:t>
            </w:r>
            <w:r>
              <w:rPr>
                <w:rFonts w:hint="eastAsia"/>
                <w:color w:val="auto"/>
                <w:lang w:eastAsia="zh-CN"/>
              </w:rPr>
              <w:t>竞争性磋商文件</w:t>
            </w:r>
            <w:r>
              <w:rPr>
                <w:rFonts w:hint="eastAsia"/>
                <w:color w:val="auto"/>
              </w:rPr>
              <w:t>要求法定代表人或委托代理人签字的部分必须签字然后扫描或者拍照做成pdf格式上传，无签字的</w:t>
            </w:r>
            <w:r>
              <w:rPr>
                <w:rFonts w:hint="eastAsia"/>
                <w:color w:val="auto"/>
                <w:lang w:eastAsia="zh-CN"/>
              </w:rPr>
              <w:t>，</w:t>
            </w:r>
            <w:r>
              <w:rPr>
                <w:rFonts w:hint="eastAsia"/>
                <w:color w:val="auto"/>
              </w:rPr>
              <w:t>响应文件按无效响应处理。</w:t>
            </w:r>
          </w:p>
          <w:p w14:paraId="4172E535">
            <w:pPr>
              <w:pStyle w:val="35"/>
              <w:keepNext w:val="0"/>
              <w:keepLines w:val="0"/>
              <w:pageBreakBefore w:val="0"/>
              <w:widowControl w:val="0"/>
              <w:kinsoku/>
              <w:wordWrap/>
              <w:overflowPunct/>
              <w:topLinePunct w:val="0"/>
              <w:autoSpaceDE/>
              <w:autoSpaceDN/>
              <w:bidi w:val="0"/>
              <w:adjustRightInd/>
              <w:snapToGrid/>
              <w:spacing w:before="0" w:after="0" w:line="400" w:lineRule="exact"/>
              <w:ind w:left="0" w:leftChars="0" w:firstLine="0" w:firstLineChars="0"/>
              <w:textAlignment w:val="auto"/>
              <w:rPr>
                <w:rFonts w:hint="eastAsia"/>
                <w:color w:val="auto"/>
                <w:lang w:val="en-US" w:eastAsia="zh-CN"/>
              </w:rPr>
            </w:pPr>
            <w:r>
              <w:rPr>
                <w:rFonts w:hint="eastAsia" w:ascii="Times New Roman" w:eastAsia="宋体" w:cs="Times New Roman"/>
                <w:bCs w:val="0"/>
                <w:color w:val="auto"/>
                <w:spacing w:val="0"/>
                <w:kern w:val="2"/>
                <w:sz w:val="21"/>
                <w:szCs w:val="24"/>
                <w:lang w:val="en-US" w:eastAsia="zh-CN" w:bidi="ar-SA"/>
              </w:rPr>
              <w:t>（3）补充事项：</w:t>
            </w:r>
            <w:r>
              <w:rPr>
                <w:rFonts w:hint="eastAsia" w:ascii="Times New Roman" w:hAnsi="Times New Roman" w:eastAsia="宋体" w:cs="Times New Roman"/>
                <w:bCs w:val="0"/>
                <w:color w:val="auto"/>
                <w:spacing w:val="0"/>
                <w:kern w:val="2"/>
                <w:sz w:val="21"/>
                <w:szCs w:val="24"/>
                <w:lang w:val="en-US" w:eastAsia="zh-CN" w:bidi="ar-SA"/>
              </w:rPr>
              <w:t>成交</w:t>
            </w:r>
            <w:r>
              <w:rPr>
                <w:rFonts w:hint="eastAsia" w:ascii="Times New Roman" w:eastAsia="宋体" w:cs="Times New Roman"/>
                <w:bCs w:val="0"/>
                <w:color w:val="auto"/>
                <w:spacing w:val="0"/>
                <w:kern w:val="2"/>
                <w:sz w:val="21"/>
                <w:szCs w:val="24"/>
                <w:lang w:val="en-US" w:eastAsia="zh-CN" w:bidi="ar-SA"/>
              </w:rPr>
              <w:t>供应商</w:t>
            </w:r>
            <w:r>
              <w:rPr>
                <w:rFonts w:hint="eastAsia" w:ascii="Times New Roman" w:hAnsi="Times New Roman" w:eastAsia="宋体" w:cs="Times New Roman"/>
                <w:bCs w:val="0"/>
                <w:color w:val="auto"/>
                <w:spacing w:val="0"/>
                <w:kern w:val="2"/>
                <w:sz w:val="21"/>
                <w:szCs w:val="24"/>
                <w:lang w:val="en-US" w:eastAsia="zh-CN" w:bidi="ar-SA"/>
              </w:rPr>
              <w:t>需在确定成交3日内打印盖章叁份响应文件提供给代理机构，作为成果文件装订使用。</w:t>
            </w:r>
          </w:p>
        </w:tc>
      </w:tr>
      <w:tr w14:paraId="26D7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B19C9A7">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cs="宋体"/>
                <w:color w:val="auto"/>
                <w:szCs w:val="21"/>
                <w:lang w:val="en-US" w:eastAsia="zh-CN"/>
              </w:rPr>
            </w:pPr>
            <w:bookmarkStart w:id="63" w:name="_Toc16298"/>
            <w:bookmarkStart w:id="64" w:name="_Toc8441"/>
            <w:r>
              <w:rPr>
                <w:rFonts w:hint="eastAsia" w:ascii="宋体" w:hAnsi="宋体" w:cs="宋体"/>
                <w:color w:val="auto"/>
                <w:szCs w:val="21"/>
                <w:lang w:val="en-US" w:eastAsia="zh-CN"/>
              </w:rPr>
              <w:t>22</w:t>
            </w:r>
          </w:p>
        </w:tc>
        <w:tc>
          <w:tcPr>
            <w:tcW w:w="1992" w:type="dxa"/>
            <w:tcBorders>
              <w:top w:val="single" w:color="auto" w:sz="4" w:space="0"/>
              <w:left w:val="single" w:color="auto" w:sz="4" w:space="0"/>
              <w:bottom w:val="single" w:color="auto" w:sz="4" w:space="0"/>
              <w:right w:val="single" w:color="auto" w:sz="4" w:space="0"/>
            </w:tcBorders>
            <w:shd w:val="clear" w:color="auto" w:fill="auto"/>
            <w:vAlign w:val="center"/>
          </w:tcPr>
          <w:p w14:paraId="383F16D6">
            <w:pPr>
              <w:spacing w:line="440" w:lineRule="exact"/>
              <w:jc w:val="center"/>
              <w:rPr>
                <w:rFonts w:hint="eastAsia" w:ascii="宋体" w:hAnsi="宋体" w:eastAsia="宋体" w:cs="宋体"/>
                <w:b/>
                <w:color w:val="auto"/>
                <w:spacing w:val="0"/>
                <w:kern w:val="2"/>
                <w:sz w:val="21"/>
                <w:szCs w:val="21"/>
                <w:highlight w:val="none"/>
                <w:lang w:val="en-US" w:eastAsia="zh-CN" w:bidi="ar-SA"/>
              </w:rPr>
            </w:pPr>
            <w:r>
              <w:rPr>
                <w:rFonts w:hint="eastAsia" w:ascii="宋体" w:hAnsi="宋体" w:cs="宋体"/>
                <w:b/>
                <w:bCs/>
                <w:color w:val="auto"/>
                <w:szCs w:val="21"/>
                <w:highlight w:val="none"/>
              </w:rPr>
              <w:t>政采贷</w:t>
            </w:r>
          </w:p>
        </w:tc>
        <w:tc>
          <w:tcPr>
            <w:tcW w:w="7164" w:type="dxa"/>
            <w:tcBorders>
              <w:top w:val="single" w:color="auto" w:sz="4" w:space="0"/>
              <w:left w:val="single" w:color="auto" w:sz="4" w:space="0"/>
              <w:bottom w:val="single" w:color="auto" w:sz="4" w:space="0"/>
              <w:right w:val="single" w:color="auto" w:sz="4" w:space="0"/>
            </w:tcBorders>
            <w:shd w:val="clear" w:color="auto" w:fill="auto"/>
            <w:vAlign w:val="center"/>
          </w:tcPr>
          <w:p w14:paraId="18951044">
            <w:pPr>
              <w:spacing w:line="440" w:lineRule="exact"/>
              <w:jc w:val="center"/>
              <w:rPr>
                <w:rFonts w:hint="eastAsia" w:ascii="Times New Roman" w:hAnsi="Times New Roman" w:eastAsia="宋体" w:cs="Times New Roman"/>
                <w:b/>
                <w:bCs/>
                <w:color w:val="auto"/>
                <w:spacing w:val="0"/>
                <w:kern w:val="2"/>
                <w:sz w:val="21"/>
                <w:szCs w:val="24"/>
                <w:lang w:val="en-US" w:eastAsia="zh-CN" w:bidi="ar-SA"/>
              </w:rPr>
            </w:pPr>
            <w:r>
              <w:rPr>
                <w:rFonts w:hint="eastAsia" w:ascii="宋体" w:hAnsi="宋体" w:cs="宋体"/>
                <w:color w:val="auto"/>
                <w:szCs w:val="21"/>
                <w:highlight w:val="none"/>
              </w:rPr>
              <w:t>供应商可凭中标（成交）通知书或政府采购合同等在内的相关材料、信息，通过中征应收账款融资服务平台向银行业金融机构在线申请“政采贷”融资</w:t>
            </w:r>
            <w:r>
              <w:rPr>
                <w:rFonts w:hint="eastAsia" w:ascii="宋体" w:hAnsi="宋体" w:cs="宋体"/>
                <w:color w:val="auto"/>
                <w:szCs w:val="21"/>
                <w:highlight w:val="none"/>
                <w:lang w:eastAsia="zh-CN"/>
              </w:rPr>
              <w:t>。</w:t>
            </w:r>
          </w:p>
        </w:tc>
      </w:tr>
    </w:tbl>
    <w:p w14:paraId="7B5D8558">
      <w:pPr>
        <w:rPr>
          <w:rFonts w:hint="eastAsia"/>
          <w:color w:val="auto"/>
          <w:lang w:val="en-US" w:eastAsia="zh-CN"/>
        </w:rPr>
      </w:pPr>
    </w:p>
    <w:p w14:paraId="5FFE993D">
      <w:pPr>
        <w:pStyle w:val="37"/>
        <w:rPr>
          <w:rFonts w:hint="eastAsia"/>
          <w:color w:val="auto"/>
          <w:lang w:val="en-US" w:eastAsia="zh-CN"/>
        </w:rPr>
      </w:pPr>
    </w:p>
    <w:p w14:paraId="6C6B725C">
      <w:pPr>
        <w:pStyle w:val="3"/>
        <w:keepNext/>
        <w:keepLines/>
        <w:pageBreakBefore w:val="0"/>
        <w:widowControl w:val="0"/>
        <w:kinsoku/>
        <w:wordWrap/>
        <w:overflowPunct/>
        <w:topLinePunct w:val="0"/>
        <w:autoSpaceDE/>
        <w:autoSpaceDN/>
        <w:bidi w:val="0"/>
        <w:adjustRightInd/>
        <w:snapToGrid/>
        <w:spacing w:before="0" w:beforeLines="50" w:after="0" w:line="600" w:lineRule="exact"/>
        <w:jc w:val="center"/>
        <w:textAlignment w:val="auto"/>
        <w:rPr>
          <w:rFonts w:ascii="宋体" w:hAnsi="宋体" w:cs="宋体"/>
          <w:b/>
          <w:bCs w:val="0"/>
          <w:color w:val="auto"/>
          <w:szCs w:val="21"/>
        </w:rPr>
      </w:pPr>
      <w:r>
        <w:rPr>
          <w:rFonts w:hint="eastAsia" w:ascii="宋体" w:hAnsi="宋体" w:cs="宋体"/>
          <w:b/>
          <w:bCs w:val="0"/>
          <w:color w:val="auto"/>
          <w:sz w:val="32"/>
          <w:szCs w:val="32"/>
          <w:lang w:val="en-US" w:eastAsia="zh-CN"/>
        </w:rPr>
        <w:t>供应商</w:t>
      </w:r>
      <w:r>
        <w:rPr>
          <w:rFonts w:hint="eastAsia" w:ascii="宋体" w:hAnsi="宋体" w:cs="宋体"/>
          <w:b/>
          <w:bCs w:val="0"/>
          <w:color w:val="auto"/>
          <w:sz w:val="32"/>
          <w:szCs w:val="32"/>
        </w:rPr>
        <w:t>须知</w:t>
      </w:r>
      <w:bookmarkEnd w:id="63"/>
      <w:bookmarkEnd w:id="64"/>
    </w:p>
    <w:p w14:paraId="1A0E0C45">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cs="宋体"/>
          <w:b/>
          <w:color w:val="auto"/>
          <w:szCs w:val="21"/>
        </w:rPr>
      </w:pPr>
      <w:r>
        <w:rPr>
          <w:rFonts w:hint="eastAsia" w:ascii="宋体" w:hAnsi="宋体" w:cs="宋体"/>
          <w:b/>
          <w:color w:val="auto"/>
          <w:szCs w:val="21"/>
        </w:rPr>
        <w:t>一、总则</w:t>
      </w:r>
    </w:p>
    <w:p w14:paraId="5CD7813C">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1.适用范围</w:t>
      </w:r>
    </w:p>
    <w:p w14:paraId="5FC7CF9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1.1 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06A269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1.2 本竞争性磋商文件适用于本项目的所有采购程序和环节 (法律、法规另有规定的，从其规定) 。</w:t>
      </w:r>
    </w:p>
    <w:p w14:paraId="7E7E3BF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2.定义</w:t>
      </w:r>
    </w:p>
    <w:p w14:paraId="402E196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2.1“采购人”是指依法进行采购的国家机关、事业单位、团体组织。</w:t>
      </w:r>
    </w:p>
    <w:p w14:paraId="22ED7B8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2.2“采购代理机构”是指政府采购代理机构 (以下简称采购代理机构) 是指集中采购机构以外、受采购人委托从事政府采购代理业务的社会中介机构。</w:t>
      </w:r>
    </w:p>
    <w:p w14:paraId="528D2A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14:paraId="1706FB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2.4“工程”是指建设工程，包括建筑物和构筑物的新建、改建、扩建、装修、拆除、修缮等。</w:t>
      </w:r>
    </w:p>
    <w:p w14:paraId="528CA4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2.5“竞标”是指供应商按照本项目竞争性磋商公告规定的方式获取竞争性磋商文件、提交响应文件并希望获得标的的行为。</w:t>
      </w:r>
    </w:p>
    <w:p w14:paraId="5AA2EE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2.6“响应文件”是指：供应商根据本竞争性磋商文件要求，编制包含资格证明、报价商务技术等所有内容的文件。</w:t>
      </w:r>
    </w:p>
    <w:p w14:paraId="60E2D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2.7“实质性要求”是指竞争性磋商文件中已经指明不满足则响应文件按无效响应处理的条款，或不能负偏离的条款，或采购需求中带“▲”的条款。</w:t>
      </w:r>
    </w:p>
    <w:p w14:paraId="530C32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2.8“正偏离”，是指响应文件对竞争性磋商文件“采购需求”中有关条款作出的响应优于条款要求并有利于采购人的情形。</w:t>
      </w:r>
    </w:p>
    <w:p w14:paraId="6D2766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2.9“负偏离”，是指响应文件对竞争性磋商文件“采购需求”中有关条款作出的响应不满足条款要求导致采购人要求不能得到满足的情形。</w:t>
      </w:r>
    </w:p>
    <w:p w14:paraId="38FA9A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2.10“允许负偏离的条款”是指采购需求中的不属于“实质性要求”的条款。</w:t>
      </w:r>
    </w:p>
    <w:p w14:paraId="6AA77C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2.11“书面形式”是指合同书、信件和数据电文 (包括电报、电传、传真、电子数据交换和电子邮件) 等可以有形地表现所载内容的形式。</w:t>
      </w:r>
    </w:p>
    <w:p w14:paraId="5EBEAD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2.12“首次报价”是指供应商提交的首次响应文件中的报价。                     </w:t>
      </w:r>
    </w:p>
    <w:p w14:paraId="3F292A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2.13“评审价”是指供应商提交的最后报价并经修正和政策功能价格扣除后的价格。</w:t>
      </w:r>
    </w:p>
    <w:p w14:paraId="2DF76DF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3.供应商的资格条件</w:t>
      </w:r>
    </w:p>
    <w:p w14:paraId="7F2E94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供应商的资格条件详见“供应商须知前附表”。</w:t>
      </w:r>
    </w:p>
    <w:p w14:paraId="16D9599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4.竞标费用</w:t>
      </w:r>
    </w:p>
    <w:p w14:paraId="13CCCCA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 xml:space="preserve">供应商应承担参与本次采购活动有关的所有费用，包括但不限于获取磋商文件、勘查现场、编制和提交响应文件、参加磋商与应答、签订合同等，不论磋商结果如何，均应自行承担。  </w:t>
      </w:r>
    </w:p>
    <w:p w14:paraId="0763E37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5.联合体竞标</w:t>
      </w:r>
    </w:p>
    <w:p w14:paraId="73C772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5.1 本项目不接受联合体竞标。</w:t>
      </w:r>
    </w:p>
    <w:p w14:paraId="44F20FB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6.转包与分包</w:t>
      </w:r>
    </w:p>
    <w:p w14:paraId="73E4A63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6.1 本项目不允许转包。</w:t>
      </w:r>
    </w:p>
    <w:p w14:paraId="217FA763">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宋体"/>
          <w:color w:val="auto"/>
          <w:szCs w:val="21"/>
        </w:rPr>
      </w:pPr>
      <w:r>
        <w:rPr>
          <w:rFonts w:hint="eastAsia" w:ascii="宋体" w:hAnsi="宋体" w:cs="宋体"/>
          <w:color w:val="auto"/>
          <w:szCs w:val="21"/>
        </w:rPr>
        <w:t>7.特别说明</w:t>
      </w:r>
    </w:p>
    <w:p w14:paraId="56E43FB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7.1 如果本磋商文件要求供应商提供资格、信誉、荣誉、业绩与企业认证等材料的，则供应商所提供的以上材料必须为供应商所拥有。</w:t>
      </w:r>
    </w:p>
    <w:p w14:paraId="4ED2D2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7.2 供应商应仔细阅读竞争性磋商文件的所有内容，按照竞争性磋商文件的要求提交响应文件，并对所提供的全部资料的真实性承担法律责任。</w:t>
      </w:r>
    </w:p>
    <w:p w14:paraId="393A86C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7.3 供应商在磋商活动中提供任何疑似虚假材料，将报监管部门查处；签订合同后发现的， 成交供应商须依照《中华人民共和国消费者权益保护法》规定赔偿采购人，且民事赔偿并不免除违法供应商的行政与刑事责任。</w:t>
      </w:r>
    </w:p>
    <w:p w14:paraId="001C89D3">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7.4 在政府采购活动中，采购人员及相关人员与供应商有下列利害关系之一的，应当回避：</w:t>
      </w:r>
    </w:p>
    <w:p w14:paraId="495954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参加采购活动前 3 年内与供应商存在劳动关系；</w:t>
      </w:r>
    </w:p>
    <w:p w14:paraId="1CDC02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参加采购活动前 3 年内担任供应商的董事、监事；</w:t>
      </w:r>
    </w:p>
    <w:p w14:paraId="229509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参加采购活动前 3 年内是供应商的控股股东或者实际控制人；</w:t>
      </w:r>
    </w:p>
    <w:p w14:paraId="4EDCDD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与供应商的法定代表人或负责人有夫妻、直系血亲、三代以内旁系血亲或者近姻亲关系；</w:t>
      </w:r>
    </w:p>
    <w:p w14:paraId="4989E3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与供应商有其他可能影响政府采购活动公平、公正进行的关系。</w:t>
      </w:r>
    </w:p>
    <w:p w14:paraId="09C98F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 机构书面提出回避申请，并说明理由。采购人或者采购代理机构应当及时询问被申请回避人员，有利害关系的被申请回避人员应当回避。</w:t>
      </w:r>
    </w:p>
    <w:p w14:paraId="4CC2CA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7.5 有下列情形之一的视为供应商相互串通竞标，响应文件将被视为无效：</w:t>
      </w:r>
    </w:p>
    <w:p w14:paraId="377207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不同供应商的响应文件由同一单位或者个人编制；或者不同供应商报名的 IP地址一致的；</w:t>
      </w:r>
    </w:p>
    <w:p w14:paraId="511FD5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不同供应商委托同一单位或者个人办理磋商事宜；</w:t>
      </w:r>
    </w:p>
    <w:p w14:paraId="2AC141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不同的供应商的响应文件载明的项目管理员为同一个人；</w:t>
      </w:r>
    </w:p>
    <w:p w14:paraId="53C2B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不同供应商的响应文件异常一致或者报价呈规律性差异；</w:t>
      </w:r>
    </w:p>
    <w:p w14:paraId="10BFD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不同供应商的响应文件相互混装；</w:t>
      </w:r>
    </w:p>
    <w:p w14:paraId="11A661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不同供应商的磋商保证金从同一单位或者个人账户转出。</w:t>
      </w:r>
    </w:p>
    <w:p w14:paraId="3CA01F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7.6 供应商有下列情形之一的，属于恶意串通行为：</w:t>
      </w:r>
    </w:p>
    <w:p w14:paraId="046903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供应商直接或者间接从采购人或者采购代理机构处获得其他供应商的相关信息并修改其响应文件；</w:t>
      </w:r>
    </w:p>
    <w:p w14:paraId="60F4FD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 供应商按照采购人或者采购代理机构的授意撤换、修改响应文件；</w:t>
      </w:r>
    </w:p>
    <w:p w14:paraId="544B3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 供应商之间协商报价、技术方案等响应文件或者响应文件的实质性内容；</w:t>
      </w:r>
    </w:p>
    <w:p w14:paraId="2E87AD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(4) 属于同一集团、协会、商会等组织成员的供应商按照该组织要求协同参加政府采购活动；</w:t>
      </w:r>
    </w:p>
    <w:p w14:paraId="5EFE73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(5) 供应商之间事先约定一致抬高或者压低报价，或者在政府采购活动中事先约定轮流以高价位或者低价位成交，或者事先约定由某一特定供应商成交，然后再参加竞标；</w:t>
      </w:r>
    </w:p>
    <w:p w14:paraId="307E00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(6) 供应商之间商定部分供应商放弃参加政府采购活动或者放弃成交；</w:t>
      </w:r>
    </w:p>
    <w:p w14:paraId="7CA8D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 供应商与采购人或者采购代理机构之间、供应商相互之间，为谋求特定供应商成交或者排斥其他供应商的其他串通行为。</w:t>
      </w:r>
    </w:p>
    <w:p w14:paraId="070AE6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7.7 关联供应商不得参加同一合同项下政府采购活动，否则响应文件将被视为无效：</w:t>
      </w:r>
    </w:p>
    <w:p w14:paraId="6F0E69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(1) 单位负责人为同一人或者存在直接控股、管理关系的不同的供应商，不得参加同一合同项下的政府采购活动。</w:t>
      </w:r>
    </w:p>
    <w:p w14:paraId="02B8CD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szCs w:val="21"/>
          <w:lang w:val="en-US" w:eastAsia="zh-CN"/>
        </w:rPr>
      </w:pPr>
      <w:r>
        <w:rPr>
          <w:rFonts w:hint="eastAsia" w:ascii="宋体" w:hAnsi="宋体" w:cs="宋体"/>
          <w:b/>
          <w:bCs/>
          <w:color w:val="auto"/>
          <w:szCs w:val="21"/>
          <w:lang w:val="en-US" w:eastAsia="zh-CN"/>
        </w:rPr>
        <w:t>二、响应文件的编制</w:t>
      </w:r>
    </w:p>
    <w:p w14:paraId="28C125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8.响应文件的编制原则</w:t>
      </w:r>
    </w:p>
    <w:p w14:paraId="3EE92F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供应商应当按照竞争性磋商文件的要求编制响应文件，并对其提交的响应文件的真实性、合法性承担法律责任。响应文件应当对竞争性磋商文件作出实质性响应。</w:t>
      </w:r>
    </w:p>
    <w:p w14:paraId="44FCD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 响应文件编制基本要求</w:t>
      </w:r>
    </w:p>
    <w:p w14:paraId="03EA0E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9.1 本项目实行电子开评标，供应商应准备电子磋商响应文件。供应商应仔细阅读竞争性磋商采购文件，在充分了解采购的内容、服务要求和商务条款以及实质性要求和条件后，编写响应文件。电子响应文件按</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要求及本竞争性磋商采购文件要求制作、加密并递交。具体操作流程可参考《</w:t>
      </w:r>
      <w:r>
        <w:rPr>
          <w:rFonts w:hint="eastAsia" w:ascii="宋体" w:hAnsi="宋体" w:cs="宋体"/>
          <w:b w:val="0"/>
          <w:bCs/>
          <w:color w:val="auto"/>
          <w:szCs w:val="21"/>
          <w:lang w:val="en-US" w:eastAsia="zh-CN"/>
        </w:rPr>
        <w:t>政府采购项目电子交易管理操作指南-供应商</w:t>
      </w:r>
      <w:r>
        <w:rPr>
          <w:rFonts w:hint="eastAsia" w:ascii="宋体" w:hAnsi="宋体" w:cs="宋体"/>
          <w:b w:val="0"/>
          <w:bCs/>
          <w:color w:val="auto"/>
          <w:szCs w:val="21"/>
        </w:rPr>
        <w:t>》</w:t>
      </w:r>
      <w:r>
        <w:rPr>
          <w:rFonts w:hint="eastAsia" w:ascii="宋体" w:hAnsi="宋体" w:cs="宋体"/>
          <w:b w:val="0"/>
          <w:bCs/>
          <w:color w:val="auto"/>
          <w:szCs w:val="21"/>
          <w:lang w:eastAsia="zh-CN"/>
        </w:rPr>
        <w:t>，</w:t>
      </w:r>
      <w:r>
        <w:rPr>
          <w:rFonts w:hint="eastAsia" w:ascii="宋体" w:hAnsi="宋体" w:cs="宋体"/>
          <w:b w:val="0"/>
          <w:bCs/>
          <w:color w:val="auto"/>
          <w:szCs w:val="21"/>
          <w:lang w:val="en-US" w:eastAsia="zh-CN"/>
        </w:rPr>
        <w:t>指南可</w:t>
      </w:r>
      <w:r>
        <w:rPr>
          <w:rFonts w:hint="eastAsia" w:ascii="宋体" w:hAnsi="宋体" w:cs="宋体"/>
          <w:b w:val="0"/>
          <w:bCs/>
          <w:color w:val="auto"/>
          <w:szCs w:val="21"/>
        </w:rPr>
        <w:t>在“http://zfcg.gxzf.gov.cn/PurchaseAdvisory/ImportantNotice/2866753.html”下载。</w:t>
      </w:r>
    </w:p>
    <w:p w14:paraId="2342DD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9.2 供应商提交的竞争性磋商响应文件以及供应商与</w:t>
      </w:r>
      <w:r>
        <w:rPr>
          <w:rFonts w:hint="eastAsia" w:ascii="宋体" w:hAnsi="宋体" w:cs="宋体"/>
          <w:b w:val="0"/>
          <w:bCs/>
          <w:color w:val="auto"/>
          <w:szCs w:val="21"/>
          <w:lang w:eastAsia="zh-CN"/>
        </w:rPr>
        <w:t>广西天明建筑咨询有限公司</w:t>
      </w:r>
      <w:r>
        <w:rPr>
          <w:rFonts w:hint="eastAsia" w:ascii="宋体" w:hAnsi="宋体" w:cs="宋体"/>
          <w:b w:val="0"/>
          <w:bCs/>
          <w:color w:val="auto"/>
          <w:szCs w:val="21"/>
        </w:rPr>
        <w:t>和采购人就有关磋商的所有来往函电均应使用中文。供应商提交的支持文件和印刷的文献可以使用别的语言，但其相应内容必须附有中文翻译文本，在解释竞争性磋商响应文件时以翻译文本为准。</w:t>
      </w:r>
    </w:p>
    <w:p w14:paraId="2067F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9.3 供应商应认真阅读、并充分理解本文件的全部内容 (包括所有的补充、修改内容)，承诺并履行本文件中各项条款规定及要求。</w:t>
      </w:r>
    </w:p>
    <w:p w14:paraId="1C0AC9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9.4 竞争性磋商响应文件必须按本文件的全部内容，包括所有的补充通知及附件进行编制。</w:t>
      </w:r>
    </w:p>
    <w:p w14:paraId="0FC44C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9.5 如因供应商只填写和提供了本文件要求的部分内容和附件，而给评审造成困难，其可能导致的结果和责任由供应商自行承担。</w:t>
      </w:r>
    </w:p>
    <w:p w14:paraId="3E554D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9.6 响应文件的组成：响应文件应分为资格证明文件、商务技术文件、</w:t>
      </w:r>
      <w:r>
        <w:rPr>
          <w:rFonts w:hint="eastAsia" w:ascii="宋体" w:hAnsi="宋体" w:cs="宋体"/>
          <w:b w:val="0"/>
          <w:bCs/>
          <w:color w:val="auto"/>
          <w:szCs w:val="21"/>
          <w:lang w:eastAsia="zh-CN"/>
        </w:rPr>
        <w:t>竞</w:t>
      </w:r>
      <w:r>
        <w:rPr>
          <w:rFonts w:hint="eastAsia" w:ascii="宋体" w:hAnsi="宋体" w:cs="宋体"/>
          <w:b w:val="0"/>
          <w:bCs/>
          <w:color w:val="auto"/>
          <w:szCs w:val="21"/>
        </w:rPr>
        <w:t>标报价文件三个部分组成。</w:t>
      </w:r>
    </w:p>
    <w:p w14:paraId="6ED22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1.资格证明文件</w:t>
      </w:r>
    </w:p>
    <w:p w14:paraId="5CF85E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w:t>
      </w:r>
      <w:r>
        <w:rPr>
          <w:rFonts w:hint="eastAsia" w:ascii="宋体" w:hAnsi="宋体" w:cs="宋体"/>
          <w:b w:val="0"/>
          <w:bCs/>
          <w:color w:val="auto"/>
          <w:szCs w:val="21"/>
          <w:lang w:eastAsia="zh-CN"/>
        </w:rPr>
        <w:t>竞</w:t>
      </w:r>
      <w:r>
        <w:rPr>
          <w:rFonts w:hint="eastAsia" w:ascii="宋体" w:hAnsi="宋体" w:cs="宋体"/>
          <w:b w:val="0"/>
          <w:bCs/>
          <w:color w:val="auto"/>
          <w:szCs w:val="21"/>
        </w:rPr>
        <w:t>标声明书(格式见附件)；(</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065569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(2)法定代表人授权委托书和委托代理人正反面身份证复印件 (委托代理时</w:t>
      </w:r>
      <w:r>
        <w:rPr>
          <w:rFonts w:hint="eastAsia" w:ascii="宋体" w:hAnsi="宋体" w:cs="宋体"/>
          <w:b/>
          <w:bCs w:val="0"/>
          <w:color w:val="auto"/>
          <w:szCs w:val="21"/>
          <w:lang w:eastAsia="zh-CN"/>
        </w:rPr>
        <w:t>必</w:t>
      </w:r>
      <w:r>
        <w:rPr>
          <w:rFonts w:hint="eastAsia" w:ascii="宋体" w:hAnsi="宋体" w:cs="宋体"/>
          <w:b/>
          <w:bCs w:val="0"/>
          <w:color w:val="auto"/>
          <w:szCs w:val="21"/>
        </w:rPr>
        <w:t>须提供</w:t>
      </w:r>
      <w:r>
        <w:rPr>
          <w:rFonts w:hint="eastAsia" w:ascii="宋体" w:hAnsi="宋体" w:cs="宋体"/>
          <w:b w:val="0"/>
          <w:bCs/>
          <w:color w:val="auto"/>
          <w:szCs w:val="21"/>
        </w:rPr>
        <w:t>，</w:t>
      </w:r>
      <w:r>
        <w:rPr>
          <w:rFonts w:hint="eastAsia" w:ascii="宋体" w:hAnsi="宋体" w:cs="宋体"/>
          <w:b w:val="0"/>
          <w:bCs/>
          <w:color w:val="auto"/>
          <w:szCs w:val="21"/>
          <w:lang w:eastAsia="zh-CN"/>
        </w:rPr>
        <w:t>并</w:t>
      </w:r>
      <w:r>
        <w:rPr>
          <w:rFonts w:hint="eastAsia" w:ascii="宋体" w:hAnsi="宋体" w:cs="宋体"/>
          <w:b w:val="0"/>
          <w:bCs/>
          <w:color w:val="auto"/>
          <w:szCs w:val="21"/>
        </w:rPr>
        <w:t>加盖公章) (格式见附件)；</w:t>
      </w:r>
    </w:p>
    <w:p w14:paraId="139FAE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(3)法定代表人正反面身份证复印件；(</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571904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有效的三证合一的营业执照或事业单位法人证书</w:t>
      </w:r>
      <w:r>
        <w:rPr>
          <w:rFonts w:hint="eastAsia" w:ascii="宋体" w:hAnsi="宋体" w:cs="宋体"/>
          <w:b w:val="0"/>
          <w:bCs/>
          <w:color w:val="auto"/>
          <w:szCs w:val="21"/>
          <w:lang w:val="en-US" w:eastAsia="zh-CN"/>
        </w:rPr>
        <w:t>复印件</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05BA16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5</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提供《采购项目</w:t>
      </w:r>
      <w:r>
        <w:rPr>
          <w:rFonts w:hint="eastAsia" w:ascii="宋体" w:hAnsi="宋体" w:cs="宋体"/>
          <w:b w:val="0"/>
          <w:bCs/>
          <w:color w:val="auto"/>
          <w:szCs w:val="21"/>
          <w:lang w:eastAsia="zh-CN"/>
        </w:rPr>
        <w:t>竞</w:t>
      </w:r>
      <w:r>
        <w:rPr>
          <w:rFonts w:hint="eastAsia" w:ascii="宋体" w:hAnsi="宋体" w:cs="宋体"/>
          <w:b w:val="0"/>
          <w:bCs/>
          <w:color w:val="auto"/>
          <w:szCs w:val="21"/>
        </w:rPr>
        <w:t>标资格承诺函》</w:t>
      </w:r>
      <w:r>
        <w:rPr>
          <w:rFonts w:hint="eastAsia" w:ascii="宋体" w:hAnsi="宋体" w:cs="宋体"/>
          <w:b w:val="0"/>
          <w:bCs/>
          <w:color w:val="auto"/>
          <w:szCs w:val="21"/>
          <w:lang w:eastAsia="zh-CN"/>
        </w:rPr>
        <w:t>；</w:t>
      </w:r>
      <w:r>
        <w:rPr>
          <w:rFonts w:hint="eastAsia" w:ascii="宋体" w:hAnsi="宋体" w:cs="宋体"/>
          <w:b w:val="0"/>
          <w:bCs/>
          <w:color w:val="auto"/>
          <w:szCs w:val="21"/>
        </w:rPr>
        <w:t>(</w:t>
      </w:r>
      <w:r>
        <w:rPr>
          <w:rFonts w:hint="eastAsia" w:ascii="宋体" w:hAnsi="宋体" w:cs="宋体"/>
          <w:b/>
          <w:bCs w:val="0"/>
          <w:color w:val="auto"/>
          <w:szCs w:val="21"/>
        </w:rPr>
        <w:t>必须提供</w:t>
      </w:r>
      <w:r>
        <w:rPr>
          <w:rFonts w:hint="eastAsia" w:ascii="宋体" w:hAnsi="宋体" w:cs="宋体"/>
          <w:b w:val="0"/>
          <w:bCs/>
          <w:color w:val="auto"/>
          <w:szCs w:val="21"/>
        </w:rPr>
        <w:t>，并加盖公章)</w:t>
      </w:r>
    </w:p>
    <w:p w14:paraId="4B30C9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6</w:t>
      </w:r>
      <w:r>
        <w:rPr>
          <w:rFonts w:hint="eastAsia" w:ascii="宋体" w:hAnsi="宋体" w:cs="宋体"/>
          <w:b w:val="0"/>
          <w:bCs/>
          <w:color w:val="auto"/>
          <w:szCs w:val="21"/>
        </w:rPr>
        <w:t>)中小企业声明函 (参照《政府采购促进中小企业发展暂行办法》(财库﹝2020﹞46号)要求，提供中小企业声明函</w:t>
      </w:r>
      <w:r>
        <w:rPr>
          <w:rFonts w:hint="eastAsia" w:ascii="宋体" w:hAnsi="宋体" w:cs="宋体"/>
          <w:b w:val="0"/>
          <w:bCs/>
          <w:color w:val="auto"/>
          <w:szCs w:val="21"/>
          <w:lang w:eastAsia="zh-CN"/>
        </w:rPr>
        <w:t>；（</w:t>
      </w:r>
      <w:r>
        <w:rPr>
          <w:rFonts w:hint="eastAsia" w:ascii="宋体" w:hAnsi="宋体" w:cs="宋体"/>
          <w:b/>
          <w:bCs w:val="0"/>
          <w:color w:val="auto"/>
          <w:szCs w:val="21"/>
          <w:lang w:val="en-US" w:eastAsia="zh-CN"/>
        </w:rPr>
        <w:t>必须提供</w:t>
      </w:r>
      <w:r>
        <w:rPr>
          <w:rFonts w:hint="eastAsia" w:ascii="宋体" w:hAnsi="宋体" w:cs="宋体"/>
          <w:b w:val="0"/>
          <w:bCs/>
          <w:color w:val="auto"/>
          <w:szCs w:val="21"/>
          <w:lang w:val="en-US" w:eastAsia="zh-CN"/>
        </w:rPr>
        <w:t>）</w:t>
      </w:r>
    </w:p>
    <w:p w14:paraId="7500353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7</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针对资格证明需要说明的其他证明文件和说明。(格式自拟)</w:t>
      </w:r>
    </w:p>
    <w:p w14:paraId="3EBDAA1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2.技术文件</w:t>
      </w:r>
    </w:p>
    <w:p w14:paraId="094F756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(1)施工组织设计；</w:t>
      </w:r>
      <w:r>
        <w:rPr>
          <w:rFonts w:hint="eastAsia" w:ascii="宋体" w:hAnsi="宋体" w:cs="宋体"/>
          <w:b/>
          <w:bCs w:val="0"/>
          <w:color w:val="auto"/>
          <w:szCs w:val="21"/>
        </w:rPr>
        <w:t>(必须提供)</w:t>
      </w:r>
    </w:p>
    <w:p w14:paraId="4BA04E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w:t>
      </w:r>
      <w:r>
        <w:rPr>
          <w:rFonts w:hint="eastAsia" w:ascii="宋体" w:hAnsi="宋体" w:cs="宋体"/>
          <w:b w:val="0"/>
          <w:bCs/>
          <w:color w:val="auto"/>
          <w:szCs w:val="21"/>
          <w:lang w:val="en-US" w:eastAsia="zh-CN"/>
        </w:rPr>
        <w:t>2</w:t>
      </w:r>
      <w:r>
        <w:rPr>
          <w:rFonts w:hint="eastAsia" w:ascii="宋体" w:hAnsi="宋体" w:cs="宋体"/>
          <w:b w:val="0"/>
          <w:bCs/>
          <w:color w:val="auto"/>
          <w:szCs w:val="21"/>
        </w:rPr>
        <w:t>)</w:t>
      </w:r>
      <w:r>
        <w:rPr>
          <w:rFonts w:hint="eastAsia" w:ascii="宋体" w:hAnsi="宋体" w:cs="宋体"/>
          <w:b w:val="0"/>
          <w:bCs/>
          <w:color w:val="auto"/>
          <w:szCs w:val="21"/>
          <w:lang w:eastAsia="zh-CN"/>
        </w:rPr>
        <w:t>供应商</w:t>
      </w:r>
      <w:r>
        <w:rPr>
          <w:rFonts w:hint="eastAsia" w:ascii="宋体" w:hAnsi="宋体" w:cs="宋体"/>
          <w:b w:val="0"/>
          <w:bCs/>
          <w:color w:val="auto"/>
          <w:szCs w:val="21"/>
        </w:rPr>
        <w:t>针对技术需要说明的其他文件和说明(格式自拟) ；</w:t>
      </w:r>
    </w:p>
    <w:p w14:paraId="0AC408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3.报价文件</w:t>
      </w:r>
    </w:p>
    <w:p w14:paraId="5A9CFE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(1)磋商函</w:t>
      </w:r>
      <w:r>
        <w:rPr>
          <w:rFonts w:hint="eastAsia" w:ascii="宋体" w:hAnsi="宋体" w:cs="宋体"/>
          <w:b/>
          <w:bCs w:val="0"/>
          <w:color w:val="auto"/>
          <w:szCs w:val="21"/>
        </w:rPr>
        <w:t>(必须提供)</w:t>
      </w:r>
      <w:r>
        <w:rPr>
          <w:rFonts w:hint="eastAsia" w:ascii="宋体" w:hAnsi="宋体" w:cs="宋体"/>
          <w:b w:val="0"/>
          <w:bCs/>
          <w:color w:val="auto"/>
          <w:szCs w:val="21"/>
        </w:rPr>
        <w:t>；</w:t>
      </w:r>
    </w:p>
    <w:p w14:paraId="47AF9B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bCs w:val="0"/>
          <w:color w:val="auto"/>
          <w:szCs w:val="21"/>
        </w:rPr>
      </w:pPr>
      <w:r>
        <w:rPr>
          <w:rFonts w:hint="eastAsia" w:ascii="宋体" w:hAnsi="宋体" w:cs="宋体"/>
          <w:b w:val="0"/>
          <w:bCs/>
          <w:color w:val="auto"/>
          <w:szCs w:val="21"/>
        </w:rPr>
        <w:t>(2)磋商函附录</w:t>
      </w:r>
      <w:r>
        <w:rPr>
          <w:rFonts w:hint="eastAsia" w:ascii="宋体" w:hAnsi="宋体" w:cs="宋体"/>
          <w:b/>
          <w:bCs w:val="0"/>
          <w:color w:val="auto"/>
          <w:szCs w:val="21"/>
        </w:rPr>
        <w:t>(必须提供)</w:t>
      </w:r>
    </w:p>
    <w:p w14:paraId="60A735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(3)已标价工程量清单</w:t>
      </w:r>
      <w:r>
        <w:rPr>
          <w:rFonts w:hint="eastAsia" w:ascii="宋体" w:hAnsi="宋体" w:cs="宋体"/>
          <w:b/>
          <w:bCs w:val="0"/>
          <w:color w:val="auto"/>
          <w:szCs w:val="21"/>
        </w:rPr>
        <w:t>(必须提供)</w:t>
      </w:r>
      <w:r>
        <w:rPr>
          <w:rFonts w:hint="eastAsia" w:ascii="宋体" w:hAnsi="宋体" w:cs="宋体"/>
          <w:b w:val="0"/>
          <w:bCs/>
          <w:color w:val="auto"/>
          <w:szCs w:val="21"/>
        </w:rPr>
        <w:t>；</w:t>
      </w:r>
    </w:p>
    <w:p w14:paraId="72A66A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w:t>
      </w:r>
      <w:r>
        <w:rPr>
          <w:rFonts w:hint="eastAsia" w:ascii="宋体" w:hAnsi="宋体" w:cs="宋体"/>
          <w:b w:val="0"/>
          <w:bCs/>
          <w:color w:val="auto"/>
          <w:szCs w:val="21"/>
          <w:lang w:eastAsia="zh-CN"/>
        </w:rPr>
        <w:t>供应商</w:t>
      </w:r>
      <w:r>
        <w:rPr>
          <w:rFonts w:hint="eastAsia" w:ascii="宋体" w:hAnsi="宋体" w:cs="宋体"/>
          <w:b w:val="0"/>
          <w:bCs/>
          <w:color w:val="auto"/>
          <w:szCs w:val="21"/>
        </w:rPr>
        <w:t>针对商务及报价需要说明的其他文件和说明(格式自拟)</w:t>
      </w:r>
    </w:p>
    <w:p w14:paraId="44875C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w:t>
      </w:r>
      <w:r>
        <w:rPr>
          <w:rFonts w:hint="eastAsia" w:ascii="宋体" w:hAnsi="宋体" w:cs="宋体"/>
          <w:b w:val="0"/>
          <w:bCs/>
          <w:color w:val="auto"/>
          <w:szCs w:val="21"/>
          <w:lang w:eastAsia="zh-CN"/>
        </w:rPr>
        <w:t>①</w:t>
      </w:r>
      <w:r>
        <w:rPr>
          <w:rFonts w:hint="eastAsia" w:ascii="宋体" w:hAnsi="宋体" w:cs="宋体"/>
          <w:b w:val="0"/>
          <w:bCs/>
          <w:color w:val="auto"/>
          <w:szCs w:val="21"/>
        </w:rPr>
        <w:t>电子磋商响应文件中所</w:t>
      </w:r>
      <w:r>
        <w:rPr>
          <w:rFonts w:hint="eastAsia" w:ascii="宋体" w:hAnsi="宋体" w:cs="宋体"/>
          <w:b/>
          <w:bCs w:val="0"/>
          <w:i w:val="0"/>
          <w:iCs w:val="0"/>
          <w:color w:val="auto"/>
          <w:szCs w:val="21"/>
        </w:rPr>
        <w:t>须加盖公章部分均采用CA签章</w:t>
      </w:r>
      <w:r>
        <w:rPr>
          <w:rFonts w:hint="eastAsia" w:ascii="宋体" w:hAnsi="宋体" w:cs="宋体"/>
          <w:b w:val="0"/>
          <w:bCs/>
          <w:color w:val="auto"/>
          <w:szCs w:val="21"/>
        </w:rPr>
        <w:t>。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661C1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②</w:t>
      </w:r>
      <w:r>
        <w:rPr>
          <w:rFonts w:hint="eastAsia" w:ascii="宋体" w:hAnsi="宋体" w:cs="宋体"/>
          <w:b w:val="0"/>
          <w:bCs/>
          <w:color w:val="auto"/>
          <w:szCs w:val="21"/>
        </w:rPr>
        <w:t>竞争性磋商文件要求法定代表人(负责人)或委托代理人签字的部分必须签字然后扫描或者拍照做成pdf格式上传，无签字的视为磋商无效。</w:t>
      </w:r>
    </w:p>
    <w:p w14:paraId="612423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③</w:t>
      </w:r>
      <w:r>
        <w:rPr>
          <w:rFonts w:hint="eastAsia" w:ascii="宋体" w:hAnsi="宋体" w:cs="宋体"/>
          <w:b w:val="0"/>
          <w:bCs/>
          <w:color w:val="auto"/>
          <w:szCs w:val="21"/>
        </w:rPr>
        <w:t>竞争性磋商采购文件要求提供的各种复印件，须加盖供应商CA签章，否则其磋商无效。</w:t>
      </w:r>
    </w:p>
    <w:p w14:paraId="1AE54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lang w:eastAsia="zh-CN"/>
        </w:rPr>
        <w:t>④</w:t>
      </w:r>
      <w:r>
        <w:rPr>
          <w:rFonts w:hint="eastAsia" w:ascii="宋体" w:hAnsi="宋体" w:cs="宋体"/>
          <w:b w:val="0"/>
          <w:bCs/>
          <w:color w:val="auto"/>
          <w:szCs w:val="21"/>
        </w:rPr>
        <w:t>磋商报价表、磋商书、法定代表人(负责人)授权委托书必须按格式要求由法定代表人(负责人)或委托代理人签名并加盖单位公章，否则磋商响应无效。</w:t>
      </w:r>
    </w:p>
    <w:p w14:paraId="729720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9.7 响应文件有效期：见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6029A5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9.8 磋商保证金：见</w:t>
      </w:r>
      <w:r>
        <w:rPr>
          <w:rFonts w:hint="eastAsia" w:ascii="宋体" w:hAnsi="宋体" w:cs="宋体"/>
          <w:b w:val="0"/>
          <w:bCs/>
          <w:color w:val="auto"/>
          <w:szCs w:val="21"/>
          <w:lang w:eastAsia="zh-CN"/>
        </w:rPr>
        <w:t>供应商</w:t>
      </w:r>
      <w:r>
        <w:rPr>
          <w:rFonts w:hint="eastAsia" w:ascii="宋体" w:hAnsi="宋体" w:cs="宋体"/>
          <w:b w:val="0"/>
          <w:bCs/>
          <w:color w:val="auto"/>
          <w:szCs w:val="21"/>
        </w:rPr>
        <w:t>须知前附表。</w:t>
      </w:r>
    </w:p>
    <w:p w14:paraId="6711E2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 计量单位</w:t>
      </w:r>
    </w:p>
    <w:p w14:paraId="6C88B7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10.1 磋商文件已有明确规定的，使用磋商文件规定的计量单位；磋商文件没有规定的，应采用</w:t>
      </w:r>
      <w:r>
        <w:rPr>
          <w:rFonts w:hint="eastAsia" w:ascii="宋体" w:hAnsi="宋体" w:cs="宋体"/>
          <w:b w:val="0"/>
          <w:bCs/>
          <w:color w:val="auto"/>
          <w:szCs w:val="21"/>
          <w:lang w:eastAsia="zh-CN"/>
        </w:rPr>
        <w:t>国家</w:t>
      </w:r>
      <w:r>
        <w:rPr>
          <w:rFonts w:hint="eastAsia" w:ascii="宋体" w:hAnsi="宋体" w:cs="宋体"/>
          <w:b w:val="0"/>
          <w:bCs/>
          <w:color w:val="auto"/>
          <w:szCs w:val="21"/>
        </w:rPr>
        <w:t>法定计量单位，货币种类为人民币，否则视同未响应。</w:t>
      </w:r>
    </w:p>
    <w:p w14:paraId="72B8DA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三、磋商报价及采购预算</w:t>
      </w:r>
    </w:p>
    <w:p w14:paraId="1F2B75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11.1对于本文件中未列明，而供应商认为必需的费用也需列入总报价。在合同实施时，采购人将不予支付成交供应商没有列入的项目费用，并认为此项目的费用已包括在总报价中。</w:t>
      </w:r>
    </w:p>
    <w:p w14:paraId="0D491A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11.2供应商必须就所磋商的采购项目的全部内容作完整唯一报价，漏项报价的或有选择的或有条件的报价，其竞标将视为无效。</w:t>
      </w:r>
    </w:p>
    <w:p w14:paraId="36836E5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11.3本项目磋商报价费用指按照采购需求完成该项目的所有服务工作的费用总和。</w:t>
      </w:r>
    </w:p>
    <w:p w14:paraId="4699A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2A7BA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四、响应文件的份数、封装和递交</w:t>
      </w:r>
    </w:p>
    <w:p w14:paraId="45F2C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 竞争性磋商响应文件的份数：电子响应文件一份。</w:t>
      </w:r>
    </w:p>
    <w:p w14:paraId="22E79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12.1 电子磋商响应文件中须加盖供应商公章位置均采用CA签章，并根据“政府采购项目电子交易管理操作指南-供应商”及本竞争性磋商采购文件规定的格式和顺序编制电子磋商响 应文件并进行关联定位，以便磋商小组在评审时，点击评分项可直接定位到该评分项内容。如 对竞争性磋商采购文件的某项要求，供应商的电子磋商响应文件未能关联定位提供相应的内容 与其对应，则磋商小组在评审时如做出对供应商不利的评审由供应商自行承担。电子磋商响应 文件如内容不完整、编排混乱导致磋商响应文件被误读、漏读，或者在按采购文件规定的部 位查找不到相关内容的，由供应商自行承担。</w:t>
      </w:r>
    </w:p>
    <w:p w14:paraId="5C2550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12.2 CA 签章上目前没有法人 (负责人) 或授权代表签字信息，供应商在磋商响应文件中涉及到签字的位置线下签好字然后扫描或者拍照做成 PDF 的格式即可。</w:t>
      </w:r>
    </w:p>
    <w:p w14:paraId="368D20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 响应文件的递交</w:t>
      </w:r>
    </w:p>
    <w:p w14:paraId="4401C2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13.1 所有竞争性响应文件应于“第二章 磋商须知及前附表”中规定的截止时间前递交到规定地点。</w:t>
      </w:r>
    </w:p>
    <w:p w14:paraId="7DF418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 者修改磋商响应文件的，应当先行撤回原文件，补充、修改后重新传输递交。递交截止时间前未完成传输的，视为撤回磋商响应文件。递交截止时间后递交的磋商响应文件，电子交易平台将拒收。</w:t>
      </w:r>
    </w:p>
    <w:p w14:paraId="3013F0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13.2 迟交的响应文件</w:t>
      </w:r>
    </w:p>
    <w:p w14:paraId="6A19C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采购人或采购代理人按照规定有权拒绝或原封退回在其规定的递交响应文件截止时间之后收到的任何响应文件。</w:t>
      </w:r>
    </w:p>
    <w:p w14:paraId="09AE80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五、竞争性磋商 (简称磋商) 与评审</w:t>
      </w:r>
    </w:p>
    <w:p w14:paraId="404160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14.磋商小组成立及响应文件的开启</w:t>
      </w:r>
    </w:p>
    <w:p w14:paraId="764BF9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14.1 磋商小组由采购人代表和评审专家共 3 人以上单数组成，具体人数见“供应商须知前附表”，其中评审专家人数不得少于磋商小组成员总数的 2/3。采购人代表不得以评审专家身份参加本部门或本单位采购项目的评审。采购代理机构人员不得参加本机构代理的采购项目的评审。达到公开招标数额标准的货物或者服务采购项目，或者达到公开招标规模标准的政府 采购工程，经批准采用竞争性磋商方式采购的，磋商小组由 5 人以上单数组成。</w:t>
      </w:r>
    </w:p>
    <w:p w14:paraId="7B14F71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14.2 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 强的采购项目，评审专家中应当包含 1 名法律专家。</w:t>
      </w:r>
    </w:p>
    <w:p w14:paraId="312863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14.3 响应文件的开启：具体详见“供应商须知前附表”。</w:t>
      </w:r>
    </w:p>
    <w:p w14:paraId="18B9B1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15.响应文件评审程序</w:t>
      </w:r>
    </w:p>
    <w:p w14:paraId="4BDB85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 资格审查</w:t>
      </w:r>
    </w:p>
    <w:p w14:paraId="43F771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15.1.1 响应文件开启后， 由磋商小组依法对供应商的资格证明文件进行审查。</w:t>
      </w:r>
    </w:p>
    <w:p w14:paraId="19819F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15.1.2 通过资格审查的合格供应商不足3 家的，不得进入符合性审查环节，采购人或采购代理机构应当重新开展采购活动。</w:t>
      </w:r>
    </w:p>
    <w:p w14:paraId="3830AC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 符合性审查</w:t>
      </w:r>
    </w:p>
    <w:p w14:paraId="742490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15.2.1 由磋商小组通过资格审查的合格供应商的响应文件的竞标报价、商务、技术等实质性要求进行符合性审查，以确定其是否满足竞争性磋商文件的实质性要求。</w:t>
      </w:r>
    </w:p>
    <w:p w14:paraId="22C01B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15.2.2 磋商小组在对响应文件进行符合性审查时，可以要求供应商对响应文件中含义不明确、同类问题表述不一致或者有明显文字和计算错误的内容等作出必要的澄清、说明或者更 正。供应商的澄清、说明或者更正不得超出响应文件的范围或者改变响应文件的实质性内容。</w:t>
      </w:r>
    </w:p>
    <w:p w14:paraId="5D59AC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15.2.3 磋商小组要求供应商澄清、说明或者更正响应文件应当要求供应商在合理时间内 通过</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的方式形式作出。供应商的澄清、说明或者更正 必须通过</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以书面形式按照磋商小组的要求作出明确的澄清、说明或者更正，未按磋 商小组的要求作出明确澄清、说明或者更正的供应商的响应文件将按照有利于采购人的原则由 磋商小组进行判定。供应商的澄清、说明或者更正必须由法定代表人或者其委托代理人签字或 者加盖 CA 签章。 由委托代理人签字的，若委托代理人不是响应文件中授权的委托代理人时， 必须同时出示有效的法定代表人授权委托书原件。供应商为自然人的，必须由本人签字并附身 份证明。</w:t>
      </w:r>
    </w:p>
    <w:p w14:paraId="668EF9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15.2.4 首次响应文件中报价出现前后不一致的，按照下列规定修正：</w:t>
      </w:r>
    </w:p>
    <w:p w14:paraId="67F46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响应文件中报价表内容与响应文件中相应内容不一致的，以报价表为准；</w:t>
      </w:r>
    </w:p>
    <w:p w14:paraId="0496FF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大写金额和小写金额不一致的，以大写金额为准；</w:t>
      </w:r>
    </w:p>
    <w:p w14:paraId="7A8447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单价金额小数点或者百分比有明显错位的，以报价表的总价为准，并修改单价；</w:t>
      </w:r>
    </w:p>
    <w:p w14:paraId="37AE53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总价金额与按单价汇总金额不一致的，以单价金额计算结果为准。</w:t>
      </w:r>
    </w:p>
    <w:p w14:paraId="7806D1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同时出现两种以上不一致的，按照以上 (1) - (4) 规定的顺序逐条进行修正。修正后的报价经供应商确认后产生约束力，供应商不确认的，其响应文件按无效响应处理。</w:t>
      </w:r>
    </w:p>
    <w:p w14:paraId="0657E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15.2.5 磋商小组成员应当按照客观、公正、审慎的原则，根据第四章“评审程序、评审方法和评审标准”进行独立评审。磋商小组对响应文件进行评审，未实质性响应竞争性磋商文 件的响应文件按无效响应处理， 由磋商小组告知提交响应文件的供应商。</w:t>
      </w:r>
    </w:p>
    <w:p w14:paraId="240F9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15.2.6 通过符合性审查的合格供应商不足 3 家的，不得进入磋商环节，采购人或采购代理机构应当重新开展采购活动。</w:t>
      </w:r>
    </w:p>
    <w:p w14:paraId="7D373E8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16.磋商</w:t>
      </w:r>
    </w:p>
    <w:p w14:paraId="3355A5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 磋商小组按照“供应商须知前附表”确定的顺序，集中与单一供应商分别进行磋商，并予所有参加磋商的供应商平等的磋商机会。符合磋商资格的供应商必须实时关注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rPr>
        <w:tab/>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开标信息，在接到磋商通知后规定时间内参加磋商，未在规定时间内参加磋商的视同放弃参加磋商权利，其响应文件按无效响应处理给。</w:t>
      </w:r>
    </w:p>
    <w:p w14:paraId="071AC0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16.2 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7E38E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16.3 对竞争性磋商文件作出的实质性变动是竞争性磋商文件的有效组成部分， 由磋商小组及时以书面形式同时通知所有参加磋商的供应商。</w:t>
      </w:r>
    </w:p>
    <w:p w14:paraId="2C727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16.4 供应商必须按照磋商文件的变动情况和磋商小组的要求重新提交响应文件，并由其法定代表人或者授权代表签字或者加盖 CA 签章在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702B54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16.5 磋商中，磋商的任何一方不得透露与磋商有关的其他供应商的技术资料、价格和其他信息。</w:t>
      </w:r>
    </w:p>
    <w:p w14:paraId="70791A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16.6 采购代理机构对磋商过程和重要磋商内容进行记录，磋商双方应在记录上签字确认。</w:t>
      </w:r>
    </w:p>
    <w:p w14:paraId="62DD9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16.7 磋商过程中重新提交的响应文件，供应商可以在开启前补充、修改。</w:t>
      </w:r>
    </w:p>
    <w:p w14:paraId="0D290F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16.8 根据《财政部关于政府采购竞争性磋商采购方式管理暂行办法有关问题的补充通知》 (财库〔2015〕124 号) 的规定，采用竞争性磋商采购方式采购的政府购买服务项目(含政府和社会资本合作项目) ，在采购过程中符合要求的供应商 (社会资本)只有 2 家的，竞争性磋商采购活动可以继续进行。采购过程中符合要求的供应商(社会资本)只有 1 家的，采购人(项目实施机构)或者采购代理机构应当终止竞争性磋商采购活动，发布项目终止公告并说明原因，重新开展采购活动。</w:t>
      </w:r>
    </w:p>
    <w:p w14:paraId="58EA65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16.9 对磋商过程提交的响应文件进行有效性、完整性和响应程度审查，通过审查的合格供应商不足 3 家的，除本须知正文第 16.8 条的情形外，采购人或采购代理机构应当重新开展采购活动。</w:t>
      </w:r>
    </w:p>
    <w:p w14:paraId="1EC4C6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16.10 本项目所有响应文件的首次报价及所有磋商报价均不公布。最后磋商结束后，磋商小组不得再与供应商进行任何形式的商谈。</w:t>
      </w:r>
    </w:p>
    <w:p w14:paraId="0567C0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17.最后报价</w:t>
      </w:r>
    </w:p>
    <w:p w14:paraId="1477A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17.1 磋商文件能够详细列明采购标的的技术、服务要求的，磋商结束后，由磋商小组要求所有继续参加磋商的供应商在规定时间内在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提交最后报价，提交最后报价的供应商不得少于 3 家，除本章第 4.3 条外，否则必须重新采购。</w:t>
      </w:r>
    </w:p>
    <w:p w14:paraId="582FD0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17.2 磋商文件不能详细列明采购标的的技术、服务要求，需经磋商由供应商提供最后设计方案或者解决方案的，磋商结束后， 由磋商小组按照少数服从多数的原则投票推荐 3 家以上供应商的设计方案 或者解决方案 ， 并要求其在规定时间内在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提交最后报价。</w:t>
      </w:r>
    </w:p>
    <w:p w14:paraId="080251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①最后报价与首次报价相比无调整的：供应商提交的最后报价只须注明与首次报价相同。</w:t>
      </w:r>
    </w:p>
    <w:p w14:paraId="4BCBD5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等完成本工程并经验收合格至达到质量保修期限所需的费用、合理利润及风险。如磋商文件或磋商程中明确供应商应提供技术服务及其它服务的 (如检测费、验收发生的费 用)，相应费用也应包括在最后报价中。最后报价不允许采用汇总后优惠、打折的形式，否则 其报价无效并作无效响应处理。供应商在报价时可只报总价，但必须将包含已标价工程量清单 的最后报价在规定时间内在</w:t>
      </w:r>
      <w:r>
        <w:rPr>
          <w:rFonts w:hint="eastAsia" w:ascii="宋体" w:hAnsi="宋体" w:cs="宋体"/>
          <w:b w:val="0"/>
          <w:bCs/>
          <w:color w:val="auto"/>
          <w:szCs w:val="21"/>
          <w:lang w:eastAsia="zh-CN"/>
        </w:rPr>
        <w:t>广西政府采购云平台</w:t>
      </w:r>
      <w:r>
        <w:rPr>
          <w:rFonts w:hint="eastAsia" w:ascii="宋体" w:hAnsi="宋体" w:cs="宋体"/>
          <w:b w:val="0"/>
          <w:bCs/>
          <w:color w:val="auto"/>
          <w:szCs w:val="21"/>
        </w:rPr>
        <w:t xml:space="preserve"> (</w:t>
      </w:r>
      <w:r>
        <w:rPr>
          <w:rFonts w:hint="eastAsia" w:ascii="宋体" w:hAnsi="宋体" w:cs="宋体"/>
          <w:b w:val="0"/>
          <w:bCs/>
          <w:color w:val="auto"/>
          <w:szCs w:val="21"/>
          <w:lang w:eastAsia="zh-CN"/>
        </w:rPr>
        <w:t>https://www.gcy.zfcg.gxzf.gov.cn/</w:t>
      </w:r>
      <w:r>
        <w:rPr>
          <w:rFonts w:hint="eastAsia" w:ascii="宋体" w:hAnsi="宋体" w:cs="宋体"/>
          <w:b w:val="0"/>
          <w:bCs/>
          <w:color w:val="auto"/>
          <w:szCs w:val="21"/>
        </w:rPr>
        <w:t>) 提交，逾期则最后报价无效，以首次报价为准。</w:t>
      </w:r>
    </w:p>
    <w:p w14:paraId="3625BF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 2 家。</w:t>
      </w:r>
    </w:p>
    <w:p w14:paraId="783101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17.4 已经提交响应文件的供应商，在提交最后报价之前，可以根据磋商情况退出磋商，退出磋商的供应商的响应文件按无效响应处理。采购人、采购代理机构将退还退出磋商的供应商的保证金。</w:t>
      </w:r>
    </w:p>
    <w:p w14:paraId="1579E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17.5 供应商未在规定时间内提交最后报价的，视同退出磋商。</w:t>
      </w:r>
    </w:p>
    <w:p w14:paraId="28CA59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17.6 磋商小组收齐某一分标最后报价后统一开启，磋商小组对最后报价进行有效性、完整性和响应程度的审查。</w:t>
      </w:r>
    </w:p>
    <w:p w14:paraId="279292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17.7 响应文件最后报价出现前后不一致的，按照本正文第 25.2.4 条的规定修正。</w:t>
      </w:r>
    </w:p>
    <w:p w14:paraId="467D5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17.8 修正后的报价出现下列情形的，按无效响应处理：</w:t>
      </w:r>
    </w:p>
    <w:p w14:paraId="78EE50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供应商不确认的；</w:t>
      </w:r>
    </w:p>
    <w:p w14:paraId="20DF77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经供应商确认修正后的竞标报价 (包含首次报价、最后报价) 超过所竞标规定的采购预算金额或者最高限价的 (如本项目公布了最高限价) ；</w:t>
      </w:r>
    </w:p>
    <w:p w14:paraId="02FCAB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经供应商确认修正后的竞标报价 (包含首次报价、最后报价) 超过分项采购预算金额或者最高限价的 (如本项目公布了最高限价) 。</w:t>
      </w:r>
    </w:p>
    <w:p w14:paraId="274171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17.9 经供应商确认修正后的最后报价作为评审及签订合同的依据。</w:t>
      </w:r>
    </w:p>
    <w:p w14:paraId="7E9A20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 xml:space="preserve">17.10 最后报价结束后，磋商小组不得再与供应商进行任何形式的商谈。 </w:t>
      </w:r>
    </w:p>
    <w:p w14:paraId="78D908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18.比较与评价</w:t>
      </w:r>
    </w:p>
    <w:p w14:paraId="463FD5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18.1 评审方法：综合评分法。</w:t>
      </w:r>
    </w:p>
    <w:p w14:paraId="312468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18.2 经磋商确定最终采购需求和提交最后报价的供应商后， 由磋商小组采用综合评分法对提交最后报价的供应商的响应文件和最后报价进行综合评分。详见第四章“评审程序、评审方法和评审标准”。</w:t>
      </w:r>
    </w:p>
    <w:p w14:paraId="20E22F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18.3 评审时，磋商小组各成员应当独立对每个有效的响应文件进行评价、打分，然后汇总每个供应商每项评分因素的得分。</w:t>
      </w:r>
    </w:p>
    <w:p w14:paraId="63EEE9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磋商小组按照竞争性磋商文件中规定的评审标准计算各供应商的报价得分。项目评审过程中，不得去掉最后报价中的最高报价和最低报价。</w:t>
      </w:r>
    </w:p>
    <w:p w14:paraId="3F55BC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各供应商的得分为磋商小组所有成员的有效评分的算术平均数。</w:t>
      </w:r>
    </w:p>
    <w:p w14:paraId="30FE21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18.4 评审价为供应商的最后报价进行政策性扣除后的价格，评审价只是作为评审时使用。最终成交供应商的成交金额等于最后报价 (如有修正，以确认修正后的最后报价为准) 。</w:t>
      </w:r>
    </w:p>
    <w:p w14:paraId="11C958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18.5 由磋商小组根据综合评分情况，按照评审得分由高到低顺序推荐 3 名以上成交候选供应商，并编写评审报告。符合本须知正文第 17.3 条情形的，可以推荐 2 家成交候选供应商。评审得分相同的，按照最后报价由低到高的顺序推荐。评审得分且最后报价相同的，按照技术 指标优劣顺序推荐。</w:t>
      </w:r>
    </w:p>
    <w:p w14:paraId="6E53E2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7398F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特别说明：政采云公司如对电子化磋商及评审程序有调整的，按调整后的程序操作。</w:t>
      </w:r>
    </w:p>
    <w:p w14:paraId="47B97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 采购过程中出现以下情形，导致电子交易平台无法正常运行，或者无法保证电子交 易的公平、公正和安全时，采购组织机构可中止电子交易活动：</w:t>
      </w:r>
    </w:p>
    <w:p w14:paraId="38CFC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18.6.1 电子交易平台发生故障而无法登录访问的；</w:t>
      </w:r>
    </w:p>
    <w:p w14:paraId="738BD9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18.6.2 电子交易平台应用或数据库出现错误，不能进行正常操作的；</w:t>
      </w:r>
    </w:p>
    <w:p w14:paraId="510D2C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18.6.3 电子交易平台发现严重安全漏洞，有潜在泄密危险的；</w:t>
      </w:r>
    </w:p>
    <w:p w14:paraId="7C87B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18.6.4 病毒发作导致不能进行正常操作的；</w:t>
      </w:r>
    </w:p>
    <w:p w14:paraId="2AE84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18.6.5 其他无法保证电子交易的公平、公正和安全的情况。</w:t>
      </w:r>
    </w:p>
    <w:p w14:paraId="25E99D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18.6.6 出现前款规定情形，不影响采购公平、公正性的，采购组织机构可以待上述情形消除后继续组织电子交易活动，也可以决定某些环节以纸质形式进行；影响或可能影响采购公平、公正性的，应当重新采购。</w:t>
      </w:r>
    </w:p>
    <w:p w14:paraId="198AF8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六、确定成交供应商办法及结果公告</w:t>
      </w:r>
    </w:p>
    <w:p w14:paraId="6AE640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19.1 采购代理机构应当在评审结束后 2 个工作日内将评审报告送采购人确认。采购人应当在收到评审报告后 2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22514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19.2 采购代理机构应当在成交供应商确定后 2 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46970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E0750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19.4 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620A6B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七、履约保证金</w:t>
      </w:r>
    </w:p>
    <w:p w14:paraId="622A24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20.履约保证金：</w:t>
      </w:r>
      <w:r>
        <w:rPr>
          <w:rFonts w:hint="eastAsia" w:ascii="宋体" w:hAnsi="宋体" w:cs="宋体"/>
          <w:b w:val="0"/>
          <w:bCs/>
          <w:color w:val="auto"/>
          <w:szCs w:val="21"/>
          <w:lang w:val="en-US" w:eastAsia="zh-CN"/>
        </w:rPr>
        <w:t>详见须知前附表</w:t>
      </w:r>
      <w:r>
        <w:rPr>
          <w:rFonts w:hint="eastAsia" w:ascii="宋体" w:hAnsi="宋体" w:cs="宋体"/>
          <w:b w:val="0"/>
          <w:bCs/>
          <w:color w:val="auto"/>
          <w:szCs w:val="21"/>
        </w:rPr>
        <w:t>。</w:t>
      </w:r>
    </w:p>
    <w:p w14:paraId="0F4306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八、签订合同</w:t>
      </w:r>
    </w:p>
    <w:p w14:paraId="0D567E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ascii="宋体" w:hAnsi="宋体" w:cs="宋体"/>
          <w:b w:val="0"/>
          <w:bCs/>
          <w:color w:val="auto"/>
          <w:szCs w:val="21"/>
        </w:rPr>
        <w:t>21.1 成交供应商在收到成交通知书后，按规定与采购人签订采购合同。采购代理机构将在评标结束 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7847E9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21.2 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4A81C7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九、政府采购合同公告</w:t>
      </w:r>
    </w:p>
    <w:p w14:paraId="6F36C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D22FB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十、适用法律</w:t>
      </w:r>
    </w:p>
    <w:p w14:paraId="410CA4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distribute"/>
        <w:textAlignment w:val="auto"/>
        <w:rPr>
          <w:rFonts w:hint="eastAsia" w:ascii="宋体" w:hAnsi="宋体" w:cs="宋体"/>
          <w:b w:val="0"/>
          <w:bCs/>
          <w:color w:val="auto"/>
          <w:szCs w:val="21"/>
        </w:rPr>
      </w:pPr>
      <w:r>
        <w:rPr>
          <w:rFonts w:hint="eastAsia" w:ascii="宋体" w:hAnsi="宋体" w:cs="宋体"/>
          <w:b w:val="0"/>
          <w:bCs/>
          <w:color w:val="auto"/>
          <w:szCs w:val="21"/>
        </w:rPr>
        <w:t>23.本项目适用于《中华人民共和国政府采购法》《中华人民共和国政府采购法实施条例》</w:t>
      </w:r>
    </w:p>
    <w:p w14:paraId="07D144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val="0"/>
          <w:bCs/>
          <w:color w:val="auto"/>
          <w:szCs w:val="21"/>
        </w:rPr>
      </w:pPr>
      <w:r>
        <w:rPr>
          <w:rFonts w:hint="eastAsia" w:ascii="宋体" w:hAnsi="宋体" w:cs="宋体"/>
          <w:b w:val="0"/>
          <w:bCs/>
          <w:color w:val="auto"/>
          <w:szCs w:val="21"/>
        </w:rPr>
        <w:t>《政府采购竞争性磋商采购方式管理暂行办法》《财政部关于政府采购竞争性磋商采购方式管理暂行办法有关问题的补充通知》及本项目本级和上级财政部门政府采购有关规定。</w:t>
      </w:r>
    </w:p>
    <w:p w14:paraId="0FDAA2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szCs w:val="21"/>
        </w:rPr>
      </w:pPr>
      <w:r>
        <w:rPr>
          <w:rFonts w:hint="eastAsia" w:ascii="宋体" w:hAnsi="宋体" w:cs="宋体"/>
          <w:b/>
          <w:bCs w:val="0"/>
          <w:color w:val="auto"/>
          <w:szCs w:val="21"/>
        </w:rPr>
        <w:t>十一、其他事项</w:t>
      </w:r>
    </w:p>
    <w:p w14:paraId="6C2217E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24.1 招标代理服务费</w:t>
      </w:r>
    </w:p>
    <w:p w14:paraId="0C1C6F04">
      <w:pPr>
        <w:pStyle w:val="13"/>
        <w:keepNext w:val="0"/>
        <w:keepLines w:val="0"/>
        <w:pageBreakBefore w:val="0"/>
        <w:widowControl w:val="0"/>
        <w:kinsoku/>
        <w:wordWrap/>
        <w:overflowPunct/>
        <w:topLinePunct w:val="0"/>
        <w:autoSpaceDE/>
        <w:autoSpaceDN/>
        <w:bidi w:val="0"/>
        <w:adjustRightInd/>
        <w:snapToGrid w:val="0"/>
        <w:spacing w:line="400" w:lineRule="exact"/>
        <w:ind w:left="0"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本项目的招标代理服务费按</w:t>
      </w:r>
      <w:r>
        <w:rPr>
          <w:rFonts w:hint="eastAsia" w:hAnsi="宋体" w:cs="宋体"/>
          <w:color w:val="auto"/>
          <w:sz w:val="21"/>
          <w:lang w:val="en-US" w:eastAsia="zh-CN"/>
        </w:rPr>
        <w:t>成交金额为计费额，按收费计算标准（工程类）采用差额定率累进法计算出收费基准价格，采购代理收费以收费基准价格计取，</w:t>
      </w:r>
      <w:r>
        <w:rPr>
          <w:rFonts w:hint="eastAsia" w:ascii="宋体" w:hAnsi="宋体" w:cs="宋体"/>
          <w:b w:val="0"/>
          <w:bCs/>
          <w:color w:val="auto"/>
          <w:szCs w:val="21"/>
        </w:rPr>
        <w:t>由成交人领取成交通知书前，向代理机构一次性付清。</w:t>
      </w:r>
    </w:p>
    <w:p w14:paraId="3CB77E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代理服务费专用</w:t>
      </w:r>
      <w:r>
        <w:rPr>
          <w:rFonts w:hint="eastAsia" w:ascii="宋体" w:hAnsi="宋体" w:cs="宋体"/>
          <w:b w:val="0"/>
          <w:bCs/>
          <w:color w:val="auto"/>
          <w:szCs w:val="21"/>
          <w:lang w:eastAsia="zh-CN"/>
        </w:rPr>
        <w:t>账</w:t>
      </w:r>
      <w:r>
        <w:rPr>
          <w:rFonts w:hint="eastAsia" w:ascii="宋体" w:hAnsi="宋体" w:cs="宋体"/>
          <w:b w:val="0"/>
          <w:bCs/>
          <w:color w:val="auto"/>
          <w:szCs w:val="21"/>
        </w:rPr>
        <w:t>户：</w:t>
      </w:r>
    </w:p>
    <w:p w14:paraId="42BEB77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开户名称：</w:t>
      </w:r>
      <w:r>
        <w:rPr>
          <w:rFonts w:hint="eastAsia" w:ascii="宋体" w:hAnsi="宋体" w:cs="宋体"/>
          <w:b w:val="0"/>
          <w:bCs/>
          <w:color w:val="auto"/>
          <w:szCs w:val="21"/>
          <w:lang w:eastAsia="zh-CN"/>
        </w:rPr>
        <w:t>广西天明建筑咨询有限公司</w:t>
      </w:r>
      <w:r>
        <w:rPr>
          <w:rFonts w:hint="eastAsia" w:ascii="宋体" w:hAnsi="宋体" w:cs="宋体"/>
          <w:b w:val="0"/>
          <w:bCs/>
          <w:color w:val="auto"/>
          <w:szCs w:val="21"/>
        </w:rPr>
        <w:t>钦州分公司</w:t>
      </w:r>
    </w:p>
    <w:p w14:paraId="5AA2577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开户银行</w:t>
      </w:r>
      <w:r>
        <w:rPr>
          <w:rFonts w:hint="eastAsia" w:ascii="宋体" w:hAnsi="宋体" w:cs="宋体"/>
          <w:b w:val="0"/>
          <w:bCs/>
          <w:color w:val="auto"/>
          <w:szCs w:val="21"/>
          <w:lang w:eastAsia="zh-CN"/>
        </w:rPr>
        <w:t xml:space="preserve">：钦州市农村信用合作社联合社营业部 </w:t>
      </w:r>
      <w:r>
        <w:rPr>
          <w:rFonts w:hint="eastAsia" w:ascii="宋体" w:hAnsi="宋体" w:cs="宋体"/>
          <w:b w:val="0"/>
          <w:bCs/>
          <w:color w:val="auto"/>
          <w:szCs w:val="21"/>
        </w:rPr>
        <w:t xml:space="preserve">   </w:t>
      </w:r>
    </w:p>
    <w:p w14:paraId="538CEB6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auto"/>
          <w:szCs w:val="21"/>
          <w:lang w:eastAsia="zh-CN"/>
        </w:rPr>
      </w:pPr>
      <w:r>
        <w:rPr>
          <w:rFonts w:hint="eastAsia" w:ascii="宋体" w:hAnsi="宋体" w:cs="宋体"/>
          <w:b w:val="0"/>
          <w:bCs/>
          <w:color w:val="auto"/>
          <w:szCs w:val="21"/>
          <w:lang w:eastAsia="zh-CN"/>
        </w:rPr>
        <w:t>账</w:t>
      </w:r>
      <w:r>
        <w:rPr>
          <w:rFonts w:hint="eastAsia" w:ascii="宋体" w:hAnsi="宋体" w:cs="宋体"/>
          <w:b w:val="0"/>
          <w:bCs/>
          <w:color w:val="auto"/>
          <w:szCs w:val="21"/>
        </w:rPr>
        <w:t xml:space="preserve">    号</w:t>
      </w:r>
      <w:r>
        <w:rPr>
          <w:rFonts w:hint="eastAsia" w:ascii="宋体" w:hAnsi="宋体" w:cs="宋体"/>
          <w:b w:val="0"/>
          <w:bCs/>
          <w:color w:val="auto"/>
          <w:szCs w:val="21"/>
          <w:lang w:eastAsia="zh-CN"/>
        </w:rPr>
        <w:t>：8007120101106559085</w:t>
      </w:r>
    </w:p>
    <w:p w14:paraId="0F92BA2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代理服务费收费计算标准：</w:t>
      </w:r>
    </w:p>
    <w:tbl>
      <w:tblPr>
        <w:tblStyle w:val="49"/>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2F21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BBB9A66">
            <w:pPr>
              <w:keepNext w:val="0"/>
              <w:keepLines w:val="0"/>
              <w:pageBreakBefore w:val="0"/>
              <w:widowControl w:val="0"/>
              <w:kinsoku/>
              <w:wordWrap/>
              <w:overflowPunct/>
              <w:topLinePunct w:val="0"/>
              <w:autoSpaceDE/>
              <w:autoSpaceDN/>
              <w:bidi w:val="0"/>
              <w:adjustRightInd/>
              <w:snapToGrid/>
              <w:spacing w:line="400" w:lineRule="exact"/>
              <w:ind w:left="1702" w:firstLine="1040" w:firstLineChars="500"/>
              <w:jc w:val="left"/>
              <w:textAlignment w:val="auto"/>
              <w:rPr>
                <w:rFonts w:ascii="宋体" w:hAnsi="宋体" w:eastAsia="宋体" w:cs="宋体"/>
                <w:color w:val="auto"/>
                <w:sz w:val="21"/>
                <w:szCs w:val="21"/>
              </w:rPr>
            </w:pPr>
            <w:r>
              <w:rPr>
                <w:rFonts w:ascii="宋体" w:hAnsi="宋体" w:eastAsia="宋体" w:cs="宋体"/>
                <w:color w:val="auto"/>
                <w:spacing w:val="-1"/>
                <w:sz w:val="21"/>
                <w:szCs w:val="21"/>
              </w:rPr>
              <w:t>费率</w:t>
            </w:r>
          </w:p>
          <w:p w14:paraId="360464A8">
            <w:pPr>
              <w:keepNext w:val="0"/>
              <w:keepLines w:val="0"/>
              <w:pageBreakBefore w:val="0"/>
              <w:widowControl w:val="0"/>
              <w:kinsoku/>
              <w:wordWrap/>
              <w:overflowPunct/>
              <w:topLinePunct w:val="0"/>
              <w:autoSpaceDE/>
              <w:autoSpaceDN/>
              <w:bidi w:val="0"/>
              <w:adjustRightInd/>
              <w:snapToGrid/>
              <w:spacing w:line="400" w:lineRule="exact"/>
              <w:ind w:left="118"/>
              <w:jc w:val="left"/>
              <w:textAlignment w:val="auto"/>
              <w:rPr>
                <w:rFonts w:ascii="宋体" w:hAnsi="宋体" w:eastAsia="宋体" w:cs="宋体"/>
                <w:color w:val="auto"/>
                <w:sz w:val="21"/>
                <w:szCs w:val="21"/>
              </w:rPr>
            </w:pPr>
            <w:r>
              <w:rPr>
                <w:rFonts w:ascii="宋体" w:hAnsi="宋体" w:eastAsia="宋体" w:cs="宋体"/>
                <w:color w:val="auto"/>
                <w:spacing w:val="4"/>
                <w:sz w:val="21"/>
                <w:szCs w:val="21"/>
              </w:rPr>
              <w:t>金</w:t>
            </w:r>
            <w:r>
              <w:rPr>
                <w:rFonts w:ascii="宋体" w:hAnsi="宋体" w:eastAsia="宋体" w:cs="宋体"/>
                <w:color w:val="auto"/>
                <w:spacing w:val="3"/>
                <w:sz w:val="21"/>
                <w:szCs w:val="21"/>
              </w:rPr>
              <w:t>额</w:t>
            </w:r>
          </w:p>
        </w:tc>
        <w:tc>
          <w:tcPr>
            <w:tcW w:w="1579" w:type="dxa"/>
            <w:vAlign w:val="center"/>
          </w:tcPr>
          <w:p w14:paraId="4DE732EF">
            <w:pPr>
              <w:keepNext w:val="0"/>
              <w:keepLines w:val="0"/>
              <w:pageBreakBefore w:val="0"/>
              <w:widowControl w:val="0"/>
              <w:kinsoku/>
              <w:wordWrap/>
              <w:overflowPunct/>
              <w:topLinePunct w:val="0"/>
              <w:autoSpaceDE/>
              <w:autoSpaceDN/>
              <w:bidi w:val="0"/>
              <w:adjustRightInd/>
              <w:snapToGrid/>
              <w:spacing w:line="400" w:lineRule="exact"/>
              <w:ind w:left="578"/>
              <w:jc w:val="center"/>
              <w:textAlignment w:val="auto"/>
              <w:rPr>
                <w:rFonts w:ascii="宋体" w:hAnsi="宋体" w:eastAsia="宋体" w:cs="宋体"/>
                <w:color w:val="auto"/>
                <w:sz w:val="21"/>
                <w:szCs w:val="21"/>
              </w:rPr>
            </w:pPr>
            <w:r>
              <w:rPr>
                <w:rFonts w:ascii="宋体" w:hAnsi="宋体" w:eastAsia="宋体" w:cs="宋体"/>
                <w:color w:val="auto"/>
                <w:spacing w:val="5"/>
                <w:sz w:val="21"/>
                <w:szCs w:val="21"/>
              </w:rPr>
              <w:t>货物类</w:t>
            </w:r>
          </w:p>
        </w:tc>
        <w:tc>
          <w:tcPr>
            <w:tcW w:w="1579" w:type="dxa"/>
            <w:vAlign w:val="center"/>
          </w:tcPr>
          <w:p w14:paraId="4658A7AB">
            <w:pPr>
              <w:keepNext w:val="0"/>
              <w:keepLines w:val="0"/>
              <w:pageBreakBefore w:val="0"/>
              <w:widowControl w:val="0"/>
              <w:kinsoku/>
              <w:wordWrap/>
              <w:overflowPunct/>
              <w:topLinePunct w:val="0"/>
              <w:autoSpaceDE/>
              <w:autoSpaceDN/>
              <w:bidi w:val="0"/>
              <w:adjustRightInd/>
              <w:snapToGrid/>
              <w:spacing w:line="400" w:lineRule="exact"/>
              <w:ind w:left="458"/>
              <w:jc w:val="center"/>
              <w:textAlignment w:val="auto"/>
              <w:rPr>
                <w:rFonts w:ascii="宋体" w:hAnsi="宋体" w:eastAsia="宋体" w:cs="宋体"/>
                <w:color w:val="auto"/>
                <w:sz w:val="21"/>
                <w:szCs w:val="21"/>
              </w:rPr>
            </w:pPr>
            <w:r>
              <w:rPr>
                <w:rFonts w:ascii="宋体" w:hAnsi="宋体" w:eastAsia="宋体" w:cs="宋体"/>
                <w:color w:val="auto"/>
                <w:spacing w:val="7"/>
                <w:sz w:val="21"/>
                <w:szCs w:val="21"/>
              </w:rPr>
              <w:t>服务</w:t>
            </w:r>
            <w:r>
              <w:rPr>
                <w:rFonts w:ascii="宋体" w:hAnsi="宋体" w:eastAsia="宋体" w:cs="宋体"/>
                <w:color w:val="auto"/>
                <w:spacing w:val="6"/>
                <w:sz w:val="21"/>
                <w:szCs w:val="21"/>
              </w:rPr>
              <w:t>类</w:t>
            </w:r>
          </w:p>
        </w:tc>
        <w:tc>
          <w:tcPr>
            <w:tcW w:w="1581" w:type="dxa"/>
            <w:vAlign w:val="center"/>
          </w:tcPr>
          <w:p w14:paraId="25E0446F">
            <w:pPr>
              <w:keepNext w:val="0"/>
              <w:keepLines w:val="0"/>
              <w:pageBreakBefore w:val="0"/>
              <w:widowControl w:val="0"/>
              <w:kinsoku/>
              <w:wordWrap/>
              <w:overflowPunct/>
              <w:topLinePunct w:val="0"/>
              <w:autoSpaceDE/>
              <w:autoSpaceDN/>
              <w:bidi w:val="0"/>
              <w:adjustRightInd/>
              <w:snapToGrid/>
              <w:spacing w:line="400" w:lineRule="exact"/>
              <w:ind w:left="468"/>
              <w:jc w:val="center"/>
              <w:textAlignment w:val="auto"/>
              <w:rPr>
                <w:rFonts w:ascii="宋体" w:hAnsi="宋体" w:eastAsia="宋体" w:cs="宋体"/>
                <w:color w:val="auto"/>
                <w:sz w:val="21"/>
                <w:szCs w:val="21"/>
              </w:rPr>
            </w:pPr>
            <w:r>
              <w:rPr>
                <w:rFonts w:ascii="宋体" w:hAnsi="宋体" w:eastAsia="宋体" w:cs="宋体"/>
                <w:color w:val="auto"/>
                <w:spacing w:val="6"/>
                <w:sz w:val="21"/>
                <w:szCs w:val="21"/>
              </w:rPr>
              <w:t>工程类</w:t>
            </w:r>
          </w:p>
        </w:tc>
      </w:tr>
      <w:tr w14:paraId="6591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C1C28ED">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4"/>
                <w:sz w:val="21"/>
                <w:szCs w:val="21"/>
              </w:rPr>
              <w:t>1</w:t>
            </w:r>
            <w:r>
              <w:rPr>
                <w:rFonts w:ascii="宋体" w:hAnsi="宋体" w:eastAsia="宋体" w:cs="宋体"/>
                <w:color w:val="auto"/>
                <w:spacing w:val="-3"/>
                <w:sz w:val="21"/>
                <w:szCs w:val="21"/>
              </w:rPr>
              <w:t>0</w:t>
            </w:r>
            <w:r>
              <w:rPr>
                <w:rFonts w:ascii="宋体" w:hAnsi="宋体" w:eastAsia="宋体" w:cs="宋体"/>
                <w:color w:val="auto"/>
                <w:spacing w:val="-2"/>
                <w:sz w:val="21"/>
                <w:szCs w:val="21"/>
              </w:rPr>
              <w:t>0 万元以下</w:t>
            </w:r>
          </w:p>
        </w:tc>
        <w:tc>
          <w:tcPr>
            <w:tcW w:w="1579" w:type="dxa"/>
            <w:vAlign w:val="center"/>
          </w:tcPr>
          <w:p w14:paraId="3CD643D9">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79" w:type="dxa"/>
            <w:vAlign w:val="center"/>
          </w:tcPr>
          <w:p w14:paraId="29C5805F">
            <w:pPr>
              <w:spacing w:before="33" w:line="271"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1.5</w:t>
            </w:r>
            <w:r>
              <w:rPr>
                <w:rFonts w:ascii="宋体" w:hAnsi="宋体" w:eastAsia="宋体" w:cs="宋体"/>
                <w:color w:val="auto"/>
                <w:position w:val="1"/>
                <w:sz w:val="21"/>
                <w:szCs w:val="21"/>
              </w:rPr>
              <w:t>%</w:t>
            </w:r>
          </w:p>
        </w:tc>
        <w:tc>
          <w:tcPr>
            <w:tcW w:w="1581" w:type="dxa"/>
            <w:vAlign w:val="center"/>
          </w:tcPr>
          <w:p w14:paraId="2611CB78">
            <w:pPr>
              <w:spacing w:before="33" w:line="271" w:lineRule="exact"/>
              <w:ind w:left="342"/>
              <w:jc w:val="center"/>
              <w:rPr>
                <w:rFonts w:ascii="宋体" w:hAnsi="宋体" w:eastAsia="宋体" w:cs="宋体"/>
                <w:color w:val="auto"/>
                <w:sz w:val="21"/>
                <w:szCs w:val="21"/>
              </w:rPr>
            </w:pPr>
            <w:r>
              <w:rPr>
                <w:rFonts w:ascii="宋体" w:hAnsi="宋体" w:eastAsia="宋体" w:cs="宋体"/>
                <w:color w:val="auto"/>
                <w:spacing w:val="-2"/>
                <w:position w:val="1"/>
                <w:sz w:val="21"/>
                <w:szCs w:val="21"/>
              </w:rPr>
              <w:t>1</w:t>
            </w:r>
            <w:r>
              <w:rPr>
                <w:rFonts w:ascii="宋体" w:hAnsi="宋体" w:eastAsia="宋体" w:cs="宋体"/>
                <w:color w:val="auto"/>
                <w:spacing w:val="-1"/>
                <w:position w:val="1"/>
                <w:sz w:val="21"/>
                <w:szCs w:val="21"/>
              </w:rPr>
              <w:t>.0%</w:t>
            </w:r>
          </w:p>
        </w:tc>
      </w:tr>
      <w:tr w14:paraId="3DA5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A04B389">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2"/>
                <w:sz w:val="21"/>
                <w:szCs w:val="21"/>
              </w:rPr>
              <w:t>1</w:t>
            </w:r>
            <w:r>
              <w:rPr>
                <w:rFonts w:ascii="宋体" w:hAnsi="宋体" w:eastAsia="宋体" w:cs="宋体"/>
                <w:color w:val="auto"/>
                <w:spacing w:val="8"/>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 万元</w:t>
            </w:r>
          </w:p>
        </w:tc>
        <w:tc>
          <w:tcPr>
            <w:tcW w:w="1579" w:type="dxa"/>
            <w:vAlign w:val="center"/>
          </w:tcPr>
          <w:p w14:paraId="1154EE1F">
            <w:pPr>
              <w:spacing w:before="33" w:line="270" w:lineRule="exact"/>
              <w:ind w:left="339"/>
              <w:jc w:val="center"/>
              <w:rPr>
                <w:rFonts w:ascii="宋体" w:hAnsi="宋体" w:eastAsia="宋体" w:cs="宋体"/>
                <w:color w:val="auto"/>
                <w:sz w:val="21"/>
                <w:szCs w:val="21"/>
              </w:rPr>
            </w:pPr>
            <w:r>
              <w:rPr>
                <w:rFonts w:ascii="宋体" w:hAnsi="宋体" w:eastAsia="宋体" w:cs="宋体"/>
                <w:color w:val="auto"/>
                <w:spacing w:val="-1"/>
                <w:position w:val="1"/>
                <w:sz w:val="21"/>
                <w:szCs w:val="21"/>
              </w:rPr>
              <w:t>1.1</w:t>
            </w:r>
            <w:r>
              <w:rPr>
                <w:rFonts w:ascii="宋体" w:hAnsi="宋体" w:eastAsia="宋体" w:cs="宋体"/>
                <w:color w:val="auto"/>
                <w:position w:val="1"/>
                <w:sz w:val="21"/>
                <w:szCs w:val="21"/>
              </w:rPr>
              <w:t>%</w:t>
            </w:r>
          </w:p>
        </w:tc>
        <w:tc>
          <w:tcPr>
            <w:tcW w:w="1579" w:type="dxa"/>
            <w:vAlign w:val="center"/>
          </w:tcPr>
          <w:p w14:paraId="0503C6FD">
            <w:pPr>
              <w:spacing w:before="33"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81" w:type="dxa"/>
            <w:vAlign w:val="center"/>
          </w:tcPr>
          <w:p w14:paraId="297F212A">
            <w:pPr>
              <w:spacing w:before="33"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.7%</w:t>
            </w:r>
          </w:p>
        </w:tc>
      </w:tr>
      <w:tr w14:paraId="1AE3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61EC05D">
            <w:pPr>
              <w:spacing w:before="32" w:line="229" w:lineRule="auto"/>
              <w:ind w:left="120"/>
              <w:jc w:val="left"/>
              <w:rPr>
                <w:rFonts w:ascii="宋体" w:hAnsi="宋体" w:eastAsia="宋体" w:cs="宋体"/>
                <w:color w:val="auto"/>
                <w:sz w:val="21"/>
                <w:szCs w:val="21"/>
              </w:rPr>
            </w:pPr>
            <w:r>
              <w:rPr>
                <w:rFonts w:ascii="宋体" w:hAnsi="宋体" w:eastAsia="宋体" w:cs="宋体"/>
                <w:color w:val="auto"/>
                <w:spacing w:val="11"/>
                <w:sz w:val="21"/>
                <w:szCs w:val="21"/>
              </w:rPr>
              <w:t>5</w:t>
            </w:r>
            <w:r>
              <w:rPr>
                <w:rFonts w:ascii="宋体" w:hAnsi="宋体" w:eastAsia="宋体" w:cs="宋体"/>
                <w:color w:val="auto"/>
                <w:spacing w:val="9"/>
                <w:sz w:val="21"/>
                <w:szCs w:val="21"/>
              </w:rPr>
              <w:t>00</w:t>
            </w:r>
            <w:r>
              <w:rPr>
                <w:rFonts w:hint="eastAsia" w:ascii="宋体" w:hAnsi="宋体" w:cs="宋体"/>
                <w:color w:val="auto"/>
                <w:spacing w:val="8"/>
                <w:sz w:val="21"/>
                <w:szCs w:val="21"/>
                <w:lang w:eastAsia="zh-CN"/>
              </w:rPr>
              <w:t>～</w:t>
            </w:r>
            <w:r>
              <w:rPr>
                <w:rFonts w:ascii="宋体" w:hAnsi="宋体" w:eastAsia="宋体" w:cs="宋体"/>
                <w:color w:val="auto"/>
                <w:spacing w:val="9"/>
                <w:sz w:val="21"/>
                <w:szCs w:val="21"/>
              </w:rPr>
              <w:t>1000 万元</w:t>
            </w:r>
          </w:p>
        </w:tc>
        <w:tc>
          <w:tcPr>
            <w:tcW w:w="1579" w:type="dxa"/>
            <w:vAlign w:val="center"/>
          </w:tcPr>
          <w:p w14:paraId="52F9E336">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0.8</w:t>
            </w:r>
            <w:r>
              <w:rPr>
                <w:rFonts w:ascii="宋体" w:hAnsi="宋体" w:eastAsia="宋体" w:cs="宋体"/>
                <w:color w:val="auto"/>
                <w:spacing w:val="2"/>
                <w:position w:val="1"/>
                <w:sz w:val="21"/>
                <w:szCs w:val="21"/>
              </w:rPr>
              <w:t>%</w:t>
            </w:r>
          </w:p>
        </w:tc>
        <w:tc>
          <w:tcPr>
            <w:tcW w:w="1579" w:type="dxa"/>
            <w:vAlign w:val="center"/>
          </w:tcPr>
          <w:p w14:paraId="7D5D1798">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0.45</w:t>
            </w:r>
            <w:r>
              <w:rPr>
                <w:rFonts w:ascii="宋体" w:hAnsi="宋体" w:eastAsia="宋体" w:cs="宋体"/>
                <w:color w:val="auto"/>
                <w:spacing w:val="2"/>
                <w:position w:val="1"/>
                <w:sz w:val="21"/>
                <w:szCs w:val="21"/>
              </w:rPr>
              <w:t>%</w:t>
            </w:r>
          </w:p>
        </w:tc>
        <w:tc>
          <w:tcPr>
            <w:tcW w:w="1581" w:type="dxa"/>
            <w:vAlign w:val="center"/>
          </w:tcPr>
          <w:p w14:paraId="0FFCBD2F">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0.55</w:t>
            </w:r>
            <w:r>
              <w:rPr>
                <w:rFonts w:ascii="宋体" w:hAnsi="宋体" w:eastAsia="宋体" w:cs="宋体"/>
                <w:color w:val="auto"/>
                <w:spacing w:val="2"/>
                <w:position w:val="1"/>
                <w:sz w:val="21"/>
                <w:szCs w:val="21"/>
              </w:rPr>
              <w:t>%</w:t>
            </w:r>
          </w:p>
        </w:tc>
      </w:tr>
      <w:tr w14:paraId="55506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536AAB6D">
            <w:pPr>
              <w:spacing w:before="32" w:line="229" w:lineRule="auto"/>
              <w:ind w:left="131"/>
              <w:jc w:val="left"/>
              <w:rPr>
                <w:rFonts w:ascii="宋体" w:hAnsi="宋体" w:eastAsia="宋体" w:cs="宋体"/>
                <w:color w:val="auto"/>
                <w:sz w:val="21"/>
                <w:szCs w:val="21"/>
              </w:rPr>
            </w:pPr>
            <w:r>
              <w:rPr>
                <w:rFonts w:ascii="宋体" w:hAnsi="宋体" w:eastAsia="宋体" w:cs="宋体"/>
                <w:color w:val="auto"/>
                <w:spacing w:val="8"/>
                <w:sz w:val="21"/>
                <w:szCs w:val="21"/>
              </w:rPr>
              <w:t>1000</w:t>
            </w:r>
            <w:r>
              <w:rPr>
                <w:rFonts w:hint="eastAsia" w:ascii="宋体" w:hAnsi="宋体" w:cs="宋体"/>
                <w:color w:val="auto"/>
                <w:spacing w:val="8"/>
                <w:sz w:val="21"/>
                <w:szCs w:val="21"/>
                <w:lang w:eastAsia="zh-CN"/>
              </w:rPr>
              <w:t>～</w:t>
            </w:r>
            <w:r>
              <w:rPr>
                <w:rFonts w:ascii="宋体" w:hAnsi="宋体" w:eastAsia="宋体" w:cs="宋体"/>
                <w:color w:val="auto"/>
                <w:spacing w:val="8"/>
                <w:sz w:val="21"/>
                <w:szCs w:val="21"/>
              </w:rPr>
              <w:t>5000万</w:t>
            </w:r>
            <w:r>
              <w:rPr>
                <w:rFonts w:ascii="宋体" w:hAnsi="宋体" w:eastAsia="宋体" w:cs="宋体"/>
                <w:color w:val="auto"/>
                <w:spacing w:val="7"/>
                <w:sz w:val="21"/>
                <w:szCs w:val="21"/>
              </w:rPr>
              <w:t>元</w:t>
            </w:r>
          </w:p>
        </w:tc>
        <w:tc>
          <w:tcPr>
            <w:tcW w:w="1579" w:type="dxa"/>
            <w:vAlign w:val="center"/>
          </w:tcPr>
          <w:p w14:paraId="59A4EE4B">
            <w:pPr>
              <w:spacing w:before="32"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0.5</w:t>
            </w:r>
            <w:r>
              <w:rPr>
                <w:rFonts w:ascii="宋体" w:hAnsi="宋体" w:eastAsia="宋体" w:cs="宋体"/>
                <w:color w:val="auto"/>
                <w:spacing w:val="2"/>
                <w:position w:val="1"/>
                <w:sz w:val="21"/>
                <w:szCs w:val="21"/>
              </w:rPr>
              <w:t>%</w:t>
            </w:r>
          </w:p>
        </w:tc>
        <w:tc>
          <w:tcPr>
            <w:tcW w:w="1579" w:type="dxa"/>
            <w:vAlign w:val="center"/>
          </w:tcPr>
          <w:p w14:paraId="76F57118">
            <w:pPr>
              <w:spacing w:before="32"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81" w:type="dxa"/>
            <w:vAlign w:val="center"/>
          </w:tcPr>
          <w:p w14:paraId="1D9EA16B">
            <w:pPr>
              <w:spacing w:before="32"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0.35</w:t>
            </w:r>
            <w:r>
              <w:rPr>
                <w:rFonts w:ascii="宋体" w:hAnsi="宋体" w:eastAsia="宋体" w:cs="宋体"/>
                <w:color w:val="auto"/>
                <w:spacing w:val="2"/>
                <w:position w:val="1"/>
                <w:sz w:val="21"/>
                <w:szCs w:val="21"/>
              </w:rPr>
              <w:t>%</w:t>
            </w:r>
          </w:p>
        </w:tc>
      </w:tr>
      <w:tr w14:paraId="5AE16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4FBA48D3">
            <w:pPr>
              <w:spacing w:before="34" w:line="229" w:lineRule="auto"/>
              <w:ind w:left="120"/>
              <w:jc w:val="left"/>
              <w:rPr>
                <w:rFonts w:ascii="宋体" w:hAnsi="宋体" w:eastAsia="宋体" w:cs="宋体"/>
                <w:color w:val="auto"/>
                <w:sz w:val="21"/>
                <w:szCs w:val="21"/>
              </w:rPr>
            </w:pPr>
            <w:r>
              <w:rPr>
                <w:rFonts w:ascii="宋体" w:hAnsi="宋体" w:eastAsia="宋体" w:cs="宋体"/>
                <w:color w:val="auto"/>
                <w:spacing w:val="10"/>
                <w:sz w:val="21"/>
                <w:szCs w:val="21"/>
              </w:rPr>
              <w:t>5</w:t>
            </w:r>
            <w:r>
              <w:rPr>
                <w:rFonts w:ascii="宋体" w:hAnsi="宋体" w:eastAsia="宋体" w:cs="宋体"/>
                <w:color w:val="auto"/>
                <w:spacing w:val="5"/>
                <w:sz w:val="21"/>
                <w:szCs w:val="21"/>
              </w:rPr>
              <w:t>000万元</w:t>
            </w:r>
            <w:r>
              <w:rPr>
                <w:rFonts w:hint="eastAsia" w:ascii="宋体" w:hAnsi="宋体" w:cs="宋体"/>
                <w:color w:val="auto"/>
                <w:spacing w:val="8"/>
                <w:sz w:val="21"/>
                <w:szCs w:val="21"/>
                <w:lang w:eastAsia="zh-CN"/>
              </w:rPr>
              <w:t>～</w:t>
            </w:r>
            <w:r>
              <w:rPr>
                <w:rFonts w:ascii="宋体" w:hAnsi="宋体" w:eastAsia="宋体" w:cs="宋体"/>
                <w:color w:val="auto"/>
                <w:spacing w:val="5"/>
                <w:sz w:val="21"/>
                <w:szCs w:val="21"/>
              </w:rPr>
              <w:t>1亿元</w:t>
            </w:r>
          </w:p>
        </w:tc>
        <w:tc>
          <w:tcPr>
            <w:tcW w:w="1579" w:type="dxa"/>
            <w:vAlign w:val="center"/>
          </w:tcPr>
          <w:p w14:paraId="54DFC691">
            <w:pPr>
              <w:spacing w:before="34" w:line="269"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0.25</w:t>
            </w:r>
            <w:r>
              <w:rPr>
                <w:rFonts w:ascii="宋体" w:hAnsi="宋体" w:eastAsia="宋体" w:cs="宋体"/>
                <w:color w:val="auto"/>
                <w:spacing w:val="2"/>
                <w:position w:val="1"/>
                <w:sz w:val="21"/>
                <w:szCs w:val="21"/>
              </w:rPr>
              <w:t>%</w:t>
            </w:r>
          </w:p>
        </w:tc>
        <w:tc>
          <w:tcPr>
            <w:tcW w:w="1579" w:type="dxa"/>
            <w:vAlign w:val="center"/>
          </w:tcPr>
          <w:p w14:paraId="61D1E626">
            <w:pPr>
              <w:spacing w:before="34" w:line="269"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0.1</w:t>
            </w:r>
            <w:r>
              <w:rPr>
                <w:rFonts w:ascii="宋体" w:hAnsi="宋体" w:eastAsia="宋体" w:cs="宋体"/>
                <w:color w:val="auto"/>
                <w:spacing w:val="2"/>
                <w:position w:val="1"/>
                <w:sz w:val="21"/>
                <w:szCs w:val="21"/>
              </w:rPr>
              <w:t>%</w:t>
            </w:r>
          </w:p>
        </w:tc>
        <w:tc>
          <w:tcPr>
            <w:tcW w:w="1581" w:type="dxa"/>
            <w:vAlign w:val="center"/>
          </w:tcPr>
          <w:p w14:paraId="26FCF5FE">
            <w:pPr>
              <w:spacing w:before="34" w:line="269"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w:t>
            </w:r>
            <w:r>
              <w:rPr>
                <w:rFonts w:ascii="宋体" w:hAnsi="宋体" w:eastAsia="宋体" w:cs="宋体"/>
                <w:color w:val="auto"/>
                <w:spacing w:val="2"/>
                <w:position w:val="1"/>
                <w:sz w:val="21"/>
                <w:szCs w:val="21"/>
              </w:rPr>
              <w:t>.2%</w:t>
            </w:r>
          </w:p>
        </w:tc>
      </w:tr>
      <w:tr w14:paraId="3A42B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10842E02">
            <w:pPr>
              <w:spacing w:before="33" w:line="229" w:lineRule="auto"/>
              <w:ind w:left="131"/>
              <w:jc w:val="left"/>
              <w:rPr>
                <w:rFonts w:ascii="宋体" w:hAnsi="宋体" w:eastAsia="宋体" w:cs="宋体"/>
                <w:color w:val="auto"/>
                <w:sz w:val="21"/>
                <w:szCs w:val="21"/>
              </w:rPr>
            </w:pPr>
            <w:r>
              <w:rPr>
                <w:rFonts w:ascii="宋体" w:hAnsi="宋体" w:eastAsia="宋体" w:cs="宋体"/>
                <w:color w:val="auto"/>
                <w:spacing w:val="14"/>
                <w:sz w:val="21"/>
                <w:szCs w:val="21"/>
              </w:rPr>
              <w:t>1</w:t>
            </w:r>
            <w:r>
              <w:rPr>
                <w:rFonts w:hint="eastAsia" w:ascii="宋体" w:hAnsi="宋体" w:cs="宋体"/>
                <w:color w:val="auto"/>
                <w:spacing w:val="8"/>
                <w:sz w:val="21"/>
                <w:szCs w:val="21"/>
                <w:lang w:eastAsia="zh-CN"/>
              </w:rPr>
              <w:t>～</w:t>
            </w:r>
            <w:r>
              <w:rPr>
                <w:rFonts w:ascii="宋体" w:hAnsi="宋体" w:eastAsia="宋体" w:cs="宋体"/>
                <w:color w:val="auto"/>
                <w:spacing w:val="10"/>
                <w:sz w:val="21"/>
                <w:szCs w:val="21"/>
              </w:rPr>
              <w:t>5亿元</w:t>
            </w:r>
          </w:p>
        </w:tc>
        <w:tc>
          <w:tcPr>
            <w:tcW w:w="1579" w:type="dxa"/>
            <w:vAlign w:val="center"/>
          </w:tcPr>
          <w:p w14:paraId="19AAB15C">
            <w:pPr>
              <w:spacing w:before="33" w:line="270" w:lineRule="exact"/>
              <w:ind w:left="325"/>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79" w:type="dxa"/>
            <w:vAlign w:val="center"/>
          </w:tcPr>
          <w:p w14:paraId="6B2EB595">
            <w:pPr>
              <w:spacing w:before="33" w:line="270" w:lineRule="exact"/>
              <w:ind w:left="326"/>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c>
          <w:tcPr>
            <w:tcW w:w="1581" w:type="dxa"/>
            <w:vAlign w:val="center"/>
          </w:tcPr>
          <w:p w14:paraId="381BB26A">
            <w:pPr>
              <w:spacing w:before="33" w:line="270" w:lineRule="exact"/>
              <w:ind w:left="328"/>
              <w:jc w:val="center"/>
              <w:rPr>
                <w:rFonts w:ascii="宋体" w:hAnsi="宋体" w:eastAsia="宋体" w:cs="宋体"/>
                <w:color w:val="auto"/>
                <w:sz w:val="21"/>
                <w:szCs w:val="21"/>
              </w:rPr>
            </w:pPr>
            <w:r>
              <w:rPr>
                <w:rFonts w:ascii="宋体" w:hAnsi="宋体" w:eastAsia="宋体" w:cs="宋体"/>
                <w:color w:val="auto"/>
                <w:spacing w:val="3"/>
                <w:position w:val="1"/>
                <w:sz w:val="21"/>
                <w:szCs w:val="21"/>
              </w:rPr>
              <w:t>0.05</w:t>
            </w:r>
            <w:r>
              <w:rPr>
                <w:rFonts w:ascii="宋体" w:hAnsi="宋体" w:eastAsia="宋体" w:cs="宋体"/>
                <w:color w:val="auto"/>
                <w:spacing w:val="2"/>
                <w:position w:val="1"/>
                <w:sz w:val="21"/>
                <w:szCs w:val="21"/>
              </w:rPr>
              <w:t>%</w:t>
            </w:r>
          </w:p>
        </w:tc>
      </w:tr>
      <w:tr w14:paraId="68822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024BD8BD">
            <w:pPr>
              <w:spacing w:before="36" w:line="229" w:lineRule="auto"/>
              <w:ind w:left="120"/>
              <w:jc w:val="left"/>
              <w:rPr>
                <w:rFonts w:ascii="宋体" w:hAnsi="宋体" w:eastAsia="宋体" w:cs="宋体"/>
                <w:color w:val="auto"/>
                <w:sz w:val="21"/>
                <w:szCs w:val="21"/>
              </w:rPr>
            </w:pPr>
            <w:r>
              <w:rPr>
                <w:rFonts w:ascii="宋体" w:hAnsi="宋体" w:eastAsia="宋体" w:cs="宋体"/>
                <w:color w:val="auto"/>
                <w:spacing w:val="15"/>
                <w:sz w:val="21"/>
                <w:szCs w:val="21"/>
              </w:rPr>
              <w:t>5</w:t>
            </w:r>
            <w:r>
              <w:rPr>
                <w:rFonts w:hint="eastAsia" w:ascii="宋体" w:hAnsi="宋体" w:cs="宋体"/>
                <w:color w:val="auto"/>
                <w:spacing w:val="8"/>
                <w:sz w:val="21"/>
                <w:szCs w:val="21"/>
                <w:lang w:eastAsia="zh-CN"/>
              </w:rPr>
              <w:t>～</w:t>
            </w:r>
            <w:r>
              <w:rPr>
                <w:rFonts w:ascii="宋体" w:hAnsi="宋体" w:eastAsia="宋体" w:cs="宋体"/>
                <w:color w:val="auto"/>
                <w:spacing w:val="11"/>
                <w:sz w:val="21"/>
                <w:szCs w:val="21"/>
              </w:rPr>
              <w:t>10亿元</w:t>
            </w:r>
          </w:p>
        </w:tc>
        <w:tc>
          <w:tcPr>
            <w:tcW w:w="1579" w:type="dxa"/>
            <w:vAlign w:val="center"/>
          </w:tcPr>
          <w:p w14:paraId="26E21EC6">
            <w:pPr>
              <w:spacing w:before="36" w:line="270" w:lineRule="exact"/>
              <w:ind w:left="220"/>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79" w:type="dxa"/>
            <w:vAlign w:val="center"/>
          </w:tcPr>
          <w:p w14:paraId="02643543">
            <w:pPr>
              <w:spacing w:before="36" w:line="270" w:lineRule="exact"/>
              <w:ind w:left="326"/>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c>
          <w:tcPr>
            <w:tcW w:w="1581" w:type="dxa"/>
            <w:vAlign w:val="center"/>
          </w:tcPr>
          <w:p w14:paraId="357303DC">
            <w:pPr>
              <w:spacing w:before="36" w:line="270" w:lineRule="exact"/>
              <w:ind w:left="223"/>
              <w:jc w:val="center"/>
              <w:rPr>
                <w:rFonts w:ascii="宋体" w:hAnsi="宋体" w:eastAsia="宋体" w:cs="宋体"/>
                <w:color w:val="auto"/>
                <w:sz w:val="21"/>
                <w:szCs w:val="21"/>
              </w:rPr>
            </w:pPr>
            <w:r>
              <w:rPr>
                <w:rFonts w:ascii="宋体" w:hAnsi="宋体" w:eastAsia="宋体" w:cs="宋体"/>
                <w:color w:val="auto"/>
                <w:spacing w:val="5"/>
                <w:position w:val="1"/>
                <w:sz w:val="21"/>
                <w:szCs w:val="21"/>
              </w:rPr>
              <w:t>0</w:t>
            </w:r>
            <w:r>
              <w:rPr>
                <w:rFonts w:ascii="宋体" w:hAnsi="宋体" w:eastAsia="宋体" w:cs="宋体"/>
                <w:color w:val="auto"/>
                <w:spacing w:val="3"/>
                <w:position w:val="1"/>
                <w:sz w:val="21"/>
                <w:szCs w:val="21"/>
              </w:rPr>
              <w:t>.035%</w:t>
            </w:r>
          </w:p>
        </w:tc>
      </w:tr>
    </w:tbl>
    <w:p w14:paraId="1B9DAE8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注：招标代理服务收费按差额定率累进法计算。</w:t>
      </w:r>
    </w:p>
    <w:p w14:paraId="62A61C8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24.2.解释权</w:t>
      </w:r>
    </w:p>
    <w:p w14:paraId="5387014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解释权属本采购代理机构。</w:t>
      </w:r>
    </w:p>
    <w:p w14:paraId="0FEF2D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 询问、质疑和投诉</w:t>
      </w:r>
    </w:p>
    <w:p w14:paraId="30A1DAE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24.3.1 供应商对政府采购活动事项有疑问的，可以向采购人、采购代理机构提出询问，采购人或者采购代理机构应当在 3个工作日内对供应商依法提出的询问作出答复。</w:t>
      </w:r>
    </w:p>
    <w:p w14:paraId="618CE03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24.3.2 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 附表”。具体质疑起算时间如下：</w:t>
      </w:r>
    </w:p>
    <w:p w14:paraId="76B1628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对可以质疑的竞争性磋商文件提出质疑的，为收到竞争性磋商文件之日或竞争性磋商公告期限届满之日；</w:t>
      </w:r>
    </w:p>
    <w:p w14:paraId="2047E9A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对采购过程提出质疑的，为各采购程序环节结束之日；</w:t>
      </w:r>
    </w:p>
    <w:p w14:paraId="234823E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对成交结果提出质疑的，为成交结果公告期限届满之日。</w:t>
      </w:r>
    </w:p>
    <w:p w14:paraId="6B4CF9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供应商对采购人或采购代理机构的质疑答复不满意或者采购人或采购代理机构未在规定时间内作出答复的，可以在答复期满后十五个工作日内向同级采购监管部门投诉。</w:t>
      </w:r>
    </w:p>
    <w:p w14:paraId="77739D3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24.3.3 供应商提出的询问或者质疑超出采购人对采购代理机构委托授权范围的，采购代理机构应当告知供应商向采购人提出。政府采购评审专家应当配合采购人或者采购代理机构答复供应商的询问和质疑。</w:t>
      </w:r>
    </w:p>
    <w:p w14:paraId="69FBB43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24.3.4 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1F81670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供应商提出质疑应当提交质疑函和必要的证明材料，针对同一采购程序环节的质疑必须在法定质疑期内一次性提出。质疑函应当包括下列内容：</w:t>
      </w:r>
    </w:p>
    <w:p w14:paraId="51520CE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供应商的姓名或者名称、地址、邮编、联系人及联系电话；</w:t>
      </w:r>
    </w:p>
    <w:p w14:paraId="54CE4A6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质疑项目的名称、编号；</w:t>
      </w:r>
    </w:p>
    <w:p w14:paraId="5E7F17B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(3) 具体、明确的质疑事项和与质疑事项相关的请求；</w:t>
      </w:r>
    </w:p>
    <w:p w14:paraId="4D3C5A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(4) 事实依据；</w:t>
      </w:r>
    </w:p>
    <w:p w14:paraId="53329B5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(5) 必要的法律依据；</w:t>
      </w:r>
    </w:p>
    <w:p w14:paraId="745E898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(6) 提出质疑的日期。</w:t>
      </w:r>
    </w:p>
    <w:p w14:paraId="74798C5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供应商为自然人的，应当由本人签字；供应商为法人或者其他组织的，应当由法定代表人、主要负责人，或者其委托代理人签字或者盖章，并加盖公章。</w:t>
      </w:r>
    </w:p>
    <w:p w14:paraId="2B4CC8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24.3.5 采购人、采购代理机构认为供应商质疑不成立，或者成立但未对成交结果构成影响的，继续开展采购活动；认为供应商质疑成立且影响或者可能影响成交结果的，按照下列情况处理：</w:t>
      </w:r>
    </w:p>
    <w:p w14:paraId="57212B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(1) 对竞争性磋商文件提出的质疑，依法通过澄清或者修改可以继续开展采购活动的，澄清或者修改竞争性磋商文件后继续开展采购活动；否则应当在修改竞争性磋商文件后重新开展采购活动。</w:t>
      </w:r>
    </w:p>
    <w:p w14:paraId="0023C5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 对采购过程、成交结果提出的质疑，合格供应商符合法定数量时，可以从合格的成交候选人中另行确定成交供应商的，应当依法另行确定成交供应商；否则应当重新开展采购活动。</w:t>
      </w:r>
    </w:p>
    <w:p w14:paraId="21C1DB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质疑答复导致成交结果改变的，采购人或者采购代理机构应当将有关情况书面报告本级财政部门。</w:t>
      </w:r>
    </w:p>
    <w:p w14:paraId="5383C07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24.3.6 投诉的权利。质疑供应商对采购人、采购代理机构的答复不满意，或者采购人、采购代理机构未在规定时间内作出答复的，可以在答复期满后15个工作日内向《政府采购质疑和投诉办法》(财政部令第94号) 第六条规定的财政部门提起投诉。</w:t>
      </w:r>
    </w:p>
    <w:p w14:paraId="016E30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rPr>
      </w:pPr>
      <w:r>
        <w:rPr>
          <w:rFonts w:hint="eastAsia" w:ascii="宋体" w:hAnsi="宋体" w:cs="宋体"/>
          <w:b w:val="0"/>
          <w:bCs/>
          <w:color w:val="auto"/>
          <w:szCs w:val="21"/>
        </w:rPr>
        <w:t>所有与本磋商文件有关的函件请按下列通讯地址联系：</w:t>
      </w:r>
    </w:p>
    <w:p w14:paraId="023F93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color w:val="auto"/>
          <w:szCs w:val="21"/>
          <w:lang w:eastAsia="zh-CN"/>
        </w:rPr>
      </w:pPr>
      <w:r>
        <w:rPr>
          <w:rFonts w:hint="eastAsia" w:ascii="宋体" w:hAnsi="宋体" w:cs="宋体"/>
          <w:b w:val="0"/>
          <w:bCs/>
          <w:color w:val="auto"/>
          <w:szCs w:val="21"/>
        </w:rPr>
        <w:t>通讯地址：</w:t>
      </w:r>
      <w:r>
        <w:rPr>
          <w:rFonts w:hint="eastAsia" w:ascii="宋体" w:hAnsi="宋体" w:cs="宋体"/>
          <w:b w:val="0"/>
          <w:bCs/>
          <w:color w:val="auto"/>
          <w:szCs w:val="21"/>
          <w:lang w:eastAsia="zh-CN"/>
        </w:rPr>
        <w:t>钦州市泥桥物流市场旁2栋四楼</w:t>
      </w:r>
    </w:p>
    <w:p w14:paraId="64E282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Cs w:val="21"/>
          <w:lang w:val="en-US" w:eastAsia="zh-CN"/>
        </w:rPr>
      </w:pPr>
      <w:r>
        <w:rPr>
          <w:rFonts w:hint="eastAsia" w:ascii="宋体" w:hAnsi="宋体" w:cs="宋体"/>
          <w:b w:val="0"/>
          <w:bCs/>
          <w:color w:val="auto"/>
          <w:szCs w:val="21"/>
        </w:rPr>
        <w:t xml:space="preserve">电话： </w:t>
      </w:r>
      <w:r>
        <w:rPr>
          <w:rFonts w:hint="eastAsia" w:ascii="宋体" w:hAnsi="宋体" w:cs="宋体"/>
          <w:b w:val="0"/>
          <w:bCs/>
          <w:color w:val="auto"/>
          <w:szCs w:val="21"/>
          <w:lang w:eastAsia="zh-CN"/>
        </w:rPr>
        <w:t>0777-5682186</w:t>
      </w:r>
    </w:p>
    <w:p w14:paraId="5F0D9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b w:val="0"/>
          <w:bCs/>
          <w:color w:val="auto"/>
          <w:szCs w:val="21"/>
        </w:rPr>
      </w:pPr>
    </w:p>
    <w:p w14:paraId="5B9BC4FC">
      <w:pPr>
        <w:pStyle w:val="35"/>
        <w:ind w:firstLine="810"/>
        <w:rPr>
          <w:rFonts w:ascii="宋体" w:hAnsi="宋体" w:cs="宋体"/>
          <w:b/>
          <w:bCs w:val="0"/>
          <w:color w:val="auto"/>
          <w:kern w:val="2"/>
          <w:sz w:val="21"/>
          <w:szCs w:val="21"/>
        </w:rPr>
      </w:pPr>
    </w:p>
    <w:p w14:paraId="48D99067">
      <w:pPr>
        <w:pStyle w:val="35"/>
        <w:ind w:firstLine="810"/>
        <w:rPr>
          <w:rFonts w:ascii="宋体" w:hAnsi="宋体" w:cs="宋体"/>
          <w:b/>
          <w:bCs w:val="0"/>
          <w:color w:val="auto"/>
          <w:kern w:val="2"/>
          <w:sz w:val="21"/>
          <w:szCs w:val="21"/>
        </w:rPr>
      </w:pPr>
    </w:p>
    <w:p w14:paraId="298FC86F">
      <w:pPr>
        <w:pStyle w:val="35"/>
        <w:ind w:firstLine="810"/>
        <w:rPr>
          <w:rFonts w:ascii="宋体" w:hAnsi="宋体" w:cs="宋体"/>
          <w:b/>
          <w:bCs w:val="0"/>
          <w:color w:val="auto"/>
          <w:kern w:val="2"/>
          <w:sz w:val="21"/>
          <w:szCs w:val="21"/>
        </w:rPr>
      </w:pPr>
    </w:p>
    <w:p w14:paraId="2DEE77A4">
      <w:pPr>
        <w:pStyle w:val="35"/>
        <w:ind w:firstLine="810"/>
        <w:rPr>
          <w:rFonts w:ascii="宋体" w:hAnsi="宋体" w:cs="宋体"/>
          <w:b/>
          <w:bCs w:val="0"/>
          <w:color w:val="auto"/>
          <w:kern w:val="2"/>
          <w:sz w:val="21"/>
          <w:szCs w:val="21"/>
        </w:rPr>
      </w:pPr>
    </w:p>
    <w:p w14:paraId="7F8F2E52">
      <w:pPr>
        <w:pStyle w:val="10"/>
        <w:rPr>
          <w:rFonts w:ascii="宋体" w:hAnsi="宋体" w:cs="宋体"/>
          <w:b/>
          <w:bCs w:val="0"/>
          <w:color w:val="auto"/>
          <w:kern w:val="2"/>
          <w:sz w:val="21"/>
          <w:szCs w:val="21"/>
        </w:rPr>
      </w:pPr>
    </w:p>
    <w:p w14:paraId="4CB20B89">
      <w:pPr>
        <w:rPr>
          <w:rFonts w:ascii="宋体" w:hAnsi="宋体" w:cs="宋体"/>
          <w:b/>
          <w:bCs w:val="0"/>
          <w:color w:val="auto"/>
          <w:kern w:val="2"/>
          <w:sz w:val="21"/>
          <w:szCs w:val="21"/>
        </w:rPr>
      </w:pPr>
    </w:p>
    <w:p w14:paraId="23BA8156">
      <w:pPr>
        <w:pStyle w:val="35"/>
        <w:rPr>
          <w:rFonts w:ascii="宋体" w:hAnsi="宋体" w:cs="宋体"/>
          <w:b/>
          <w:bCs w:val="0"/>
          <w:color w:val="auto"/>
          <w:kern w:val="2"/>
          <w:sz w:val="21"/>
          <w:szCs w:val="21"/>
        </w:rPr>
      </w:pPr>
    </w:p>
    <w:p w14:paraId="361C3181">
      <w:pPr>
        <w:pStyle w:val="10"/>
        <w:rPr>
          <w:rFonts w:ascii="宋体" w:hAnsi="宋体" w:cs="宋体"/>
          <w:b/>
          <w:bCs w:val="0"/>
          <w:color w:val="auto"/>
          <w:kern w:val="2"/>
          <w:sz w:val="21"/>
          <w:szCs w:val="21"/>
        </w:rPr>
      </w:pPr>
    </w:p>
    <w:p w14:paraId="4437A435">
      <w:pPr>
        <w:rPr>
          <w:rFonts w:ascii="宋体" w:hAnsi="宋体" w:cs="宋体"/>
          <w:b/>
          <w:bCs w:val="0"/>
          <w:color w:val="auto"/>
          <w:kern w:val="2"/>
          <w:sz w:val="21"/>
          <w:szCs w:val="21"/>
        </w:rPr>
      </w:pPr>
    </w:p>
    <w:p w14:paraId="509CB9B3">
      <w:pPr>
        <w:pStyle w:val="35"/>
        <w:rPr>
          <w:rFonts w:ascii="宋体" w:hAnsi="宋体" w:cs="宋体"/>
          <w:b/>
          <w:bCs w:val="0"/>
          <w:color w:val="auto"/>
          <w:kern w:val="2"/>
          <w:sz w:val="21"/>
          <w:szCs w:val="21"/>
        </w:rPr>
      </w:pPr>
    </w:p>
    <w:p w14:paraId="60F14827">
      <w:pPr>
        <w:pStyle w:val="10"/>
        <w:rPr>
          <w:rFonts w:ascii="宋体" w:hAnsi="宋体" w:cs="宋体"/>
          <w:b/>
          <w:bCs w:val="0"/>
          <w:color w:val="auto"/>
          <w:kern w:val="2"/>
          <w:sz w:val="21"/>
          <w:szCs w:val="21"/>
        </w:rPr>
      </w:pPr>
    </w:p>
    <w:p w14:paraId="1972F967">
      <w:pPr>
        <w:rPr>
          <w:rFonts w:ascii="宋体" w:hAnsi="宋体" w:cs="宋体"/>
          <w:b/>
          <w:bCs w:val="0"/>
          <w:color w:val="auto"/>
          <w:kern w:val="2"/>
          <w:sz w:val="21"/>
          <w:szCs w:val="21"/>
        </w:rPr>
      </w:pPr>
    </w:p>
    <w:p w14:paraId="459DC6D2">
      <w:pPr>
        <w:pStyle w:val="35"/>
        <w:rPr>
          <w:rFonts w:ascii="宋体" w:hAnsi="宋体" w:cs="宋体"/>
          <w:b/>
          <w:bCs w:val="0"/>
          <w:color w:val="auto"/>
          <w:kern w:val="2"/>
          <w:sz w:val="21"/>
          <w:szCs w:val="21"/>
        </w:rPr>
      </w:pPr>
    </w:p>
    <w:p w14:paraId="784E2DB4">
      <w:pPr>
        <w:pStyle w:val="10"/>
        <w:rPr>
          <w:rFonts w:ascii="宋体" w:hAnsi="宋体" w:cs="宋体"/>
          <w:b/>
          <w:bCs w:val="0"/>
          <w:color w:val="auto"/>
          <w:kern w:val="2"/>
          <w:sz w:val="21"/>
          <w:szCs w:val="21"/>
        </w:rPr>
      </w:pPr>
    </w:p>
    <w:p w14:paraId="00D69AE8">
      <w:pPr>
        <w:rPr>
          <w:rFonts w:ascii="宋体" w:hAnsi="宋体" w:cs="宋体"/>
          <w:b/>
          <w:bCs w:val="0"/>
          <w:color w:val="auto"/>
          <w:kern w:val="2"/>
          <w:sz w:val="21"/>
          <w:szCs w:val="21"/>
        </w:rPr>
      </w:pPr>
    </w:p>
    <w:p w14:paraId="30F2179D">
      <w:pPr>
        <w:pStyle w:val="37"/>
        <w:rPr>
          <w:rFonts w:ascii="仿宋_GB2312" w:eastAsia="仿宋_GB2312"/>
          <w:color w:val="auto"/>
          <w:sz w:val="32"/>
          <w:szCs w:val="32"/>
        </w:rPr>
      </w:pPr>
    </w:p>
    <w:p w14:paraId="67F37E2C">
      <w:pPr>
        <w:pStyle w:val="37"/>
        <w:rPr>
          <w:rFonts w:ascii="仿宋_GB2312" w:eastAsia="仿宋_GB2312"/>
          <w:color w:val="auto"/>
          <w:sz w:val="32"/>
          <w:szCs w:val="32"/>
        </w:rPr>
      </w:pPr>
    </w:p>
    <w:p w14:paraId="6A96310C">
      <w:pPr>
        <w:jc w:val="center"/>
        <w:outlineLvl w:val="0"/>
        <w:rPr>
          <w:rFonts w:hint="eastAsia" w:ascii="宋体" w:hAnsi="宋体" w:cs="宋体"/>
          <w:b/>
          <w:bCs/>
          <w:color w:val="auto"/>
          <w:spacing w:val="-14"/>
          <w:kern w:val="0"/>
          <w:position w:val="-6"/>
          <w:sz w:val="36"/>
          <w:szCs w:val="36"/>
        </w:rPr>
      </w:pPr>
      <w:bookmarkStart w:id="65" w:name="_Toc26558"/>
    </w:p>
    <w:p w14:paraId="39EF273B">
      <w:pPr>
        <w:jc w:val="center"/>
        <w:outlineLvl w:val="0"/>
        <w:rPr>
          <w:rFonts w:hint="eastAsia" w:ascii="宋体" w:hAnsi="宋体" w:cs="宋体"/>
          <w:b/>
          <w:bCs/>
          <w:color w:val="auto"/>
          <w:spacing w:val="-14"/>
          <w:kern w:val="0"/>
          <w:position w:val="-6"/>
          <w:sz w:val="36"/>
          <w:szCs w:val="36"/>
        </w:rPr>
      </w:pPr>
      <w:r>
        <w:rPr>
          <w:rFonts w:hint="eastAsia" w:ascii="宋体" w:hAnsi="宋体" w:cs="宋体"/>
          <w:b/>
          <w:bCs/>
          <w:color w:val="auto"/>
          <w:spacing w:val="-14"/>
          <w:kern w:val="0"/>
          <w:position w:val="-6"/>
          <w:sz w:val="36"/>
          <w:szCs w:val="36"/>
        </w:rPr>
        <w:t>第三章  项目基本情况及要求</w:t>
      </w:r>
      <w:bookmarkEnd w:id="65"/>
    </w:p>
    <w:p w14:paraId="74735705">
      <w:pPr>
        <w:pStyle w:val="35"/>
        <w:ind w:firstLine="915"/>
        <w:rPr>
          <w:color w:val="auto"/>
        </w:rPr>
      </w:pPr>
    </w:p>
    <w:p w14:paraId="0E1FD5B0">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项目名称：</w:t>
      </w:r>
      <w:r>
        <w:rPr>
          <w:rFonts w:hint="eastAsia" w:ascii="宋体" w:hAnsi="宋体" w:cs="宋体"/>
          <w:b w:val="0"/>
          <w:bCs w:val="0"/>
          <w:color w:val="auto"/>
          <w:kern w:val="0"/>
          <w:sz w:val="21"/>
          <w:szCs w:val="21"/>
          <w:lang w:eastAsia="zh-CN"/>
        </w:rPr>
        <w:t>钦北区民政局居家养老服务中心装修项目</w:t>
      </w:r>
    </w:p>
    <w:p w14:paraId="1203F149">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lang w:eastAsia="zh-CN"/>
        </w:rPr>
      </w:pPr>
      <w:r>
        <w:rPr>
          <w:rFonts w:hint="eastAsia" w:ascii="宋体" w:hAnsi="宋体" w:eastAsia="宋体" w:cs="宋体"/>
          <w:b w:val="0"/>
          <w:bCs w:val="0"/>
          <w:color w:val="auto"/>
          <w:kern w:val="0"/>
          <w:sz w:val="21"/>
          <w:szCs w:val="21"/>
        </w:rPr>
        <w:t>项目编号：</w:t>
      </w:r>
      <w:r>
        <w:rPr>
          <w:rFonts w:hint="eastAsia" w:ascii="宋体" w:hAnsi="宋体" w:cs="宋体"/>
          <w:b w:val="0"/>
          <w:bCs w:val="0"/>
          <w:color w:val="auto"/>
          <w:kern w:val="0"/>
          <w:sz w:val="21"/>
          <w:szCs w:val="21"/>
          <w:lang w:eastAsia="zh-CN"/>
        </w:rPr>
        <w:t>QZZC2025-C2-030019-GXTM</w:t>
      </w:r>
    </w:p>
    <w:p w14:paraId="6EBD74AF">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建设地点：</w:t>
      </w:r>
      <w:r>
        <w:rPr>
          <w:rFonts w:hint="eastAsia" w:ascii="宋体" w:hAnsi="宋体" w:cs="宋体"/>
          <w:b w:val="0"/>
          <w:bCs w:val="0"/>
          <w:color w:val="auto"/>
          <w:kern w:val="0"/>
          <w:sz w:val="21"/>
          <w:szCs w:val="21"/>
          <w:lang w:eastAsia="zh-CN"/>
        </w:rPr>
        <w:t>钦北区</w:t>
      </w:r>
    </w:p>
    <w:p w14:paraId="06459C6B">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宋体" w:hAnsi="宋体" w:eastAsia="宋体" w:cs="宋体"/>
          <w:b w:val="0"/>
          <w:bCs w:val="0"/>
          <w:color w:val="auto"/>
          <w:kern w:val="0"/>
          <w:sz w:val="21"/>
          <w:szCs w:val="21"/>
        </w:rPr>
        <w:t>工程概况：</w:t>
      </w:r>
      <w:r>
        <w:rPr>
          <w:rFonts w:hint="eastAsia" w:ascii="宋体" w:hAnsi="宋体" w:cs="宋体"/>
          <w:color w:val="auto"/>
          <w:sz w:val="21"/>
          <w:szCs w:val="24"/>
          <w:highlight w:val="none"/>
          <w:lang w:val="en-US" w:eastAsia="zh-CN"/>
        </w:rPr>
        <w:t>1.白水塘社区旧办公楼改造为</w:t>
      </w:r>
      <w:r>
        <w:rPr>
          <w:rFonts w:hint="eastAsia" w:ascii="宋体" w:hAnsi="宋体" w:cs="宋体"/>
          <w:color w:val="auto"/>
          <w:sz w:val="21"/>
          <w:szCs w:val="24"/>
          <w:highlight w:val="none"/>
          <w:lang w:val="en-US" w:eastAsia="zh-CN"/>
        </w:rPr>
        <w:t>钦北区子材街道</w:t>
      </w:r>
      <w:r>
        <w:rPr>
          <w:rFonts w:hint="eastAsia" w:ascii="宋体" w:hAnsi="宋体" w:cs="宋体"/>
          <w:color w:val="auto"/>
          <w:sz w:val="21"/>
          <w:szCs w:val="24"/>
          <w:highlight w:val="none"/>
          <w:lang w:val="en-US" w:eastAsia="zh-CN"/>
        </w:rPr>
        <w:t>智慧养老服务中心项目,建筑面积400平方米；2.恒大御景半岛</w:t>
      </w:r>
      <w:r>
        <w:rPr>
          <w:rFonts w:hint="eastAsia" w:ascii="宋体" w:hAnsi="宋体" w:cs="宋体"/>
          <w:color w:val="auto"/>
          <w:sz w:val="21"/>
          <w:szCs w:val="24"/>
          <w:highlight w:val="none"/>
          <w:lang w:val="en-US" w:eastAsia="zh-CN"/>
        </w:rPr>
        <w:t>小区</w:t>
      </w:r>
      <w:r>
        <w:rPr>
          <w:rFonts w:hint="eastAsia" w:ascii="宋体" w:hAnsi="宋体" w:cs="宋体"/>
          <w:color w:val="auto"/>
          <w:sz w:val="21"/>
          <w:szCs w:val="24"/>
          <w:highlight w:val="none"/>
          <w:lang w:val="en-US" w:eastAsia="zh-CN"/>
        </w:rPr>
        <w:t>长者饭堂装修项目，建筑面积180平方米；3.</w:t>
      </w:r>
      <w:r>
        <w:rPr>
          <w:rFonts w:hint="eastAsia" w:ascii="宋体" w:hAnsi="宋体" w:cs="宋体"/>
          <w:color w:val="auto"/>
          <w:sz w:val="21"/>
          <w:szCs w:val="24"/>
          <w:highlight w:val="none"/>
          <w:lang w:val="en-US" w:eastAsia="zh-CN"/>
        </w:rPr>
        <w:t>钦北区</w:t>
      </w:r>
      <w:r>
        <w:rPr>
          <w:rFonts w:hint="eastAsia" w:ascii="宋体" w:hAnsi="宋体" w:cs="宋体"/>
          <w:color w:val="auto"/>
          <w:sz w:val="21"/>
          <w:szCs w:val="24"/>
          <w:highlight w:val="none"/>
          <w:lang w:val="en-US" w:eastAsia="zh-CN"/>
        </w:rPr>
        <w:t>人和大地养老服务中心(6栋、13栋养老用房)装修项目，建筑面积399.23平方米；4.钦北区鸿亭街道综合养老服务中心(租用石化石油小区公寓商铺)装修项目，建筑面积391.38平方米。</w:t>
      </w:r>
      <w:r>
        <w:rPr>
          <w:rFonts w:hint="eastAsia" w:asciiTheme="minorEastAsia" w:hAnsiTheme="minorEastAsia" w:eastAsiaTheme="minorEastAsia" w:cstheme="minorEastAsia"/>
          <w:color w:val="auto"/>
          <w:sz w:val="21"/>
          <w:szCs w:val="21"/>
          <w:lang w:val="en-US" w:eastAsia="zh-CN"/>
        </w:rPr>
        <w:t>具体详见施工图纸及工程量清单。</w:t>
      </w:r>
    </w:p>
    <w:p w14:paraId="77B515AC">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工期：</w:t>
      </w:r>
      <w:r>
        <w:rPr>
          <w:rFonts w:hint="eastAsia" w:ascii="宋体" w:hAnsi="宋体" w:cs="宋体"/>
          <w:b w:val="0"/>
          <w:bCs w:val="0"/>
          <w:color w:val="auto"/>
          <w:kern w:val="0"/>
          <w:sz w:val="21"/>
          <w:szCs w:val="21"/>
          <w:lang w:val="en-US" w:eastAsia="zh-CN"/>
        </w:rPr>
        <w:t>60日历天</w:t>
      </w:r>
      <w:r>
        <w:rPr>
          <w:rFonts w:hint="eastAsia" w:ascii="宋体" w:hAnsi="宋体" w:eastAsia="宋体" w:cs="宋体"/>
          <w:b w:val="0"/>
          <w:bCs w:val="0"/>
          <w:color w:val="auto"/>
          <w:kern w:val="0"/>
          <w:sz w:val="21"/>
          <w:szCs w:val="21"/>
        </w:rPr>
        <w:t>。</w:t>
      </w:r>
    </w:p>
    <w:p w14:paraId="775DD0D1">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质量要求：达到国家施工验收规范合格标准。</w:t>
      </w:r>
    </w:p>
    <w:p w14:paraId="29C14496">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采购预算控制价：</w:t>
      </w:r>
      <w:r>
        <w:rPr>
          <w:rFonts w:hint="eastAsia" w:ascii="宋体" w:hAnsi="宋体" w:cs="宋体"/>
          <w:b w:val="0"/>
          <w:bCs w:val="0"/>
          <w:color w:val="auto"/>
          <w:kern w:val="0"/>
          <w:sz w:val="21"/>
          <w:szCs w:val="21"/>
          <w:lang w:val="en-US" w:eastAsia="zh-CN"/>
        </w:rPr>
        <w:t xml:space="preserve">927404.03 </w:t>
      </w:r>
      <w:r>
        <w:rPr>
          <w:rFonts w:hint="eastAsia" w:ascii="宋体" w:hAnsi="宋体" w:eastAsia="宋体" w:cs="宋体"/>
          <w:b w:val="0"/>
          <w:bCs w:val="0"/>
          <w:color w:val="auto"/>
          <w:kern w:val="0"/>
          <w:sz w:val="21"/>
          <w:szCs w:val="21"/>
          <w:lang w:val="en-US" w:eastAsia="zh-CN"/>
        </w:rPr>
        <w:t>元</w:t>
      </w:r>
      <w:r>
        <w:rPr>
          <w:rFonts w:hint="eastAsia" w:ascii="宋体" w:hAnsi="宋体" w:eastAsia="宋体" w:cs="宋体"/>
          <w:b w:val="0"/>
          <w:bCs w:val="0"/>
          <w:color w:val="auto"/>
          <w:kern w:val="0"/>
          <w:sz w:val="21"/>
          <w:szCs w:val="21"/>
        </w:rPr>
        <w:t>。</w:t>
      </w:r>
    </w:p>
    <w:p w14:paraId="2CF68BC0">
      <w:pPr>
        <w:pStyle w:val="16"/>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所属行业：建筑业。</w:t>
      </w:r>
    </w:p>
    <w:p w14:paraId="59C14293">
      <w:pPr>
        <w:pStyle w:val="16"/>
        <w:keepNext w:val="0"/>
        <w:keepLines w:val="0"/>
        <w:pageBreakBefore w:val="0"/>
        <w:widowControl w:val="0"/>
        <w:kinsoku/>
        <w:wordWrap/>
        <w:overflowPunct/>
        <w:topLinePunct w:val="0"/>
        <w:autoSpaceDE/>
        <w:autoSpaceDN/>
        <w:bidi w:val="0"/>
        <w:adjustRightInd/>
        <w:snapToGrid w:val="0"/>
        <w:spacing w:line="360" w:lineRule="auto"/>
        <w:ind w:firstLine="803" w:firstLineChars="200"/>
        <w:textAlignment w:val="auto"/>
        <w:rPr>
          <w:rFonts w:ascii="黑体" w:hAnsi="宋体" w:eastAsia="黑体"/>
          <w:b/>
          <w:bCs/>
          <w:color w:val="auto"/>
          <w:kern w:val="0"/>
          <w:sz w:val="40"/>
          <w:szCs w:val="40"/>
        </w:rPr>
      </w:pPr>
    </w:p>
    <w:p w14:paraId="5B4810B1">
      <w:pPr>
        <w:pStyle w:val="16"/>
        <w:rPr>
          <w:rFonts w:ascii="黑体" w:hAnsi="宋体" w:eastAsia="黑体"/>
          <w:b/>
          <w:bCs/>
          <w:color w:val="auto"/>
          <w:kern w:val="0"/>
          <w:sz w:val="40"/>
          <w:szCs w:val="40"/>
        </w:rPr>
      </w:pPr>
    </w:p>
    <w:p w14:paraId="2DCAE830">
      <w:pPr>
        <w:pStyle w:val="16"/>
        <w:rPr>
          <w:rFonts w:ascii="黑体" w:hAnsi="宋体" w:eastAsia="黑体"/>
          <w:b/>
          <w:bCs/>
          <w:color w:val="auto"/>
          <w:kern w:val="0"/>
          <w:sz w:val="40"/>
          <w:szCs w:val="40"/>
        </w:rPr>
      </w:pPr>
    </w:p>
    <w:p w14:paraId="60505D6F">
      <w:pPr>
        <w:pStyle w:val="16"/>
        <w:rPr>
          <w:rFonts w:ascii="黑体" w:hAnsi="宋体" w:eastAsia="黑体"/>
          <w:b/>
          <w:bCs/>
          <w:color w:val="auto"/>
          <w:kern w:val="0"/>
          <w:sz w:val="40"/>
          <w:szCs w:val="40"/>
        </w:rPr>
      </w:pPr>
    </w:p>
    <w:p w14:paraId="6564B147">
      <w:pPr>
        <w:pStyle w:val="16"/>
        <w:rPr>
          <w:rFonts w:ascii="黑体" w:hAnsi="宋体" w:eastAsia="黑体"/>
          <w:b/>
          <w:bCs/>
          <w:color w:val="auto"/>
          <w:kern w:val="0"/>
          <w:sz w:val="40"/>
          <w:szCs w:val="40"/>
        </w:rPr>
      </w:pPr>
    </w:p>
    <w:p w14:paraId="153C9D10">
      <w:pPr>
        <w:pStyle w:val="16"/>
        <w:rPr>
          <w:rFonts w:ascii="黑体" w:hAnsi="宋体" w:eastAsia="黑体"/>
          <w:b/>
          <w:bCs/>
          <w:color w:val="auto"/>
          <w:kern w:val="0"/>
          <w:sz w:val="40"/>
          <w:szCs w:val="40"/>
        </w:rPr>
      </w:pPr>
    </w:p>
    <w:p w14:paraId="39D56BEA">
      <w:pPr>
        <w:pStyle w:val="16"/>
        <w:rPr>
          <w:rFonts w:ascii="黑体" w:hAnsi="宋体" w:eastAsia="黑体"/>
          <w:b/>
          <w:bCs/>
          <w:color w:val="auto"/>
          <w:kern w:val="0"/>
          <w:sz w:val="40"/>
          <w:szCs w:val="40"/>
        </w:rPr>
      </w:pPr>
    </w:p>
    <w:p w14:paraId="692B698C">
      <w:pPr>
        <w:pStyle w:val="16"/>
        <w:rPr>
          <w:rFonts w:ascii="黑体" w:hAnsi="宋体" w:eastAsia="黑体"/>
          <w:b/>
          <w:bCs/>
          <w:color w:val="auto"/>
          <w:kern w:val="0"/>
          <w:sz w:val="40"/>
          <w:szCs w:val="40"/>
        </w:rPr>
      </w:pPr>
    </w:p>
    <w:p w14:paraId="2A4DB304">
      <w:pPr>
        <w:pStyle w:val="16"/>
        <w:rPr>
          <w:rFonts w:ascii="黑体" w:hAnsi="宋体" w:eastAsia="黑体"/>
          <w:b/>
          <w:bCs/>
          <w:color w:val="auto"/>
          <w:kern w:val="0"/>
          <w:sz w:val="40"/>
          <w:szCs w:val="40"/>
        </w:rPr>
      </w:pPr>
    </w:p>
    <w:p w14:paraId="397F5BB2">
      <w:pPr>
        <w:pStyle w:val="16"/>
        <w:rPr>
          <w:rFonts w:ascii="黑体" w:hAnsi="宋体" w:eastAsia="黑体"/>
          <w:b/>
          <w:bCs/>
          <w:color w:val="auto"/>
          <w:kern w:val="0"/>
          <w:sz w:val="40"/>
          <w:szCs w:val="40"/>
        </w:rPr>
      </w:pPr>
    </w:p>
    <w:p w14:paraId="2DA5F7F3">
      <w:pPr>
        <w:pStyle w:val="16"/>
        <w:rPr>
          <w:rFonts w:ascii="黑体" w:hAnsi="宋体" w:eastAsia="黑体"/>
          <w:b/>
          <w:bCs/>
          <w:color w:val="auto"/>
          <w:kern w:val="0"/>
          <w:sz w:val="40"/>
          <w:szCs w:val="40"/>
        </w:rPr>
      </w:pPr>
    </w:p>
    <w:p w14:paraId="43B9B921">
      <w:pPr>
        <w:pStyle w:val="16"/>
        <w:rPr>
          <w:rFonts w:ascii="黑体" w:hAnsi="宋体" w:eastAsia="黑体"/>
          <w:b/>
          <w:bCs/>
          <w:color w:val="auto"/>
          <w:kern w:val="0"/>
          <w:sz w:val="40"/>
          <w:szCs w:val="40"/>
        </w:rPr>
      </w:pPr>
    </w:p>
    <w:p w14:paraId="142856BF">
      <w:pPr>
        <w:pStyle w:val="16"/>
        <w:rPr>
          <w:rFonts w:ascii="黑体" w:hAnsi="宋体" w:eastAsia="黑体"/>
          <w:b/>
          <w:bCs/>
          <w:color w:val="auto"/>
          <w:kern w:val="0"/>
          <w:sz w:val="40"/>
          <w:szCs w:val="40"/>
        </w:rPr>
      </w:pPr>
    </w:p>
    <w:p w14:paraId="437AB398">
      <w:pPr>
        <w:pStyle w:val="16"/>
        <w:rPr>
          <w:rFonts w:ascii="黑体" w:hAnsi="宋体" w:eastAsia="黑体"/>
          <w:b/>
          <w:bCs/>
          <w:color w:val="auto"/>
          <w:kern w:val="0"/>
          <w:sz w:val="40"/>
          <w:szCs w:val="40"/>
        </w:rPr>
      </w:pPr>
    </w:p>
    <w:p w14:paraId="0AFD1AC5">
      <w:pPr>
        <w:rPr>
          <w:rFonts w:hint="eastAsia" w:ascii="黑体" w:hAnsi="宋体" w:eastAsia="黑体" w:cs="Times New Roman"/>
          <w:b/>
          <w:bCs/>
          <w:color w:val="auto"/>
          <w:kern w:val="0"/>
          <w:sz w:val="36"/>
          <w:szCs w:val="36"/>
          <w:lang w:val="en-US" w:eastAsia="zh-CN"/>
        </w:rPr>
      </w:pPr>
      <w:bookmarkStart w:id="66" w:name="_Toc20069"/>
      <w:r>
        <w:rPr>
          <w:rFonts w:hint="eastAsia" w:ascii="黑体" w:hAnsi="宋体" w:eastAsia="黑体" w:cs="Times New Roman"/>
          <w:b/>
          <w:bCs/>
          <w:color w:val="auto"/>
          <w:kern w:val="0"/>
          <w:sz w:val="36"/>
          <w:szCs w:val="36"/>
          <w:lang w:val="en-US" w:eastAsia="zh-CN"/>
        </w:rPr>
        <w:br w:type="page"/>
      </w:r>
    </w:p>
    <w:p w14:paraId="722B086E">
      <w:pPr>
        <w:pStyle w:val="13"/>
        <w:numPr>
          <w:ilvl w:val="0"/>
          <w:numId w:val="0"/>
        </w:numPr>
        <w:spacing w:line="360" w:lineRule="auto"/>
        <w:ind w:leftChars="0"/>
        <w:jc w:val="center"/>
        <w:outlineLvl w:val="0"/>
        <w:rPr>
          <w:rFonts w:hint="eastAsia"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lang w:val="en-US" w:eastAsia="zh-CN"/>
        </w:rPr>
        <w:t>第四章</w:t>
      </w:r>
      <w:r>
        <w:rPr>
          <w:rFonts w:hint="eastAsia" w:ascii="黑体" w:hAnsi="宋体" w:eastAsia="黑体" w:cs="Times New Roman"/>
          <w:b/>
          <w:bCs/>
          <w:color w:val="auto"/>
          <w:kern w:val="0"/>
          <w:sz w:val="36"/>
          <w:szCs w:val="36"/>
        </w:rPr>
        <w:t xml:space="preserve"> 评审标准</w:t>
      </w:r>
      <w:bookmarkEnd w:id="66"/>
    </w:p>
    <w:p w14:paraId="03BD0346">
      <w:pPr>
        <w:pStyle w:val="6"/>
        <w:numPr>
          <w:ilvl w:val="0"/>
          <w:numId w:val="0"/>
        </w:numPr>
        <w:spacing w:line="360" w:lineRule="auto"/>
        <w:ind w:leftChars="0"/>
        <w:jc w:val="center"/>
        <w:rPr>
          <w:rFonts w:hint="eastAsia"/>
          <w:color w:val="auto"/>
          <w:sz w:val="24"/>
          <w:szCs w:val="24"/>
        </w:rPr>
      </w:pPr>
      <w:r>
        <w:rPr>
          <w:rFonts w:hint="eastAsia"/>
          <w:color w:val="auto"/>
          <w:sz w:val="24"/>
          <w:szCs w:val="24"/>
        </w:rPr>
        <w:t>一、评审程序和评审方法</w:t>
      </w:r>
    </w:p>
    <w:p w14:paraId="472D017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1.资格审查</w:t>
      </w:r>
    </w:p>
    <w:p w14:paraId="4D9B64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响应文件开启后，磋商小组依法对供应商的资格证明文件进行审查。</w:t>
      </w:r>
    </w:p>
    <w:p w14:paraId="586BD9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注：采购人或者采购代理机构在资格审查结束前，对供应商进行信用查询。</w:t>
      </w:r>
    </w:p>
    <w:p w14:paraId="3509D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( 1 ) 查询渠道：“信用中国 ” 网站 (www.creditchina.gov.cn) 、 中国政府采购网 (www.ccgp.gov.cn)。</w:t>
      </w:r>
    </w:p>
    <w:p w14:paraId="66BC60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信用查询截止时点：资格审查结束前。</w:t>
      </w:r>
    </w:p>
    <w:p w14:paraId="7F4893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查询记录和证据留存方式：在查询网站中直接打印查询记录，打印材料作为评审资料保存。</w:t>
      </w:r>
    </w:p>
    <w:p w14:paraId="037204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信用信息使用规则：对在“信用中国”网站(www.creditchina.gov.cn) 、中国府采购网(www.ccgp.gov.cn)被列入失信被执行人、重大税收违法案件当事人名单、政府采购严重违 法失信行为记录名单及其他不符合《中华人民共和国政府采购法》第二十二条规定条件的供应商，资格审查不通过，不得参与政府采购活动。</w:t>
      </w:r>
    </w:p>
    <w:p w14:paraId="6DAE78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资格审查标准为本磋商文件中载明对供应商资格要求的条件。资格审查采用合格制，凡符合磋商文件规定的供应商资格要求的响应文件均通过资格审查。</w:t>
      </w:r>
    </w:p>
    <w:p w14:paraId="178694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 供应商有下列情形之一的，资格审查不通过，其响应文件按无效响应处理：</w:t>
      </w:r>
    </w:p>
    <w:p w14:paraId="02625A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不具备磋商文件中规定的资格要求的；</w:t>
      </w:r>
    </w:p>
    <w:p w14:paraId="15FF90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响应文件未提供任一项“供应商须知前附表”资格证明文件规定的“必须提供”的文件资料的；</w:t>
      </w:r>
    </w:p>
    <w:p w14:paraId="579D06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响应文件提供的资格证明文件出现任一项不符合“供应商须知前附表”资格证明文件规定的“必须提供”的文件资料要求或者无效的。</w:t>
      </w:r>
    </w:p>
    <w:p w14:paraId="5A2ABF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通过资格审查的合格供应商不足 3 家的，不得进入符合性审查环节，采购人或者采购代理机构应当重新开展采购活动。</w:t>
      </w:r>
    </w:p>
    <w:p w14:paraId="206FD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2.符合性审查</w:t>
      </w:r>
    </w:p>
    <w:p w14:paraId="1576D4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2.1 由磋商小组对通过资格审查的合格供应商的响应文件的竞标报价、商务、技术等实质性要求进行符合性审查，以确定其是否满足磋商文件的实质性要求。</w:t>
      </w:r>
    </w:p>
    <w:p w14:paraId="6B9768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2.2 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06B9F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2.3 磋商小组要求供应商澄清、说明或者更正响应文件应当要求供应商在合理时间内通过</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的方式形式作出。供应商的澄清、说明或者更正必须 通过</w:t>
      </w:r>
      <w:r>
        <w:rPr>
          <w:rFonts w:hint="eastAsia"/>
          <w:color w:val="auto"/>
          <w:lang w:eastAsia="zh-CN"/>
        </w:rPr>
        <w:t>广西政府采购云平台</w:t>
      </w:r>
      <w:r>
        <w:rPr>
          <w:rFonts w:hint="eastAsia"/>
          <w:color w:val="auto"/>
        </w:rPr>
        <w:t>以书面形式按照磋商小组的要求作出明确的澄清、说明或者更正，未按磋商小 组的要求作出明确澄清、说明或者更正的供应商的响应文件将按照有利于采购人的原则由磋商 小组进行判定。供应商的澄清、说明或者更正必须由法定代表人或者其委托代理人签字或者加 盖 CA 签章。 由委托代理人签字的，若委托代理人不是响应文件中授权的委托代理人时，必须同时出示有效的法定代表人授权委托书原件。供应商为自然人的，必须由本人签字并附身份证明。</w:t>
      </w:r>
    </w:p>
    <w:p w14:paraId="202F24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2.4 首次响应文件报价出现前后不一致的，按照下列规定修正：</w:t>
      </w:r>
    </w:p>
    <w:p w14:paraId="2B4A15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响应文件中报价表内容与响应文件中相应内容不一致的，以报价表为准；</w:t>
      </w:r>
    </w:p>
    <w:p w14:paraId="7B7B4D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大写金额和小写金额不一致的，以大写金额为准；</w:t>
      </w:r>
    </w:p>
    <w:p w14:paraId="0E7FBD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单价金额小数点或者百分比有明显错位的，以报价表的总价为准，并修改单价；</w:t>
      </w:r>
    </w:p>
    <w:p w14:paraId="7D2DA8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总价金额与按单价汇总金额不一致的，以单价金额计算结果为准。</w:t>
      </w:r>
    </w:p>
    <w:p w14:paraId="5DC8D9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同时出现两种以上不一致的，按照以上 (1) - (4) 规定的顺序逐条进行修正。修正后的报价经供应商确认后产生约束力，供应商不确认的，其响应文件按无效响应处理。</w:t>
      </w:r>
    </w:p>
    <w:p w14:paraId="0BA5E1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2.5 商务技术报价评审</w:t>
      </w:r>
    </w:p>
    <w:p w14:paraId="1074B7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在评审时，如发现下列情形之一的，将被视为响应文件无效处理：</w:t>
      </w:r>
    </w:p>
    <w:p w14:paraId="64104C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商务技术评审</w:t>
      </w:r>
    </w:p>
    <w:p w14:paraId="3B041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响应文件未按磋商文件要求签署、盖章；</w:t>
      </w:r>
    </w:p>
    <w:p w14:paraId="7023B5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委托代理人未能出具有效身份证明或者出具的身份证明与授权委托书中的信息不符；</w:t>
      </w:r>
    </w:p>
    <w:p w14:paraId="7E42B6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响应文件未提供任一项“供应商须知前附表” 报价商务技术文件中“必须提供”或者“委托时必须提供”的文件资料；响应文件提供的报价商务技术文件出现任一项不符合“供应商须知前附表”报价商务技术文件中 “必须提供”或者“委托时必须提供”文件资料要求 的规定或者提供的报价商务技术文件无效。</w:t>
      </w:r>
    </w:p>
    <w:p w14:paraId="1A8AD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商务条款中标“▲”的条款发生负偏离的或者允许负偏离的条款数超过“供应商须知前附表”规定项数的或者标明实质性的要求发生负偏离；</w:t>
      </w:r>
    </w:p>
    <w:p w14:paraId="315D20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未对竞标有效期作出响应或者响应文件承诺的竞标有效期不满足磋商文件要求；</w:t>
      </w:r>
    </w:p>
    <w:p w14:paraId="33E7A8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响应文件的实质性内容未使用中文表述、使用计量单位不符合磋商文件要求；</w:t>
      </w:r>
    </w:p>
    <w:p w14:paraId="3BB83D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7) 响应文件中的文件资料因填写不齐全或者内容虚假或者出现其他情形而导致被磋商小组认定无效；</w:t>
      </w:r>
    </w:p>
    <w:p w14:paraId="268CA3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8) 响应文件含有采购人不能接受的附加条件；</w:t>
      </w:r>
    </w:p>
    <w:p w14:paraId="76F31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9) 属于“供应商须知正文”第 7.7 条情形；</w:t>
      </w:r>
    </w:p>
    <w:p w14:paraId="67A31E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10) 技术需求允许负偏离的条款数超过“供应商须知前附表”规定项数；</w:t>
      </w:r>
    </w:p>
    <w:p w14:paraId="1F274B4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11) 虚假竞标，或者出现其他情形而导致被磋商小组认定无效；</w:t>
      </w:r>
    </w:p>
    <w:p w14:paraId="09C4F8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12) 竞标技术方案不明确，磋商文件未允许但响应文件中存在一个或者一个以上备选 (替代) 竞标方案；</w:t>
      </w:r>
    </w:p>
    <w:p w14:paraId="659B4C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13)响应文件标注的项目名称或者项目编号与竞争性磋商文件标注的项目名称或者项目编号不一致的；</w:t>
      </w:r>
    </w:p>
    <w:p w14:paraId="5238F0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14) 未响应磋商文件实质性要求；</w:t>
      </w:r>
    </w:p>
    <w:p w14:paraId="6477AF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15) 法律、法规和磋商文件规定的其他无效情形。</w:t>
      </w:r>
    </w:p>
    <w:p w14:paraId="74305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报价评审</w:t>
      </w:r>
    </w:p>
    <w:p w14:paraId="49B6A8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响应文件未提供“供应商须知前附表” 报价商务技术文件中规定的；</w:t>
      </w:r>
    </w:p>
    <w:p w14:paraId="108CA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未采用人民币报价或者未按照磋商文件标明的币种报价；</w:t>
      </w:r>
    </w:p>
    <w:p w14:paraId="3C64AD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供应商未就所磋商分标进行报价或者存在漏项报价；供应商未就所磋商分标的单项内容作唯一报价；供应商未就所磋商分标的全部内容作唯一总价报价；供应商响应文件中存在有选择、有条件报价的 (磋商文件允许有备选方案或者其他约定的除外) ；</w:t>
      </w:r>
    </w:p>
    <w:p w14:paraId="48F51A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磋商报价 (包含首次报价、最后报价) 超过的采购预算金额或者最高限价的 (如本项目公布了最高限价) ；磋商报价 (包含首次报价、最后报价) 超过磋商文件分项采购预算金额 或者最高限价的 (如本项目公布了最高限价) ；</w:t>
      </w:r>
    </w:p>
    <w:p w14:paraId="793D10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 修正后的报价，供应商不确认的；或者经供应商确认修正后的磋商报价 (包含首次报价、最后报价)超过所磋商分标规定的采购预算金额或者最高限价(如本项目公布了最高限价)； 或者经供应商确认修正后磋商报价 (包含首次报价、最后报价) 超过磋商文件分项采购预算金额或者最高限价的 (如本项目公布了最高限价) 。</w:t>
      </w:r>
    </w:p>
    <w:p w14:paraId="4AB6A9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6) 响应文件响应的标的数量及单位与竞争性磋商采购文件要求实质性不一致的。</w:t>
      </w:r>
    </w:p>
    <w:p w14:paraId="67C32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2.6 磋商小组对响应文件进行评审，未实质性响应磋商文件的响应文件按无效处理，磋商小组应当将资格和符合性不通过的情况告知有关供应商。磋商小组从符合磋商文件规定的相应资格条件的供应商名单中确定不少于 3 家的供应商参加磋商。</w:t>
      </w:r>
    </w:p>
    <w:p w14:paraId="50BC2C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2.7 通过符合性审查的合格供应商不足3家的，不得进入磋商环节，采购人或者采购代理机构应当重新开展采购活动。</w:t>
      </w:r>
    </w:p>
    <w:p w14:paraId="46F58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3.磋商程序</w:t>
      </w:r>
    </w:p>
    <w:p w14:paraId="29FF85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3.1 磋商小组按照“供应商须知前附表”确定的顺序，集中与单一供应商分别进行磋商，并给予所有参加磋商的供应商平等的磋商机会。符合磋商资格的供应商必须实时关注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开标信息，在接到磋商通知后规定时间内参加磋商，未在规定时间内参加磋商的视同放弃参加磋商权利，其响应文件按无效响应处理。</w:t>
      </w:r>
    </w:p>
    <w:p w14:paraId="5C1F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3.2 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17F268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3.3 对磋商文件作出的实质性变动是磋商文件的有效组成部分，由磋商小组及时以书面形式同时通知所有参加磋商的供应商。</w:t>
      </w:r>
    </w:p>
    <w:p w14:paraId="70DCC5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3.4 供应商必须按照磋商文件的变动情况和磋商小组的要求重新提交响应文件，并由其法定代表人或者授权代表签字或者加盖 CA 签章在</w:t>
      </w:r>
      <w:r>
        <w:rPr>
          <w:rFonts w:hint="eastAsia"/>
          <w:color w:val="auto"/>
          <w:lang w:eastAsia="zh-CN"/>
        </w:rPr>
        <w:t>广西政府采购云平台</w:t>
      </w:r>
      <w:r>
        <w:rPr>
          <w:rFonts w:hint="eastAsia"/>
          <w:color w:val="auto"/>
        </w:rPr>
        <w:t>(</w:t>
      </w:r>
      <w:r>
        <w:rPr>
          <w:rFonts w:hint="eastAsia"/>
          <w:color w:val="auto"/>
          <w:lang w:eastAsia="zh-CN"/>
        </w:rPr>
        <w:t>https://www.gcy.zfcg.gxzf.gov.cn/</w:t>
      </w:r>
      <w:r>
        <w:rPr>
          <w:rFonts w:hint="eastAsia"/>
          <w:color w:val="auto"/>
        </w:rPr>
        <w:t>)提交。由委托代理人签字的，若委托代理人不是响应文件中授权的委托代理人时，必须同时出示有效 的法定代表人授权委托书原件。供应商为自然人的，必须由本人签字并附身份证明。参加磋商 的供应商未在规定时间内重新提交响应文件的，视同退出磋商。</w:t>
      </w:r>
    </w:p>
    <w:p w14:paraId="783411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3.5 磋商中，磋商的任何一方不得透露与磋商有关的其他供应商的技术资料、价格和其他信息。</w:t>
      </w:r>
    </w:p>
    <w:p w14:paraId="754FE9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3.6 采购代理机构对磋商过程和重要磋商内容进行记录，磋商双方在记录上签字确认。</w:t>
      </w:r>
    </w:p>
    <w:p w14:paraId="45E10B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3.7 磋商过程中重新提交的响应文件，供应商可以在开启前补充、修改。</w:t>
      </w:r>
    </w:p>
    <w:p w14:paraId="17F7EF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3.8 对磋商过程提交的响应文件进行有效性、完整性和响应程度审查，通过审查的合格供应商不足 3 家的，采购人或者采购代理机构应当重新开展采购活动。</w:t>
      </w:r>
    </w:p>
    <w:p w14:paraId="31DCA7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3.9 本项目所有响应文件的首次报价及所有磋商报价均不公布。最后磋商结束后，磋商小组不得再与供应商进行任何形式的商谈。</w:t>
      </w:r>
    </w:p>
    <w:p w14:paraId="47EF22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 最后报价</w:t>
      </w:r>
    </w:p>
    <w:p w14:paraId="7EC714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 磋商文件能够详细列明采购标的的技术、服务要求的，磋商结束后，由磋商小组要求所有继续参加磋商的供应商在规定时间内在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提交最后报价，提交最后报价的供应商不得少于 3 家，除本章第 4.3 条外，否则必须重新采购。</w:t>
      </w:r>
    </w:p>
    <w:p w14:paraId="6B2E41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4.2 磋商文件不能详细列明采购标的的技术、服务要求，需经磋商由供应商提供最后设计方案或者解决方案的，磋商结束后，由磋商小组按照少数服从多数的原则投票推荐 3 家以上供应商的设计方案或者解决方案，并要求其在规定时间内在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提交最后报价。</w:t>
      </w:r>
    </w:p>
    <w:p w14:paraId="2D7A11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①最后报价与首次报价相比无调整的：供应商提交的最后报价只须注明与首次报价相同。</w:t>
      </w:r>
    </w:p>
    <w:p w14:paraId="359E6B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②最后报价与首次报价相比有调整的：供应商提交的最后报价必须包含已标价的工程量清单，即最后报价是工程量清单全部工作内容的价格体现，具体包括供应商部分 (分部分项工程量清单费用、措施项目清单费用、规费、税金、其它项目) 和采购人部分 (暂列金、材料购置费)  (如有) 等完成本工程并经验收合格至达到质量保修期限所需的费用、合理利润及风险。 如磋商文件或磋商程中明确供应商应提供技术服务及其它服务的 (如检测费、验收发生的费 用) ，相应费用也应包括在最后报价中。最后报价不允许采用汇总后优惠、打折的形式，否则其报价无效并作无效响应处理。供应商在报价时可只报总价，但必须将包含已标价工程量清单的最后报价在规定时间内在</w:t>
      </w:r>
      <w:r>
        <w:rPr>
          <w:rFonts w:hint="eastAsia"/>
          <w:color w:val="auto"/>
          <w:lang w:eastAsia="zh-CN"/>
        </w:rPr>
        <w:t>广西政府采购云平台</w:t>
      </w:r>
      <w:r>
        <w:rPr>
          <w:rFonts w:hint="eastAsia"/>
          <w:color w:val="auto"/>
        </w:rPr>
        <w:t xml:space="preserve"> (</w:t>
      </w:r>
      <w:r>
        <w:rPr>
          <w:rFonts w:hint="eastAsia"/>
          <w:color w:val="auto"/>
          <w:lang w:eastAsia="zh-CN"/>
        </w:rPr>
        <w:t>https://www.gcy.zfcg.gxzf.gov.cn/</w:t>
      </w:r>
      <w:r>
        <w:rPr>
          <w:rFonts w:hint="eastAsia"/>
          <w:color w:val="auto"/>
        </w:rPr>
        <w:t>) 提交，逾期则最后报价无效，以首次报价为准。</w:t>
      </w:r>
    </w:p>
    <w:p w14:paraId="5B9927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4.3 最后报价是供应商响应文件的有效组成部分。符合《政府采购竞争性磋商采购方式管理暂行办法》  (财库〔2014〕214 号) 第三条第四项“市场竞争不充分的科研项目，以及需要扶持的科技成果转化项目”的，提交最后报价的供应商可以为2 家。</w:t>
      </w:r>
    </w:p>
    <w:p w14:paraId="7D0D50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4.4 已经提交响应文件的供应商，在提交最后报价之前，可以根据磋商情况退出磋商，退出磋商的供应商的响应文件按无效响应处理。采购人、采购代理机构将退还退出磋商的供应商的保证金。</w:t>
      </w:r>
    </w:p>
    <w:p w14:paraId="00B8D4F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4.5 供应商未在规定时间内提交最后报价的，视同退出磋商。</w:t>
      </w:r>
    </w:p>
    <w:p w14:paraId="5ECB90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4.6 磋商小组收齐某一分标最后报价后统一开启，磋商小组对最后报价进行有效性、完整性和响应程度的审查。</w:t>
      </w:r>
    </w:p>
    <w:p w14:paraId="7963A8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4.7 响应文件最后报价出现前后不一致的，按照本正文第 25.2.4 条的规定修正。</w:t>
      </w:r>
    </w:p>
    <w:p w14:paraId="16730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4.8 修正后的报价出现下列情形的，按无效响应处理：</w:t>
      </w:r>
    </w:p>
    <w:p w14:paraId="3CE431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供应商不确认的；</w:t>
      </w:r>
    </w:p>
    <w:p w14:paraId="1297B7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经供应商确认修正后的竞标报价 (包含首次报价、最后报价) 超过所竞标规定的采购预算金额或者最高限价的 (如本项目公布了最高限价) ；</w:t>
      </w:r>
    </w:p>
    <w:p w14:paraId="52DD9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经供应商确认修正后的竞标报价 (包含首次报价、最后报价) 超过分项采购预算金额或者最高限价的 (如本项目公布了最高限价) 。</w:t>
      </w:r>
    </w:p>
    <w:p w14:paraId="725FB6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4.9 经供应商确认修正后的最后报价作为评审及签订合同的依据。</w:t>
      </w:r>
    </w:p>
    <w:p w14:paraId="463092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4.10 最后报价结束后，磋商小组不得再与供应商进行任何形式的商谈。</w:t>
      </w:r>
    </w:p>
    <w:p w14:paraId="2FD4D3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5.比较与评价</w:t>
      </w:r>
    </w:p>
    <w:p w14:paraId="335972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5.1 评审方法：综合评分法。</w:t>
      </w:r>
    </w:p>
    <w:p w14:paraId="318B8C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5.2 经磋商确定最终采购需求和提交最后报价的供应商后，由磋商小组采用综合评分法对提交最后报价的供应商的响应文件和最后报价进行综合评分。</w:t>
      </w:r>
    </w:p>
    <w:p w14:paraId="4B81D3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5.3 评审时，磋商小组各成员应当独立对每个有效响应的文件进行评价、打分，然后汇总每个供应商每项评分因素的得分。</w:t>
      </w:r>
    </w:p>
    <w:p w14:paraId="2130C4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磋商小组按照磋商文件中规定的评审标准计算各供应商的报价得分。项目评审过程中，不得去掉最后报价中的最高报价和最低报价。</w:t>
      </w:r>
    </w:p>
    <w:p w14:paraId="1D6E70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 各供应商的得分为磋商小组所有成员的有效评分的算术平均数。</w:t>
      </w:r>
    </w:p>
    <w:p w14:paraId="17A62B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5.4 评审价为供应商的最后报价进行政策性扣除后的价格，评审价只是作为评审时使用。最终成交供应商的成交金额等于最后报价 (如有修正，以确认修正后的最后报价为准) 。</w:t>
      </w:r>
    </w:p>
    <w:p w14:paraId="3401ED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5.5 由磋商小组根据综合评分情况，按照评审得分由高到低顺序推荐3名以上成交候选供应商，并编写评审报告。符合本章第 4.3 条情形的，可以推荐2家成交候选供应商。评审得分相同的，按照最后报价由低到高的顺序推荐。评审得分且最后报价相同的，按照技术指标优劣顺序推荐。</w:t>
      </w:r>
    </w:p>
    <w:p w14:paraId="09F782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5.6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F8731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rPr>
      </w:pPr>
      <w:r>
        <w:rPr>
          <w:rFonts w:hint="eastAsia"/>
          <w:b/>
          <w:bCs/>
          <w:color w:val="auto"/>
        </w:rPr>
        <w:t>二、评定标准</w:t>
      </w:r>
    </w:p>
    <w:p w14:paraId="2716BD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一、评标原则</w:t>
      </w:r>
    </w:p>
    <w:p w14:paraId="2B118B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(一) 磋商小组构成：本项目的磋商小组由采购人代表和评审专家共3人以上单数组成， 其中评审专家人数不得少于磋商小组成员总数的 2/3。采购人代表不得以评审专家身份参加本部门或本单位采购项目的评审。</w:t>
      </w:r>
    </w:p>
    <w:p w14:paraId="0EC579B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评审依据：磋商小组将以竞争性磋商文件和响应文件为评定依据进行评审，对供应商的报价、服务承诺、人员配备情况、信誉业绩及供应商对本项目的实施技术与服务等等内容 按百分制打分。</w:t>
      </w:r>
    </w:p>
    <w:p w14:paraId="01938C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(三) 评审方法：综合评分法。</w:t>
      </w:r>
    </w:p>
    <w:p w14:paraId="22CC3C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(四) 政策优惠：</w:t>
      </w:r>
    </w:p>
    <w:p w14:paraId="1DAD25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1.评审价为供应商的最后报价进行政策性扣除后的价格，评审价只是作为评审时使用。最终成交供应商的成交金额等于最后报价 (如有修正，以确认修正后的最后报价为准) 。</w:t>
      </w:r>
    </w:p>
    <w:p w14:paraId="3A633F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2.政府采购政策性扣除</w:t>
      </w:r>
    </w:p>
    <w:p w14:paraId="5D2320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(1) 本项目为专门面向中小企业采购的项目，按照《政府采购促进中小企业发展管理办法》（财库〔2020〕46号）的规定，不再对供应商最后报价进行政策性扣除。</w:t>
      </w:r>
    </w:p>
    <w:p w14:paraId="29A92E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color w:val="auto"/>
        </w:rPr>
        <w:t>(2)</w:t>
      </w:r>
      <w:r>
        <w:rPr>
          <w:rFonts w:hint="eastAsia" w:ascii="宋体" w:hAnsi="宋体" w:cs="宋体"/>
          <w:color w:val="auto"/>
          <w:szCs w:val="21"/>
        </w:rPr>
        <w:t>评审价为供应商的最后报价，评审价只是作为评审时使用。最终成交供应商的成交金额等于最后报价（如有修正，以确认修正后的最后报价为准）。</w:t>
      </w:r>
    </w:p>
    <w:p w14:paraId="3C2A1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(3) 评审价＝最后报价。</w:t>
      </w:r>
    </w:p>
    <w:p w14:paraId="009007E4">
      <w:pPr>
        <w:pStyle w:val="37"/>
        <w:rPr>
          <w:rFonts w:hint="eastAsia"/>
          <w:color w:val="auto"/>
        </w:rPr>
      </w:pPr>
    </w:p>
    <w:p w14:paraId="21B38941">
      <w:pPr>
        <w:pStyle w:val="37"/>
        <w:rPr>
          <w:rFonts w:hint="eastAsia"/>
          <w:color w:val="auto"/>
        </w:rPr>
      </w:pPr>
    </w:p>
    <w:p w14:paraId="2DCEE4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二、评定方法</w:t>
      </w:r>
    </w:p>
    <w:p w14:paraId="25BE36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对进入详评的，磋商小组将以竞争性磋商文件 、响应文件为评定依据，采用百分制综合评分法；计分办法</w:t>
      </w:r>
      <w:r>
        <w:rPr>
          <w:rFonts w:hint="eastAsia"/>
          <w:color w:val="auto"/>
          <w:lang w:eastAsia="zh-CN"/>
        </w:rPr>
        <w:t>（按四舍五入取至百分位）</w:t>
      </w:r>
      <w:r>
        <w:rPr>
          <w:rFonts w:hint="eastAsia"/>
          <w:color w:val="auto"/>
        </w:rPr>
        <w:t>。</w:t>
      </w:r>
    </w:p>
    <w:p w14:paraId="6CE936B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1、价格分……………………………………………………………………………………30 分</w:t>
      </w:r>
    </w:p>
    <w:p w14:paraId="23751C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(1) 价格分统一采用低价优先法计算，即满足磋商文件要求且评审价最低的有效供应商的评审价为磋商基准价，其价格分为满分。超出预算价和未通过资格、符合性审查的供应商， 其报价无效。报价评分以最后磋商报价的评审价为依据，根据上面的优惠政策计算各个磋商供应商的评审报价进行计算价格分。</w:t>
      </w:r>
    </w:p>
    <w:p w14:paraId="16B58E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(2) 其他供应商的价格分统一按照下列公式计算：</w:t>
      </w:r>
    </w:p>
    <w:p w14:paraId="696CBF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rPr>
      </w:pPr>
      <w:r>
        <w:rPr>
          <w:rFonts w:hint="eastAsia"/>
          <w:color w:val="auto"/>
          <w:highlight w:val="none"/>
        </w:rPr>
        <w:t>某有效供应商价格分 = (磋商基准价/某有效供应商评审价) ×30 分</w:t>
      </w:r>
    </w:p>
    <w:p w14:paraId="0993DC8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2、技术分 ……………………………………………………………………………………</w:t>
      </w:r>
      <w:r>
        <w:rPr>
          <w:rFonts w:hint="eastAsia"/>
          <w:b/>
          <w:bCs/>
          <w:color w:val="auto"/>
          <w:lang w:val="en-US" w:eastAsia="zh-CN"/>
        </w:rPr>
        <w:t>67</w:t>
      </w:r>
      <w:r>
        <w:rPr>
          <w:rFonts w:hint="eastAsia"/>
          <w:b/>
          <w:bCs/>
          <w:color w:val="auto"/>
        </w:rPr>
        <w:t xml:space="preserve"> 分</w:t>
      </w:r>
    </w:p>
    <w:p w14:paraId="136CC8A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1</w:t>
      </w:r>
      <w:r>
        <w:rPr>
          <w:rFonts w:hint="eastAsia"/>
          <w:b/>
          <w:bCs/>
          <w:color w:val="auto"/>
        </w:rPr>
        <w:t>) 主要施工方法 (满分10分)</w:t>
      </w:r>
    </w:p>
    <w:p w14:paraId="4D7D3F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：各主要分部施工方法针对性强，施工技术方案详尽周密，工艺先进、方法科学、可行，能很好的指导具体施工并确保安全。</w:t>
      </w:r>
    </w:p>
    <w:p w14:paraId="3A6446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：各主要分部施工方法符合项目实际，施工技术方案齐全，工艺成熟、方法合理、可行，能指导具体施工并确保安全。</w:t>
      </w:r>
    </w:p>
    <w:p w14:paraId="4A9622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：各主要分部施工方法基本符合项目实际，施工技术方案基本齐全，方法基本合理、基本可行，基本能指导具体施工并确保安全。</w:t>
      </w:r>
    </w:p>
    <w:p w14:paraId="67D52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：各主要分部施工方法针对性差，施工技术方案差，工艺落后、方法不合理，不能指导具体施工和确保安全。</w:t>
      </w:r>
    </w:p>
    <w:p w14:paraId="268919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2</w:t>
      </w:r>
      <w:r>
        <w:rPr>
          <w:rFonts w:hint="eastAsia"/>
          <w:b/>
          <w:bCs/>
          <w:color w:val="auto"/>
        </w:rPr>
        <w:t>) 拟投入的主要物资计划 (满分</w:t>
      </w:r>
      <w:r>
        <w:rPr>
          <w:rFonts w:hint="eastAsia"/>
          <w:b/>
          <w:bCs/>
          <w:color w:val="auto"/>
          <w:lang w:val="en-US" w:eastAsia="zh-CN"/>
        </w:rPr>
        <w:t>4</w:t>
      </w:r>
      <w:r>
        <w:rPr>
          <w:rFonts w:hint="eastAsia"/>
          <w:b/>
          <w:bCs/>
          <w:color w:val="auto"/>
        </w:rPr>
        <w:t>分)</w:t>
      </w:r>
    </w:p>
    <w:p w14:paraId="485249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w:t>
      </w:r>
      <w:r>
        <w:rPr>
          <w:rFonts w:hint="eastAsia"/>
          <w:color w:val="auto"/>
          <w:lang w:val="en-US" w:eastAsia="zh-CN"/>
        </w:rPr>
        <w:t>4</w:t>
      </w:r>
      <w:r>
        <w:rPr>
          <w:rFonts w:hint="eastAsia"/>
          <w:color w:val="auto"/>
        </w:rPr>
        <w:t>分) ：投入的施工材料有详细的组织计划且计划周密，投入计划与进度计划呼应，较好满足施工需要，调配投入计划合理、准确。</w:t>
      </w:r>
    </w:p>
    <w:p w14:paraId="6FAAA2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w:t>
      </w:r>
      <w:r>
        <w:rPr>
          <w:rFonts w:hint="eastAsia"/>
          <w:color w:val="auto"/>
          <w:lang w:val="en-US" w:eastAsia="zh-CN"/>
        </w:rPr>
        <w:t>3</w:t>
      </w:r>
      <w:r>
        <w:rPr>
          <w:rFonts w:hint="eastAsia"/>
          <w:color w:val="auto"/>
        </w:rPr>
        <w:t xml:space="preserve"> 分) ：投入的施工材料有详细的组织计划，投入计划与进度计划呼应，基本满足施工需要，调配投入计划基本合理、准确。</w:t>
      </w:r>
    </w:p>
    <w:p w14:paraId="09B4D2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w:t>
      </w:r>
      <w:r>
        <w:rPr>
          <w:rFonts w:hint="eastAsia"/>
          <w:color w:val="auto"/>
          <w:lang w:val="en-US" w:eastAsia="zh-CN"/>
        </w:rPr>
        <w:t>2</w:t>
      </w:r>
      <w:r>
        <w:rPr>
          <w:rFonts w:hint="eastAsia"/>
          <w:color w:val="auto"/>
        </w:rPr>
        <w:t xml:space="preserve"> 分) ：投入的施工材料有详细的组织计划，投入计划与进度计划呼应，基本满足施工需要，调配投入计划基本合理。</w:t>
      </w:r>
    </w:p>
    <w:p w14:paraId="5169F8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w:t>
      </w:r>
      <w:r>
        <w:rPr>
          <w:rFonts w:hint="eastAsia"/>
          <w:color w:val="auto"/>
          <w:lang w:val="en-US" w:eastAsia="zh-CN"/>
        </w:rPr>
        <w:t>1</w:t>
      </w:r>
      <w:r>
        <w:rPr>
          <w:rFonts w:hint="eastAsia"/>
          <w:color w:val="auto"/>
        </w:rPr>
        <w:t>分) ：投入的施工材料的组织计划差，投入计划与进度计划不呼应，不能满足施工需要。</w:t>
      </w:r>
    </w:p>
    <w:p w14:paraId="38E829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3</w:t>
      </w:r>
      <w:r>
        <w:rPr>
          <w:rFonts w:hint="eastAsia"/>
          <w:b/>
          <w:bCs/>
          <w:color w:val="auto"/>
        </w:rPr>
        <w:t>) 拟投入的主要施工机械、设备计划 (满分 5分)</w:t>
      </w:r>
    </w:p>
    <w:p w14:paraId="09214E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 分) ：投入的施工机械、设备、机具有详细的组织计划且计划周密，设备数量、选型配置、进场时间安排合理，满足施工需要。</w:t>
      </w:r>
    </w:p>
    <w:p w14:paraId="37050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 分) ：投入的施工机械、设备、机具有详细的组织计划，设备数量、选型配置、进场投入计划与进度计划呼应，满足施工需要。</w:t>
      </w:r>
    </w:p>
    <w:p w14:paraId="35C229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 分) ：投入的施工机械、设备、机具有组织计划，设备数量、选型配置、进场投入计划与进度计划呼应，基本满足施工需要。</w:t>
      </w:r>
    </w:p>
    <w:p w14:paraId="408428E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 分) ：投入的施工机械、设备、机具组织计划差，投入计划与进度计划不呼应，不能满足施工需要。</w:t>
      </w:r>
    </w:p>
    <w:p w14:paraId="182D36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4</w:t>
      </w:r>
      <w:r>
        <w:rPr>
          <w:rFonts w:hint="eastAsia"/>
          <w:b/>
          <w:bCs/>
          <w:color w:val="auto"/>
        </w:rPr>
        <w:t>) 劳动力安排计划 (满分 3分)</w:t>
      </w:r>
    </w:p>
    <w:p w14:paraId="52AF3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(3 分) ：各主要施工工序有详细周密的劳动力安排计划，各工种劳动力安排计划齐全，劳动力投入与进度计划呼应合理，满足施工需要。</w:t>
      </w:r>
    </w:p>
    <w:p w14:paraId="689752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(1.5 分) ：各主要施工工序有详细的劳动力安排计划，有各工种劳动力安排计划，劳动力投入合理，满足施工需要。</w:t>
      </w:r>
    </w:p>
    <w:p w14:paraId="4A7C8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(1分) ：各主要施工工序应有劳动力安排计划，有各工种劳动力安排计划，劳动力投入基本合理，基本满足施工需要。</w:t>
      </w:r>
    </w:p>
    <w:p w14:paraId="45CAF6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(0.5 分) ：各主要施工工序劳动力安排计划不全，无各工种劳动力安排计划或计划不全，劳动力投入不合理，不能满足施工需要。</w:t>
      </w:r>
    </w:p>
    <w:p w14:paraId="265C164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5</w:t>
      </w:r>
      <w:r>
        <w:rPr>
          <w:rFonts w:hint="eastAsia"/>
          <w:b/>
          <w:bCs/>
          <w:color w:val="auto"/>
        </w:rPr>
        <w:t>) 确保工程质量的技术组织措施 (满分 5分)</w:t>
      </w:r>
    </w:p>
    <w:p w14:paraId="673B53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(5 分) ：有专门的质量技术管理班子和制度，且人员配备合理，制度健全。主要工序有质量技术保证措施和手段，且先进、可行、具体，高于</w:t>
      </w:r>
      <w:r>
        <w:rPr>
          <w:rFonts w:hint="eastAsia"/>
          <w:color w:val="auto"/>
          <w:lang w:eastAsia="zh-CN"/>
        </w:rPr>
        <w:t>采购</w:t>
      </w:r>
      <w:r>
        <w:rPr>
          <w:rFonts w:hint="eastAsia"/>
          <w:color w:val="auto"/>
        </w:rPr>
        <w:t>文件的质量要求及施工验收规范 要求，达到承诺的质量标准。</w:t>
      </w:r>
    </w:p>
    <w:p w14:paraId="2D5A09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(3 分) ：有专门的质量技术管理班子和制度，且人员配备合理，制度健全。主要工序有质量技术保证措施和手段，自控体系完整，能有效保证技术质量，达到承诺的质量标准。</w:t>
      </w:r>
    </w:p>
    <w:p w14:paraId="33436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(1.5 分) ：质量技术管理班子人员配备基本合理，制度基本健全。主要工序有质量技术保证措施和手段，能有效保证技术质量，满足</w:t>
      </w:r>
      <w:r>
        <w:rPr>
          <w:rFonts w:hint="eastAsia"/>
          <w:color w:val="auto"/>
          <w:lang w:eastAsia="zh-CN"/>
        </w:rPr>
        <w:t>采购</w:t>
      </w:r>
      <w:r>
        <w:rPr>
          <w:rFonts w:hint="eastAsia"/>
          <w:color w:val="auto"/>
        </w:rPr>
        <w:t>文件的质量要求。</w:t>
      </w:r>
    </w:p>
    <w:p w14:paraId="13353C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：质量技术管理班子人员配备不合理，制度不健全。质量技术保证措施和手段不可行，没有质量违约责任承诺。</w:t>
      </w:r>
    </w:p>
    <w:p w14:paraId="305EDF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6</w:t>
      </w:r>
      <w:r>
        <w:rPr>
          <w:rFonts w:hint="eastAsia"/>
          <w:b/>
          <w:bCs/>
          <w:color w:val="auto"/>
        </w:rPr>
        <w:t>) 确保安全生产的技术组织措施 (满分10分)</w:t>
      </w:r>
    </w:p>
    <w:p w14:paraId="54D890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：安全人员配备合理；有健全的安全管理制度，各道工序安全技术措施针对性强，符合实际且高于国家有关安全技术标准要求。现场防火、应急救援、社会治安安全措施得力。</w:t>
      </w:r>
    </w:p>
    <w:p w14:paraId="6F2C95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：安全人员配备合理；有健全的安全管理制度，各道工序安全技术措施符合实际且满足有关安全技术标准要求。现场防火、应急救援、社会治安安全措施合理。</w:t>
      </w:r>
    </w:p>
    <w:p w14:paraId="67CA41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(3分) ：安全人员配备基本合理，安全管理制度基本健全，各道工序安全技术措施基本符合实际，基本满足有关安全技术标准要求。现场防火、应急救援、社会治安安全措施基本合理。</w:t>
      </w:r>
    </w:p>
    <w:p w14:paraId="588451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：安全人员配备不合理，安全管理制度不健全，各道工序安全技术措施基本符合实际，不能满足有关安全技术标准要求。现场防火、应急救援、社会治安安全措施不合理。</w:t>
      </w:r>
    </w:p>
    <w:p w14:paraId="77FFE1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7</w:t>
      </w:r>
      <w:r>
        <w:rPr>
          <w:rFonts w:hint="eastAsia"/>
          <w:b/>
          <w:bCs/>
          <w:color w:val="auto"/>
        </w:rPr>
        <w:t>) 确保工期的技术组织措施 (满分10分)</w:t>
      </w:r>
    </w:p>
    <w:p w14:paraId="6104BC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：有保证工期的具体措施且措施得力。各项计划图表编制详尽周密，安排科学合理，符合本项目施工实际要求。</w:t>
      </w:r>
    </w:p>
    <w:p w14:paraId="752211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：有保证工期的具体措施且措施得当。各项计划图表编制完善，安排较合理，符合本项目施工实际要求。</w:t>
      </w:r>
    </w:p>
    <w:p w14:paraId="348BD0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：有保证工期的具体措施，措施基本得当。各项计划图表编制基本齐全，安排基本合理，基本符合本项目施工实际要求。</w:t>
      </w:r>
    </w:p>
    <w:p w14:paraId="1E8BEB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 分) ：有保证工期的具体措施。各项计划图表编制不完善，安排不合理，不能满足本项目施工实际要求。</w:t>
      </w:r>
    </w:p>
    <w:p w14:paraId="542C48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8</w:t>
      </w:r>
      <w:r>
        <w:rPr>
          <w:rFonts w:hint="eastAsia"/>
          <w:b/>
          <w:bCs/>
          <w:color w:val="auto"/>
        </w:rPr>
        <w:t>) 确保文明施工的技术组织措施 (满分10分)</w:t>
      </w:r>
    </w:p>
    <w:p w14:paraId="6CFA7A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：现场文明施工、环境保护措施和内容达到且高于《建筑施工安全生产检查标准》、《广西壮族自治区建筑工程文明施工导则》要求；有具体实现现场文明施工目标的承诺，而且各项措施科学、得力的。</w:t>
      </w:r>
    </w:p>
    <w:p w14:paraId="507001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(7分) ：现场文明施工、环境保护措施和内容达到《建筑施工安全生产检查标准》、《广西壮族自治区建筑工程文明施工导则》要求；有具体实现现场文明施工目标的承诺，而且各项措施周全、有效的。</w:t>
      </w:r>
    </w:p>
    <w:p w14:paraId="791605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中 (3 分) ：现场文明施工、环境保护措施和内容基本达到《建筑施工安全生产检查标准》、《广西壮族自治区建筑工程文明施工导则》要求；有具体实现现场文明施工目标的承诺， 而且各项措施基本全面、有效的。</w:t>
      </w:r>
    </w:p>
    <w:p w14:paraId="403D0A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：现场文明施工、环境保护措施和内容与《建筑施工安全生产检查标准》、《广 西壮族自治区建筑工程文明施工导则》的要求偏差大，无现场文明施工目标的承诺。</w:t>
      </w:r>
    </w:p>
    <w:p w14:paraId="444A67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rPr>
        <w:t>(</w:t>
      </w:r>
      <w:r>
        <w:rPr>
          <w:rFonts w:hint="eastAsia"/>
          <w:b/>
          <w:bCs/>
          <w:color w:val="auto"/>
          <w:lang w:val="en-US" w:eastAsia="zh-CN"/>
        </w:rPr>
        <w:t>9</w:t>
      </w:r>
      <w:r>
        <w:rPr>
          <w:rFonts w:hint="eastAsia"/>
          <w:b/>
          <w:bCs/>
          <w:color w:val="auto"/>
        </w:rPr>
        <w:t>) 工程施工的重点和难点及保证措施 (满分10分)</w:t>
      </w:r>
    </w:p>
    <w:p w14:paraId="15EEEA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优 (10 分) ：对项目关键技术、工艺有深入的表述。对重点、难点有先进合理的施工措施并有可行的安全措施，解决方案完整、经济、安全、切实可行，措施得力。</w:t>
      </w:r>
    </w:p>
    <w:p w14:paraId="3A1ACF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良 (7 分) ：对项目关键技术、工艺有深入的表述，对重点、难点有合理的建议，解决方案经济、安全、基本可行。</w:t>
      </w:r>
    </w:p>
    <w:p w14:paraId="574A04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中 (3分) ：对项目关键技术有一定了解，对重点、难点有建议，解决方案基本可行。 </w:t>
      </w:r>
    </w:p>
    <w:p w14:paraId="7D4831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差 (1分) ：对项目关键技术有表述，对重点、难点有建议，解决方案不可行。</w:t>
      </w:r>
    </w:p>
    <w:p w14:paraId="60D8EE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color w:val="auto"/>
        </w:rPr>
      </w:pPr>
      <w:r>
        <w:rPr>
          <w:rFonts w:hint="eastAsia"/>
          <w:b/>
          <w:bCs/>
          <w:color w:val="auto"/>
          <w:lang w:val="en-US" w:eastAsia="zh-CN"/>
        </w:rPr>
        <w:t>3、业绩</w:t>
      </w:r>
      <w:r>
        <w:rPr>
          <w:rFonts w:hint="eastAsia"/>
          <w:b/>
          <w:bCs/>
          <w:color w:val="auto"/>
        </w:rPr>
        <w:t>分 ……………………………………………………………………………………</w:t>
      </w:r>
      <w:r>
        <w:rPr>
          <w:rFonts w:hint="eastAsia"/>
          <w:b/>
          <w:bCs/>
          <w:color w:val="auto"/>
          <w:lang w:val="en-US" w:eastAsia="zh-CN"/>
        </w:rPr>
        <w:t>3</w:t>
      </w:r>
      <w:r>
        <w:rPr>
          <w:rFonts w:hint="eastAsia"/>
          <w:b/>
          <w:bCs/>
          <w:color w:val="auto"/>
        </w:rPr>
        <w:t>分</w:t>
      </w:r>
    </w:p>
    <w:p w14:paraId="7F9E61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b w:val="0"/>
          <w:bCs w:val="0"/>
          <w:color w:val="auto"/>
          <w:kern w:val="2"/>
          <w:sz w:val="21"/>
          <w:szCs w:val="24"/>
          <w:lang w:val="en-US" w:eastAsia="zh-CN" w:bidi="ar-SA"/>
        </w:rPr>
      </w:pPr>
      <w:r>
        <w:rPr>
          <w:rFonts w:hint="eastAsia"/>
          <w:b w:val="0"/>
          <w:bCs w:val="0"/>
          <w:color w:val="auto"/>
          <w:lang w:val="en-US" w:eastAsia="zh-CN"/>
        </w:rPr>
        <w:t>2020年1月1日起至截标响应之日止，提供类似项目业绩的合同或中标通知书的，每个得1分，此项满分3分</w:t>
      </w:r>
      <w:r>
        <w:rPr>
          <w:rFonts w:hint="eastAsia" w:ascii="Times New Roman" w:hAnsi="Times New Roman" w:eastAsia="宋体" w:cs="Times New Roman"/>
          <w:b w:val="0"/>
          <w:bCs w:val="0"/>
          <w:color w:val="auto"/>
          <w:kern w:val="2"/>
          <w:sz w:val="21"/>
          <w:szCs w:val="24"/>
          <w:lang w:val="en-US" w:eastAsia="zh-CN" w:bidi="ar-SA"/>
        </w:rPr>
        <w:t>。</w:t>
      </w:r>
    </w:p>
    <w:p w14:paraId="20E70FF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xml:space="preserve">总得分 = 1 + 2 </w:t>
      </w:r>
      <w:r>
        <w:rPr>
          <w:rFonts w:hint="eastAsia"/>
          <w:color w:val="auto"/>
          <w:lang w:val="en-US" w:eastAsia="zh-CN"/>
        </w:rPr>
        <w:t>+3</w:t>
      </w:r>
    </w:p>
    <w:p w14:paraId="5A54229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成交候选供应商推荐原则</w:t>
      </w:r>
    </w:p>
    <w:p w14:paraId="342C59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 一) 磋商小组将根据总得分由高到低对供应商排列次序 (得分相同时，以最终报价由低到高顺序排列；得分相同且最终报价相同的，按技术指标优劣顺序排列) ，并推荐前三名为成交候选人。采购人应当确定磋商小组推荐排名第一的成交候选人为成交供应商。</w:t>
      </w:r>
    </w:p>
    <w:p w14:paraId="6D5668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(二) 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0C83ABA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注：成交价=成交供应商最后报价。</w:t>
      </w:r>
    </w:p>
    <w:p w14:paraId="4F0831AF">
      <w:pPr>
        <w:pStyle w:val="37"/>
        <w:rPr>
          <w:rFonts w:hint="eastAsia" w:ascii="黑体" w:hAnsi="宋体" w:eastAsia="黑体" w:cs="Times New Roman"/>
          <w:b/>
          <w:bCs/>
          <w:color w:val="auto"/>
          <w:kern w:val="0"/>
          <w:sz w:val="36"/>
          <w:szCs w:val="36"/>
        </w:rPr>
      </w:pPr>
    </w:p>
    <w:p w14:paraId="6AB22712">
      <w:pPr>
        <w:rPr>
          <w:rFonts w:hint="eastAsia" w:ascii="黑体" w:hAnsi="宋体" w:eastAsia="黑体" w:cs="Times New Roman"/>
          <w:b/>
          <w:bCs/>
          <w:color w:val="auto"/>
          <w:kern w:val="0"/>
          <w:sz w:val="36"/>
          <w:szCs w:val="36"/>
        </w:rPr>
      </w:pPr>
      <w:bookmarkStart w:id="67" w:name="_Toc15543"/>
      <w:r>
        <w:rPr>
          <w:rFonts w:hint="eastAsia" w:ascii="黑体" w:hAnsi="宋体" w:eastAsia="黑体" w:cs="Times New Roman"/>
          <w:b/>
          <w:bCs/>
          <w:color w:val="auto"/>
          <w:kern w:val="0"/>
          <w:sz w:val="36"/>
          <w:szCs w:val="36"/>
        </w:rPr>
        <w:br w:type="page"/>
      </w:r>
    </w:p>
    <w:p w14:paraId="33E74007">
      <w:pPr>
        <w:pStyle w:val="13"/>
        <w:spacing w:line="400" w:lineRule="exact"/>
        <w:jc w:val="center"/>
        <w:outlineLvl w:val="0"/>
        <w:rPr>
          <w:rFonts w:hint="eastAsia" w:ascii="黑体" w:hAnsi="宋体" w:eastAsia="黑体" w:cs="Times New Roman"/>
          <w:b/>
          <w:bCs/>
          <w:color w:val="auto"/>
          <w:kern w:val="0"/>
          <w:sz w:val="36"/>
          <w:szCs w:val="36"/>
        </w:rPr>
      </w:pPr>
    </w:p>
    <w:p w14:paraId="50AB424F">
      <w:pPr>
        <w:pStyle w:val="13"/>
        <w:spacing w:line="400" w:lineRule="exact"/>
        <w:jc w:val="center"/>
        <w:outlineLvl w:val="0"/>
        <w:rPr>
          <w:rFonts w:ascii="黑体" w:hAnsi="宋体" w:eastAsia="黑体" w:cs="Times New Roman"/>
          <w:b/>
          <w:bCs/>
          <w:color w:val="auto"/>
          <w:kern w:val="0"/>
          <w:sz w:val="36"/>
          <w:szCs w:val="36"/>
        </w:rPr>
      </w:pPr>
      <w:r>
        <w:rPr>
          <w:rFonts w:hint="eastAsia" w:ascii="黑体" w:hAnsi="宋体" w:eastAsia="黑体" w:cs="Times New Roman"/>
          <w:b/>
          <w:bCs/>
          <w:color w:val="auto"/>
          <w:kern w:val="0"/>
          <w:sz w:val="36"/>
          <w:szCs w:val="36"/>
        </w:rPr>
        <w:t>第</w:t>
      </w:r>
      <w:r>
        <w:rPr>
          <w:rFonts w:hint="eastAsia" w:ascii="黑体" w:hAnsi="宋体" w:eastAsia="黑体" w:cs="Times New Roman"/>
          <w:b/>
          <w:bCs/>
          <w:color w:val="auto"/>
          <w:kern w:val="0"/>
          <w:sz w:val="36"/>
          <w:szCs w:val="36"/>
          <w:lang w:val="en-US" w:eastAsia="zh-CN"/>
        </w:rPr>
        <w:t>五</w:t>
      </w:r>
      <w:r>
        <w:rPr>
          <w:rFonts w:hint="eastAsia" w:ascii="黑体" w:hAnsi="宋体" w:eastAsia="黑体" w:cs="Times New Roman"/>
          <w:b/>
          <w:bCs/>
          <w:color w:val="auto"/>
          <w:kern w:val="0"/>
          <w:sz w:val="36"/>
          <w:szCs w:val="36"/>
        </w:rPr>
        <w:t>章  响应文件（格式）</w:t>
      </w:r>
      <w:bookmarkEnd w:id="67"/>
    </w:p>
    <w:p w14:paraId="663E2FB2">
      <w:pPr>
        <w:autoSpaceDE w:val="0"/>
        <w:autoSpaceDN w:val="0"/>
        <w:adjustRightInd w:val="0"/>
        <w:spacing w:line="360" w:lineRule="auto"/>
        <w:rPr>
          <w:rFonts w:ascii="宋体" w:cs="宋体"/>
          <w:color w:val="auto"/>
          <w:szCs w:val="21"/>
          <w:lang w:val="zh-CN"/>
        </w:rPr>
      </w:pPr>
    </w:p>
    <w:p w14:paraId="0E14D07A">
      <w:pPr>
        <w:spacing w:before="100" w:line="225" w:lineRule="auto"/>
        <w:ind w:left="16"/>
        <w:outlineLvl w:val="1"/>
        <w:rPr>
          <w:rFonts w:ascii="宋体" w:hAnsi="宋体" w:eastAsia="宋体" w:cs="宋体"/>
          <w:color w:val="auto"/>
          <w:sz w:val="31"/>
          <w:szCs w:val="31"/>
        </w:rPr>
      </w:pPr>
      <w:r>
        <w:rPr>
          <w:rFonts w:ascii="Cambria" w:hAnsi="Cambria" w:eastAsia="Cambria" w:cs="Cambria"/>
          <w:color w:val="auto"/>
          <w:spacing w:val="-1"/>
          <w:sz w:val="31"/>
          <w:szCs w:val="31"/>
        </w:rPr>
        <w:t xml:space="preserve">1. </w:t>
      </w:r>
      <w:r>
        <w:rPr>
          <w:rFonts w:ascii="宋体" w:hAnsi="宋体" w:eastAsia="宋体" w:cs="宋体"/>
          <w:color w:val="auto"/>
          <w:spacing w:val="-1"/>
          <w:sz w:val="31"/>
          <w:szCs w:val="31"/>
        </w:rPr>
        <w:t>响应文件封面格式</w:t>
      </w:r>
      <w:r>
        <w:rPr>
          <w:rFonts w:ascii="宋体" w:hAnsi="宋体" w:eastAsia="宋体" w:cs="宋体"/>
          <w:color w:val="auto"/>
          <w:sz w:val="31"/>
          <w:szCs w:val="31"/>
        </w:rPr>
        <w:t>：</w:t>
      </w:r>
    </w:p>
    <w:p w14:paraId="4523997C">
      <w:pPr>
        <w:spacing w:line="255" w:lineRule="auto"/>
        <w:rPr>
          <w:rFonts w:ascii="Arial"/>
          <w:color w:val="auto"/>
          <w:sz w:val="21"/>
        </w:rPr>
      </w:pPr>
    </w:p>
    <w:p w14:paraId="7C3315F7">
      <w:pPr>
        <w:spacing w:line="255" w:lineRule="auto"/>
        <w:rPr>
          <w:rFonts w:ascii="Arial"/>
          <w:color w:val="auto"/>
          <w:sz w:val="21"/>
        </w:rPr>
      </w:pPr>
    </w:p>
    <w:p w14:paraId="4F5141C7">
      <w:pPr>
        <w:spacing w:line="255" w:lineRule="auto"/>
        <w:rPr>
          <w:rFonts w:ascii="Arial"/>
          <w:color w:val="auto"/>
          <w:sz w:val="21"/>
        </w:rPr>
      </w:pPr>
    </w:p>
    <w:p w14:paraId="6B841697">
      <w:pPr>
        <w:spacing w:line="256" w:lineRule="auto"/>
        <w:rPr>
          <w:rFonts w:ascii="Arial"/>
          <w:color w:val="auto"/>
          <w:sz w:val="21"/>
        </w:rPr>
      </w:pPr>
    </w:p>
    <w:p w14:paraId="0CE3C671">
      <w:pPr>
        <w:spacing w:line="256" w:lineRule="auto"/>
        <w:rPr>
          <w:rFonts w:ascii="Arial"/>
          <w:color w:val="auto"/>
          <w:sz w:val="21"/>
        </w:rPr>
      </w:pPr>
    </w:p>
    <w:p w14:paraId="5F884174">
      <w:pPr>
        <w:spacing w:line="256" w:lineRule="auto"/>
        <w:rPr>
          <w:rFonts w:ascii="Arial"/>
          <w:color w:val="auto"/>
          <w:sz w:val="21"/>
        </w:rPr>
      </w:pPr>
    </w:p>
    <w:p w14:paraId="5005479E">
      <w:pPr>
        <w:spacing w:line="256" w:lineRule="auto"/>
        <w:rPr>
          <w:rFonts w:ascii="Arial"/>
          <w:color w:val="auto"/>
          <w:sz w:val="21"/>
        </w:rPr>
      </w:pPr>
    </w:p>
    <w:p w14:paraId="5299ACF0">
      <w:pPr>
        <w:spacing w:line="256" w:lineRule="auto"/>
        <w:rPr>
          <w:rFonts w:ascii="Arial"/>
          <w:color w:val="auto"/>
          <w:sz w:val="21"/>
        </w:rPr>
      </w:pPr>
    </w:p>
    <w:p w14:paraId="26D11E04">
      <w:pPr>
        <w:spacing w:line="256" w:lineRule="auto"/>
        <w:rPr>
          <w:rFonts w:ascii="Arial"/>
          <w:color w:val="auto"/>
          <w:sz w:val="21"/>
        </w:rPr>
      </w:pPr>
    </w:p>
    <w:p w14:paraId="3F9EC74D">
      <w:pPr>
        <w:spacing w:before="231" w:line="223" w:lineRule="auto"/>
        <w:ind w:left="15" w:leftChars="0" w:hanging="15" w:firstLineChars="0"/>
        <w:jc w:val="center"/>
        <w:rPr>
          <w:rFonts w:ascii="宋体" w:hAnsi="宋体" w:eastAsia="宋体" w:cs="宋体"/>
          <w:color w:val="auto"/>
          <w:sz w:val="71"/>
          <w:szCs w:val="71"/>
        </w:rPr>
      </w:pPr>
      <w:r>
        <w:rPr>
          <w:rFonts w:ascii="宋体" w:hAnsi="宋体" w:eastAsia="宋体" w:cs="宋体"/>
          <w:color w:val="auto"/>
          <w:spacing w:val="6"/>
          <w:sz w:val="71"/>
          <w:szCs w:val="71"/>
        </w:rPr>
        <w:t>竞争性磋商响应文</w:t>
      </w:r>
      <w:r>
        <w:rPr>
          <w:rFonts w:ascii="宋体" w:hAnsi="宋体" w:eastAsia="宋体" w:cs="宋体"/>
          <w:color w:val="auto"/>
          <w:spacing w:val="5"/>
          <w:sz w:val="71"/>
          <w:szCs w:val="71"/>
        </w:rPr>
        <w:t>件</w:t>
      </w:r>
    </w:p>
    <w:p w14:paraId="7A0218CE">
      <w:pPr>
        <w:spacing w:line="313" w:lineRule="auto"/>
        <w:rPr>
          <w:rFonts w:ascii="Arial"/>
          <w:color w:val="auto"/>
          <w:sz w:val="21"/>
        </w:rPr>
      </w:pPr>
    </w:p>
    <w:p w14:paraId="66D7DA5F">
      <w:pPr>
        <w:spacing w:line="314" w:lineRule="auto"/>
        <w:rPr>
          <w:rFonts w:ascii="Arial"/>
          <w:color w:val="auto"/>
          <w:sz w:val="21"/>
        </w:rPr>
      </w:pPr>
    </w:p>
    <w:p w14:paraId="4DDF6B14">
      <w:pPr>
        <w:pStyle w:val="35"/>
        <w:rPr>
          <w:rFonts w:ascii="Arial"/>
          <w:color w:val="auto"/>
          <w:sz w:val="21"/>
        </w:rPr>
      </w:pPr>
    </w:p>
    <w:p w14:paraId="7A5703D2">
      <w:pPr>
        <w:pStyle w:val="10"/>
        <w:rPr>
          <w:rFonts w:ascii="Arial"/>
          <w:color w:val="auto"/>
          <w:sz w:val="21"/>
        </w:rPr>
      </w:pPr>
    </w:p>
    <w:p w14:paraId="5C4DF561">
      <w:pPr>
        <w:rPr>
          <w:rFonts w:ascii="Arial"/>
          <w:color w:val="auto"/>
          <w:sz w:val="21"/>
        </w:rPr>
      </w:pPr>
    </w:p>
    <w:p w14:paraId="5D9D5AFB">
      <w:pPr>
        <w:pStyle w:val="35"/>
        <w:rPr>
          <w:color w:val="auto"/>
        </w:rPr>
      </w:pPr>
    </w:p>
    <w:p w14:paraId="50C386E8">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目名称：</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140BC2BA">
      <w:pPr>
        <w:keepNext w:val="0"/>
        <w:keepLines w:val="0"/>
        <w:pageBreakBefore w:val="0"/>
        <w:widowControl w:val="0"/>
        <w:kinsoku/>
        <w:wordWrap/>
        <w:overflowPunct/>
        <w:topLinePunct w:val="0"/>
        <w:autoSpaceDE/>
        <w:autoSpaceDN/>
        <w:bidi w:val="0"/>
        <w:adjustRightInd/>
        <w:snapToGrid/>
        <w:spacing w:line="700" w:lineRule="exact"/>
        <w:ind w:left="6" w:firstLine="1280" w:firstLineChars="400"/>
        <w:textAlignment w:val="auto"/>
        <w:rPr>
          <w:rFonts w:ascii="宋体" w:hAnsi="宋体" w:eastAsia="宋体" w:cs="宋体"/>
          <w:color w:val="auto"/>
          <w:sz w:val="31"/>
          <w:szCs w:val="31"/>
        </w:rPr>
      </w:pPr>
      <w:r>
        <w:rPr>
          <w:rFonts w:ascii="宋体" w:hAnsi="宋体" w:eastAsia="宋体" w:cs="宋体"/>
          <w:color w:val="auto"/>
          <w:spacing w:val="5"/>
          <w:sz w:val="31"/>
          <w:szCs w:val="31"/>
        </w:rPr>
        <w:t>项</w:t>
      </w:r>
      <w:r>
        <w:rPr>
          <w:rFonts w:ascii="宋体" w:hAnsi="宋体" w:eastAsia="宋体" w:cs="宋体"/>
          <w:color w:val="auto"/>
          <w:spacing w:val="4"/>
          <w:sz w:val="31"/>
          <w:szCs w:val="31"/>
        </w:rPr>
        <w:t>目编号：</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r>
        <w:rPr>
          <w:rFonts w:hint="eastAsia" w:ascii="宋体" w:hAnsi="宋体" w:cs="宋体"/>
          <w:color w:val="auto"/>
          <w:sz w:val="31"/>
          <w:szCs w:val="31"/>
          <w:u w:val="single" w:color="auto"/>
          <w:lang w:val="en-US" w:eastAsia="zh-CN"/>
        </w:rPr>
        <w:t xml:space="preserve"> </w:t>
      </w:r>
      <w:r>
        <w:rPr>
          <w:rFonts w:ascii="宋体" w:hAnsi="宋体" w:eastAsia="宋体" w:cs="宋体"/>
          <w:color w:val="auto"/>
          <w:sz w:val="31"/>
          <w:szCs w:val="31"/>
          <w:u w:val="single" w:color="auto"/>
        </w:rPr>
        <w:t xml:space="preserve">      </w:t>
      </w:r>
    </w:p>
    <w:p w14:paraId="658A7C6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宋体" w:hAnsi="宋体" w:eastAsia="宋体" w:cs="宋体"/>
          <w:color w:val="auto"/>
          <w:sz w:val="31"/>
          <w:szCs w:val="31"/>
          <w:lang w:val="en-US" w:eastAsia="zh-CN"/>
        </w:rPr>
      </w:pPr>
      <w:r>
        <w:rPr>
          <w:rFonts w:hint="eastAsia" w:ascii="宋体" w:hAnsi="宋体" w:cs="宋体"/>
          <w:color w:val="auto"/>
          <w:spacing w:val="8"/>
          <w:sz w:val="31"/>
          <w:szCs w:val="31"/>
          <w:lang w:eastAsia="zh-CN"/>
        </w:rPr>
        <w:t>响应</w:t>
      </w:r>
      <w:r>
        <w:rPr>
          <w:rFonts w:ascii="宋体" w:hAnsi="宋体" w:eastAsia="宋体" w:cs="宋体"/>
          <w:color w:val="auto"/>
          <w:spacing w:val="4"/>
          <w:sz w:val="31"/>
          <w:szCs w:val="31"/>
        </w:rPr>
        <w:t>文件名称：</w:t>
      </w:r>
      <w:r>
        <w:rPr>
          <w:rFonts w:hint="eastAsia" w:ascii="宋体" w:hAnsi="宋体" w:cs="宋体"/>
          <w:color w:val="auto"/>
          <w:spacing w:val="4"/>
          <w:sz w:val="31"/>
          <w:szCs w:val="31"/>
          <w:u w:val="single" w:color="auto"/>
          <w:lang w:val="en-US" w:eastAsia="zh-CN"/>
        </w:rPr>
        <w:t>资格证明文件/技术文件/报价文件</w:t>
      </w:r>
    </w:p>
    <w:p w14:paraId="08B51B16">
      <w:pPr>
        <w:keepNext w:val="0"/>
        <w:keepLines w:val="0"/>
        <w:pageBreakBefore w:val="0"/>
        <w:widowControl w:val="0"/>
        <w:kinsoku/>
        <w:wordWrap/>
        <w:overflowPunct/>
        <w:topLinePunct w:val="0"/>
        <w:autoSpaceDE/>
        <w:autoSpaceDN/>
        <w:bidi w:val="0"/>
        <w:adjustRightInd/>
        <w:snapToGrid/>
        <w:spacing w:line="700" w:lineRule="exact"/>
        <w:textAlignment w:val="auto"/>
        <w:rPr>
          <w:rFonts w:ascii="Arial"/>
          <w:color w:val="auto"/>
          <w:sz w:val="21"/>
        </w:rPr>
      </w:pPr>
    </w:p>
    <w:p w14:paraId="1F883E91">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pacing w:val="5"/>
          <w:sz w:val="31"/>
          <w:szCs w:val="31"/>
        </w:rPr>
      </w:pPr>
    </w:p>
    <w:p w14:paraId="418FBBA9">
      <w:pPr>
        <w:keepNext w:val="0"/>
        <w:keepLines w:val="0"/>
        <w:pageBreakBefore w:val="0"/>
        <w:widowControl w:val="0"/>
        <w:kinsoku/>
        <w:wordWrap/>
        <w:overflowPunct/>
        <w:topLinePunct w:val="0"/>
        <w:autoSpaceDE/>
        <w:autoSpaceDN/>
        <w:bidi w:val="0"/>
        <w:adjustRightInd/>
        <w:snapToGrid/>
        <w:spacing w:line="700" w:lineRule="exact"/>
        <w:ind w:left="800"/>
        <w:textAlignment w:val="auto"/>
        <w:rPr>
          <w:rFonts w:ascii="宋体" w:hAnsi="宋体" w:eastAsia="宋体" w:cs="宋体"/>
          <w:color w:val="auto"/>
          <w:sz w:val="31"/>
          <w:szCs w:val="31"/>
        </w:rPr>
      </w:pPr>
      <w:r>
        <w:rPr>
          <w:rFonts w:ascii="宋体" w:hAnsi="宋体" w:eastAsia="宋体" w:cs="宋体"/>
          <w:color w:val="auto"/>
          <w:spacing w:val="5"/>
          <w:sz w:val="31"/>
          <w:szCs w:val="31"/>
        </w:rPr>
        <w:t>供</w:t>
      </w:r>
      <w:r>
        <w:rPr>
          <w:rFonts w:ascii="宋体" w:hAnsi="宋体" w:eastAsia="宋体" w:cs="宋体"/>
          <w:color w:val="auto"/>
          <w:spacing w:val="4"/>
          <w:sz w:val="31"/>
          <w:szCs w:val="31"/>
        </w:rPr>
        <w:t>应商：</w:t>
      </w:r>
      <w:r>
        <w:rPr>
          <w:rFonts w:ascii="宋体" w:hAnsi="宋体" w:eastAsia="宋体" w:cs="宋体"/>
          <w:color w:val="auto"/>
          <w:sz w:val="31"/>
          <w:szCs w:val="31"/>
          <w:u w:val="single" w:color="auto"/>
        </w:rPr>
        <w:t xml:space="preserve">                                         </w:t>
      </w:r>
    </w:p>
    <w:p w14:paraId="19BC2C99">
      <w:pPr>
        <w:keepNext w:val="0"/>
        <w:keepLines w:val="0"/>
        <w:pageBreakBefore w:val="0"/>
        <w:widowControl w:val="0"/>
        <w:kinsoku/>
        <w:wordWrap/>
        <w:overflowPunct/>
        <w:topLinePunct w:val="0"/>
        <w:autoSpaceDE/>
        <w:autoSpaceDN/>
        <w:bidi w:val="0"/>
        <w:adjustRightInd/>
        <w:snapToGrid/>
        <w:spacing w:line="700" w:lineRule="exact"/>
        <w:ind w:left="801"/>
        <w:textAlignment w:val="auto"/>
        <w:rPr>
          <w:rFonts w:ascii="宋体" w:hAnsi="宋体" w:eastAsia="宋体" w:cs="宋体"/>
          <w:color w:val="auto"/>
          <w:sz w:val="31"/>
          <w:szCs w:val="31"/>
        </w:rPr>
      </w:pPr>
      <w:r>
        <w:rPr>
          <w:rFonts w:ascii="宋体" w:hAnsi="宋体" w:eastAsia="宋体" w:cs="宋体"/>
          <w:color w:val="auto"/>
          <w:spacing w:val="9"/>
          <w:sz w:val="31"/>
          <w:szCs w:val="31"/>
        </w:rPr>
        <w:t>法</w:t>
      </w:r>
      <w:r>
        <w:rPr>
          <w:rFonts w:ascii="宋体" w:hAnsi="宋体" w:eastAsia="宋体" w:cs="宋体"/>
          <w:color w:val="auto"/>
          <w:spacing w:val="8"/>
          <w:sz w:val="31"/>
          <w:szCs w:val="31"/>
        </w:rPr>
        <w:t>定代表人或其委托代理人：</w:t>
      </w:r>
      <w:r>
        <w:rPr>
          <w:rFonts w:ascii="宋体" w:hAnsi="宋体" w:eastAsia="宋体" w:cs="宋体"/>
          <w:color w:val="auto"/>
          <w:sz w:val="31"/>
          <w:szCs w:val="31"/>
          <w:u w:val="single" w:color="auto"/>
        </w:rPr>
        <w:t xml:space="preserve">                       </w:t>
      </w:r>
    </w:p>
    <w:p w14:paraId="06204399">
      <w:pPr>
        <w:spacing w:line="258" w:lineRule="auto"/>
        <w:rPr>
          <w:rFonts w:ascii="Arial"/>
          <w:color w:val="auto"/>
          <w:sz w:val="21"/>
        </w:rPr>
      </w:pPr>
    </w:p>
    <w:p w14:paraId="07542BA3">
      <w:pPr>
        <w:spacing w:line="258" w:lineRule="auto"/>
        <w:rPr>
          <w:rFonts w:ascii="Arial"/>
          <w:color w:val="auto"/>
          <w:sz w:val="21"/>
        </w:rPr>
      </w:pPr>
    </w:p>
    <w:p w14:paraId="355F7643">
      <w:pPr>
        <w:spacing w:before="101" w:line="225" w:lineRule="auto"/>
        <w:ind w:left="1827"/>
        <w:rPr>
          <w:rFonts w:ascii="宋体" w:hAnsi="宋体" w:eastAsia="宋体" w:cs="宋体"/>
          <w:color w:val="auto"/>
          <w:sz w:val="31"/>
          <w:szCs w:val="31"/>
        </w:rPr>
      </w:pPr>
      <w:r>
        <w:rPr>
          <w:rFonts w:ascii="宋体" w:hAnsi="宋体" w:eastAsia="宋体" w:cs="宋体"/>
          <w:color w:val="auto"/>
          <w:spacing w:val="-10"/>
          <w:sz w:val="31"/>
          <w:szCs w:val="31"/>
        </w:rPr>
        <w:t>日</w:t>
      </w:r>
      <w:r>
        <w:rPr>
          <w:rFonts w:ascii="宋体" w:hAnsi="宋体" w:eastAsia="宋体" w:cs="宋体"/>
          <w:color w:val="auto"/>
          <w:spacing w:val="-6"/>
          <w:sz w:val="31"/>
          <w:szCs w:val="31"/>
        </w:rPr>
        <w:t>期：</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年</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月</w:t>
      </w:r>
      <w:r>
        <w:rPr>
          <w:rFonts w:ascii="宋体" w:hAnsi="宋体" w:eastAsia="宋体" w:cs="宋体"/>
          <w:color w:val="auto"/>
          <w:spacing w:val="-6"/>
          <w:sz w:val="31"/>
          <w:szCs w:val="31"/>
          <w:u w:val="single" w:color="auto"/>
        </w:rPr>
        <w:t xml:space="preserve">     </w:t>
      </w:r>
      <w:r>
        <w:rPr>
          <w:rFonts w:ascii="宋体" w:hAnsi="宋体" w:eastAsia="宋体" w:cs="宋体"/>
          <w:color w:val="auto"/>
          <w:spacing w:val="-6"/>
          <w:sz w:val="31"/>
          <w:szCs w:val="31"/>
        </w:rPr>
        <w:t>日</w:t>
      </w:r>
    </w:p>
    <w:p w14:paraId="19C67278">
      <w:pPr>
        <w:rPr>
          <w:color w:val="auto"/>
        </w:rPr>
        <w:sectPr>
          <w:footerReference r:id="rId6" w:type="default"/>
          <w:pgSz w:w="11906" w:h="16839"/>
          <w:pgMar w:top="1240" w:right="1080" w:bottom="1119" w:left="1300" w:header="0" w:footer="680" w:gutter="0"/>
          <w:pgNumType w:fmt="decimal" w:start="3"/>
          <w:cols w:space="720" w:num="1"/>
        </w:sectPr>
      </w:pPr>
    </w:p>
    <w:p w14:paraId="02476228">
      <w:pPr>
        <w:pStyle w:val="37"/>
        <w:ind w:left="0" w:leftChars="0" w:firstLine="0" w:firstLineChars="0"/>
        <w:jc w:val="cente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目  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rPr>
        <w:t>资格证明文件</w:t>
      </w:r>
      <w:r>
        <w:rPr>
          <w:rFonts w:hint="eastAsia" w:ascii="宋体" w:hAnsi="宋体" w:eastAsia="宋体" w:cs="宋体"/>
          <w:b/>
          <w:bCs/>
          <w:color w:val="auto"/>
          <w:lang w:val="en-US" w:eastAsia="zh-CN"/>
        </w:rPr>
        <w:t>)</w:t>
      </w:r>
    </w:p>
    <w:p w14:paraId="3C74E095">
      <w:pPr>
        <w:pStyle w:val="37"/>
        <w:rPr>
          <w:rFonts w:hint="eastAsia" w:hAnsi="宋体"/>
          <w:color w:val="auto"/>
        </w:rPr>
      </w:pPr>
    </w:p>
    <w:p w14:paraId="7087D7FD">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1. 资格证明文件</w:t>
      </w:r>
    </w:p>
    <w:p w14:paraId="7C6A2825">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lang w:eastAsia="zh-CN"/>
        </w:rPr>
        <w:t>竞</w:t>
      </w:r>
      <w:r>
        <w:rPr>
          <w:rFonts w:hint="eastAsia" w:ascii="宋体" w:hAnsi="宋体" w:eastAsia="宋体" w:cs="宋体"/>
          <w:color w:val="auto"/>
        </w:rPr>
        <w:t>标声明书 (格式见附件) ；</w:t>
      </w:r>
    </w:p>
    <w:p w14:paraId="636B4DDD">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法定代表人授权委托书和委托代理人正反面身份证复印件 ；</w:t>
      </w:r>
    </w:p>
    <w:p w14:paraId="7B812E71">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(3) 法定代表人正反面身份证复印件； </w:t>
      </w:r>
    </w:p>
    <w:p w14:paraId="01C0C507">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有效的三证合一的营业执照或事业单位法人证书复印件；</w:t>
      </w:r>
    </w:p>
    <w:p w14:paraId="67C73AB7">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 xml:space="preserve">) </w:t>
      </w:r>
      <w:r>
        <w:rPr>
          <w:rFonts w:hint="eastAsia" w:ascii="宋体" w:hAnsi="宋体" w:cs="宋体"/>
          <w:b w:val="0"/>
          <w:bCs/>
          <w:color w:val="auto"/>
          <w:szCs w:val="21"/>
          <w:lang w:eastAsia="zh-CN"/>
        </w:rPr>
        <w:t>供应商</w:t>
      </w:r>
      <w:r>
        <w:rPr>
          <w:rFonts w:hint="eastAsia" w:ascii="宋体" w:hAnsi="宋体" w:eastAsia="宋体" w:cs="宋体"/>
          <w:color w:val="auto"/>
        </w:rPr>
        <w:t>提供《采购项目</w:t>
      </w:r>
      <w:r>
        <w:rPr>
          <w:rFonts w:hint="eastAsia" w:ascii="宋体" w:hAnsi="宋体" w:eastAsia="宋体" w:cs="宋体"/>
          <w:color w:val="auto"/>
          <w:lang w:eastAsia="zh-CN"/>
        </w:rPr>
        <w:t>竞</w:t>
      </w:r>
      <w:r>
        <w:rPr>
          <w:rFonts w:hint="eastAsia" w:ascii="宋体" w:hAnsi="宋体" w:eastAsia="宋体" w:cs="宋体"/>
          <w:color w:val="auto"/>
        </w:rPr>
        <w:t>标资格承诺函》</w:t>
      </w:r>
      <w:r>
        <w:rPr>
          <w:rFonts w:hint="eastAsia" w:ascii="宋体" w:hAnsi="宋体" w:eastAsia="宋体" w:cs="宋体"/>
          <w:color w:val="auto"/>
          <w:lang w:eastAsia="zh-CN"/>
        </w:rPr>
        <w:t>；</w:t>
      </w:r>
    </w:p>
    <w:p w14:paraId="0385E46C">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)中小企业声明函 (参照《政府采购促进中小企业发展暂行办法》 (财库﹝2020﹞46 号)要求，提供中小企业声明函</w:t>
      </w:r>
      <w:r>
        <w:rPr>
          <w:rFonts w:hint="eastAsia" w:ascii="宋体" w:hAnsi="宋体" w:eastAsia="宋体" w:cs="宋体"/>
          <w:color w:val="auto"/>
          <w:lang w:eastAsia="zh-CN"/>
        </w:rPr>
        <w:t>；</w:t>
      </w:r>
    </w:p>
    <w:p w14:paraId="64C39B06">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cs="宋体"/>
          <w:b w:val="0"/>
          <w:bCs/>
          <w:color w:val="auto"/>
          <w:szCs w:val="21"/>
          <w:lang w:eastAsia="zh-CN"/>
        </w:rPr>
        <w:t>供应商</w:t>
      </w:r>
      <w:r>
        <w:rPr>
          <w:rFonts w:hint="eastAsia" w:ascii="宋体" w:hAnsi="宋体" w:eastAsia="宋体" w:cs="宋体"/>
          <w:color w:val="auto"/>
        </w:rPr>
        <w:t xml:space="preserve">针对资格证明需要说明的其他证明文件和说明。 </w:t>
      </w:r>
    </w:p>
    <w:p w14:paraId="61AC7A9E">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p>
    <w:p w14:paraId="0D1DD674">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562" w:firstLineChars="200"/>
        <w:jc w:val="center"/>
        <w:textAlignment w:val="auto"/>
        <w:rPr>
          <w:rFonts w:hint="eastAsia" w:ascii="宋体" w:hAnsi="宋体" w:eastAsia="宋体" w:cs="宋体"/>
          <w:color w:val="auto"/>
        </w:rPr>
      </w:pPr>
      <w:r>
        <w:rPr>
          <w:rFonts w:hint="eastAsia" w:ascii="宋体" w:hAnsi="宋体" w:eastAsia="宋体" w:cs="宋体"/>
          <w:b/>
          <w:bCs/>
          <w:color w:val="auto"/>
          <w:sz w:val="28"/>
          <w:szCs w:val="28"/>
        </w:rPr>
        <w:t>目  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1"/>
          <w:szCs w:val="21"/>
          <w:lang w:val="en-US" w:eastAsia="zh-CN"/>
        </w:rPr>
        <w:t>技术</w:t>
      </w:r>
      <w:r>
        <w:rPr>
          <w:rFonts w:hint="eastAsia" w:ascii="宋体" w:hAnsi="宋体" w:eastAsia="宋体" w:cs="宋体"/>
          <w:b/>
          <w:bCs/>
          <w:color w:val="auto"/>
        </w:rPr>
        <w:t>文件</w:t>
      </w:r>
      <w:r>
        <w:rPr>
          <w:rFonts w:hint="eastAsia" w:ascii="宋体" w:hAnsi="宋体" w:eastAsia="宋体" w:cs="宋体"/>
          <w:b/>
          <w:bCs/>
          <w:color w:val="auto"/>
          <w:lang w:val="en-US" w:eastAsia="zh-CN"/>
        </w:rPr>
        <w:t>)</w:t>
      </w:r>
    </w:p>
    <w:p w14:paraId="18D8C0E8">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2.技术文件</w:t>
      </w:r>
    </w:p>
    <w:p w14:paraId="541FD99D">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 xml:space="preserve">(1) 施工组织设计；  </w:t>
      </w:r>
    </w:p>
    <w:p w14:paraId="76F361FE">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 xml:space="preserve">) </w:t>
      </w:r>
      <w:r>
        <w:rPr>
          <w:rFonts w:hint="eastAsia" w:ascii="宋体" w:hAnsi="宋体" w:cs="宋体"/>
          <w:b w:val="0"/>
          <w:bCs/>
          <w:color w:val="auto"/>
          <w:szCs w:val="21"/>
          <w:lang w:eastAsia="zh-CN"/>
        </w:rPr>
        <w:t>供应商</w:t>
      </w:r>
      <w:r>
        <w:rPr>
          <w:rFonts w:hint="eastAsia" w:ascii="宋体" w:hAnsi="宋体" w:eastAsia="宋体" w:cs="宋体"/>
          <w:color w:val="auto"/>
        </w:rPr>
        <w:t>针对商务技术需要说明的其他文件和说明；</w:t>
      </w:r>
    </w:p>
    <w:p w14:paraId="7C83E758">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p>
    <w:p w14:paraId="6C54A0E3">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562" w:firstLineChars="200"/>
        <w:jc w:val="center"/>
        <w:textAlignment w:val="auto"/>
        <w:rPr>
          <w:rFonts w:hint="eastAsia" w:ascii="宋体" w:hAnsi="宋体" w:eastAsia="宋体" w:cs="宋体"/>
          <w:color w:val="auto"/>
        </w:rPr>
      </w:pPr>
      <w:r>
        <w:rPr>
          <w:rFonts w:hint="eastAsia" w:ascii="宋体" w:hAnsi="宋体" w:eastAsia="宋体" w:cs="宋体"/>
          <w:b/>
          <w:bCs/>
          <w:color w:val="auto"/>
          <w:sz w:val="28"/>
          <w:szCs w:val="28"/>
        </w:rPr>
        <w:t>目  录</w:t>
      </w:r>
      <w:r>
        <w:rPr>
          <w:rFonts w:hint="eastAsia" w:ascii="宋体" w:hAnsi="宋体" w:eastAsia="宋体" w:cs="宋体"/>
          <w:b/>
          <w:bCs/>
          <w:color w:val="auto"/>
          <w:sz w:val="28"/>
          <w:szCs w:val="28"/>
          <w:lang w:val="en-US" w:eastAsia="zh-CN"/>
        </w:rPr>
        <w:t>(</w:t>
      </w:r>
      <w:r>
        <w:rPr>
          <w:rFonts w:hint="eastAsia" w:ascii="宋体" w:hAnsi="宋体" w:eastAsia="宋体" w:cs="宋体"/>
          <w:b/>
          <w:bCs/>
          <w:color w:val="auto"/>
          <w:sz w:val="22"/>
          <w:szCs w:val="22"/>
          <w:lang w:val="en-US" w:eastAsia="zh-CN"/>
        </w:rPr>
        <w:t>报价</w:t>
      </w:r>
      <w:r>
        <w:rPr>
          <w:rFonts w:hint="eastAsia" w:ascii="宋体" w:hAnsi="宋体" w:eastAsia="宋体" w:cs="宋体"/>
          <w:b/>
          <w:bCs/>
          <w:color w:val="auto"/>
        </w:rPr>
        <w:t>文件</w:t>
      </w:r>
      <w:r>
        <w:rPr>
          <w:rFonts w:hint="eastAsia" w:ascii="宋体" w:hAnsi="宋体" w:eastAsia="宋体" w:cs="宋体"/>
          <w:b/>
          <w:bCs/>
          <w:color w:val="auto"/>
          <w:lang w:val="en-US" w:eastAsia="zh-CN"/>
        </w:rPr>
        <w:t>)</w:t>
      </w:r>
    </w:p>
    <w:p w14:paraId="4D853CD6">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p>
    <w:p w14:paraId="7DFF36F8">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2" w:firstLineChars="200"/>
        <w:textAlignment w:val="auto"/>
        <w:rPr>
          <w:rFonts w:hint="eastAsia" w:ascii="宋体" w:hAnsi="宋体" w:eastAsia="宋体" w:cs="宋体"/>
          <w:b/>
          <w:bCs/>
          <w:color w:val="auto"/>
        </w:rPr>
      </w:pPr>
      <w:r>
        <w:rPr>
          <w:rFonts w:hint="eastAsia" w:ascii="宋体" w:hAnsi="宋体" w:eastAsia="宋体" w:cs="宋体"/>
          <w:b/>
          <w:bCs/>
          <w:color w:val="auto"/>
        </w:rPr>
        <w:t>3.报价文件</w:t>
      </w:r>
    </w:p>
    <w:p w14:paraId="4C494353">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 磋商函；</w:t>
      </w:r>
    </w:p>
    <w:p w14:paraId="509D0F2B">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 磋商函附录</w:t>
      </w:r>
      <w:r>
        <w:rPr>
          <w:rFonts w:hint="eastAsia" w:ascii="宋体" w:hAnsi="宋体" w:eastAsia="宋体" w:cs="宋体"/>
          <w:color w:val="auto"/>
          <w:lang w:eastAsia="zh-CN"/>
        </w:rPr>
        <w:t>；</w:t>
      </w:r>
      <w:r>
        <w:rPr>
          <w:rFonts w:hint="eastAsia" w:ascii="宋体" w:hAnsi="宋体" w:eastAsia="宋体" w:cs="宋体"/>
          <w:color w:val="auto"/>
        </w:rPr>
        <w:t xml:space="preserve"> </w:t>
      </w:r>
    </w:p>
    <w:p w14:paraId="05F8666F">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(3) 已标价工程量清单；</w:t>
      </w:r>
    </w:p>
    <w:p w14:paraId="3ABA2981">
      <w:pPr>
        <w:pStyle w:val="37"/>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rPr>
        <w:t xml:space="preserve">(4) </w:t>
      </w:r>
      <w:r>
        <w:rPr>
          <w:rFonts w:hint="eastAsia" w:ascii="宋体" w:hAnsi="宋体" w:cs="宋体"/>
          <w:b w:val="0"/>
          <w:bCs/>
          <w:color w:val="auto"/>
          <w:szCs w:val="21"/>
          <w:lang w:eastAsia="zh-CN"/>
        </w:rPr>
        <w:t>供应商</w:t>
      </w:r>
      <w:r>
        <w:rPr>
          <w:rFonts w:hint="eastAsia" w:ascii="宋体" w:hAnsi="宋体" w:eastAsia="宋体" w:cs="宋体"/>
          <w:color w:val="auto"/>
        </w:rPr>
        <w:t>针对商务及报价需要说明的其他文件和说明</w:t>
      </w:r>
      <w:r>
        <w:rPr>
          <w:rFonts w:hint="eastAsia" w:ascii="宋体" w:hAnsi="宋体" w:eastAsia="宋体" w:cs="宋体"/>
          <w:color w:val="auto"/>
          <w:lang w:eastAsia="zh-CN"/>
        </w:rPr>
        <w:t>。</w:t>
      </w:r>
    </w:p>
    <w:p w14:paraId="4B811830">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51964ED">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E42181B">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CE8075B">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86BF644">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BA9DDE1">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0477E1ED">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3B269EB">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64AD9805">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DC4B1C0">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7EFFBDBA">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1471D3D">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12E10CE3">
      <w:pPr>
        <w:spacing w:before="259" w:line="241" w:lineRule="auto"/>
        <w:outlineLvl w:val="1"/>
        <w:rPr>
          <w:rFonts w:ascii="宋体" w:hAnsi="宋体" w:eastAsia="宋体" w:cs="宋体"/>
          <w:color w:val="auto"/>
          <w:sz w:val="31"/>
          <w:szCs w:val="31"/>
        </w:rPr>
      </w:pPr>
      <w:r>
        <w:rPr>
          <w:rFonts w:ascii="宋体" w:hAnsi="宋体" w:eastAsia="宋体" w:cs="宋体"/>
          <w:color w:val="auto"/>
          <w:spacing w:val="15"/>
          <w:sz w:val="20"/>
          <w:szCs w:val="20"/>
          <w14:textOutline w14:w="3795" w14:cap="sq" w14:cmpd="sng">
            <w14:solidFill>
              <w14:srgbClr w14:val="000000"/>
            </w14:solidFill>
            <w14:prstDash w14:val="solid"/>
            <w14:bevel/>
          </w14:textOutline>
        </w:rPr>
        <w:t>一</w:t>
      </w:r>
      <w:r>
        <w:rPr>
          <w:rFonts w:ascii="宋体" w:hAnsi="宋体" w:eastAsia="宋体" w:cs="宋体"/>
          <w:color w:val="auto"/>
          <w:spacing w:val="9"/>
          <w:sz w:val="31"/>
          <w:szCs w:val="31"/>
          <w14:textOutline w14:w="5793" w14:cap="sq" w14:cmpd="sng">
            <w14:solidFill>
              <w14:srgbClr w14:val="000000"/>
            </w14:solidFill>
            <w14:prstDash w14:val="solid"/>
            <w14:bevel/>
          </w14:textOutline>
        </w:rPr>
        <w:t>、资格证明文件格式</w:t>
      </w:r>
    </w:p>
    <w:p w14:paraId="6EDE2EF3">
      <w:pPr>
        <w:spacing w:line="241" w:lineRule="auto"/>
        <w:rPr>
          <w:rFonts w:ascii="Arial"/>
          <w:color w:val="auto"/>
          <w:sz w:val="21"/>
        </w:rPr>
      </w:pPr>
    </w:p>
    <w:p w14:paraId="6FE84A6D">
      <w:pPr>
        <w:spacing w:line="241" w:lineRule="auto"/>
        <w:rPr>
          <w:rFonts w:ascii="Arial"/>
          <w:color w:val="auto"/>
          <w:sz w:val="21"/>
        </w:rPr>
      </w:pPr>
    </w:p>
    <w:p w14:paraId="7BE08EAC">
      <w:pPr>
        <w:spacing w:line="241" w:lineRule="auto"/>
        <w:rPr>
          <w:rFonts w:ascii="Arial"/>
          <w:color w:val="auto"/>
          <w:sz w:val="21"/>
        </w:rPr>
      </w:pPr>
    </w:p>
    <w:p w14:paraId="0EF0F8AD">
      <w:pPr>
        <w:spacing w:line="241" w:lineRule="auto"/>
        <w:rPr>
          <w:rFonts w:ascii="Arial"/>
          <w:color w:val="auto"/>
          <w:sz w:val="21"/>
        </w:rPr>
      </w:pPr>
    </w:p>
    <w:p w14:paraId="11C0254C">
      <w:pPr>
        <w:spacing w:line="241" w:lineRule="auto"/>
        <w:rPr>
          <w:rFonts w:ascii="Arial"/>
          <w:color w:val="auto"/>
          <w:sz w:val="21"/>
        </w:rPr>
      </w:pPr>
    </w:p>
    <w:p w14:paraId="6C8D9E9D">
      <w:pPr>
        <w:spacing w:line="241" w:lineRule="auto"/>
        <w:rPr>
          <w:rFonts w:ascii="Arial"/>
          <w:color w:val="auto"/>
          <w:sz w:val="21"/>
        </w:rPr>
      </w:pPr>
    </w:p>
    <w:p w14:paraId="63A5934B">
      <w:pPr>
        <w:spacing w:line="242" w:lineRule="auto"/>
        <w:rPr>
          <w:rFonts w:ascii="Arial"/>
          <w:color w:val="auto"/>
          <w:sz w:val="21"/>
        </w:rPr>
      </w:pPr>
    </w:p>
    <w:p w14:paraId="43F6F45D">
      <w:pPr>
        <w:spacing w:line="242" w:lineRule="auto"/>
        <w:rPr>
          <w:rFonts w:ascii="Arial"/>
          <w:color w:val="auto"/>
          <w:sz w:val="21"/>
        </w:rPr>
      </w:pPr>
    </w:p>
    <w:p w14:paraId="2ABB90C1">
      <w:pPr>
        <w:spacing w:line="242" w:lineRule="auto"/>
        <w:rPr>
          <w:rFonts w:ascii="Arial"/>
          <w:color w:val="auto"/>
          <w:sz w:val="21"/>
        </w:rPr>
      </w:pPr>
    </w:p>
    <w:p w14:paraId="4D02033F">
      <w:pPr>
        <w:spacing w:line="242" w:lineRule="auto"/>
        <w:rPr>
          <w:rFonts w:ascii="Arial"/>
          <w:color w:val="auto"/>
          <w:sz w:val="21"/>
        </w:rPr>
      </w:pPr>
    </w:p>
    <w:p w14:paraId="1147AD33">
      <w:pPr>
        <w:spacing w:line="242" w:lineRule="auto"/>
        <w:rPr>
          <w:rFonts w:ascii="Arial"/>
          <w:color w:val="auto"/>
          <w:sz w:val="21"/>
        </w:rPr>
      </w:pPr>
    </w:p>
    <w:p w14:paraId="22848025">
      <w:pPr>
        <w:spacing w:line="242" w:lineRule="auto"/>
        <w:rPr>
          <w:rFonts w:ascii="Arial"/>
          <w:color w:val="auto"/>
          <w:sz w:val="21"/>
        </w:rPr>
      </w:pPr>
    </w:p>
    <w:p w14:paraId="07B548F0">
      <w:pPr>
        <w:spacing w:line="242" w:lineRule="auto"/>
        <w:rPr>
          <w:rFonts w:ascii="Arial"/>
          <w:color w:val="auto"/>
          <w:sz w:val="21"/>
        </w:rPr>
      </w:pPr>
    </w:p>
    <w:p w14:paraId="77F6E3BA">
      <w:pPr>
        <w:spacing w:line="242" w:lineRule="auto"/>
        <w:rPr>
          <w:rFonts w:ascii="Arial"/>
          <w:color w:val="auto"/>
          <w:sz w:val="21"/>
        </w:rPr>
      </w:pPr>
    </w:p>
    <w:p w14:paraId="65965D7A">
      <w:pPr>
        <w:spacing w:line="242" w:lineRule="auto"/>
        <w:rPr>
          <w:rFonts w:ascii="Arial"/>
          <w:color w:val="auto"/>
          <w:sz w:val="21"/>
        </w:rPr>
      </w:pPr>
    </w:p>
    <w:p w14:paraId="635D80AC">
      <w:pPr>
        <w:spacing w:line="242" w:lineRule="auto"/>
        <w:rPr>
          <w:rFonts w:ascii="Arial"/>
          <w:color w:val="auto"/>
          <w:sz w:val="21"/>
        </w:rPr>
      </w:pPr>
    </w:p>
    <w:p w14:paraId="09306A2B">
      <w:pPr>
        <w:spacing w:before="140" w:line="224" w:lineRule="auto"/>
        <w:ind w:left="0" w:leftChars="0" w:firstLine="0" w:firstLineChars="0"/>
        <w:jc w:val="center"/>
        <w:outlineLvl w:val="1"/>
        <w:rPr>
          <w:rFonts w:ascii="宋体" w:hAnsi="宋体" w:eastAsia="宋体" w:cs="宋体"/>
          <w:color w:val="auto"/>
          <w:sz w:val="43"/>
          <w:szCs w:val="43"/>
        </w:rPr>
      </w:pPr>
      <w:r>
        <w:rPr>
          <w:rFonts w:ascii="宋体" w:hAnsi="宋体" w:eastAsia="宋体" w:cs="宋体"/>
          <w:color w:val="auto"/>
          <w:spacing w:val="5"/>
          <w:sz w:val="43"/>
          <w:szCs w:val="43"/>
          <w14:textOutline w14:w="7972" w14:cap="sq" w14:cmpd="sng">
            <w14:solidFill>
              <w14:srgbClr w14:val="000000"/>
            </w14:solidFill>
            <w14:prstDash w14:val="solid"/>
            <w14:bevel/>
          </w14:textOutline>
        </w:rPr>
        <w:t>资格证明文件</w:t>
      </w:r>
    </w:p>
    <w:p w14:paraId="250C685F">
      <w:pPr>
        <w:rPr>
          <w:color w:val="auto"/>
        </w:rPr>
      </w:pPr>
    </w:p>
    <w:p w14:paraId="4FBBCD09">
      <w:pPr>
        <w:pStyle w:val="37"/>
        <w:rPr>
          <w:color w:val="auto"/>
        </w:rPr>
      </w:pPr>
    </w:p>
    <w:p w14:paraId="49B47917">
      <w:pPr>
        <w:pStyle w:val="37"/>
        <w:rPr>
          <w:color w:val="auto"/>
        </w:rPr>
      </w:pPr>
    </w:p>
    <w:p w14:paraId="72429898">
      <w:pPr>
        <w:pStyle w:val="37"/>
        <w:rPr>
          <w:color w:val="auto"/>
        </w:rPr>
      </w:pPr>
    </w:p>
    <w:p w14:paraId="113D39AE">
      <w:pPr>
        <w:pStyle w:val="37"/>
        <w:rPr>
          <w:color w:val="auto"/>
        </w:rPr>
      </w:pPr>
    </w:p>
    <w:p w14:paraId="1923C81F">
      <w:pPr>
        <w:pStyle w:val="37"/>
        <w:rPr>
          <w:color w:val="auto"/>
        </w:rPr>
      </w:pPr>
    </w:p>
    <w:p w14:paraId="5052D68A">
      <w:pPr>
        <w:pStyle w:val="37"/>
        <w:rPr>
          <w:color w:val="auto"/>
        </w:rPr>
      </w:pPr>
    </w:p>
    <w:p w14:paraId="46A225D0">
      <w:pPr>
        <w:pStyle w:val="37"/>
        <w:rPr>
          <w:color w:val="auto"/>
        </w:rPr>
      </w:pPr>
    </w:p>
    <w:p w14:paraId="0A66DDC8">
      <w:pPr>
        <w:pStyle w:val="37"/>
        <w:rPr>
          <w:color w:val="auto"/>
        </w:rPr>
      </w:pPr>
    </w:p>
    <w:p w14:paraId="256D778C">
      <w:pPr>
        <w:pStyle w:val="37"/>
        <w:rPr>
          <w:color w:val="auto"/>
        </w:rPr>
      </w:pPr>
    </w:p>
    <w:p w14:paraId="03D20A49">
      <w:pPr>
        <w:pStyle w:val="37"/>
        <w:rPr>
          <w:color w:val="auto"/>
        </w:rPr>
      </w:pPr>
    </w:p>
    <w:p w14:paraId="1270F72F">
      <w:pPr>
        <w:pStyle w:val="37"/>
        <w:rPr>
          <w:color w:val="auto"/>
        </w:rPr>
      </w:pPr>
    </w:p>
    <w:p w14:paraId="510CFE20">
      <w:pPr>
        <w:pStyle w:val="37"/>
        <w:rPr>
          <w:color w:val="auto"/>
        </w:rPr>
      </w:pPr>
    </w:p>
    <w:p w14:paraId="10D3C491">
      <w:pPr>
        <w:pStyle w:val="37"/>
        <w:rPr>
          <w:color w:val="auto"/>
        </w:rPr>
      </w:pPr>
    </w:p>
    <w:p w14:paraId="538D548A">
      <w:pPr>
        <w:pStyle w:val="37"/>
        <w:rPr>
          <w:color w:val="auto"/>
        </w:rPr>
      </w:pPr>
    </w:p>
    <w:p w14:paraId="4AA5FB11">
      <w:pPr>
        <w:pStyle w:val="37"/>
        <w:rPr>
          <w:color w:val="auto"/>
        </w:rPr>
      </w:pPr>
    </w:p>
    <w:p w14:paraId="40522F7E">
      <w:pPr>
        <w:pStyle w:val="37"/>
        <w:rPr>
          <w:color w:val="auto"/>
        </w:rPr>
      </w:pPr>
    </w:p>
    <w:p w14:paraId="4DAB6C23">
      <w:pPr>
        <w:pStyle w:val="37"/>
        <w:rPr>
          <w:color w:val="auto"/>
        </w:rPr>
      </w:pPr>
    </w:p>
    <w:p w14:paraId="0CC70531">
      <w:pPr>
        <w:pStyle w:val="37"/>
        <w:rPr>
          <w:color w:val="auto"/>
        </w:rPr>
      </w:pPr>
    </w:p>
    <w:p w14:paraId="28C86C3D">
      <w:pPr>
        <w:pStyle w:val="37"/>
        <w:rPr>
          <w:color w:val="auto"/>
        </w:rPr>
      </w:pPr>
    </w:p>
    <w:p w14:paraId="27D089DC">
      <w:pPr>
        <w:pStyle w:val="37"/>
        <w:rPr>
          <w:color w:val="auto"/>
        </w:rPr>
      </w:pPr>
    </w:p>
    <w:p w14:paraId="25C7EAB7">
      <w:pPr>
        <w:pStyle w:val="37"/>
        <w:rPr>
          <w:color w:val="auto"/>
        </w:rPr>
      </w:pPr>
    </w:p>
    <w:p w14:paraId="489A4D3E">
      <w:pPr>
        <w:pStyle w:val="37"/>
        <w:rPr>
          <w:color w:val="auto"/>
        </w:rPr>
      </w:pPr>
    </w:p>
    <w:p w14:paraId="3F280E87">
      <w:pPr>
        <w:pStyle w:val="37"/>
        <w:rPr>
          <w:color w:val="auto"/>
        </w:rPr>
      </w:pPr>
    </w:p>
    <w:p w14:paraId="66C5A29E">
      <w:pPr>
        <w:pStyle w:val="37"/>
        <w:rPr>
          <w:color w:val="auto"/>
        </w:rPr>
      </w:pPr>
    </w:p>
    <w:p w14:paraId="7312B650">
      <w:pPr>
        <w:pStyle w:val="37"/>
        <w:rPr>
          <w:color w:val="auto"/>
        </w:rPr>
      </w:pPr>
    </w:p>
    <w:p w14:paraId="0EE43E20">
      <w:pPr>
        <w:pStyle w:val="37"/>
        <w:rPr>
          <w:color w:val="auto"/>
        </w:rPr>
      </w:pPr>
    </w:p>
    <w:p w14:paraId="5CD2957A">
      <w:pPr>
        <w:pStyle w:val="37"/>
        <w:rPr>
          <w:color w:val="auto"/>
        </w:rPr>
      </w:pPr>
    </w:p>
    <w:p w14:paraId="05814CDE">
      <w:pPr>
        <w:pStyle w:val="37"/>
        <w:rPr>
          <w:color w:val="auto"/>
        </w:rPr>
      </w:pPr>
    </w:p>
    <w:p w14:paraId="1D9E7B7A">
      <w:pPr>
        <w:pStyle w:val="37"/>
        <w:rPr>
          <w:color w:val="auto"/>
        </w:rPr>
      </w:pPr>
    </w:p>
    <w:p w14:paraId="23EE6C4C">
      <w:pPr>
        <w:pStyle w:val="37"/>
        <w:rPr>
          <w:rFonts w:hint="eastAsia" w:ascii="宋体" w:hAnsi="宋体" w:eastAsia="宋体" w:cs="宋体"/>
          <w:b/>
          <w:bCs/>
          <w:color w:val="auto"/>
          <w:sz w:val="24"/>
          <w:szCs w:val="32"/>
        </w:rPr>
      </w:pPr>
      <w:r>
        <w:rPr>
          <w:rFonts w:hint="eastAsia" w:ascii="宋体" w:hAnsi="宋体" w:eastAsia="宋体" w:cs="宋体"/>
          <w:b/>
          <w:bCs/>
          <w:color w:val="auto"/>
          <w:sz w:val="24"/>
          <w:szCs w:val="32"/>
        </w:rPr>
        <w:t>1.</w:t>
      </w:r>
      <w:r>
        <w:rPr>
          <w:rFonts w:hint="eastAsia" w:ascii="宋体" w:hAnsi="宋体" w:eastAsia="宋体" w:cs="宋体"/>
          <w:b/>
          <w:bCs/>
          <w:color w:val="auto"/>
          <w:sz w:val="24"/>
          <w:szCs w:val="32"/>
          <w:lang w:eastAsia="zh-CN"/>
        </w:rPr>
        <w:t>竞</w:t>
      </w:r>
      <w:r>
        <w:rPr>
          <w:rFonts w:hint="eastAsia" w:ascii="宋体" w:hAnsi="宋体" w:eastAsia="宋体" w:cs="宋体"/>
          <w:b/>
          <w:bCs/>
          <w:color w:val="auto"/>
          <w:sz w:val="24"/>
          <w:szCs w:val="32"/>
        </w:rPr>
        <w:t>标声明书格式：</w:t>
      </w:r>
    </w:p>
    <w:p w14:paraId="6A5202C1">
      <w:pPr>
        <w:pStyle w:val="37"/>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竞</w:t>
      </w:r>
      <w:r>
        <w:rPr>
          <w:rFonts w:hint="eastAsia" w:ascii="宋体" w:hAnsi="宋体" w:eastAsia="宋体" w:cs="宋体"/>
          <w:b/>
          <w:bCs/>
          <w:color w:val="auto"/>
          <w:sz w:val="32"/>
          <w:szCs w:val="32"/>
        </w:rPr>
        <w:t>标声明书</w:t>
      </w:r>
    </w:p>
    <w:p w14:paraId="62966C47">
      <w:pPr>
        <w:pStyle w:val="37"/>
        <w:rPr>
          <w:rFonts w:hint="eastAsia" w:ascii="宋体" w:hAnsi="宋体" w:eastAsia="宋体" w:cs="宋体"/>
          <w:color w:val="auto"/>
        </w:rPr>
      </w:pPr>
    </w:p>
    <w:p w14:paraId="21E255EA">
      <w:pPr>
        <w:pStyle w:val="37"/>
        <w:rPr>
          <w:rFonts w:hint="eastAsia" w:ascii="宋体" w:hAnsi="宋体" w:eastAsia="宋体" w:cs="宋体"/>
          <w:color w:val="auto"/>
        </w:rPr>
      </w:pPr>
    </w:p>
    <w:p w14:paraId="0F0A97C6">
      <w:pPr>
        <w:pStyle w:val="37"/>
        <w:spacing w:line="360" w:lineRule="auto"/>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i w:val="0"/>
          <w:iCs w:val="0"/>
          <w:color w:val="auto"/>
          <w:u w:val="single"/>
        </w:rPr>
        <w:t>(采购</w:t>
      </w:r>
      <w:r>
        <w:rPr>
          <w:rFonts w:hint="eastAsia" w:ascii="宋体" w:hAnsi="宋体" w:eastAsia="宋体" w:cs="宋体"/>
          <w:i w:val="0"/>
          <w:iCs w:val="0"/>
          <w:color w:val="auto"/>
          <w:u w:val="single"/>
          <w:lang w:eastAsia="zh-CN"/>
        </w:rPr>
        <w:t>人</w:t>
      </w:r>
      <w:r>
        <w:rPr>
          <w:rFonts w:hint="eastAsia" w:ascii="宋体" w:hAnsi="宋体" w:eastAsia="宋体" w:cs="宋体"/>
          <w:i w:val="0"/>
          <w:iCs w:val="0"/>
          <w:color w:val="auto"/>
          <w:u w:val="single"/>
        </w:rPr>
        <w:t>名称)</w:t>
      </w:r>
      <w:r>
        <w:rPr>
          <w:rFonts w:hint="eastAsia" w:ascii="宋体" w:hAnsi="宋体" w:eastAsia="宋体" w:cs="宋体"/>
          <w:i w:val="0"/>
          <w:iCs w:val="0"/>
          <w:color w:val="auto"/>
          <w:u w:val="single"/>
          <w:lang w:val="en-US" w:eastAsia="zh-CN"/>
        </w:rPr>
        <w:t xml:space="preserve">       </w:t>
      </w:r>
      <w:r>
        <w:rPr>
          <w:rFonts w:hint="eastAsia" w:ascii="宋体" w:hAnsi="宋体" w:eastAsia="宋体" w:cs="宋体"/>
          <w:color w:val="auto"/>
        </w:rPr>
        <w:t>：</w:t>
      </w:r>
    </w:p>
    <w:p w14:paraId="3C5AF54F">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u w:val="single"/>
        </w:rPr>
        <w:t>(</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rPr>
        <w:t>系中华人民共和国合法企业，经营地址</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14:paraId="574DE2B4">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我</w:t>
      </w:r>
      <w:r>
        <w:rPr>
          <w:rFonts w:hint="eastAsia" w:ascii="宋体" w:hAnsi="宋体" w:eastAsia="宋体" w:cs="宋体"/>
          <w:color w:val="auto"/>
          <w:u w:val="single"/>
        </w:rPr>
        <w:t xml:space="preserve">     (姓名)</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供应商</w:t>
      </w:r>
      <w:r>
        <w:rPr>
          <w:rFonts w:hint="eastAsia" w:ascii="宋体" w:hAnsi="宋体" w:eastAsia="宋体" w:cs="宋体"/>
          <w:color w:val="auto"/>
          <w:u w:val="single"/>
        </w:rPr>
        <w:t>名称)</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的法定代表人，我方愿意参加贵方组织的</w:t>
      </w:r>
      <w:r>
        <w:rPr>
          <w:rFonts w:hint="eastAsia" w:ascii="宋体" w:hAnsi="宋体" w:eastAsia="宋体" w:cs="宋体"/>
          <w:color w:val="auto"/>
          <w:u w:val="single"/>
        </w:rPr>
        <w:t xml:space="preserve">                           </w:t>
      </w:r>
      <w:r>
        <w:rPr>
          <w:rFonts w:hint="eastAsia" w:ascii="宋体" w:hAnsi="宋体" w:eastAsia="宋体" w:cs="宋体"/>
          <w:color w:val="auto"/>
        </w:rPr>
        <w:t>项目的</w:t>
      </w:r>
      <w:r>
        <w:rPr>
          <w:rFonts w:hint="eastAsia" w:ascii="宋体" w:hAnsi="宋体" w:eastAsia="宋体" w:cs="宋体"/>
          <w:color w:val="auto"/>
          <w:lang w:eastAsia="zh-CN"/>
        </w:rPr>
        <w:t>竞争性磋商采购活动</w:t>
      </w:r>
      <w:r>
        <w:rPr>
          <w:rFonts w:hint="eastAsia" w:ascii="宋体" w:hAnsi="宋体" w:eastAsia="宋体" w:cs="宋体"/>
          <w:color w:val="auto"/>
        </w:rPr>
        <w:t>，为便于贵方公正、择优地确定</w:t>
      </w:r>
      <w:r>
        <w:rPr>
          <w:rFonts w:hint="eastAsia" w:ascii="宋体" w:hAnsi="宋体" w:eastAsia="宋体" w:cs="宋体"/>
          <w:color w:val="auto"/>
          <w:lang w:eastAsia="zh-CN"/>
        </w:rPr>
        <w:t>成交</w:t>
      </w:r>
      <w:r>
        <w:rPr>
          <w:rFonts w:hint="eastAsia" w:ascii="宋体" w:hAnsi="宋体" w:eastAsia="宋体" w:cs="宋体"/>
          <w:color w:val="auto"/>
        </w:rPr>
        <w:t>人及其</w:t>
      </w:r>
      <w:r>
        <w:rPr>
          <w:rFonts w:hint="eastAsia" w:ascii="宋体" w:hAnsi="宋体" w:eastAsia="宋体" w:cs="宋体"/>
          <w:color w:val="auto"/>
          <w:lang w:eastAsia="zh-CN"/>
        </w:rPr>
        <w:t>竞</w:t>
      </w:r>
      <w:r>
        <w:rPr>
          <w:rFonts w:hint="eastAsia" w:ascii="宋体" w:hAnsi="宋体" w:eastAsia="宋体" w:cs="宋体"/>
          <w:color w:val="auto"/>
        </w:rPr>
        <w:t>标产品和服务，我方就本次</w:t>
      </w:r>
      <w:r>
        <w:rPr>
          <w:rFonts w:hint="eastAsia" w:ascii="宋体" w:hAnsi="宋体" w:eastAsia="宋体" w:cs="宋体"/>
          <w:color w:val="auto"/>
          <w:lang w:eastAsia="zh-CN"/>
        </w:rPr>
        <w:t>竞</w:t>
      </w:r>
      <w:r>
        <w:rPr>
          <w:rFonts w:hint="eastAsia" w:ascii="宋体" w:hAnsi="宋体" w:eastAsia="宋体" w:cs="宋体"/>
          <w:color w:val="auto"/>
        </w:rPr>
        <w:t>标有关事项郑重声明如下：</w:t>
      </w:r>
    </w:p>
    <w:p w14:paraId="2BE75D7C">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1.我方向贵方提交的所有</w:t>
      </w:r>
      <w:r>
        <w:rPr>
          <w:rFonts w:hint="eastAsia" w:ascii="宋体" w:hAnsi="宋体" w:eastAsia="宋体" w:cs="宋体"/>
          <w:color w:val="auto"/>
          <w:lang w:eastAsia="zh-CN"/>
        </w:rPr>
        <w:t>响应</w:t>
      </w:r>
      <w:r>
        <w:rPr>
          <w:rFonts w:hint="eastAsia" w:ascii="宋体" w:hAnsi="宋体" w:eastAsia="宋体" w:cs="宋体"/>
          <w:color w:val="auto"/>
        </w:rPr>
        <w:t>文件、资料都是准确的和真实的。</w:t>
      </w:r>
    </w:p>
    <w:p w14:paraId="4DC9E9A7">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2.我方不是采购人的附属机构；在获知本项目采购信息后，与采购人聘请的为此项目提供咨询服务的公司及其附属机构没有任何联系。</w:t>
      </w:r>
    </w:p>
    <w:p w14:paraId="13B06F72">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val="en-US" w:eastAsia="zh-CN"/>
        </w:rPr>
        <w:t>3</w:t>
      </w:r>
      <w:r>
        <w:rPr>
          <w:rFonts w:hint="eastAsia" w:ascii="宋体" w:hAnsi="宋体" w:eastAsia="宋体" w:cs="宋体"/>
          <w:color w:val="auto"/>
        </w:rPr>
        <w:t>.我方及由本人担任法定代表人的其他机构最近三年内被通报或者被处罚的违法行为有：</w:t>
      </w:r>
      <w:r>
        <w:rPr>
          <w:rFonts w:hint="eastAsia" w:ascii="宋体" w:hAnsi="宋体" w:eastAsia="宋体" w:cs="宋体"/>
          <w:color w:val="auto"/>
          <w:u w:val="single"/>
          <w:lang w:val="en-US" w:eastAsia="zh-CN"/>
        </w:rPr>
        <w:t xml:space="preserve">           </w:t>
      </w:r>
    </w:p>
    <w:p w14:paraId="74379891">
      <w:pPr>
        <w:pStyle w:val="3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ascii="宋体" w:hAnsi="宋体" w:eastAsia="宋体" w:cs="宋体"/>
          <w:color w:val="auto"/>
          <w:lang w:val="en-US" w:eastAsia="zh-CN"/>
        </w:rPr>
      </w:pPr>
      <w:r>
        <w:rPr>
          <w:rFonts w:hint="eastAsia" w:ascii="宋体" w:hAnsi="宋体" w:eastAsia="宋体" w:cs="宋体"/>
          <w:color w:val="auto"/>
          <w:u w:val="single"/>
          <w:lang w:val="en-US" w:eastAsia="zh-CN"/>
        </w:rPr>
        <w:t xml:space="preserve">                                                                                              </w:t>
      </w:r>
    </w:p>
    <w:p w14:paraId="23C348CB">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.以上事项如有虚假或隐瞒，我方愿意承担一切后果，并不再寻求任何旨在减轻或免除法 律责任的辩解。</w:t>
      </w:r>
    </w:p>
    <w:p w14:paraId="4B878F80">
      <w:pPr>
        <w:pStyle w:val="3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rPr>
      </w:pPr>
    </w:p>
    <w:p w14:paraId="41CDB218">
      <w:pPr>
        <w:pStyle w:val="37"/>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 xml:space="preserve">               </w:t>
      </w:r>
    </w:p>
    <w:p w14:paraId="5DD73C3D">
      <w:pPr>
        <w:pStyle w:val="37"/>
        <w:keepNext w:val="0"/>
        <w:keepLines w:val="0"/>
        <w:pageBreakBefore w:val="0"/>
        <w:widowControl w:val="0"/>
        <w:kinsoku/>
        <w:wordWrap/>
        <w:overflowPunct/>
        <w:topLinePunct w:val="0"/>
        <w:autoSpaceDE w:val="0"/>
        <w:autoSpaceDN w:val="0"/>
        <w:bidi w:val="0"/>
        <w:adjustRightInd w:val="0"/>
        <w:snapToGrid/>
        <w:spacing w:line="600" w:lineRule="exact"/>
        <w:ind w:firstLine="4830" w:firstLineChars="2300"/>
        <w:textAlignment w:val="auto"/>
        <w:rPr>
          <w:rFonts w:hint="eastAsia" w:ascii="宋体" w:hAnsi="宋体" w:eastAsia="宋体" w:cs="宋体"/>
          <w:color w:val="auto"/>
          <w:u w:val="single"/>
        </w:rPr>
      </w:pPr>
      <w:r>
        <w:rPr>
          <w:rFonts w:hint="eastAsia" w:ascii="宋体" w:hAnsi="宋体" w:cs="宋体"/>
          <w:b w:val="0"/>
          <w:bCs/>
          <w:color w:val="auto"/>
          <w:szCs w:val="21"/>
          <w:lang w:eastAsia="zh-CN"/>
        </w:rPr>
        <w:t>供应商</w:t>
      </w:r>
      <w:r>
        <w:rPr>
          <w:rFonts w:hint="eastAsia" w:ascii="宋体" w:hAnsi="宋体" w:eastAsia="宋体" w:cs="宋体"/>
          <w:color w:val="auto"/>
        </w:rPr>
        <w:t>公章：</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p>
    <w:p w14:paraId="06429FC0">
      <w:pPr>
        <w:pStyle w:val="37"/>
        <w:keepNext w:val="0"/>
        <w:keepLines w:val="0"/>
        <w:pageBreakBefore w:val="0"/>
        <w:widowControl w:val="0"/>
        <w:kinsoku/>
        <w:wordWrap/>
        <w:overflowPunct/>
        <w:topLinePunct w:val="0"/>
        <w:autoSpaceDE w:val="0"/>
        <w:autoSpaceDN w:val="0"/>
        <w:bidi w:val="0"/>
        <w:adjustRightInd w:val="0"/>
        <w:snapToGrid/>
        <w:spacing w:line="600" w:lineRule="exact"/>
        <w:ind w:firstLine="6930" w:firstLineChars="3300"/>
        <w:textAlignment w:val="auto"/>
        <w:rPr>
          <w:rFonts w:hint="eastAsia" w:ascii="宋体" w:hAnsi="宋体" w:eastAsia="宋体" w:cs="宋体"/>
          <w:color w:val="auto"/>
        </w:rPr>
      </w:pPr>
      <w:r>
        <w:rPr>
          <w:rFonts w:hint="eastAsia" w:ascii="宋体" w:hAnsi="宋体" w:eastAsia="宋体" w:cs="宋体"/>
          <w:color w:val="auto"/>
        </w:rPr>
        <w:t>年    月    日</w:t>
      </w:r>
    </w:p>
    <w:p w14:paraId="1C49A8A2">
      <w:pPr>
        <w:pStyle w:val="37"/>
        <w:spacing w:line="360" w:lineRule="auto"/>
        <w:ind w:firstLine="5670" w:firstLineChars="2700"/>
        <w:rPr>
          <w:rFonts w:hint="eastAsia" w:ascii="宋体" w:hAnsi="宋体" w:eastAsia="宋体" w:cs="宋体"/>
          <w:color w:val="auto"/>
        </w:rPr>
      </w:pPr>
    </w:p>
    <w:p w14:paraId="6085CDA6">
      <w:pPr>
        <w:pStyle w:val="37"/>
        <w:spacing w:line="360" w:lineRule="auto"/>
        <w:ind w:firstLine="5670" w:firstLineChars="2700"/>
        <w:rPr>
          <w:rFonts w:hint="eastAsia" w:ascii="宋体" w:hAnsi="宋体" w:eastAsia="宋体" w:cs="宋体"/>
          <w:color w:val="auto"/>
        </w:rPr>
      </w:pPr>
    </w:p>
    <w:p w14:paraId="58427295">
      <w:pPr>
        <w:pStyle w:val="37"/>
        <w:spacing w:line="360" w:lineRule="auto"/>
        <w:ind w:firstLine="5670" w:firstLineChars="2700"/>
        <w:rPr>
          <w:rFonts w:hint="eastAsia" w:ascii="宋体" w:hAnsi="宋体" w:eastAsia="宋体" w:cs="宋体"/>
          <w:color w:val="auto"/>
        </w:rPr>
      </w:pPr>
    </w:p>
    <w:p w14:paraId="498064DF">
      <w:pPr>
        <w:pStyle w:val="37"/>
        <w:spacing w:line="360" w:lineRule="auto"/>
        <w:ind w:firstLine="5670" w:firstLineChars="2700"/>
        <w:rPr>
          <w:rFonts w:hint="eastAsia" w:ascii="宋体" w:hAnsi="宋体" w:eastAsia="宋体" w:cs="宋体"/>
          <w:color w:val="auto"/>
        </w:rPr>
      </w:pPr>
    </w:p>
    <w:p w14:paraId="62A49056">
      <w:pPr>
        <w:pStyle w:val="37"/>
        <w:spacing w:line="360" w:lineRule="auto"/>
        <w:ind w:firstLine="5670" w:firstLineChars="2700"/>
        <w:rPr>
          <w:rFonts w:hint="eastAsia" w:ascii="宋体" w:hAnsi="宋体" w:eastAsia="宋体" w:cs="宋体"/>
          <w:color w:val="auto"/>
        </w:rPr>
      </w:pPr>
    </w:p>
    <w:p w14:paraId="1B788575">
      <w:pPr>
        <w:pStyle w:val="37"/>
        <w:spacing w:line="360" w:lineRule="auto"/>
        <w:ind w:firstLine="5670" w:firstLineChars="2700"/>
        <w:rPr>
          <w:rFonts w:hint="eastAsia" w:ascii="宋体" w:hAnsi="宋体" w:eastAsia="宋体" w:cs="宋体"/>
          <w:color w:val="auto"/>
        </w:rPr>
      </w:pPr>
    </w:p>
    <w:p w14:paraId="4230D01B">
      <w:pPr>
        <w:pStyle w:val="37"/>
        <w:spacing w:line="360" w:lineRule="auto"/>
        <w:ind w:firstLine="5670" w:firstLineChars="2700"/>
        <w:rPr>
          <w:rFonts w:hint="eastAsia" w:ascii="宋体" w:hAnsi="宋体" w:eastAsia="宋体" w:cs="宋体"/>
          <w:color w:val="auto"/>
        </w:rPr>
      </w:pPr>
    </w:p>
    <w:p w14:paraId="365BDEB2">
      <w:pPr>
        <w:pStyle w:val="37"/>
        <w:spacing w:line="360" w:lineRule="auto"/>
        <w:ind w:firstLine="5670" w:firstLineChars="2700"/>
        <w:rPr>
          <w:rFonts w:hint="eastAsia" w:ascii="宋体" w:hAnsi="宋体" w:eastAsia="宋体" w:cs="宋体"/>
          <w:color w:val="auto"/>
        </w:rPr>
      </w:pPr>
    </w:p>
    <w:p w14:paraId="45EBEDEB">
      <w:pPr>
        <w:pStyle w:val="37"/>
        <w:spacing w:line="360" w:lineRule="auto"/>
        <w:ind w:firstLine="5670" w:firstLineChars="2700"/>
        <w:rPr>
          <w:rFonts w:hint="eastAsia" w:ascii="宋体" w:hAnsi="宋体" w:eastAsia="宋体" w:cs="宋体"/>
          <w:color w:val="auto"/>
        </w:rPr>
      </w:pPr>
    </w:p>
    <w:p w14:paraId="60A860F7">
      <w:pPr>
        <w:pStyle w:val="37"/>
        <w:spacing w:line="360" w:lineRule="auto"/>
        <w:ind w:firstLine="5670" w:firstLineChars="2700"/>
        <w:rPr>
          <w:rFonts w:hint="eastAsia" w:ascii="宋体" w:hAnsi="宋体" w:eastAsia="宋体" w:cs="宋体"/>
          <w:color w:val="auto"/>
        </w:rPr>
      </w:pPr>
    </w:p>
    <w:p w14:paraId="3AB86A8B">
      <w:pPr>
        <w:pStyle w:val="37"/>
        <w:spacing w:line="360" w:lineRule="auto"/>
        <w:ind w:firstLine="5670" w:firstLineChars="2700"/>
        <w:rPr>
          <w:rFonts w:hint="eastAsia" w:ascii="宋体" w:hAnsi="宋体" w:eastAsia="宋体" w:cs="宋体"/>
          <w:color w:val="auto"/>
        </w:rPr>
      </w:pPr>
    </w:p>
    <w:p w14:paraId="2F39DAE1">
      <w:pPr>
        <w:pStyle w:val="37"/>
        <w:spacing w:line="360" w:lineRule="auto"/>
        <w:ind w:firstLine="5670" w:firstLineChars="2700"/>
        <w:rPr>
          <w:rFonts w:hint="eastAsia" w:ascii="宋体" w:hAnsi="宋体" w:eastAsia="宋体" w:cs="宋体"/>
          <w:color w:val="auto"/>
        </w:rPr>
      </w:pPr>
    </w:p>
    <w:p w14:paraId="47FAF4FC">
      <w:pPr>
        <w:pStyle w:val="37"/>
        <w:spacing w:line="360" w:lineRule="auto"/>
        <w:ind w:firstLine="5670" w:firstLineChars="2700"/>
        <w:rPr>
          <w:rFonts w:hint="eastAsia" w:ascii="宋体" w:hAnsi="宋体" w:eastAsia="宋体" w:cs="宋体"/>
          <w:color w:val="auto"/>
        </w:rPr>
      </w:pPr>
    </w:p>
    <w:p w14:paraId="7A072E52">
      <w:pPr>
        <w:pStyle w:val="37"/>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2. 法定代表人授权委托书和委托代理人正反面身份证复印件 (委托代理时需要提供) 格式：</w:t>
      </w:r>
    </w:p>
    <w:p w14:paraId="1E367715">
      <w:pPr>
        <w:pStyle w:val="37"/>
        <w:spacing w:line="360" w:lineRule="auto"/>
        <w:jc w:val="center"/>
        <w:rPr>
          <w:rFonts w:hint="eastAsia" w:ascii="宋体" w:hAnsi="宋体" w:eastAsia="宋体" w:cs="宋体"/>
          <w:b/>
          <w:bCs/>
          <w:color w:val="auto"/>
          <w:sz w:val="22"/>
          <w:szCs w:val="22"/>
        </w:rPr>
      </w:pPr>
    </w:p>
    <w:p w14:paraId="3968F3E9">
      <w:pPr>
        <w:pStyle w:val="37"/>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法定代表人授权委托书</w:t>
      </w:r>
    </w:p>
    <w:p w14:paraId="01BEDE6F">
      <w:pPr>
        <w:pStyle w:val="37"/>
        <w:spacing w:line="360" w:lineRule="auto"/>
        <w:rPr>
          <w:rFonts w:hint="eastAsia" w:ascii="宋体" w:hAnsi="宋体" w:eastAsia="宋体" w:cs="宋体"/>
          <w:color w:val="auto"/>
          <w:sz w:val="21"/>
          <w:szCs w:val="21"/>
        </w:rPr>
      </w:pPr>
    </w:p>
    <w:p w14:paraId="09E1D8A5">
      <w:pPr>
        <w:pStyle w:val="37"/>
        <w:spacing w:line="360" w:lineRule="auto"/>
        <w:rPr>
          <w:rFonts w:hint="eastAsia" w:ascii="宋体" w:hAnsi="宋体" w:eastAsia="宋体" w:cs="宋体"/>
          <w:color w:val="auto"/>
          <w:sz w:val="21"/>
          <w:szCs w:val="21"/>
        </w:rPr>
      </w:pPr>
    </w:p>
    <w:p w14:paraId="68F0F76C">
      <w:pPr>
        <w:pStyle w:val="3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 xml:space="preserve">     (采购</w:t>
      </w:r>
      <w:r>
        <w:rPr>
          <w:rFonts w:hint="eastAsia" w:ascii="宋体" w:hAnsi="宋体" w:eastAsia="宋体" w:cs="宋体"/>
          <w:color w:val="auto"/>
          <w:sz w:val="21"/>
          <w:szCs w:val="21"/>
          <w:u w:val="single"/>
          <w:lang w:eastAsia="zh-CN"/>
        </w:rPr>
        <w:t>人</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71D032EE">
      <w:pPr>
        <w:pStyle w:val="37"/>
        <w:spacing w:line="360" w:lineRule="auto"/>
        <w:rPr>
          <w:rFonts w:hint="eastAsia" w:ascii="宋体" w:hAnsi="宋体" w:eastAsia="宋体" w:cs="宋体"/>
          <w:color w:val="auto"/>
          <w:sz w:val="21"/>
          <w:szCs w:val="21"/>
        </w:rPr>
      </w:pPr>
    </w:p>
    <w:p w14:paraId="3F84343F">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 </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系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供应商</w:t>
      </w:r>
      <w:r>
        <w:rPr>
          <w:rFonts w:hint="eastAsia" w:ascii="宋体" w:hAnsi="宋体" w:eastAsia="宋体" w:cs="宋体"/>
          <w:color w:val="auto"/>
          <w:sz w:val="21"/>
          <w:szCs w:val="21"/>
          <w:u w:val="single"/>
        </w:rPr>
        <w:t xml:space="preserve">名称)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的法定代表人，现授权委托 本单位在职职工</w:t>
      </w:r>
      <w:r>
        <w:rPr>
          <w:rFonts w:hint="eastAsia" w:ascii="宋体" w:hAnsi="宋体" w:eastAsia="宋体" w:cs="宋体"/>
          <w:color w:val="auto"/>
          <w:sz w:val="21"/>
          <w:szCs w:val="21"/>
          <w:u w:val="single"/>
        </w:rPr>
        <w:t xml:space="preserve">                (姓名)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以我方的名义参加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项目的</w:t>
      </w:r>
      <w:r>
        <w:rPr>
          <w:rFonts w:hint="eastAsia" w:ascii="宋体" w:hAnsi="宋体" w:eastAsia="宋体" w:cs="宋体"/>
          <w:color w:val="auto"/>
          <w:sz w:val="21"/>
          <w:szCs w:val="21"/>
          <w:lang w:eastAsia="zh-CN"/>
        </w:rPr>
        <w:t>竞争性磋商采购</w:t>
      </w:r>
      <w:r>
        <w:rPr>
          <w:rFonts w:hint="eastAsia" w:ascii="宋体" w:hAnsi="宋体" w:eastAsia="宋体" w:cs="宋体"/>
          <w:color w:val="auto"/>
          <w:sz w:val="21"/>
          <w:szCs w:val="21"/>
        </w:rPr>
        <w:t>活动， 并代表我方全权办理针对上述项目的</w:t>
      </w:r>
      <w:r>
        <w:rPr>
          <w:rFonts w:hint="eastAsia" w:ascii="宋体" w:hAnsi="宋体" w:eastAsia="宋体" w:cs="宋体"/>
          <w:color w:val="auto"/>
          <w:sz w:val="21"/>
          <w:szCs w:val="21"/>
          <w:lang w:eastAsia="zh-CN"/>
        </w:rPr>
        <w:t>竞</w:t>
      </w:r>
      <w:r>
        <w:rPr>
          <w:rFonts w:hint="eastAsia" w:ascii="宋体" w:hAnsi="宋体" w:eastAsia="宋体" w:cs="宋体"/>
          <w:color w:val="auto"/>
          <w:sz w:val="21"/>
          <w:szCs w:val="21"/>
        </w:rPr>
        <w:t>标、开标、评标、签约等具体事务和签署相关文件。</w:t>
      </w:r>
    </w:p>
    <w:p w14:paraId="669739C8">
      <w:pPr>
        <w:pStyle w:val="37"/>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我方对被授权人的签名事项负全部责任。</w:t>
      </w:r>
    </w:p>
    <w:p w14:paraId="5706AB4A">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在撤销授权的书面通知以前，本授权书一直有效。被授权人在授权书有效期内签署的所 有文件不因授权的撤销而失效。</w:t>
      </w:r>
    </w:p>
    <w:p w14:paraId="62F05DAD">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被授权人无转委托权，特此委托。</w:t>
      </w:r>
    </w:p>
    <w:p w14:paraId="0527AFE9">
      <w:pPr>
        <w:pStyle w:val="37"/>
        <w:spacing w:line="360" w:lineRule="auto"/>
        <w:rPr>
          <w:rFonts w:hint="eastAsia" w:ascii="宋体" w:hAnsi="宋体" w:eastAsia="宋体" w:cs="宋体"/>
          <w:color w:val="auto"/>
          <w:sz w:val="21"/>
          <w:szCs w:val="21"/>
        </w:rPr>
      </w:pPr>
    </w:p>
    <w:p w14:paraId="6A5D497F">
      <w:pPr>
        <w:pStyle w:val="37"/>
        <w:spacing w:line="360" w:lineRule="auto"/>
        <w:rPr>
          <w:rFonts w:hint="eastAsia" w:ascii="宋体" w:hAnsi="宋体" w:eastAsia="宋体" w:cs="宋体"/>
          <w:color w:val="auto"/>
          <w:sz w:val="21"/>
          <w:szCs w:val="21"/>
        </w:rPr>
      </w:pPr>
    </w:p>
    <w:p w14:paraId="0BCF30B5">
      <w:pPr>
        <w:pStyle w:val="37"/>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被授权人签名：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法定代表人签名或盖章：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48E0FA6">
      <w:pPr>
        <w:pStyle w:val="37"/>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所在部门：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职务：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2E64461">
      <w:pPr>
        <w:pStyle w:val="37"/>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被授权人身份证号码：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67972F9D">
      <w:pPr>
        <w:pStyle w:val="37"/>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宋体" w:hAnsi="宋体" w:eastAsia="宋体" w:cs="宋体"/>
          <w:color w:val="auto"/>
          <w:sz w:val="21"/>
          <w:szCs w:val="21"/>
        </w:rPr>
      </w:pPr>
    </w:p>
    <w:p w14:paraId="30DF3E2A">
      <w:pPr>
        <w:pStyle w:val="37"/>
        <w:keepNext w:val="0"/>
        <w:keepLines w:val="0"/>
        <w:pageBreakBefore w:val="0"/>
        <w:widowControl w:val="0"/>
        <w:kinsoku/>
        <w:wordWrap/>
        <w:overflowPunct/>
        <w:topLinePunct w:val="0"/>
        <w:autoSpaceDE w:val="0"/>
        <w:autoSpaceDN w:val="0"/>
        <w:bidi w:val="0"/>
        <w:adjustRightInd w:val="0"/>
        <w:snapToGrid/>
        <w:spacing w:line="640" w:lineRule="exact"/>
        <w:ind w:firstLine="4620" w:firstLineChars="2200"/>
        <w:textAlignment w:val="auto"/>
        <w:rPr>
          <w:rFonts w:hint="eastAsia" w:ascii="宋体" w:hAnsi="宋体" w:eastAsia="宋体" w:cs="宋体"/>
          <w:color w:val="auto"/>
          <w:sz w:val="21"/>
          <w:szCs w:val="21"/>
        </w:rPr>
      </w:pPr>
      <w:r>
        <w:rPr>
          <w:rFonts w:hint="eastAsia" w:ascii="宋体" w:hAnsi="宋体" w:cs="宋体"/>
          <w:b w:val="0"/>
          <w:bCs/>
          <w:color w:val="auto"/>
          <w:szCs w:val="21"/>
          <w:lang w:eastAsia="zh-CN"/>
        </w:rPr>
        <w:t>供应商</w:t>
      </w:r>
      <w:r>
        <w:rPr>
          <w:rFonts w:hint="eastAsia" w:ascii="宋体" w:hAnsi="宋体" w:eastAsia="宋体" w:cs="宋体"/>
          <w:color w:val="auto"/>
          <w:sz w:val="21"/>
          <w:szCs w:val="21"/>
        </w:rPr>
        <w:t>公章：</w:t>
      </w:r>
    </w:p>
    <w:p w14:paraId="7F4289B9">
      <w:pPr>
        <w:pStyle w:val="37"/>
        <w:keepNext w:val="0"/>
        <w:keepLines w:val="0"/>
        <w:pageBreakBefore w:val="0"/>
        <w:widowControl w:val="0"/>
        <w:kinsoku/>
        <w:wordWrap/>
        <w:overflowPunct/>
        <w:topLinePunct w:val="0"/>
        <w:autoSpaceDE w:val="0"/>
        <w:autoSpaceDN w:val="0"/>
        <w:bidi w:val="0"/>
        <w:adjustRightInd w:val="0"/>
        <w:snapToGrid/>
        <w:spacing w:line="640" w:lineRule="exact"/>
        <w:ind w:firstLine="5460" w:firstLineChars="26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56E10EE0">
      <w:pPr>
        <w:pStyle w:val="37"/>
        <w:spacing w:line="360" w:lineRule="auto"/>
        <w:rPr>
          <w:rFonts w:hint="eastAsia" w:ascii="宋体" w:hAnsi="宋体" w:eastAsia="宋体" w:cs="宋体"/>
          <w:color w:val="auto"/>
          <w:sz w:val="21"/>
          <w:szCs w:val="21"/>
        </w:rPr>
      </w:pPr>
    </w:p>
    <w:p w14:paraId="11FF5B75">
      <w:pPr>
        <w:pStyle w:val="37"/>
        <w:spacing w:line="360" w:lineRule="auto"/>
        <w:rPr>
          <w:rFonts w:hint="eastAsia" w:ascii="宋体" w:hAnsi="宋体" w:eastAsia="宋体" w:cs="宋体"/>
          <w:color w:val="auto"/>
          <w:sz w:val="21"/>
          <w:szCs w:val="21"/>
        </w:rPr>
      </w:pPr>
    </w:p>
    <w:p w14:paraId="5F6A072E">
      <w:pPr>
        <w:pStyle w:val="37"/>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附：委托代理人正反面身份证复印件。</w:t>
      </w:r>
    </w:p>
    <w:p w14:paraId="625B7485">
      <w:pPr>
        <w:pStyle w:val="37"/>
        <w:spacing w:line="360" w:lineRule="auto"/>
        <w:rPr>
          <w:rFonts w:hint="eastAsia" w:ascii="宋体" w:hAnsi="宋体" w:eastAsia="宋体" w:cs="宋体"/>
          <w:color w:val="auto"/>
          <w:sz w:val="21"/>
          <w:szCs w:val="21"/>
        </w:rPr>
      </w:pPr>
    </w:p>
    <w:p w14:paraId="63EE8C37">
      <w:pPr>
        <w:pStyle w:val="37"/>
        <w:spacing w:line="360" w:lineRule="auto"/>
        <w:rPr>
          <w:rFonts w:hint="eastAsia" w:ascii="宋体" w:hAnsi="宋体" w:eastAsia="宋体" w:cs="宋体"/>
          <w:color w:val="auto"/>
          <w:sz w:val="21"/>
          <w:szCs w:val="21"/>
        </w:rPr>
      </w:pPr>
    </w:p>
    <w:p w14:paraId="3B1CC035">
      <w:pPr>
        <w:pStyle w:val="37"/>
        <w:spacing w:line="360" w:lineRule="auto"/>
        <w:rPr>
          <w:rFonts w:hint="eastAsia" w:ascii="宋体" w:hAnsi="宋体" w:eastAsia="宋体" w:cs="宋体"/>
          <w:color w:val="auto"/>
          <w:sz w:val="21"/>
          <w:szCs w:val="21"/>
        </w:rPr>
      </w:pPr>
    </w:p>
    <w:p w14:paraId="13BFC36E">
      <w:pPr>
        <w:pStyle w:val="37"/>
        <w:spacing w:line="360" w:lineRule="auto"/>
        <w:rPr>
          <w:rFonts w:hint="eastAsia" w:ascii="宋体" w:hAnsi="宋体" w:eastAsia="宋体" w:cs="宋体"/>
          <w:color w:val="auto"/>
          <w:sz w:val="21"/>
          <w:szCs w:val="21"/>
        </w:rPr>
      </w:pPr>
    </w:p>
    <w:p w14:paraId="5F0BD504">
      <w:pPr>
        <w:spacing w:line="193" w:lineRule="auto"/>
        <w:ind w:left="5"/>
        <w:rPr>
          <w:rFonts w:hint="eastAsia" w:ascii="宋体" w:hAnsi="宋体" w:eastAsia="宋体" w:cs="宋体"/>
          <w:b/>
          <w:bCs/>
          <w:color w:val="auto"/>
          <w:kern w:val="0"/>
          <w:sz w:val="21"/>
          <w:szCs w:val="21"/>
          <w:lang w:val="en-US" w:eastAsia="zh-CN" w:bidi="ar-SA"/>
        </w:rPr>
      </w:pPr>
    </w:p>
    <w:p w14:paraId="35283F42">
      <w:pPr>
        <w:pStyle w:val="37"/>
        <w:numPr>
          <w:ilvl w:val="0"/>
          <w:numId w:val="0"/>
        </w:numPr>
        <w:rPr>
          <w:rFonts w:hint="default"/>
          <w:b/>
          <w:bCs/>
          <w:color w:val="auto"/>
          <w:lang w:val="en-US" w:eastAsia="zh-CN"/>
        </w:rPr>
      </w:pPr>
      <w:r>
        <w:rPr>
          <w:rFonts w:hint="eastAsia"/>
          <w:b/>
          <w:bCs/>
          <w:color w:val="auto"/>
          <w:lang w:val="en-US" w:eastAsia="zh-CN"/>
        </w:rPr>
        <w:t>3.法定代表人正反面身份证复印件；</w:t>
      </w:r>
    </w:p>
    <w:p w14:paraId="2C500979">
      <w:pPr>
        <w:pStyle w:val="37"/>
        <w:numPr>
          <w:ilvl w:val="0"/>
          <w:numId w:val="0"/>
        </w:numPr>
        <w:spacing w:line="360" w:lineRule="auto"/>
        <w:rPr>
          <w:rFonts w:hint="eastAsia" w:ascii="宋体" w:hAnsi="宋体" w:eastAsia="宋体" w:cs="宋体"/>
          <w:b/>
          <w:bCs/>
          <w:color w:val="auto"/>
          <w:sz w:val="21"/>
          <w:szCs w:val="21"/>
        </w:rPr>
      </w:pPr>
    </w:p>
    <w:p w14:paraId="0BC1B072">
      <w:pPr>
        <w:pStyle w:val="37"/>
        <w:numPr>
          <w:ilvl w:val="0"/>
          <w:numId w:val="0"/>
        </w:numPr>
        <w:spacing w:line="360" w:lineRule="auto"/>
        <w:ind w:left="5" w:leftChars="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4.供应商</w:t>
      </w:r>
      <w:r>
        <w:rPr>
          <w:rFonts w:hint="eastAsia" w:ascii="宋体" w:hAnsi="宋体" w:eastAsia="宋体" w:cs="宋体"/>
          <w:b/>
          <w:bCs/>
          <w:color w:val="auto"/>
          <w:sz w:val="21"/>
          <w:szCs w:val="21"/>
        </w:rPr>
        <w:t>有效的三证合一的营业执照或事业单位法人证书复印件；</w:t>
      </w:r>
    </w:p>
    <w:p w14:paraId="3E97B012">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22995F26">
      <w:pPr>
        <w:pStyle w:val="37"/>
        <w:widowControl w:val="0"/>
        <w:numPr>
          <w:ilvl w:val="0"/>
          <w:numId w:val="0"/>
        </w:numPr>
        <w:autoSpaceDE w:val="0"/>
        <w:autoSpaceDN w:val="0"/>
        <w:adjustRightInd w:val="0"/>
        <w:spacing w:line="360" w:lineRule="auto"/>
        <w:jc w:val="center"/>
        <w:rPr>
          <w:rFonts w:hint="eastAsia" w:ascii="宋体" w:hAnsi="宋体" w:eastAsia="宋体" w:cs="宋体"/>
          <w:b/>
          <w:bCs/>
          <w:color w:val="auto"/>
          <w:sz w:val="21"/>
          <w:szCs w:val="21"/>
        </w:rPr>
      </w:pPr>
    </w:p>
    <w:p w14:paraId="6A0E94BB">
      <w:pPr>
        <w:pStyle w:val="37"/>
        <w:widowControl w:val="0"/>
        <w:numPr>
          <w:ilvl w:val="0"/>
          <w:numId w:val="0"/>
        </w:numPr>
        <w:autoSpaceDE w:val="0"/>
        <w:autoSpaceDN w:val="0"/>
        <w:adjustRightInd w:val="0"/>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无重大违法记录声明书</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格式</w:t>
      </w:r>
      <w:r>
        <w:rPr>
          <w:rFonts w:hint="eastAsia" w:ascii="宋体" w:hAnsi="宋体" w:eastAsia="宋体" w:cs="宋体"/>
          <w:b/>
          <w:bCs/>
          <w:color w:val="auto"/>
          <w:sz w:val="32"/>
          <w:szCs w:val="32"/>
          <w:lang w:eastAsia="zh-CN"/>
        </w:rPr>
        <w:t>）</w:t>
      </w:r>
    </w:p>
    <w:p w14:paraId="290D6531">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764C5B11">
      <w:pPr>
        <w:pStyle w:val="37"/>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038598D1">
      <w:pPr>
        <w:pStyle w:val="37"/>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致</w:t>
      </w:r>
      <w:r>
        <w:rPr>
          <w:rFonts w:hint="eastAsia" w:ascii="宋体" w:hAnsi="宋体" w:eastAsia="宋体" w:cs="宋体"/>
          <w:b w:val="0"/>
          <w:bCs w:val="0"/>
          <w:color w:val="auto"/>
          <w:sz w:val="21"/>
          <w:szCs w:val="21"/>
          <w:u w:val="single"/>
        </w:rPr>
        <w:t xml:space="preserve">      (采购人</w:t>
      </w:r>
      <w:r>
        <w:rPr>
          <w:rFonts w:hint="eastAsia" w:ascii="宋体" w:hAnsi="宋体" w:eastAsia="宋体" w:cs="宋体"/>
          <w:b w:val="0"/>
          <w:bCs w:val="0"/>
          <w:color w:val="auto"/>
          <w:sz w:val="21"/>
          <w:szCs w:val="21"/>
          <w:u w:val="single"/>
          <w:lang w:eastAsia="zh-CN"/>
        </w:rPr>
        <w:t>名称</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2E1B7BA6">
      <w:pPr>
        <w:pStyle w:val="37"/>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4519EC0C">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我公司参加贵公司组织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24A214C3">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特此承诺。</w:t>
      </w:r>
    </w:p>
    <w:p w14:paraId="46D13EB4">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4F11D046">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0B331199">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52A8A7B0">
      <w:pPr>
        <w:pStyle w:val="37"/>
        <w:widowControl w:val="0"/>
        <w:numPr>
          <w:ilvl w:val="0"/>
          <w:numId w:val="0"/>
        </w:numPr>
        <w:autoSpaceDE w:val="0"/>
        <w:autoSpaceDN w:val="0"/>
        <w:adjustRightInd w:val="0"/>
        <w:spacing w:line="360" w:lineRule="auto"/>
        <w:rPr>
          <w:rFonts w:hint="eastAsia" w:ascii="宋体" w:hAnsi="宋体" w:eastAsia="宋体" w:cs="宋体"/>
          <w:b/>
          <w:bCs/>
          <w:color w:val="auto"/>
          <w:sz w:val="21"/>
          <w:szCs w:val="21"/>
        </w:rPr>
      </w:pPr>
    </w:p>
    <w:p w14:paraId="1F8990F3">
      <w:pPr>
        <w:pStyle w:val="37"/>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2F331BE4">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cs="宋体"/>
          <w:b w:val="0"/>
          <w:bCs/>
          <w:color w:val="auto"/>
          <w:szCs w:val="21"/>
          <w:lang w:eastAsia="zh-CN"/>
        </w:rPr>
        <w:t>供应商</w:t>
      </w:r>
      <w:r>
        <w:rPr>
          <w:rFonts w:hint="eastAsia" w:ascii="宋体" w:hAnsi="宋体" w:eastAsia="宋体" w:cs="宋体"/>
          <w:b w:val="0"/>
          <w:bCs w:val="0"/>
          <w:color w:val="auto"/>
          <w:sz w:val="21"/>
          <w:szCs w:val="21"/>
        </w:rPr>
        <w:t>全称 (盖公章) ：</w:t>
      </w:r>
      <w:r>
        <w:rPr>
          <w:rFonts w:hint="eastAsia" w:ascii="宋体" w:hAnsi="宋体" w:eastAsia="宋体" w:cs="宋体"/>
          <w:b w:val="0"/>
          <w:bCs w:val="0"/>
          <w:color w:val="auto"/>
          <w:sz w:val="21"/>
          <w:szCs w:val="21"/>
          <w:u w:val="single"/>
        </w:rPr>
        <w:t xml:space="preserve">                   </w:t>
      </w:r>
    </w:p>
    <w:p w14:paraId="08EBFDD6">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u w:val="single"/>
        </w:rPr>
      </w:pPr>
      <w:r>
        <w:rPr>
          <w:rFonts w:hint="eastAsia" w:ascii="宋体" w:hAnsi="宋体" w:eastAsia="宋体" w:cs="宋体"/>
          <w:b w:val="0"/>
          <w:bCs w:val="0"/>
          <w:color w:val="auto"/>
          <w:sz w:val="21"/>
          <w:szCs w:val="21"/>
        </w:rPr>
        <w:t>法定代表人或授权代表签字</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u w:val="single"/>
        </w:rPr>
        <w:t xml:space="preserve">              </w:t>
      </w:r>
    </w:p>
    <w:p w14:paraId="7941DAF7">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日期：</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rPr>
        <w:t xml:space="preserve">         </w:t>
      </w:r>
    </w:p>
    <w:p w14:paraId="5AB07FF9">
      <w:pPr>
        <w:pStyle w:val="37"/>
        <w:widowControl w:val="0"/>
        <w:numPr>
          <w:ilvl w:val="0"/>
          <w:numId w:val="0"/>
        </w:numPr>
        <w:autoSpaceDE w:val="0"/>
        <w:autoSpaceDN w:val="0"/>
        <w:adjustRightInd w:val="0"/>
        <w:spacing w:line="360" w:lineRule="auto"/>
        <w:rPr>
          <w:rFonts w:hint="eastAsia" w:ascii="宋体" w:hAnsi="宋体" w:eastAsia="宋体" w:cs="宋体"/>
          <w:b w:val="0"/>
          <w:bCs w:val="0"/>
          <w:color w:val="auto"/>
          <w:sz w:val="21"/>
          <w:szCs w:val="21"/>
        </w:rPr>
      </w:pPr>
    </w:p>
    <w:p w14:paraId="68E05D2E">
      <w:pPr>
        <w:pStyle w:val="37"/>
        <w:spacing w:line="360" w:lineRule="auto"/>
        <w:rPr>
          <w:rFonts w:hint="eastAsia" w:ascii="宋体" w:hAnsi="宋体" w:eastAsia="宋体" w:cs="宋体"/>
          <w:color w:val="auto"/>
          <w:sz w:val="21"/>
          <w:szCs w:val="21"/>
        </w:rPr>
      </w:pPr>
    </w:p>
    <w:p w14:paraId="4501A85D">
      <w:pPr>
        <w:pStyle w:val="37"/>
        <w:spacing w:line="360" w:lineRule="auto"/>
        <w:rPr>
          <w:rFonts w:hint="eastAsia" w:ascii="宋体" w:hAnsi="宋体" w:eastAsia="宋体" w:cs="宋体"/>
          <w:color w:val="auto"/>
          <w:sz w:val="21"/>
          <w:szCs w:val="21"/>
        </w:rPr>
      </w:pPr>
    </w:p>
    <w:p w14:paraId="000B0E78">
      <w:pPr>
        <w:pStyle w:val="37"/>
        <w:spacing w:line="360" w:lineRule="auto"/>
        <w:rPr>
          <w:rFonts w:hint="eastAsia" w:ascii="宋体" w:hAnsi="宋体" w:eastAsia="宋体" w:cs="宋体"/>
          <w:color w:val="auto"/>
          <w:sz w:val="21"/>
          <w:szCs w:val="21"/>
        </w:rPr>
      </w:pPr>
    </w:p>
    <w:p w14:paraId="5D419CF1">
      <w:pPr>
        <w:pStyle w:val="37"/>
        <w:spacing w:line="360" w:lineRule="auto"/>
        <w:rPr>
          <w:rFonts w:hint="eastAsia" w:ascii="宋体" w:hAnsi="宋体" w:eastAsia="宋体" w:cs="宋体"/>
          <w:color w:val="auto"/>
          <w:sz w:val="21"/>
          <w:szCs w:val="21"/>
        </w:rPr>
        <w:sectPr>
          <w:footerReference r:id="rId7" w:type="default"/>
          <w:pgSz w:w="11906" w:h="16839"/>
          <w:pgMar w:top="1440" w:right="1080" w:bottom="1440" w:left="1300" w:header="0" w:footer="434" w:gutter="0"/>
          <w:pgNumType w:fmt="decimal"/>
          <w:cols w:space="720" w:num="1"/>
        </w:sectPr>
      </w:pPr>
    </w:p>
    <w:p w14:paraId="33175E74">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lang w:eastAsia="zh-CN"/>
        </w:rPr>
      </w:pPr>
      <w:r>
        <w:rPr>
          <w:rFonts w:hint="eastAsia" w:ascii="宋体" w:hAnsi="宋体" w:eastAsia="宋体" w:cs="宋体"/>
          <w:b/>
          <w:bCs/>
          <w:color w:val="auto"/>
          <w:lang w:val="en-US" w:eastAsia="zh-CN"/>
        </w:rPr>
        <w:t>5</w:t>
      </w:r>
      <w:r>
        <w:rPr>
          <w:rFonts w:hint="eastAsia" w:ascii="宋体" w:hAnsi="宋体" w:eastAsia="宋体" w:cs="宋体"/>
          <w:b/>
          <w:bCs/>
          <w:color w:val="auto"/>
          <w:lang w:eastAsia="zh-CN"/>
        </w:rPr>
        <w:t>.供应商提供《采购项目竞标资格承诺函》</w:t>
      </w:r>
    </w:p>
    <w:p w14:paraId="5DFCA27C">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422FBB2C">
      <w:pPr>
        <w:pStyle w:val="3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eastAsia="zh-CN"/>
        </w:rPr>
        <w:t>采购项目竞标资格承诺函</w:t>
      </w:r>
    </w:p>
    <w:p w14:paraId="1F323D99">
      <w:pPr>
        <w:pStyle w:val="3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2"/>
          <w:szCs w:val="28"/>
          <w:lang w:eastAsia="zh-CN"/>
        </w:rPr>
      </w:pPr>
    </w:p>
    <w:p w14:paraId="56915FF3">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本公司郑重承诺，根据《中华人民共和国政府采购法》第二十二条的规定， 本公司为参加政府采购活动的合格供应商。即本公司同时满足以下条件：</w:t>
      </w:r>
    </w:p>
    <w:p w14:paraId="72C352C5">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1、具有独立承担民事责任的能力。</w:t>
      </w:r>
    </w:p>
    <w:p w14:paraId="355901BF">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2、具有良好的商业信誉和健全的财务会计制度。</w:t>
      </w:r>
    </w:p>
    <w:p w14:paraId="459F45D8">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3、具有履行合同所必需的设备和专业技术能力。</w:t>
      </w:r>
    </w:p>
    <w:p w14:paraId="21C16695">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4、有依法缴纳税收和社会保障资金的良好记录。</w:t>
      </w:r>
    </w:p>
    <w:p w14:paraId="132AC30B">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5、提交响应文件截止日期前三年内，在经营活动中没有重大违法记录。</w:t>
      </w:r>
    </w:p>
    <w:p w14:paraId="3F2A9199">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6、本公司对上述承诺的真实性负责，并接受政府采购、税务、社会保障等</w:t>
      </w:r>
    </w:p>
    <w:p w14:paraId="4000A525">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监督管理部门、采购文件规定的资格审查机构、社会公众的监督和检查。如有虚 假，将依法承担相应责任。</w:t>
      </w:r>
    </w:p>
    <w:p w14:paraId="19EF6B3F">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lang w:eastAsia="zh-CN"/>
        </w:rPr>
      </w:pPr>
    </w:p>
    <w:p w14:paraId="1476F3ED">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66194D21">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lang w:eastAsia="zh-CN"/>
        </w:rPr>
      </w:pPr>
    </w:p>
    <w:p w14:paraId="33B4C55B">
      <w:pPr>
        <w:pStyle w:val="37"/>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企业名称 (盖章) ：</w:t>
      </w:r>
      <w:r>
        <w:rPr>
          <w:rFonts w:hint="eastAsia" w:ascii="宋体" w:hAnsi="宋体" w:eastAsia="宋体" w:cs="宋体"/>
          <w:color w:val="auto"/>
          <w:u w:val="single"/>
          <w:lang w:val="en-US" w:eastAsia="zh-CN"/>
        </w:rPr>
        <w:t xml:space="preserve">                 </w:t>
      </w:r>
    </w:p>
    <w:p w14:paraId="581D452E">
      <w:pPr>
        <w:pStyle w:val="37"/>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default" w:ascii="宋体" w:hAnsi="宋体" w:eastAsia="宋体" w:cs="宋体"/>
          <w:color w:val="auto"/>
          <w:u w:val="single"/>
          <w:lang w:val="en-US" w:eastAsia="zh-CN"/>
        </w:rPr>
      </w:pPr>
      <w:r>
        <w:rPr>
          <w:rFonts w:hint="eastAsia" w:ascii="宋体" w:hAnsi="宋体" w:eastAsia="宋体" w:cs="宋体"/>
          <w:color w:val="auto"/>
          <w:lang w:eastAsia="zh-CN"/>
        </w:rPr>
        <w:t>法定代表人 (签名) ：</w:t>
      </w:r>
      <w:r>
        <w:rPr>
          <w:rFonts w:hint="eastAsia" w:ascii="宋体" w:hAnsi="宋体" w:eastAsia="宋体" w:cs="宋体"/>
          <w:color w:val="auto"/>
          <w:u w:val="single"/>
          <w:lang w:val="en-US" w:eastAsia="zh-CN"/>
        </w:rPr>
        <w:t xml:space="preserve">                   </w:t>
      </w:r>
    </w:p>
    <w:p w14:paraId="538176EC">
      <w:pPr>
        <w:pStyle w:val="37"/>
        <w:keepNext w:val="0"/>
        <w:keepLines w:val="0"/>
        <w:pageBreakBefore w:val="0"/>
        <w:widowControl w:val="0"/>
        <w:kinsoku/>
        <w:wordWrap/>
        <w:overflowPunct/>
        <w:topLinePunct w:val="0"/>
        <w:autoSpaceDE w:val="0"/>
        <w:autoSpaceDN w:val="0"/>
        <w:bidi w:val="0"/>
        <w:adjustRightInd w:val="0"/>
        <w:snapToGrid/>
        <w:spacing w:line="640" w:lineRule="exact"/>
        <w:ind w:firstLine="420" w:firstLineChars="200"/>
        <w:textAlignment w:val="auto"/>
        <w:rPr>
          <w:rFonts w:hint="eastAsia" w:ascii="宋体" w:hAnsi="宋体" w:eastAsia="宋体" w:cs="宋体"/>
          <w:color w:val="auto"/>
          <w:lang w:eastAsia="zh-CN"/>
        </w:rPr>
      </w:pPr>
      <w:r>
        <w:rPr>
          <w:rFonts w:hint="eastAsia" w:ascii="宋体" w:hAnsi="宋体" w:eastAsia="宋体" w:cs="宋体"/>
          <w:color w:val="auto"/>
          <w:lang w:eastAsia="zh-CN"/>
        </w:rPr>
        <w:t>日期：</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年</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月</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lang w:eastAsia="zh-CN"/>
        </w:rPr>
        <w:t xml:space="preserve"> </w:t>
      </w:r>
      <w:r>
        <w:rPr>
          <w:rFonts w:hint="eastAsia" w:ascii="宋体" w:hAnsi="宋体" w:eastAsia="宋体" w:cs="宋体"/>
          <w:color w:val="auto"/>
          <w:lang w:eastAsia="zh-CN"/>
        </w:rPr>
        <w:t>日</w:t>
      </w:r>
    </w:p>
    <w:p w14:paraId="7D8C45CB">
      <w:pPr>
        <w:pStyle w:val="37"/>
        <w:rPr>
          <w:rFonts w:hAnsi="宋体"/>
          <w:color w:val="auto"/>
        </w:rPr>
      </w:pPr>
    </w:p>
    <w:p w14:paraId="19C56384">
      <w:pPr>
        <w:pStyle w:val="37"/>
        <w:rPr>
          <w:rFonts w:hAnsi="宋体"/>
          <w:color w:val="auto"/>
        </w:rPr>
      </w:pPr>
    </w:p>
    <w:p w14:paraId="15E8EC0E">
      <w:pPr>
        <w:pStyle w:val="37"/>
        <w:rPr>
          <w:rFonts w:hAnsi="宋体"/>
          <w:color w:val="auto"/>
        </w:rPr>
      </w:pPr>
    </w:p>
    <w:p w14:paraId="48495201">
      <w:pPr>
        <w:pStyle w:val="37"/>
        <w:rPr>
          <w:rFonts w:hAnsi="宋体"/>
          <w:color w:val="auto"/>
        </w:rPr>
      </w:pPr>
    </w:p>
    <w:p w14:paraId="5EF61A10">
      <w:pPr>
        <w:pStyle w:val="37"/>
        <w:rPr>
          <w:rFonts w:hAnsi="宋体"/>
          <w:color w:val="auto"/>
        </w:rPr>
      </w:pPr>
    </w:p>
    <w:p w14:paraId="47E478C5">
      <w:pPr>
        <w:pStyle w:val="37"/>
        <w:rPr>
          <w:rFonts w:hAnsi="宋体"/>
          <w:color w:val="auto"/>
        </w:rPr>
      </w:pPr>
    </w:p>
    <w:p w14:paraId="5F622494">
      <w:pPr>
        <w:pStyle w:val="37"/>
        <w:rPr>
          <w:rFonts w:hAnsi="宋体"/>
          <w:color w:val="auto"/>
        </w:rPr>
      </w:pPr>
    </w:p>
    <w:p w14:paraId="51988119">
      <w:pPr>
        <w:pStyle w:val="37"/>
        <w:rPr>
          <w:rFonts w:hAnsi="宋体"/>
          <w:color w:val="auto"/>
        </w:rPr>
      </w:pPr>
    </w:p>
    <w:p w14:paraId="4FFF411B">
      <w:pPr>
        <w:pStyle w:val="37"/>
        <w:rPr>
          <w:rFonts w:hAnsi="宋体"/>
          <w:color w:val="auto"/>
        </w:rPr>
      </w:pPr>
    </w:p>
    <w:p w14:paraId="177ED1B6">
      <w:pPr>
        <w:pStyle w:val="37"/>
        <w:rPr>
          <w:rFonts w:hAnsi="宋体"/>
          <w:color w:val="auto"/>
        </w:rPr>
      </w:pPr>
    </w:p>
    <w:p w14:paraId="45F41320">
      <w:pPr>
        <w:pStyle w:val="37"/>
        <w:rPr>
          <w:rFonts w:hAnsi="宋体"/>
          <w:color w:val="auto"/>
        </w:rPr>
      </w:pPr>
    </w:p>
    <w:p w14:paraId="14856F62">
      <w:pPr>
        <w:pStyle w:val="37"/>
        <w:rPr>
          <w:rFonts w:hAnsi="宋体"/>
          <w:color w:val="auto"/>
        </w:rPr>
      </w:pPr>
    </w:p>
    <w:p w14:paraId="5108D430">
      <w:pPr>
        <w:pStyle w:val="37"/>
        <w:rPr>
          <w:rFonts w:hint="default" w:hAnsi="宋体" w:eastAsia="......."/>
          <w:b/>
          <w:bCs/>
          <w:color w:val="auto"/>
          <w:lang w:val="en-US" w:eastAsia="zh-CN"/>
        </w:rPr>
      </w:pPr>
      <w:r>
        <w:rPr>
          <w:rFonts w:hint="eastAsia" w:hAnsi="宋体"/>
          <w:b/>
          <w:bCs/>
          <w:color w:val="auto"/>
          <w:lang w:val="en-US" w:eastAsia="zh-CN"/>
        </w:rPr>
        <w:t>6.</w:t>
      </w:r>
      <w:r>
        <w:rPr>
          <w:rFonts w:hint="eastAsia" w:ascii="宋体" w:hAnsi="宋体" w:eastAsia="宋体" w:cs="宋体"/>
          <w:b/>
          <w:bCs/>
          <w:color w:val="auto"/>
        </w:rPr>
        <w:t>中小企业声明函 (参照《政府采购促进中小企业发展暂行办法》  (财库﹝2020﹞46号) 要求，提供中小企业声明函。</w:t>
      </w:r>
    </w:p>
    <w:p w14:paraId="4A655F11">
      <w:pPr>
        <w:pStyle w:val="37"/>
        <w:rPr>
          <w:rFonts w:hAnsi="宋体"/>
          <w:color w:val="auto"/>
        </w:rPr>
      </w:pPr>
    </w:p>
    <w:p w14:paraId="7CCC0DEF">
      <w:pPr>
        <w:pStyle w:val="3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中小企业声明函</w:t>
      </w:r>
    </w:p>
    <w:p w14:paraId="240517D6">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0010777F">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本公司</w:t>
      </w:r>
      <w:r>
        <w:rPr>
          <w:rFonts w:hint="eastAsia" w:ascii="宋体" w:hAnsi="宋体" w:eastAsia="宋体" w:cs="宋体"/>
          <w:color w:val="auto"/>
          <w:u w:val="single"/>
        </w:rPr>
        <w:t xml:space="preserve">            </w:t>
      </w:r>
      <w:r>
        <w:rPr>
          <w:rFonts w:hint="eastAsia" w:ascii="宋体" w:hAnsi="宋体" w:eastAsia="宋体" w:cs="宋体"/>
          <w:color w:val="auto"/>
        </w:rPr>
        <w:t>郑重声明，根据《政府采购促进中小企业发展管理办法》(财库﹝2020﹞46 号) 的规定，本公司</w:t>
      </w:r>
      <w:r>
        <w:rPr>
          <w:rFonts w:hint="eastAsia" w:ascii="宋体" w:hAnsi="宋体" w:eastAsia="宋体" w:cs="宋体"/>
          <w:color w:val="auto"/>
          <w:u w:val="single"/>
        </w:rPr>
        <w:t xml:space="preserve">            </w:t>
      </w:r>
      <w:r>
        <w:rPr>
          <w:rFonts w:hint="eastAsia" w:ascii="宋体" w:hAnsi="宋体" w:eastAsia="宋体" w:cs="宋体"/>
          <w:color w:val="auto"/>
        </w:rPr>
        <w:t>参加</w:t>
      </w:r>
      <w:r>
        <w:rPr>
          <w:rFonts w:hint="eastAsia" w:ascii="宋体" w:hAnsi="宋体" w:eastAsia="宋体" w:cs="宋体"/>
          <w:color w:val="auto"/>
          <w:u w:val="single"/>
        </w:rPr>
        <w:t xml:space="preserve"> (单位名称) </w:t>
      </w:r>
      <w:r>
        <w:rPr>
          <w:rFonts w:hint="eastAsia" w:ascii="宋体" w:hAnsi="宋体" w:eastAsia="宋体" w:cs="宋体"/>
          <w:color w:val="auto"/>
        </w:rPr>
        <w:t xml:space="preserve">的 </w:t>
      </w:r>
      <w:r>
        <w:rPr>
          <w:rFonts w:hint="eastAsia" w:ascii="宋体" w:hAnsi="宋体" w:eastAsia="宋体" w:cs="宋体"/>
          <w:color w:val="auto"/>
          <w:u w:val="single"/>
        </w:rPr>
        <w:t xml:space="preserve">(项目名称) </w:t>
      </w:r>
      <w:r>
        <w:rPr>
          <w:rFonts w:hint="eastAsia" w:ascii="宋体" w:hAnsi="宋体" w:eastAsia="宋体" w:cs="宋体"/>
          <w:color w:val="auto"/>
        </w:rPr>
        <w:t>采购活动，工程的施工单位全部为符合政策要求的中小企业 (或者：服务全部由符合政策要求的中小企业承接) 。相关企业 (含联合体中的中小企业、签 订分包意向协议的中小企业) 的具体情况如下：</w:t>
      </w:r>
    </w:p>
    <w:p w14:paraId="4D071C48">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6674079C">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u w:val="single"/>
        </w:rPr>
        <w:t xml:space="preserve">(标的名称) </w:t>
      </w:r>
      <w:r>
        <w:rPr>
          <w:rFonts w:hint="eastAsia" w:ascii="宋体" w:hAnsi="宋体" w:eastAsia="宋体" w:cs="宋体"/>
          <w:color w:val="auto"/>
        </w:rPr>
        <w:t>，属于</w:t>
      </w:r>
      <w:r>
        <w:rPr>
          <w:rFonts w:hint="eastAsia" w:ascii="宋体" w:hAnsi="宋体" w:eastAsia="宋体" w:cs="宋体"/>
          <w:color w:val="auto"/>
          <w:u w:val="single"/>
        </w:rPr>
        <w:t xml:space="preserve">  其他  </w:t>
      </w:r>
      <w:r>
        <w:rPr>
          <w:rFonts w:hint="eastAsia" w:ascii="宋体" w:hAnsi="宋体" w:eastAsia="宋体" w:cs="宋体"/>
          <w:color w:val="auto"/>
        </w:rPr>
        <w:t xml:space="preserve"> ；承建 (承接) 企业为</w:t>
      </w:r>
      <w:r>
        <w:rPr>
          <w:rFonts w:hint="eastAsia" w:ascii="宋体" w:hAnsi="宋体" w:eastAsia="宋体" w:cs="宋体"/>
          <w:color w:val="auto"/>
          <w:u w:val="single"/>
        </w:rPr>
        <w:t xml:space="preserve"> (企业名称)</w:t>
      </w:r>
      <w:r>
        <w:rPr>
          <w:rFonts w:hint="eastAsia" w:ascii="宋体" w:hAnsi="宋体" w:eastAsia="宋体" w:cs="宋体"/>
          <w:color w:val="auto"/>
        </w:rPr>
        <w:t xml:space="preserve">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万元，资产总额为 </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 xml:space="preserve"> (中型企业、小型企业、微型企业) </w:t>
      </w:r>
      <w:r>
        <w:rPr>
          <w:rFonts w:hint="eastAsia" w:ascii="宋体" w:hAnsi="宋体" w:eastAsia="宋体" w:cs="宋体"/>
          <w:color w:val="auto"/>
        </w:rPr>
        <w:t>；</w:t>
      </w:r>
    </w:p>
    <w:p w14:paraId="425EDF8C">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w:t>
      </w:r>
    </w:p>
    <w:p w14:paraId="58BCABB7">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5F8DBCB4">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77BB53D2">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07597CC6">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2EBD424D">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5460" w:firstLineChars="2600"/>
        <w:textAlignment w:val="auto"/>
        <w:rPr>
          <w:rFonts w:hint="eastAsia" w:ascii="宋体" w:hAnsi="宋体" w:eastAsia="宋体" w:cs="宋体"/>
          <w:color w:val="auto"/>
        </w:rPr>
      </w:pPr>
      <w:r>
        <w:rPr>
          <w:rFonts w:hint="eastAsia" w:ascii="宋体" w:hAnsi="宋体" w:eastAsia="宋体" w:cs="宋体"/>
          <w:color w:val="auto"/>
        </w:rPr>
        <w:t>企业名称 (盖章) ：</w:t>
      </w:r>
    </w:p>
    <w:p w14:paraId="7714CD76">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6720" w:firstLineChars="3200"/>
        <w:textAlignment w:val="auto"/>
        <w:rPr>
          <w:rFonts w:hint="eastAsia" w:ascii="宋体" w:hAnsi="宋体" w:eastAsia="宋体" w:cs="宋体"/>
          <w:color w:val="auto"/>
        </w:rPr>
      </w:pPr>
      <w:r>
        <w:rPr>
          <w:rFonts w:hint="eastAsia" w:ascii="宋体" w:hAnsi="宋体" w:eastAsia="宋体" w:cs="宋体"/>
          <w:color w:val="auto"/>
        </w:rPr>
        <w:t>日期：</w:t>
      </w:r>
    </w:p>
    <w:p w14:paraId="337EAFDE">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74133E90">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449CEAAC">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从业人员、营业收入、资产总额填报上一年度数据，无上一年度数据的新成立企业可不填报。</w:t>
      </w:r>
    </w:p>
    <w:p w14:paraId="262A3F8D">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p>
    <w:p w14:paraId="49553611">
      <w:pPr>
        <w:pStyle w:val="37"/>
        <w:rPr>
          <w:rFonts w:hAnsi="宋体"/>
          <w:color w:val="auto"/>
        </w:rPr>
      </w:pPr>
    </w:p>
    <w:p w14:paraId="6A15B8A5">
      <w:pPr>
        <w:pStyle w:val="37"/>
        <w:rPr>
          <w:rFonts w:hAnsi="宋体"/>
          <w:color w:val="auto"/>
        </w:rPr>
      </w:pPr>
    </w:p>
    <w:p w14:paraId="189AC8A0">
      <w:pPr>
        <w:pStyle w:val="37"/>
        <w:numPr>
          <w:ilvl w:val="0"/>
          <w:numId w:val="0"/>
        </w:numPr>
        <w:rPr>
          <w:rFonts w:hint="eastAsia" w:ascii="宋体" w:hAnsi="宋体" w:eastAsia="宋体" w:cs="宋体"/>
          <w:b/>
          <w:bCs/>
          <w:color w:val="auto"/>
        </w:rPr>
      </w:pPr>
      <w:r>
        <w:rPr>
          <w:rFonts w:hint="eastAsia" w:ascii="宋体" w:hAnsi="宋体" w:eastAsia="宋体" w:cs="宋体"/>
          <w:b/>
          <w:bCs/>
          <w:color w:val="auto"/>
          <w:lang w:val="en-US" w:eastAsia="zh-CN"/>
        </w:rPr>
        <w:t>7.供应商</w:t>
      </w:r>
      <w:r>
        <w:rPr>
          <w:rFonts w:hint="eastAsia" w:ascii="宋体" w:hAnsi="宋体" w:eastAsia="宋体" w:cs="宋体"/>
          <w:b/>
          <w:bCs/>
          <w:color w:val="auto"/>
        </w:rPr>
        <w:t xml:space="preserve">针对资格证明需要说明的其他证明文件和说明。 </w:t>
      </w:r>
    </w:p>
    <w:p w14:paraId="4BBEB8F7">
      <w:pPr>
        <w:pStyle w:val="37"/>
        <w:widowControl w:val="0"/>
        <w:numPr>
          <w:ilvl w:val="0"/>
          <w:numId w:val="0"/>
        </w:numPr>
        <w:autoSpaceDE w:val="0"/>
        <w:autoSpaceDN w:val="0"/>
        <w:adjustRightInd w:val="0"/>
        <w:rPr>
          <w:rFonts w:hint="eastAsia" w:ascii="宋体" w:hAnsi="宋体" w:eastAsia="宋体" w:cs="宋体"/>
          <w:b/>
          <w:bCs/>
          <w:color w:val="auto"/>
        </w:rPr>
      </w:pPr>
    </w:p>
    <w:p w14:paraId="3BFF4B80">
      <w:pPr>
        <w:pStyle w:val="37"/>
        <w:widowControl w:val="0"/>
        <w:numPr>
          <w:ilvl w:val="0"/>
          <w:numId w:val="0"/>
        </w:numPr>
        <w:autoSpaceDE w:val="0"/>
        <w:autoSpaceDN w:val="0"/>
        <w:adjustRightInd w:val="0"/>
        <w:rPr>
          <w:rFonts w:hint="eastAsia" w:ascii="宋体" w:hAnsi="宋体" w:eastAsia="宋体" w:cs="宋体"/>
          <w:b/>
          <w:bCs/>
          <w:color w:val="auto"/>
        </w:rPr>
      </w:pPr>
    </w:p>
    <w:p w14:paraId="6AF86FFA">
      <w:pPr>
        <w:pStyle w:val="37"/>
        <w:widowControl w:val="0"/>
        <w:numPr>
          <w:ilvl w:val="0"/>
          <w:numId w:val="0"/>
        </w:numPr>
        <w:autoSpaceDE w:val="0"/>
        <w:autoSpaceDN w:val="0"/>
        <w:adjustRightInd w:val="0"/>
        <w:rPr>
          <w:rFonts w:hint="eastAsia" w:ascii="宋体" w:hAnsi="宋体" w:eastAsia="宋体" w:cs="宋体"/>
          <w:b/>
          <w:bCs/>
          <w:color w:val="auto"/>
        </w:rPr>
      </w:pPr>
    </w:p>
    <w:p w14:paraId="607907DE">
      <w:pPr>
        <w:pStyle w:val="37"/>
        <w:widowControl w:val="0"/>
        <w:numPr>
          <w:ilvl w:val="0"/>
          <w:numId w:val="0"/>
        </w:numPr>
        <w:autoSpaceDE w:val="0"/>
        <w:autoSpaceDN w:val="0"/>
        <w:adjustRightInd w:val="0"/>
        <w:rPr>
          <w:rFonts w:hint="eastAsia" w:ascii="宋体" w:hAnsi="宋体" w:eastAsia="宋体" w:cs="宋体"/>
          <w:b/>
          <w:bCs/>
          <w:color w:val="auto"/>
        </w:rPr>
      </w:pPr>
    </w:p>
    <w:p w14:paraId="64941D3D">
      <w:pPr>
        <w:pStyle w:val="37"/>
        <w:widowControl w:val="0"/>
        <w:numPr>
          <w:ilvl w:val="0"/>
          <w:numId w:val="0"/>
        </w:numPr>
        <w:autoSpaceDE w:val="0"/>
        <w:autoSpaceDN w:val="0"/>
        <w:adjustRightInd w:val="0"/>
        <w:rPr>
          <w:rFonts w:hint="eastAsia" w:ascii="宋体" w:hAnsi="宋体" w:eastAsia="宋体" w:cs="宋体"/>
          <w:b/>
          <w:bCs/>
          <w:color w:val="auto"/>
        </w:rPr>
      </w:pPr>
    </w:p>
    <w:p w14:paraId="45BBAAA7">
      <w:pPr>
        <w:pStyle w:val="37"/>
        <w:rPr>
          <w:rFonts w:hAnsi="宋体"/>
          <w:color w:val="auto"/>
        </w:rPr>
      </w:pPr>
    </w:p>
    <w:p w14:paraId="296FE171">
      <w:pPr>
        <w:pStyle w:val="37"/>
        <w:numPr>
          <w:ilvl w:val="0"/>
          <w:numId w:val="4"/>
        </w:numPr>
        <w:rPr>
          <w:rFonts w:hint="eastAsia" w:ascii="宋体" w:hAnsi="宋体" w:eastAsia="宋体" w:cs="宋体"/>
          <w:b/>
          <w:bCs/>
          <w:color w:val="auto"/>
          <w:sz w:val="28"/>
          <w:szCs w:val="36"/>
        </w:rPr>
      </w:pPr>
      <w:r>
        <w:rPr>
          <w:rFonts w:hint="eastAsia" w:ascii="宋体" w:hAnsi="宋体" w:eastAsia="宋体" w:cs="宋体"/>
          <w:b/>
          <w:bCs/>
          <w:color w:val="auto"/>
          <w:sz w:val="28"/>
          <w:szCs w:val="36"/>
          <w:lang w:val="en-US" w:eastAsia="zh-CN"/>
        </w:rPr>
        <w:t xml:space="preserve"> </w:t>
      </w:r>
      <w:r>
        <w:rPr>
          <w:rFonts w:hint="eastAsia" w:ascii="宋体" w:hAnsi="宋体" w:eastAsia="宋体" w:cs="宋体"/>
          <w:b/>
          <w:bCs/>
          <w:color w:val="auto"/>
          <w:sz w:val="28"/>
          <w:szCs w:val="36"/>
        </w:rPr>
        <w:t>技术文件格式</w:t>
      </w:r>
    </w:p>
    <w:p w14:paraId="5E0B18E1">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41E60803">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3F1E1A7E">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2D72F63A">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63187EB3">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1C96DC39">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6B000738">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4C82CEAA">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57876AFD">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74523E12">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46B275F2">
      <w:pPr>
        <w:pStyle w:val="37"/>
        <w:widowControl w:val="0"/>
        <w:numPr>
          <w:ilvl w:val="0"/>
          <w:numId w:val="0"/>
        </w:numPr>
        <w:autoSpaceDE w:val="0"/>
        <w:autoSpaceDN w:val="0"/>
        <w:adjustRightInd w:val="0"/>
        <w:rPr>
          <w:rFonts w:hint="eastAsia" w:ascii="宋体" w:hAnsi="宋体" w:eastAsia="宋体" w:cs="宋体"/>
          <w:b/>
          <w:bCs/>
          <w:color w:val="auto"/>
          <w:sz w:val="24"/>
          <w:szCs w:val="32"/>
        </w:rPr>
      </w:pPr>
    </w:p>
    <w:p w14:paraId="7F284F71">
      <w:pPr>
        <w:pStyle w:val="37"/>
        <w:widowControl w:val="0"/>
        <w:numPr>
          <w:ilvl w:val="0"/>
          <w:numId w:val="0"/>
        </w:numPr>
        <w:autoSpaceDE w:val="0"/>
        <w:autoSpaceDN w:val="0"/>
        <w:adjustRightInd w:val="0"/>
        <w:jc w:val="center"/>
        <w:rPr>
          <w:rFonts w:hint="eastAsia" w:ascii="宋体" w:hAnsi="宋体" w:eastAsia="宋体" w:cs="宋体"/>
          <w:b/>
          <w:bCs/>
          <w:color w:val="auto"/>
          <w:sz w:val="40"/>
          <w:szCs w:val="48"/>
        </w:rPr>
      </w:pPr>
      <w:r>
        <w:rPr>
          <w:rFonts w:hint="eastAsia" w:ascii="宋体" w:hAnsi="宋体" w:eastAsia="宋体" w:cs="宋体"/>
          <w:b/>
          <w:bCs/>
          <w:color w:val="auto"/>
          <w:sz w:val="40"/>
          <w:szCs w:val="48"/>
        </w:rPr>
        <w:t xml:space="preserve"> 技 术 文 件</w:t>
      </w:r>
    </w:p>
    <w:p w14:paraId="010FBD75">
      <w:pPr>
        <w:pStyle w:val="37"/>
        <w:rPr>
          <w:rFonts w:hAnsi="宋体"/>
          <w:color w:val="auto"/>
        </w:rPr>
      </w:pPr>
    </w:p>
    <w:p w14:paraId="46A2A7DB">
      <w:pPr>
        <w:pStyle w:val="37"/>
        <w:rPr>
          <w:rFonts w:hAnsi="宋体"/>
          <w:color w:val="auto"/>
        </w:rPr>
      </w:pPr>
    </w:p>
    <w:p w14:paraId="07808483">
      <w:pPr>
        <w:pStyle w:val="37"/>
        <w:rPr>
          <w:rFonts w:hAnsi="宋体"/>
          <w:color w:val="auto"/>
        </w:rPr>
      </w:pPr>
    </w:p>
    <w:p w14:paraId="00E69244">
      <w:pPr>
        <w:pStyle w:val="37"/>
        <w:rPr>
          <w:rFonts w:hAnsi="宋体"/>
          <w:color w:val="auto"/>
        </w:rPr>
      </w:pPr>
    </w:p>
    <w:p w14:paraId="5EDCBF68">
      <w:pPr>
        <w:pStyle w:val="37"/>
        <w:rPr>
          <w:rFonts w:hAnsi="宋体"/>
          <w:color w:val="auto"/>
        </w:rPr>
      </w:pPr>
    </w:p>
    <w:p w14:paraId="05096693">
      <w:pPr>
        <w:pStyle w:val="37"/>
        <w:rPr>
          <w:rFonts w:hAnsi="宋体"/>
          <w:color w:val="auto"/>
        </w:rPr>
      </w:pPr>
    </w:p>
    <w:p w14:paraId="0476451E">
      <w:pPr>
        <w:pStyle w:val="37"/>
        <w:rPr>
          <w:rFonts w:hAnsi="宋体"/>
          <w:color w:val="auto"/>
        </w:rPr>
      </w:pPr>
    </w:p>
    <w:p w14:paraId="655BE84C">
      <w:pPr>
        <w:pStyle w:val="37"/>
        <w:rPr>
          <w:rFonts w:hAnsi="宋体"/>
          <w:color w:val="auto"/>
        </w:rPr>
      </w:pPr>
    </w:p>
    <w:p w14:paraId="5AD00B99">
      <w:pPr>
        <w:pStyle w:val="37"/>
        <w:rPr>
          <w:rFonts w:hAnsi="宋体"/>
          <w:color w:val="auto"/>
        </w:rPr>
      </w:pPr>
    </w:p>
    <w:p w14:paraId="5A972E56">
      <w:pPr>
        <w:pStyle w:val="37"/>
        <w:rPr>
          <w:rFonts w:hAnsi="宋体"/>
          <w:color w:val="auto"/>
        </w:rPr>
      </w:pPr>
    </w:p>
    <w:p w14:paraId="1066D1F7">
      <w:pPr>
        <w:pStyle w:val="37"/>
        <w:rPr>
          <w:rFonts w:hAnsi="宋体"/>
          <w:color w:val="auto"/>
        </w:rPr>
      </w:pPr>
    </w:p>
    <w:p w14:paraId="68F764EC">
      <w:pPr>
        <w:pStyle w:val="37"/>
        <w:rPr>
          <w:rFonts w:hAnsi="宋体"/>
          <w:color w:val="auto"/>
        </w:rPr>
      </w:pPr>
    </w:p>
    <w:p w14:paraId="6FA14F8E">
      <w:pPr>
        <w:pStyle w:val="37"/>
        <w:rPr>
          <w:rFonts w:hAnsi="宋体"/>
          <w:color w:val="auto"/>
        </w:rPr>
      </w:pPr>
    </w:p>
    <w:p w14:paraId="642777D8">
      <w:pPr>
        <w:pStyle w:val="37"/>
        <w:rPr>
          <w:rFonts w:hAnsi="宋体"/>
          <w:color w:val="auto"/>
        </w:rPr>
      </w:pPr>
    </w:p>
    <w:p w14:paraId="5E3B244F">
      <w:pPr>
        <w:pStyle w:val="37"/>
        <w:rPr>
          <w:rFonts w:hAnsi="宋体"/>
          <w:color w:val="auto"/>
        </w:rPr>
      </w:pPr>
    </w:p>
    <w:p w14:paraId="0F0B4329">
      <w:pPr>
        <w:pStyle w:val="37"/>
        <w:rPr>
          <w:rFonts w:hAnsi="宋体"/>
          <w:color w:val="auto"/>
        </w:rPr>
      </w:pPr>
    </w:p>
    <w:p w14:paraId="5D49983B">
      <w:pPr>
        <w:pStyle w:val="37"/>
        <w:rPr>
          <w:rFonts w:hAnsi="宋体"/>
          <w:color w:val="auto"/>
        </w:rPr>
      </w:pPr>
    </w:p>
    <w:p w14:paraId="6A77C17C">
      <w:pPr>
        <w:pStyle w:val="37"/>
        <w:rPr>
          <w:rFonts w:hAnsi="宋体"/>
          <w:color w:val="auto"/>
        </w:rPr>
      </w:pPr>
    </w:p>
    <w:p w14:paraId="79789781">
      <w:pPr>
        <w:pStyle w:val="37"/>
        <w:rPr>
          <w:rFonts w:hAnsi="宋体"/>
          <w:color w:val="auto"/>
        </w:rPr>
      </w:pPr>
    </w:p>
    <w:p w14:paraId="0EC92745">
      <w:pPr>
        <w:pStyle w:val="37"/>
        <w:rPr>
          <w:rFonts w:hAnsi="宋体"/>
          <w:color w:val="auto"/>
        </w:rPr>
      </w:pPr>
    </w:p>
    <w:p w14:paraId="0B0C64B0">
      <w:pPr>
        <w:pStyle w:val="37"/>
        <w:rPr>
          <w:rFonts w:hAnsi="宋体"/>
          <w:color w:val="auto"/>
        </w:rPr>
      </w:pPr>
    </w:p>
    <w:p w14:paraId="0110E36C">
      <w:pPr>
        <w:pStyle w:val="37"/>
        <w:rPr>
          <w:rFonts w:hAnsi="宋体"/>
          <w:color w:val="auto"/>
        </w:rPr>
      </w:pPr>
    </w:p>
    <w:p w14:paraId="13EB4763">
      <w:pPr>
        <w:pStyle w:val="37"/>
        <w:rPr>
          <w:rFonts w:hAnsi="宋体"/>
          <w:color w:val="auto"/>
        </w:rPr>
      </w:pPr>
    </w:p>
    <w:p w14:paraId="778C5E36">
      <w:pPr>
        <w:pStyle w:val="37"/>
        <w:rPr>
          <w:rFonts w:hAnsi="宋体"/>
          <w:color w:val="auto"/>
        </w:rPr>
      </w:pPr>
    </w:p>
    <w:p w14:paraId="3895B795">
      <w:pPr>
        <w:pStyle w:val="37"/>
        <w:rPr>
          <w:rFonts w:hAnsi="宋体"/>
          <w:color w:val="auto"/>
        </w:rPr>
      </w:pPr>
    </w:p>
    <w:p w14:paraId="08EE3938">
      <w:pPr>
        <w:pStyle w:val="37"/>
        <w:rPr>
          <w:rFonts w:hAnsi="宋体"/>
          <w:color w:val="auto"/>
        </w:rPr>
      </w:pPr>
    </w:p>
    <w:p w14:paraId="68646492">
      <w:pPr>
        <w:pStyle w:val="37"/>
        <w:rPr>
          <w:rFonts w:hAnsi="宋体"/>
          <w:color w:val="auto"/>
        </w:rPr>
      </w:pPr>
    </w:p>
    <w:p w14:paraId="396B8851">
      <w:pPr>
        <w:pStyle w:val="37"/>
        <w:rPr>
          <w:rFonts w:hAnsi="宋体"/>
          <w:color w:val="auto"/>
        </w:rPr>
      </w:pPr>
    </w:p>
    <w:p w14:paraId="7D8A02FE">
      <w:pPr>
        <w:pStyle w:val="37"/>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1</w:t>
      </w:r>
      <w:r>
        <w:rPr>
          <w:rFonts w:hint="eastAsia" w:ascii="宋体" w:hAnsi="宋体" w:eastAsia="宋体" w:cs="宋体"/>
          <w:b/>
          <w:bCs/>
          <w:color w:val="auto"/>
          <w:lang w:eastAsia="zh-CN"/>
        </w:rPr>
        <w:t>）</w:t>
      </w:r>
      <w:r>
        <w:rPr>
          <w:rFonts w:hint="eastAsia" w:ascii="宋体" w:hAnsi="宋体" w:eastAsia="宋体" w:cs="宋体"/>
          <w:b/>
          <w:bCs/>
          <w:color w:val="auto"/>
        </w:rPr>
        <w:t>施工组织设计</w:t>
      </w:r>
    </w:p>
    <w:p w14:paraId="263E46B3">
      <w:pPr>
        <w:pStyle w:val="37"/>
        <w:keepNext w:val="0"/>
        <w:keepLines w:val="0"/>
        <w:pageBreakBefore w:val="0"/>
        <w:widowControl w:val="0"/>
        <w:kinsoku/>
        <w:wordWrap/>
        <w:overflowPunct/>
        <w:topLinePunct w:val="0"/>
        <w:autoSpaceDE w:val="0"/>
        <w:autoSpaceDN w:val="0"/>
        <w:bidi w:val="0"/>
        <w:adjustRightInd w:val="0"/>
        <w:snapToGrid/>
        <w:spacing w:line="440" w:lineRule="exact"/>
        <w:ind w:firstLine="420" w:firstLineChars="200"/>
        <w:textAlignment w:val="auto"/>
        <w:rPr>
          <w:rFonts w:hint="eastAsia" w:hAnsi="宋体"/>
          <w:color w:val="auto"/>
        </w:rPr>
      </w:pPr>
      <w:r>
        <w:rPr>
          <w:rFonts w:hint="eastAsia" w:hAnsi="宋体"/>
          <w:color w:val="auto"/>
        </w:rPr>
        <w:t>1</w:t>
      </w:r>
      <w:r>
        <w:rPr>
          <w:rFonts w:hint="eastAsia" w:hAnsi="宋体"/>
          <w:color w:val="auto"/>
          <w:lang w:val="en-US" w:eastAsia="zh-CN"/>
        </w:rPr>
        <w:t>.</w:t>
      </w:r>
      <w:r>
        <w:rPr>
          <w:rFonts w:hint="eastAsia" w:ascii="宋体" w:hAnsi="宋体" w:cs="宋体"/>
          <w:b w:val="0"/>
          <w:bCs/>
          <w:color w:val="auto"/>
          <w:szCs w:val="21"/>
          <w:lang w:eastAsia="zh-CN"/>
        </w:rPr>
        <w:t>供应商</w:t>
      </w:r>
      <w:r>
        <w:rPr>
          <w:rFonts w:hint="eastAsia" w:hAnsi="宋体"/>
          <w:color w:val="auto"/>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 污染、地下管线及其他地上地下设施的保护加固措施等。</w:t>
      </w:r>
    </w:p>
    <w:p w14:paraId="3D5B8B4D">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53FE6DF">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3D6FFAB">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F1F7DA9">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59C8B8D">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79B0808">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262CD857">
      <w:pPr>
        <w:pStyle w:val="3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rPr>
      </w:pPr>
      <w:r>
        <w:rPr>
          <w:rFonts w:hint="eastAsia" w:ascii="宋体" w:hAnsi="宋体" w:eastAsia="宋体" w:cs="宋体"/>
          <w:b/>
          <w:bCs/>
          <w:color w:val="auto"/>
        </w:rPr>
        <w:t>(</w:t>
      </w:r>
      <w:r>
        <w:rPr>
          <w:rFonts w:hint="eastAsia" w:ascii="宋体" w:hAnsi="宋体" w:eastAsia="宋体" w:cs="宋体"/>
          <w:b/>
          <w:bCs/>
          <w:color w:val="auto"/>
          <w:lang w:val="en-US" w:eastAsia="zh-CN"/>
        </w:rPr>
        <w:t>2</w:t>
      </w:r>
      <w:r>
        <w:rPr>
          <w:rFonts w:hint="eastAsia" w:ascii="宋体" w:hAnsi="宋体" w:eastAsia="宋体" w:cs="宋体"/>
          <w:b/>
          <w:bCs/>
          <w:color w:val="auto"/>
        </w:rPr>
        <w:t xml:space="preserve">) </w:t>
      </w:r>
      <w:r>
        <w:rPr>
          <w:rFonts w:hint="eastAsia" w:ascii="宋体" w:hAnsi="宋体" w:eastAsia="宋体" w:cs="宋体"/>
          <w:b/>
          <w:bCs/>
          <w:color w:val="auto"/>
          <w:lang w:eastAsia="zh-CN"/>
        </w:rPr>
        <w:t>供应商</w:t>
      </w:r>
      <w:r>
        <w:rPr>
          <w:rFonts w:hint="eastAsia" w:ascii="宋体" w:hAnsi="宋体" w:eastAsia="宋体" w:cs="宋体"/>
          <w:b/>
          <w:bCs/>
          <w:color w:val="auto"/>
        </w:rPr>
        <w:t>针对技术需要说明的其他文件和说明 (格式自拟) ；</w:t>
      </w:r>
    </w:p>
    <w:p w14:paraId="4863F9E6">
      <w:pPr>
        <w:rPr>
          <w:rFonts w:hint="eastAsia" w:ascii="宋体" w:hAnsi="宋体" w:eastAsia="宋体" w:cs="宋体"/>
          <w:color w:val="auto"/>
        </w:rPr>
      </w:pPr>
      <w:r>
        <w:rPr>
          <w:rFonts w:hint="eastAsia" w:ascii="宋体" w:hAnsi="宋体" w:eastAsia="宋体" w:cs="宋体"/>
          <w:color w:val="auto"/>
        </w:rPr>
        <w:br w:type="page"/>
      </w:r>
    </w:p>
    <w:p w14:paraId="09F0D101">
      <w:pPr>
        <w:pStyle w:val="37"/>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附：大型、中型和小型、微型企业划型标准</w:t>
      </w:r>
    </w:p>
    <w:p w14:paraId="308F7512">
      <w:pPr>
        <w:pStyle w:val="37"/>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大型、 中型和小型、微型企业划型标准</w:t>
      </w:r>
    </w:p>
    <w:p w14:paraId="2627E27B">
      <w:pPr>
        <w:pStyle w:val="37"/>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宋体" w:hAnsi="宋体" w:eastAsia="宋体" w:cs="宋体"/>
          <w:b/>
          <w:bCs/>
          <w:color w:val="auto"/>
          <w:sz w:val="24"/>
          <w:szCs w:val="32"/>
        </w:rPr>
      </w:pPr>
      <w:r>
        <w:rPr>
          <w:rFonts w:hint="eastAsia" w:ascii="宋体" w:hAnsi="宋体" w:eastAsia="宋体" w:cs="宋体"/>
          <w:b/>
          <w:bCs/>
          <w:color w:val="auto"/>
          <w:sz w:val="24"/>
          <w:szCs w:val="32"/>
        </w:rPr>
        <w:t>根据(工信部联企业[2011]300 号)文</w:t>
      </w:r>
    </w:p>
    <w:tbl>
      <w:tblPr>
        <w:tblStyle w:val="49"/>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53F19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vAlign w:val="top"/>
          </w:tcPr>
          <w:p w14:paraId="7D97D441">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6"/>
                <w:sz w:val="23"/>
                <w:szCs w:val="23"/>
                <w14:textOutline w14:w="4358" w14:cap="sq" w14:cmpd="sng">
                  <w14:solidFill>
                    <w14:srgbClr w14:val="000000"/>
                  </w14:solidFill>
                  <w14:prstDash w14:val="solid"/>
                  <w14:bevel/>
                </w14:textOutline>
              </w:rPr>
              <w:t>行业名称</w:t>
            </w:r>
          </w:p>
        </w:tc>
        <w:tc>
          <w:tcPr>
            <w:tcW w:w="1187" w:type="dxa"/>
            <w:vAlign w:val="top"/>
          </w:tcPr>
          <w:p w14:paraId="566DC6FD">
            <w:pPr>
              <w:keepNext w:val="0"/>
              <w:keepLines w:val="0"/>
              <w:pageBreakBefore w:val="0"/>
              <w:widowControl w:val="0"/>
              <w:kinsoku/>
              <w:wordWrap/>
              <w:overflowPunct/>
              <w:topLinePunct w:val="0"/>
              <w:autoSpaceDE/>
              <w:autoSpaceDN/>
              <w:bidi w:val="0"/>
              <w:adjustRightInd/>
              <w:snapToGrid/>
              <w:spacing w:before="104" w:line="200" w:lineRule="exact"/>
              <w:ind w:left="126"/>
              <w:textAlignment w:val="auto"/>
              <w:rPr>
                <w:rFonts w:ascii="仿宋" w:hAnsi="仿宋" w:eastAsia="仿宋" w:cs="仿宋"/>
                <w:color w:val="auto"/>
                <w:sz w:val="23"/>
                <w:szCs w:val="23"/>
              </w:rPr>
            </w:pPr>
            <w:r>
              <w:rPr>
                <w:rFonts w:ascii="仿宋" w:hAnsi="仿宋" w:eastAsia="仿宋" w:cs="仿宋"/>
                <w:color w:val="auto"/>
                <w:spacing w:val="8"/>
                <w:sz w:val="23"/>
                <w:szCs w:val="23"/>
                <w14:textOutline w14:w="4358" w14:cap="sq" w14:cmpd="sng">
                  <w14:solidFill>
                    <w14:srgbClr w14:val="000000"/>
                  </w14:solidFill>
                  <w14:prstDash w14:val="solid"/>
                  <w14:bevel/>
                </w14:textOutline>
              </w:rPr>
              <w:t>指</w:t>
            </w:r>
            <w:r>
              <w:rPr>
                <w:rFonts w:ascii="仿宋" w:hAnsi="仿宋" w:eastAsia="仿宋" w:cs="仿宋"/>
                <w:color w:val="auto"/>
                <w:spacing w:val="6"/>
                <w:sz w:val="23"/>
                <w:szCs w:val="23"/>
                <w14:textOutline w14:w="4358" w14:cap="sq" w14:cmpd="sng">
                  <w14:solidFill>
                    <w14:srgbClr w14:val="000000"/>
                  </w14:solidFill>
                  <w14:prstDash w14:val="solid"/>
                  <w14:bevel/>
                </w14:textOutline>
              </w:rPr>
              <w:t>标名称</w:t>
            </w:r>
          </w:p>
        </w:tc>
        <w:tc>
          <w:tcPr>
            <w:tcW w:w="900" w:type="dxa"/>
            <w:vAlign w:val="top"/>
          </w:tcPr>
          <w:p w14:paraId="5B24356A">
            <w:pPr>
              <w:keepNext w:val="0"/>
              <w:keepLines w:val="0"/>
              <w:pageBreakBefore w:val="0"/>
              <w:widowControl w:val="0"/>
              <w:kinsoku/>
              <w:wordWrap/>
              <w:overflowPunct/>
              <w:topLinePunct w:val="0"/>
              <w:autoSpaceDE/>
              <w:autoSpaceDN/>
              <w:bidi w:val="0"/>
              <w:adjustRightInd/>
              <w:snapToGrid/>
              <w:spacing w:before="104" w:line="200" w:lineRule="exact"/>
              <w:ind w:left="228"/>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单</w:t>
            </w:r>
            <w:r>
              <w:rPr>
                <w:rFonts w:ascii="仿宋" w:hAnsi="仿宋" w:eastAsia="仿宋" w:cs="仿宋"/>
                <w:color w:val="auto"/>
                <w:sz w:val="23"/>
                <w:szCs w:val="23"/>
                <w14:textOutline w14:w="4358" w14:cap="sq" w14:cmpd="sng">
                  <w14:solidFill>
                    <w14:srgbClr w14:val="000000"/>
                  </w14:solidFill>
                  <w14:prstDash w14:val="solid"/>
                  <w14:bevel/>
                </w14:textOutline>
              </w:rPr>
              <w:t>位</w:t>
            </w:r>
          </w:p>
        </w:tc>
        <w:tc>
          <w:tcPr>
            <w:tcW w:w="1399" w:type="dxa"/>
            <w:vAlign w:val="top"/>
          </w:tcPr>
          <w:p w14:paraId="764F7382">
            <w:pPr>
              <w:keepNext w:val="0"/>
              <w:keepLines w:val="0"/>
              <w:pageBreakBefore w:val="0"/>
              <w:widowControl w:val="0"/>
              <w:kinsoku/>
              <w:wordWrap/>
              <w:overflowPunct/>
              <w:topLinePunct w:val="0"/>
              <w:autoSpaceDE/>
              <w:autoSpaceDN/>
              <w:bidi w:val="0"/>
              <w:adjustRightInd/>
              <w:snapToGrid/>
              <w:spacing w:before="104" w:line="200" w:lineRule="exact"/>
              <w:ind w:left="475"/>
              <w:textAlignment w:val="auto"/>
              <w:rPr>
                <w:rFonts w:ascii="仿宋" w:hAnsi="仿宋" w:eastAsia="仿宋" w:cs="仿宋"/>
                <w:color w:val="auto"/>
                <w:sz w:val="23"/>
                <w:szCs w:val="23"/>
              </w:rPr>
            </w:pPr>
            <w:r>
              <w:rPr>
                <w:rFonts w:ascii="仿宋" w:hAnsi="仿宋" w:eastAsia="仿宋" w:cs="仿宋"/>
                <w:color w:val="auto"/>
                <w:spacing w:val="1"/>
                <w:sz w:val="23"/>
                <w:szCs w:val="23"/>
                <w14:textOutline w14:w="4358" w14:cap="sq" w14:cmpd="sng">
                  <w14:solidFill>
                    <w14:srgbClr w14:val="000000"/>
                  </w14:solidFill>
                  <w14:prstDash w14:val="solid"/>
                  <w14:bevel/>
                </w14:textOutline>
              </w:rPr>
              <w:t>大</w:t>
            </w:r>
            <w:r>
              <w:rPr>
                <w:rFonts w:ascii="仿宋" w:hAnsi="仿宋" w:eastAsia="仿宋" w:cs="仿宋"/>
                <w:color w:val="auto"/>
                <w:sz w:val="23"/>
                <w:szCs w:val="23"/>
                <w14:textOutline w14:w="4358" w14:cap="sq" w14:cmpd="sng">
                  <w14:solidFill>
                    <w14:srgbClr w14:val="000000"/>
                  </w14:solidFill>
                  <w14:prstDash w14:val="solid"/>
                  <w14:bevel/>
                </w14:textOutline>
              </w:rPr>
              <w:t>型</w:t>
            </w:r>
          </w:p>
        </w:tc>
        <w:tc>
          <w:tcPr>
            <w:tcW w:w="1535" w:type="dxa"/>
            <w:vAlign w:val="top"/>
          </w:tcPr>
          <w:p w14:paraId="5AA7A135">
            <w:pPr>
              <w:keepNext w:val="0"/>
              <w:keepLines w:val="0"/>
              <w:pageBreakBefore w:val="0"/>
              <w:widowControl w:val="0"/>
              <w:kinsoku/>
              <w:wordWrap/>
              <w:overflowPunct/>
              <w:topLinePunct w:val="0"/>
              <w:autoSpaceDE/>
              <w:autoSpaceDN/>
              <w:bidi w:val="0"/>
              <w:adjustRightInd/>
              <w:snapToGrid/>
              <w:spacing w:before="104" w:line="200" w:lineRule="exact"/>
              <w:ind w:left="571"/>
              <w:textAlignment w:val="auto"/>
              <w:rPr>
                <w:rFonts w:ascii="仿宋" w:hAnsi="仿宋" w:eastAsia="仿宋" w:cs="仿宋"/>
                <w:color w:val="auto"/>
                <w:sz w:val="23"/>
                <w:szCs w:val="23"/>
              </w:rPr>
            </w:pPr>
            <w:r>
              <w:rPr>
                <w:rFonts w:ascii="仿宋" w:hAnsi="仿宋" w:eastAsia="仿宋" w:cs="仿宋"/>
                <w:color w:val="auto"/>
                <w:spacing w:val="-14"/>
                <w:sz w:val="23"/>
                <w:szCs w:val="23"/>
                <w14:textOutline w14:w="4358" w14:cap="sq" w14:cmpd="sng">
                  <w14:solidFill>
                    <w14:srgbClr w14:val="000000"/>
                  </w14:solidFill>
                  <w14:prstDash w14:val="solid"/>
                  <w14:bevel/>
                </w14:textOutline>
              </w:rPr>
              <w:t>中</w:t>
            </w:r>
            <w:r>
              <w:rPr>
                <w:rFonts w:ascii="仿宋" w:hAnsi="仿宋" w:eastAsia="仿宋" w:cs="仿宋"/>
                <w:color w:val="auto"/>
                <w:spacing w:val="-13"/>
                <w:sz w:val="23"/>
                <w:szCs w:val="23"/>
                <w14:textOutline w14:w="4358" w14:cap="sq" w14:cmpd="sng">
                  <w14:solidFill>
                    <w14:srgbClr w14:val="000000"/>
                  </w14:solidFill>
                  <w14:prstDash w14:val="solid"/>
                  <w14:bevel/>
                </w14:textOutline>
              </w:rPr>
              <w:t>型</w:t>
            </w:r>
          </w:p>
        </w:tc>
        <w:tc>
          <w:tcPr>
            <w:tcW w:w="1295" w:type="dxa"/>
            <w:vAlign w:val="top"/>
          </w:tcPr>
          <w:p w14:paraId="104E4640">
            <w:pPr>
              <w:keepNext w:val="0"/>
              <w:keepLines w:val="0"/>
              <w:pageBreakBefore w:val="0"/>
              <w:widowControl w:val="0"/>
              <w:kinsoku/>
              <w:wordWrap/>
              <w:overflowPunct/>
              <w:topLinePunct w:val="0"/>
              <w:autoSpaceDE/>
              <w:autoSpaceDN/>
              <w:bidi w:val="0"/>
              <w:adjustRightInd/>
              <w:snapToGrid/>
              <w:spacing w:before="105" w:line="200" w:lineRule="exact"/>
              <w:ind w:left="421"/>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小型</w:t>
            </w:r>
          </w:p>
        </w:tc>
        <w:tc>
          <w:tcPr>
            <w:tcW w:w="1004" w:type="dxa"/>
            <w:vAlign w:val="top"/>
          </w:tcPr>
          <w:p w14:paraId="6439EACE">
            <w:pPr>
              <w:keepNext w:val="0"/>
              <w:keepLines w:val="0"/>
              <w:pageBreakBefore w:val="0"/>
              <w:widowControl w:val="0"/>
              <w:kinsoku/>
              <w:wordWrap/>
              <w:overflowPunct/>
              <w:topLinePunct w:val="0"/>
              <w:autoSpaceDE/>
              <w:autoSpaceDN/>
              <w:bidi w:val="0"/>
              <w:adjustRightInd/>
              <w:snapToGrid/>
              <w:spacing w:before="104" w:line="200" w:lineRule="exact"/>
              <w:ind w:left="275"/>
              <w:textAlignment w:val="auto"/>
              <w:rPr>
                <w:rFonts w:ascii="仿宋" w:hAnsi="仿宋" w:eastAsia="仿宋" w:cs="仿宋"/>
                <w:color w:val="auto"/>
                <w:sz w:val="23"/>
                <w:szCs w:val="23"/>
              </w:rPr>
            </w:pPr>
            <w:r>
              <w:rPr>
                <w:rFonts w:ascii="仿宋" w:hAnsi="仿宋" w:eastAsia="仿宋" w:cs="仿宋"/>
                <w:color w:val="auto"/>
                <w:spacing w:val="2"/>
                <w:sz w:val="23"/>
                <w:szCs w:val="23"/>
                <w14:textOutline w14:w="4358" w14:cap="sq" w14:cmpd="sng">
                  <w14:solidFill>
                    <w14:srgbClr w14:val="000000"/>
                  </w14:solidFill>
                  <w14:prstDash w14:val="solid"/>
                  <w14:bevel/>
                </w14:textOutline>
              </w:rPr>
              <w:t>微型</w:t>
            </w:r>
          </w:p>
        </w:tc>
      </w:tr>
      <w:tr w14:paraId="52517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vAlign w:val="top"/>
          </w:tcPr>
          <w:p w14:paraId="71026466">
            <w:pPr>
              <w:keepNext w:val="0"/>
              <w:keepLines w:val="0"/>
              <w:pageBreakBefore w:val="0"/>
              <w:widowControl w:val="0"/>
              <w:kinsoku/>
              <w:wordWrap/>
              <w:overflowPunct/>
              <w:topLinePunct w:val="0"/>
              <w:autoSpaceDE/>
              <w:autoSpaceDN/>
              <w:bidi w:val="0"/>
              <w:adjustRightInd/>
              <w:snapToGrid/>
              <w:spacing w:before="99"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农林牧</w:t>
            </w:r>
            <w:r>
              <w:rPr>
                <w:rFonts w:ascii="仿宋" w:hAnsi="仿宋" w:eastAsia="仿宋" w:cs="仿宋"/>
                <w:color w:val="auto"/>
                <w:spacing w:val="5"/>
                <w:sz w:val="23"/>
                <w:szCs w:val="23"/>
              </w:rPr>
              <w:t>渔</w:t>
            </w:r>
          </w:p>
        </w:tc>
        <w:tc>
          <w:tcPr>
            <w:tcW w:w="1187" w:type="dxa"/>
            <w:vAlign w:val="top"/>
          </w:tcPr>
          <w:p w14:paraId="6B2E870B">
            <w:pPr>
              <w:keepNext w:val="0"/>
              <w:keepLines w:val="0"/>
              <w:pageBreakBefore w:val="0"/>
              <w:widowControl w:val="0"/>
              <w:kinsoku/>
              <w:wordWrap/>
              <w:overflowPunct/>
              <w:topLinePunct w:val="0"/>
              <w:autoSpaceDE/>
              <w:autoSpaceDN/>
              <w:bidi w:val="0"/>
              <w:adjustRightInd/>
              <w:snapToGrid/>
              <w:spacing w:before="100"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67460E3">
            <w:pPr>
              <w:keepNext w:val="0"/>
              <w:keepLines w:val="0"/>
              <w:pageBreakBefore w:val="0"/>
              <w:widowControl w:val="0"/>
              <w:kinsoku/>
              <w:wordWrap/>
              <w:overflowPunct/>
              <w:topLinePunct w:val="0"/>
              <w:autoSpaceDE/>
              <w:autoSpaceDN/>
              <w:bidi w:val="0"/>
              <w:adjustRightInd/>
              <w:snapToGrid/>
              <w:spacing w:before="100"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E8CCDA6">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w:t>
            </w:r>
            <w:r>
              <w:rPr>
                <w:rFonts w:ascii="仿宋" w:hAnsi="仿宋" w:eastAsia="仿宋" w:cs="仿宋"/>
                <w:color w:val="auto"/>
                <w:position w:val="1"/>
                <w:sz w:val="23"/>
                <w:szCs w:val="23"/>
              </w:rPr>
              <w:t>0000</w:t>
            </w:r>
          </w:p>
        </w:tc>
        <w:tc>
          <w:tcPr>
            <w:tcW w:w="1535" w:type="dxa"/>
            <w:vAlign w:val="top"/>
          </w:tcPr>
          <w:p w14:paraId="6628C299">
            <w:pPr>
              <w:keepNext w:val="0"/>
              <w:keepLines w:val="0"/>
              <w:pageBreakBefore w:val="0"/>
              <w:widowControl w:val="0"/>
              <w:kinsoku/>
              <w:wordWrap/>
              <w:overflowPunct/>
              <w:topLinePunct w:val="0"/>
              <w:autoSpaceDE/>
              <w:autoSpaceDN/>
              <w:bidi w:val="0"/>
              <w:adjustRightInd/>
              <w:snapToGrid/>
              <w:spacing w:before="141"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31AC3B74">
            <w:pPr>
              <w:keepNext w:val="0"/>
              <w:keepLines w:val="0"/>
              <w:pageBreakBefore w:val="0"/>
              <w:widowControl w:val="0"/>
              <w:kinsoku/>
              <w:wordWrap/>
              <w:overflowPunct/>
              <w:topLinePunct w:val="0"/>
              <w:autoSpaceDE/>
              <w:autoSpaceDN/>
              <w:bidi w:val="0"/>
              <w:adjustRightInd/>
              <w:snapToGrid/>
              <w:spacing w:before="141" w:line="200" w:lineRule="exact"/>
              <w:ind w:left="298"/>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-500</w:t>
            </w:r>
          </w:p>
        </w:tc>
        <w:tc>
          <w:tcPr>
            <w:tcW w:w="1004" w:type="dxa"/>
            <w:vAlign w:val="top"/>
          </w:tcPr>
          <w:p w14:paraId="09F6B87F">
            <w:pPr>
              <w:keepNext w:val="0"/>
              <w:keepLines w:val="0"/>
              <w:pageBreakBefore w:val="0"/>
              <w:widowControl w:val="0"/>
              <w:kinsoku/>
              <w:wordWrap/>
              <w:overflowPunct/>
              <w:topLinePunct w:val="0"/>
              <w:autoSpaceDE/>
              <w:autoSpaceDN/>
              <w:bidi w:val="0"/>
              <w:adjustRightInd/>
              <w:snapToGrid/>
              <w:spacing w:before="100"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46CC3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67AF365F">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292B7A53">
            <w:pPr>
              <w:keepNext w:val="0"/>
              <w:keepLines w:val="0"/>
              <w:pageBreakBefore w:val="0"/>
              <w:widowControl w:val="0"/>
              <w:kinsoku/>
              <w:wordWrap/>
              <w:overflowPunct/>
              <w:topLinePunct w:val="0"/>
              <w:autoSpaceDE/>
              <w:autoSpaceDN/>
              <w:bidi w:val="0"/>
              <w:adjustRightInd/>
              <w:snapToGrid/>
              <w:spacing w:before="75"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工业</w:t>
            </w:r>
          </w:p>
        </w:tc>
        <w:tc>
          <w:tcPr>
            <w:tcW w:w="1187" w:type="dxa"/>
            <w:vAlign w:val="top"/>
          </w:tcPr>
          <w:p w14:paraId="415123CE">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6A8BA20">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7E5A1834">
            <w:pPr>
              <w:keepNext w:val="0"/>
              <w:keepLines w:val="0"/>
              <w:pageBreakBefore w:val="0"/>
              <w:widowControl w:val="0"/>
              <w:kinsoku/>
              <w:wordWrap/>
              <w:overflowPunct/>
              <w:topLinePunct w:val="0"/>
              <w:autoSpaceDE/>
              <w:autoSpaceDN/>
              <w:bidi w:val="0"/>
              <w:adjustRightInd/>
              <w:snapToGrid/>
              <w:spacing w:before="101"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523DD727">
            <w:pPr>
              <w:keepNext w:val="0"/>
              <w:keepLines w:val="0"/>
              <w:pageBreakBefore w:val="0"/>
              <w:widowControl w:val="0"/>
              <w:kinsoku/>
              <w:wordWrap/>
              <w:overflowPunct/>
              <w:topLinePunct w:val="0"/>
              <w:autoSpaceDE/>
              <w:autoSpaceDN/>
              <w:bidi w:val="0"/>
              <w:adjustRightInd/>
              <w:snapToGrid/>
              <w:spacing w:before="142"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49EB2283">
            <w:pPr>
              <w:keepNext w:val="0"/>
              <w:keepLines w:val="0"/>
              <w:pageBreakBefore w:val="0"/>
              <w:widowControl w:val="0"/>
              <w:kinsoku/>
              <w:wordWrap/>
              <w:overflowPunct/>
              <w:topLinePunct w:val="0"/>
              <w:autoSpaceDE/>
              <w:autoSpaceDN/>
              <w:bidi w:val="0"/>
              <w:adjustRightInd/>
              <w:snapToGrid/>
              <w:spacing w:before="142"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5ECC7E9F">
            <w:pPr>
              <w:keepNext w:val="0"/>
              <w:keepLines w:val="0"/>
              <w:pageBreakBefore w:val="0"/>
              <w:widowControl w:val="0"/>
              <w:kinsoku/>
              <w:wordWrap/>
              <w:overflowPunct/>
              <w:topLinePunct w:val="0"/>
              <w:autoSpaceDE/>
              <w:autoSpaceDN/>
              <w:bidi w:val="0"/>
              <w:adjustRightInd/>
              <w:snapToGrid/>
              <w:spacing w:before="101"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0ED8F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20515BF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9777D83">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68B9090">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7A7FC30">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09ED64DD">
            <w:pPr>
              <w:keepNext w:val="0"/>
              <w:keepLines w:val="0"/>
              <w:pageBreakBefore w:val="0"/>
              <w:widowControl w:val="0"/>
              <w:kinsoku/>
              <w:wordWrap/>
              <w:overflowPunct/>
              <w:topLinePunct w:val="0"/>
              <w:autoSpaceDE/>
              <w:autoSpaceDN/>
              <w:bidi w:val="0"/>
              <w:adjustRightInd/>
              <w:snapToGrid/>
              <w:spacing w:before="142"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2000-4000</w:t>
            </w:r>
            <w:r>
              <w:rPr>
                <w:rFonts w:ascii="仿宋" w:hAnsi="仿宋" w:eastAsia="仿宋" w:cs="仿宋"/>
                <w:color w:val="auto"/>
                <w:spacing w:val="2"/>
                <w:sz w:val="23"/>
                <w:szCs w:val="23"/>
              </w:rPr>
              <w:t>0</w:t>
            </w:r>
          </w:p>
        </w:tc>
        <w:tc>
          <w:tcPr>
            <w:tcW w:w="1295" w:type="dxa"/>
            <w:vAlign w:val="top"/>
          </w:tcPr>
          <w:p w14:paraId="07AC7AC9">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00-2000</w:t>
            </w:r>
          </w:p>
        </w:tc>
        <w:tc>
          <w:tcPr>
            <w:tcW w:w="1004" w:type="dxa"/>
            <w:vAlign w:val="top"/>
          </w:tcPr>
          <w:p w14:paraId="07768C6F">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88F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0E90BB0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4008A06">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建</w:t>
            </w:r>
            <w:r>
              <w:rPr>
                <w:rFonts w:ascii="仿宋" w:hAnsi="仿宋" w:eastAsia="仿宋" w:cs="仿宋"/>
                <w:color w:val="auto"/>
                <w:spacing w:val="4"/>
                <w:sz w:val="23"/>
                <w:szCs w:val="23"/>
              </w:rPr>
              <w:t>筑业</w:t>
            </w:r>
          </w:p>
        </w:tc>
        <w:tc>
          <w:tcPr>
            <w:tcW w:w="1187" w:type="dxa"/>
            <w:vAlign w:val="top"/>
          </w:tcPr>
          <w:p w14:paraId="04A4CB3B">
            <w:pPr>
              <w:keepNext w:val="0"/>
              <w:keepLines w:val="0"/>
              <w:pageBreakBefore w:val="0"/>
              <w:widowControl w:val="0"/>
              <w:kinsoku/>
              <w:wordWrap/>
              <w:overflowPunct/>
              <w:topLinePunct w:val="0"/>
              <w:autoSpaceDE/>
              <w:autoSpaceDN/>
              <w:bidi w:val="0"/>
              <w:adjustRightInd/>
              <w:snapToGrid/>
              <w:spacing w:before="101"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16434BF">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618B7D5">
            <w:pPr>
              <w:keepNext w:val="0"/>
              <w:keepLines w:val="0"/>
              <w:pageBreakBefore w:val="0"/>
              <w:widowControl w:val="0"/>
              <w:kinsoku/>
              <w:wordWrap/>
              <w:overflowPunct/>
              <w:topLinePunct w:val="0"/>
              <w:autoSpaceDE/>
              <w:autoSpaceDN/>
              <w:bidi w:val="0"/>
              <w:adjustRightInd/>
              <w:snapToGrid/>
              <w:spacing w:before="100"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470A90A2">
            <w:pPr>
              <w:keepNext w:val="0"/>
              <w:keepLines w:val="0"/>
              <w:pageBreakBefore w:val="0"/>
              <w:widowControl w:val="0"/>
              <w:kinsoku/>
              <w:wordWrap/>
              <w:overflowPunct/>
              <w:topLinePunct w:val="0"/>
              <w:autoSpaceDE/>
              <w:autoSpaceDN/>
              <w:bidi w:val="0"/>
              <w:adjustRightInd/>
              <w:snapToGrid/>
              <w:spacing w:before="141" w:line="200" w:lineRule="exact"/>
              <w:ind w:left="174"/>
              <w:textAlignment w:val="auto"/>
              <w:rPr>
                <w:rFonts w:ascii="仿宋" w:hAnsi="仿宋" w:eastAsia="仿宋" w:cs="仿宋"/>
                <w:color w:val="auto"/>
                <w:sz w:val="23"/>
                <w:szCs w:val="23"/>
              </w:rPr>
            </w:pPr>
            <w:r>
              <w:rPr>
                <w:rFonts w:ascii="仿宋" w:hAnsi="仿宋" w:eastAsia="仿宋" w:cs="仿宋"/>
                <w:color w:val="auto"/>
                <w:spacing w:val="4"/>
                <w:sz w:val="23"/>
                <w:szCs w:val="23"/>
              </w:rPr>
              <w:t>6000-8000</w:t>
            </w:r>
            <w:r>
              <w:rPr>
                <w:rFonts w:ascii="仿宋" w:hAnsi="仿宋" w:eastAsia="仿宋" w:cs="仿宋"/>
                <w:color w:val="auto"/>
                <w:spacing w:val="3"/>
                <w:sz w:val="23"/>
                <w:szCs w:val="23"/>
              </w:rPr>
              <w:t>0</w:t>
            </w:r>
          </w:p>
        </w:tc>
        <w:tc>
          <w:tcPr>
            <w:tcW w:w="1295" w:type="dxa"/>
            <w:vAlign w:val="top"/>
          </w:tcPr>
          <w:p w14:paraId="5EE3ED25">
            <w:pPr>
              <w:keepNext w:val="0"/>
              <w:keepLines w:val="0"/>
              <w:pageBreakBefore w:val="0"/>
              <w:widowControl w:val="0"/>
              <w:kinsoku/>
              <w:wordWrap/>
              <w:overflowPunct/>
              <w:topLinePunct w:val="0"/>
              <w:autoSpaceDE/>
              <w:autoSpaceDN/>
              <w:bidi w:val="0"/>
              <w:adjustRightInd/>
              <w:snapToGrid/>
              <w:spacing w:before="141"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00-6000</w:t>
            </w:r>
          </w:p>
        </w:tc>
        <w:tc>
          <w:tcPr>
            <w:tcW w:w="1004" w:type="dxa"/>
            <w:vAlign w:val="top"/>
          </w:tcPr>
          <w:p w14:paraId="07FD4D54">
            <w:pPr>
              <w:keepNext w:val="0"/>
              <w:keepLines w:val="0"/>
              <w:pageBreakBefore w:val="0"/>
              <w:widowControl w:val="0"/>
              <w:kinsoku/>
              <w:wordWrap/>
              <w:overflowPunct/>
              <w:topLinePunct w:val="0"/>
              <w:autoSpaceDE/>
              <w:autoSpaceDN/>
              <w:bidi w:val="0"/>
              <w:adjustRightInd/>
              <w:snapToGrid/>
              <w:spacing w:before="100"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6DFA5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75E7E46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A7ECEC4">
            <w:pPr>
              <w:keepNext w:val="0"/>
              <w:keepLines w:val="0"/>
              <w:pageBreakBefore w:val="0"/>
              <w:widowControl w:val="0"/>
              <w:kinsoku/>
              <w:wordWrap/>
              <w:overflowPunct/>
              <w:topLinePunct w:val="0"/>
              <w:autoSpaceDE/>
              <w:autoSpaceDN/>
              <w:bidi w:val="0"/>
              <w:adjustRightInd/>
              <w:snapToGrid/>
              <w:spacing w:before="101"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515BE0E3">
            <w:pPr>
              <w:keepNext w:val="0"/>
              <w:keepLines w:val="0"/>
              <w:pageBreakBefore w:val="0"/>
              <w:widowControl w:val="0"/>
              <w:kinsoku/>
              <w:wordWrap/>
              <w:overflowPunct/>
              <w:topLinePunct w:val="0"/>
              <w:autoSpaceDE/>
              <w:autoSpaceDN/>
              <w:bidi w:val="0"/>
              <w:adjustRightInd/>
              <w:snapToGrid/>
              <w:spacing w:before="101"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7E61B25A">
            <w:pPr>
              <w:keepNext w:val="0"/>
              <w:keepLines w:val="0"/>
              <w:pageBreakBefore w:val="0"/>
              <w:widowControl w:val="0"/>
              <w:kinsoku/>
              <w:wordWrap/>
              <w:overflowPunct/>
              <w:topLinePunct w:val="0"/>
              <w:autoSpaceDE/>
              <w:autoSpaceDN/>
              <w:bidi w:val="0"/>
              <w:adjustRightInd/>
              <w:snapToGrid/>
              <w:spacing w:before="101"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≥8</w:t>
            </w:r>
            <w:r>
              <w:rPr>
                <w:rFonts w:ascii="仿宋" w:hAnsi="仿宋" w:eastAsia="仿宋" w:cs="仿宋"/>
                <w:color w:val="auto"/>
                <w:position w:val="1"/>
                <w:sz w:val="23"/>
                <w:szCs w:val="23"/>
              </w:rPr>
              <w:t>0000</w:t>
            </w:r>
          </w:p>
        </w:tc>
        <w:tc>
          <w:tcPr>
            <w:tcW w:w="1535" w:type="dxa"/>
            <w:vAlign w:val="top"/>
          </w:tcPr>
          <w:p w14:paraId="4954C4EE">
            <w:pPr>
              <w:keepNext w:val="0"/>
              <w:keepLines w:val="0"/>
              <w:pageBreakBefore w:val="0"/>
              <w:widowControl w:val="0"/>
              <w:kinsoku/>
              <w:wordWrap/>
              <w:overflowPunct/>
              <w:topLinePunct w:val="0"/>
              <w:autoSpaceDE/>
              <w:autoSpaceDN/>
              <w:bidi w:val="0"/>
              <w:adjustRightInd/>
              <w:snapToGrid/>
              <w:spacing w:before="142"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00-80000</w:t>
            </w:r>
          </w:p>
        </w:tc>
        <w:tc>
          <w:tcPr>
            <w:tcW w:w="1295" w:type="dxa"/>
            <w:vAlign w:val="top"/>
          </w:tcPr>
          <w:p w14:paraId="468DB96D">
            <w:pPr>
              <w:keepNext w:val="0"/>
              <w:keepLines w:val="0"/>
              <w:pageBreakBefore w:val="0"/>
              <w:widowControl w:val="0"/>
              <w:kinsoku/>
              <w:wordWrap/>
              <w:overflowPunct/>
              <w:topLinePunct w:val="0"/>
              <w:autoSpaceDE/>
              <w:autoSpaceDN/>
              <w:bidi w:val="0"/>
              <w:adjustRightInd/>
              <w:snapToGrid/>
              <w:spacing w:before="142" w:line="200" w:lineRule="exact"/>
              <w:ind w:left="178"/>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00-5000</w:t>
            </w:r>
          </w:p>
        </w:tc>
        <w:tc>
          <w:tcPr>
            <w:tcW w:w="1004" w:type="dxa"/>
            <w:vAlign w:val="top"/>
          </w:tcPr>
          <w:p w14:paraId="7992DA48">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＜30</w:t>
            </w:r>
            <w:r>
              <w:rPr>
                <w:rFonts w:ascii="仿宋" w:hAnsi="仿宋" w:eastAsia="仿宋" w:cs="仿宋"/>
                <w:color w:val="auto"/>
                <w:position w:val="2"/>
                <w:sz w:val="23"/>
                <w:szCs w:val="23"/>
              </w:rPr>
              <w:t>0</w:t>
            </w:r>
          </w:p>
        </w:tc>
      </w:tr>
      <w:tr w14:paraId="5A86D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vAlign w:val="top"/>
          </w:tcPr>
          <w:p w14:paraId="30D98B8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34B923C2">
            <w:pPr>
              <w:keepNext w:val="0"/>
              <w:keepLines w:val="0"/>
              <w:pageBreakBefore w:val="0"/>
              <w:widowControl w:val="0"/>
              <w:kinsoku/>
              <w:wordWrap/>
              <w:overflowPunct/>
              <w:topLinePunct w:val="0"/>
              <w:autoSpaceDE/>
              <w:autoSpaceDN/>
              <w:bidi w:val="0"/>
              <w:adjustRightInd/>
              <w:snapToGrid/>
              <w:spacing w:before="74" w:line="200" w:lineRule="exact"/>
              <w:ind w:left="244"/>
              <w:textAlignment w:val="auto"/>
              <w:rPr>
                <w:rFonts w:ascii="仿宋" w:hAnsi="仿宋" w:eastAsia="仿宋" w:cs="仿宋"/>
                <w:color w:val="auto"/>
                <w:sz w:val="23"/>
                <w:szCs w:val="23"/>
              </w:rPr>
            </w:pPr>
            <w:r>
              <w:rPr>
                <w:rFonts w:ascii="仿宋" w:hAnsi="仿宋" w:eastAsia="仿宋" w:cs="仿宋"/>
                <w:color w:val="auto"/>
                <w:spacing w:val="6"/>
                <w:sz w:val="23"/>
                <w:szCs w:val="23"/>
              </w:rPr>
              <w:t>批</w:t>
            </w:r>
            <w:r>
              <w:rPr>
                <w:rFonts w:ascii="仿宋" w:hAnsi="仿宋" w:eastAsia="仿宋" w:cs="仿宋"/>
                <w:color w:val="auto"/>
                <w:spacing w:val="4"/>
                <w:sz w:val="23"/>
                <w:szCs w:val="23"/>
              </w:rPr>
              <w:t>发业</w:t>
            </w:r>
          </w:p>
        </w:tc>
        <w:tc>
          <w:tcPr>
            <w:tcW w:w="1187" w:type="dxa"/>
            <w:vAlign w:val="top"/>
          </w:tcPr>
          <w:p w14:paraId="311687F9">
            <w:pPr>
              <w:keepNext w:val="0"/>
              <w:keepLines w:val="0"/>
              <w:pageBreakBefore w:val="0"/>
              <w:widowControl w:val="0"/>
              <w:kinsoku/>
              <w:wordWrap/>
              <w:overflowPunct/>
              <w:topLinePunct w:val="0"/>
              <w:autoSpaceDE/>
              <w:autoSpaceDN/>
              <w:bidi w:val="0"/>
              <w:adjustRightInd/>
              <w:snapToGrid/>
              <w:spacing w:before="101"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24A18E9">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3CC844D9">
            <w:pPr>
              <w:keepNext w:val="0"/>
              <w:keepLines w:val="0"/>
              <w:pageBreakBefore w:val="0"/>
              <w:widowControl w:val="0"/>
              <w:kinsoku/>
              <w:wordWrap/>
              <w:overflowPunct/>
              <w:topLinePunct w:val="0"/>
              <w:autoSpaceDE/>
              <w:autoSpaceDN/>
              <w:bidi w:val="0"/>
              <w:adjustRightInd/>
              <w:snapToGrid/>
              <w:spacing w:before="101"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6EB7E13E">
            <w:pPr>
              <w:keepNext w:val="0"/>
              <w:keepLines w:val="0"/>
              <w:pageBreakBefore w:val="0"/>
              <w:widowControl w:val="0"/>
              <w:kinsoku/>
              <w:wordWrap/>
              <w:overflowPunct/>
              <w:topLinePunct w:val="0"/>
              <w:autoSpaceDE/>
              <w:autoSpaceDN/>
              <w:bidi w:val="0"/>
              <w:adjustRightInd/>
              <w:snapToGrid/>
              <w:spacing w:before="142" w:line="200" w:lineRule="exact"/>
              <w:ind w:left="415"/>
              <w:textAlignment w:val="auto"/>
              <w:rPr>
                <w:rFonts w:ascii="仿宋" w:hAnsi="仿宋" w:eastAsia="仿宋" w:cs="仿宋"/>
                <w:color w:val="auto"/>
                <w:sz w:val="23"/>
                <w:szCs w:val="23"/>
              </w:rPr>
            </w:pPr>
            <w:r>
              <w:rPr>
                <w:rFonts w:ascii="仿宋" w:hAnsi="仿宋" w:eastAsia="仿宋" w:cs="仿宋"/>
                <w:color w:val="auto"/>
                <w:spacing w:val="3"/>
                <w:sz w:val="23"/>
                <w:szCs w:val="23"/>
              </w:rPr>
              <w:t>20-200</w:t>
            </w:r>
          </w:p>
        </w:tc>
        <w:tc>
          <w:tcPr>
            <w:tcW w:w="1295" w:type="dxa"/>
            <w:vAlign w:val="top"/>
          </w:tcPr>
          <w:p w14:paraId="281BA021">
            <w:pPr>
              <w:keepNext w:val="0"/>
              <w:keepLines w:val="0"/>
              <w:pageBreakBefore w:val="0"/>
              <w:widowControl w:val="0"/>
              <w:kinsoku/>
              <w:wordWrap/>
              <w:overflowPunct/>
              <w:topLinePunct w:val="0"/>
              <w:autoSpaceDE/>
              <w:autoSpaceDN/>
              <w:bidi w:val="0"/>
              <w:adjustRightInd/>
              <w:snapToGrid/>
              <w:spacing w:before="142" w:line="200" w:lineRule="exact"/>
              <w:ind w:left="418"/>
              <w:textAlignment w:val="auto"/>
              <w:rPr>
                <w:rFonts w:ascii="仿宋" w:hAnsi="仿宋" w:eastAsia="仿宋" w:cs="仿宋"/>
                <w:color w:val="auto"/>
                <w:sz w:val="23"/>
                <w:szCs w:val="23"/>
              </w:rPr>
            </w:pPr>
            <w:r>
              <w:rPr>
                <w:rFonts w:ascii="仿宋" w:hAnsi="仿宋" w:eastAsia="仿宋" w:cs="仿宋"/>
                <w:color w:val="auto"/>
                <w:spacing w:val="2"/>
                <w:sz w:val="23"/>
                <w:szCs w:val="23"/>
              </w:rPr>
              <w:t>5-</w:t>
            </w:r>
            <w:r>
              <w:rPr>
                <w:rFonts w:ascii="仿宋" w:hAnsi="仿宋" w:eastAsia="仿宋" w:cs="仿宋"/>
                <w:color w:val="auto"/>
                <w:spacing w:val="1"/>
                <w:sz w:val="23"/>
                <w:szCs w:val="23"/>
              </w:rPr>
              <w:t>20</w:t>
            </w:r>
          </w:p>
        </w:tc>
        <w:tc>
          <w:tcPr>
            <w:tcW w:w="1004" w:type="dxa"/>
            <w:vAlign w:val="top"/>
          </w:tcPr>
          <w:p w14:paraId="3FFAAE3D">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pacing w:val="-7"/>
                <w:position w:val="2"/>
                <w:sz w:val="23"/>
                <w:szCs w:val="23"/>
              </w:rPr>
              <w:t>＜</w:t>
            </w:r>
            <w:r>
              <w:rPr>
                <w:rFonts w:ascii="仿宋" w:hAnsi="仿宋" w:eastAsia="仿宋" w:cs="仿宋"/>
                <w:color w:val="auto"/>
                <w:spacing w:val="-6"/>
                <w:position w:val="2"/>
                <w:sz w:val="23"/>
                <w:szCs w:val="23"/>
              </w:rPr>
              <w:t>5</w:t>
            </w:r>
          </w:p>
        </w:tc>
      </w:tr>
      <w:tr w14:paraId="786D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50C8D3E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4C996AC">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36B7903">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970D805">
            <w:pPr>
              <w:keepNext w:val="0"/>
              <w:keepLines w:val="0"/>
              <w:pageBreakBefore w:val="0"/>
              <w:widowControl w:val="0"/>
              <w:kinsoku/>
              <w:wordWrap/>
              <w:overflowPunct/>
              <w:topLinePunct w:val="0"/>
              <w:autoSpaceDE/>
              <w:autoSpaceDN/>
              <w:bidi w:val="0"/>
              <w:adjustRightInd/>
              <w:snapToGrid/>
              <w:spacing w:before="102"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≥4</w:t>
            </w:r>
            <w:r>
              <w:rPr>
                <w:rFonts w:ascii="仿宋" w:hAnsi="仿宋" w:eastAsia="仿宋" w:cs="仿宋"/>
                <w:color w:val="auto"/>
                <w:position w:val="1"/>
                <w:sz w:val="23"/>
                <w:szCs w:val="23"/>
              </w:rPr>
              <w:t>0000</w:t>
            </w:r>
          </w:p>
        </w:tc>
        <w:tc>
          <w:tcPr>
            <w:tcW w:w="1535" w:type="dxa"/>
            <w:vAlign w:val="top"/>
          </w:tcPr>
          <w:p w14:paraId="215DA090">
            <w:pPr>
              <w:keepNext w:val="0"/>
              <w:keepLines w:val="0"/>
              <w:pageBreakBefore w:val="0"/>
              <w:widowControl w:val="0"/>
              <w:kinsoku/>
              <w:wordWrap/>
              <w:overflowPunct/>
              <w:topLinePunct w:val="0"/>
              <w:autoSpaceDE/>
              <w:autoSpaceDN/>
              <w:bidi w:val="0"/>
              <w:adjustRightInd/>
              <w:snapToGrid/>
              <w:spacing w:before="143"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00-40000</w:t>
            </w:r>
          </w:p>
        </w:tc>
        <w:tc>
          <w:tcPr>
            <w:tcW w:w="1295" w:type="dxa"/>
            <w:vAlign w:val="top"/>
          </w:tcPr>
          <w:p w14:paraId="741DC613">
            <w:pPr>
              <w:keepNext w:val="0"/>
              <w:keepLines w:val="0"/>
              <w:pageBreakBefore w:val="0"/>
              <w:widowControl w:val="0"/>
              <w:kinsoku/>
              <w:wordWrap/>
              <w:overflowPunct/>
              <w:topLinePunct w:val="0"/>
              <w:autoSpaceDE/>
              <w:autoSpaceDN/>
              <w:bidi w:val="0"/>
              <w:adjustRightInd/>
              <w:snapToGrid/>
              <w:spacing w:before="143" w:line="200" w:lineRule="exact"/>
              <w:ind w:left="131"/>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004" w:type="dxa"/>
            <w:vAlign w:val="top"/>
          </w:tcPr>
          <w:p w14:paraId="6B9C3857">
            <w:pPr>
              <w:keepNext w:val="0"/>
              <w:keepLines w:val="0"/>
              <w:pageBreakBefore w:val="0"/>
              <w:widowControl w:val="0"/>
              <w:kinsoku/>
              <w:wordWrap/>
              <w:overflowPunct/>
              <w:topLinePunct w:val="0"/>
              <w:autoSpaceDE/>
              <w:autoSpaceDN/>
              <w:bidi w:val="0"/>
              <w:adjustRightInd/>
              <w:snapToGrid/>
              <w:spacing w:before="102"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w:t>
            </w:r>
            <w:r>
              <w:rPr>
                <w:rFonts w:ascii="仿宋" w:hAnsi="仿宋" w:eastAsia="仿宋" w:cs="仿宋"/>
                <w:color w:val="auto"/>
                <w:position w:val="2"/>
                <w:sz w:val="23"/>
                <w:szCs w:val="23"/>
              </w:rPr>
              <w:t>000</w:t>
            </w:r>
          </w:p>
        </w:tc>
      </w:tr>
      <w:tr w14:paraId="3A068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638B60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5C9701ED">
            <w:pPr>
              <w:keepNext w:val="0"/>
              <w:keepLines w:val="0"/>
              <w:pageBreakBefore w:val="0"/>
              <w:widowControl w:val="0"/>
              <w:kinsoku/>
              <w:wordWrap/>
              <w:overflowPunct/>
              <w:topLinePunct w:val="0"/>
              <w:autoSpaceDE/>
              <w:autoSpaceDN/>
              <w:bidi w:val="0"/>
              <w:adjustRightInd/>
              <w:snapToGrid/>
              <w:spacing w:before="75" w:line="200" w:lineRule="exact"/>
              <w:ind w:left="245"/>
              <w:textAlignment w:val="auto"/>
              <w:rPr>
                <w:rFonts w:ascii="仿宋" w:hAnsi="仿宋" w:eastAsia="仿宋" w:cs="仿宋"/>
                <w:color w:val="auto"/>
                <w:sz w:val="23"/>
                <w:szCs w:val="23"/>
              </w:rPr>
            </w:pPr>
            <w:r>
              <w:rPr>
                <w:rFonts w:ascii="仿宋" w:hAnsi="仿宋" w:eastAsia="仿宋" w:cs="仿宋"/>
                <w:color w:val="auto"/>
                <w:spacing w:val="5"/>
                <w:sz w:val="23"/>
                <w:szCs w:val="23"/>
              </w:rPr>
              <w:t>零</w:t>
            </w:r>
            <w:r>
              <w:rPr>
                <w:rFonts w:ascii="仿宋" w:hAnsi="仿宋" w:eastAsia="仿宋" w:cs="仿宋"/>
                <w:color w:val="auto"/>
                <w:spacing w:val="4"/>
                <w:sz w:val="23"/>
                <w:szCs w:val="23"/>
              </w:rPr>
              <w:t>售业</w:t>
            </w:r>
          </w:p>
        </w:tc>
        <w:tc>
          <w:tcPr>
            <w:tcW w:w="1187" w:type="dxa"/>
            <w:vAlign w:val="top"/>
          </w:tcPr>
          <w:p w14:paraId="67CBE226">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A5A2808">
            <w:pPr>
              <w:keepNext w:val="0"/>
              <w:keepLines w:val="0"/>
              <w:pageBreakBefore w:val="0"/>
              <w:widowControl w:val="0"/>
              <w:kinsoku/>
              <w:wordWrap/>
              <w:overflowPunct/>
              <w:topLinePunct w:val="0"/>
              <w:autoSpaceDE/>
              <w:autoSpaceDN/>
              <w:bidi w:val="0"/>
              <w:adjustRightInd/>
              <w:snapToGrid/>
              <w:spacing w:before="101"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4C7A6561">
            <w:pPr>
              <w:keepNext w:val="0"/>
              <w:keepLines w:val="0"/>
              <w:pageBreakBefore w:val="0"/>
              <w:widowControl w:val="0"/>
              <w:kinsoku/>
              <w:wordWrap/>
              <w:overflowPunct/>
              <w:topLinePunct w:val="0"/>
              <w:autoSpaceDE/>
              <w:autoSpaceDN/>
              <w:bidi w:val="0"/>
              <w:adjustRightInd/>
              <w:snapToGrid/>
              <w:spacing w:before="102"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0F191D5E">
            <w:pPr>
              <w:keepNext w:val="0"/>
              <w:keepLines w:val="0"/>
              <w:pageBreakBefore w:val="0"/>
              <w:widowControl w:val="0"/>
              <w:kinsoku/>
              <w:wordWrap/>
              <w:overflowPunct/>
              <w:topLinePunct w:val="0"/>
              <w:autoSpaceDE/>
              <w:autoSpaceDN/>
              <w:bidi w:val="0"/>
              <w:adjustRightInd/>
              <w:snapToGrid/>
              <w:spacing w:before="143" w:line="200" w:lineRule="exact"/>
              <w:ind w:left="417"/>
              <w:textAlignment w:val="auto"/>
              <w:rPr>
                <w:rFonts w:ascii="仿宋" w:hAnsi="仿宋" w:eastAsia="仿宋" w:cs="仿宋"/>
                <w:color w:val="auto"/>
                <w:sz w:val="23"/>
                <w:szCs w:val="23"/>
              </w:rPr>
            </w:pPr>
            <w:r>
              <w:rPr>
                <w:rFonts w:ascii="仿宋" w:hAnsi="仿宋" w:eastAsia="仿宋" w:cs="仿宋"/>
                <w:color w:val="auto"/>
                <w:spacing w:val="4"/>
                <w:sz w:val="23"/>
                <w:szCs w:val="23"/>
              </w:rPr>
              <w:t>50</w:t>
            </w:r>
            <w:r>
              <w:rPr>
                <w:rFonts w:ascii="仿宋" w:hAnsi="仿宋" w:eastAsia="仿宋" w:cs="仿宋"/>
                <w:color w:val="auto"/>
                <w:spacing w:val="2"/>
                <w:sz w:val="23"/>
                <w:szCs w:val="23"/>
              </w:rPr>
              <w:t>-300</w:t>
            </w:r>
          </w:p>
        </w:tc>
        <w:tc>
          <w:tcPr>
            <w:tcW w:w="1295" w:type="dxa"/>
            <w:vAlign w:val="top"/>
          </w:tcPr>
          <w:p w14:paraId="677C197E">
            <w:pPr>
              <w:keepNext w:val="0"/>
              <w:keepLines w:val="0"/>
              <w:pageBreakBefore w:val="0"/>
              <w:widowControl w:val="0"/>
              <w:kinsoku/>
              <w:wordWrap/>
              <w:overflowPunct/>
              <w:topLinePunct w:val="0"/>
              <w:autoSpaceDE/>
              <w:autoSpaceDN/>
              <w:bidi w:val="0"/>
              <w:adjustRightInd/>
              <w:snapToGrid/>
              <w:spacing w:before="143" w:line="200" w:lineRule="exact"/>
              <w:ind w:left="37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-50</w:t>
            </w:r>
          </w:p>
        </w:tc>
        <w:tc>
          <w:tcPr>
            <w:tcW w:w="1004" w:type="dxa"/>
            <w:vAlign w:val="top"/>
          </w:tcPr>
          <w:p w14:paraId="79102D87">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3D292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vAlign w:val="top"/>
          </w:tcPr>
          <w:p w14:paraId="09A44CB4">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0EA7B7F">
            <w:pPr>
              <w:keepNext w:val="0"/>
              <w:keepLines w:val="0"/>
              <w:pageBreakBefore w:val="0"/>
              <w:widowControl w:val="0"/>
              <w:kinsoku/>
              <w:wordWrap/>
              <w:overflowPunct/>
              <w:topLinePunct w:val="0"/>
              <w:autoSpaceDE/>
              <w:autoSpaceDN/>
              <w:bidi w:val="0"/>
              <w:adjustRightInd/>
              <w:snapToGrid/>
              <w:spacing w:before="102"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51A9247C">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58175521">
            <w:pPr>
              <w:keepNext w:val="0"/>
              <w:keepLines w:val="0"/>
              <w:pageBreakBefore w:val="0"/>
              <w:widowControl w:val="0"/>
              <w:kinsoku/>
              <w:wordWrap/>
              <w:overflowPunct/>
              <w:topLinePunct w:val="0"/>
              <w:autoSpaceDE/>
              <w:autoSpaceDN/>
              <w:bidi w:val="0"/>
              <w:adjustRightInd/>
              <w:snapToGrid/>
              <w:spacing w:before="101" w:line="200" w:lineRule="exact"/>
              <w:ind w:left="303"/>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w:t>
            </w:r>
            <w:r>
              <w:rPr>
                <w:rFonts w:ascii="仿宋" w:hAnsi="仿宋" w:eastAsia="仿宋" w:cs="仿宋"/>
                <w:color w:val="auto"/>
                <w:spacing w:val="1"/>
                <w:position w:val="1"/>
                <w:sz w:val="23"/>
                <w:szCs w:val="23"/>
              </w:rPr>
              <w:t>0000</w:t>
            </w:r>
          </w:p>
        </w:tc>
        <w:tc>
          <w:tcPr>
            <w:tcW w:w="1535" w:type="dxa"/>
            <w:vAlign w:val="top"/>
          </w:tcPr>
          <w:p w14:paraId="42CFA4A2">
            <w:pPr>
              <w:keepNext w:val="0"/>
              <w:keepLines w:val="0"/>
              <w:pageBreakBefore w:val="0"/>
              <w:widowControl w:val="0"/>
              <w:kinsoku/>
              <w:wordWrap/>
              <w:overflowPunct/>
              <w:topLinePunct w:val="0"/>
              <w:autoSpaceDE/>
              <w:autoSpaceDN/>
              <w:bidi w:val="0"/>
              <w:adjustRightInd/>
              <w:snapToGrid/>
              <w:spacing w:before="142"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0-20000</w:t>
            </w:r>
          </w:p>
        </w:tc>
        <w:tc>
          <w:tcPr>
            <w:tcW w:w="1295" w:type="dxa"/>
            <w:vAlign w:val="top"/>
          </w:tcPr>
          <w:p w14:paraId="5EECAA3C">
            <w:pPr>
              <w:keepNext w:val="0"/>
              <w:keepLines w:val="0"/>
              <w:pageBreakBefore w:val="0"/>
              <w:widowControl w:val="0"/>
              <w:kinsoku/>
              <w:wordWrap/>
              <w:overflowPunct/>
              <w:topLinePunct w:val="0"/>
              <w:autoSpaceDE/>
              <w:autoSpaceDN/>
              <w:bidi w:val="0"/>
              <w:adjustRightInd/>
              <w:snapToGrid/>
              <w:spacing w:before="142"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00-500</w:t>
            </w:r>
          </w:p>
        </w:tc>
        <w:tc>
          <w:tcPr>
            <w:tcW w:w="1004" w:type="dxa"/>
            <w:vAlign w:val="top"/>
          </w:tcPr>
          <w:p w14:paraId="0DEE79FD">
            <w:pPr>
              <w:keepNext w:val="0"/>
              <w:keepLines w:val="0"/>
              <w:pageBreakBefore w:val="0"/>
              <w:widowControl w:val="0"/>
              <w:kinsoku/>
              <w:wordWrap/>
              <w:overflowPunct/>
              <w:topLinePunct w:val="0"/>
              <w:autoSpaceDE/>
              <w:autoSpaceDN/>
              <w:bidi w:val="0"/>
              <w:adjustRightInd/>
              <w:snapToGrid/>
              <w:spacing w:before="101"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A6F3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vAlign w:val="top"/>
          </w:tcPr>
          <w:p w14:paraId="2628B90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753170BA">
            <w:pPr>
              <w:keepNext w:val="0"/>
              <w:keepLines w:val="0"/>
              <w:pageBreakBefore w:val="0"/>
              <w:widowControl w:val="0"/>
              <w:kinsoku/>
              <w:wordWrap/>
              <w:overflowPunct/>
              <w:topLinePunct w:val="0"/>
              <w:autoSpaceDE/>
              <w:autoSpaceDN/>
              <w:bidi w:val="0"/>
              <w:adjustRightInd/>
              <w:snapToGrid/>
              <w:spacing w:before="75" w:line="200" w:lineRule="exact"/>
              <w:ind w:left="130"/>
              <w:textAlignment w:val="auto"/>
              <w:rPr>
                <w:rFonts w:ascii="仿宋" w:hAnsi="仿宋" w:eastAsia="仿宋" w:cs="仿宋"/>
                <w:color w:val="auto"/>
                <w:sz w:val="23"/>
                <w:szCs w:val="23"/>
              </w:rPr>
            </w:pPr>
            <w:r>
              <w:rPr>
                <w:rFonts w:ascii="仿宋" w:hAnsi="仿宋" w:eastAsia="仿宋" w:cs="仿宋"/>
                <w:color w:val="auto"/>
                <w:spacing w:val="6"/>
                <w:sz w:val="23"/>
                <w:szCs w:val="23"/>
              </w:rPr>
              <w:t>交</w:t>
            </w:r>
            <w:r>
              <w:rPr>
                <w:rFonts w:ascii="仿宋" w:hAnsi="仿宋" w:eastAsia="仿宋" w:cs="仿宋"/>
                <w:color w:val="auto"/>
                <w:spacing w:val="4"/>
                <w:sz w:val="23"/>
                <w:szCs w:val="23"/>
              </w:rPr>
              <w:t>通运输</w:t>
            </w:r>
          </w:p>
        </w:tc>
        <w:tc>
          <w:tcPr>
            <w:tcW w:w="1187" w:type="dxa"/>
            <w:vAlign w:val="top"/>
          </w:tcPr>
          <w:p w14:paraId="387C5B72">
            <w:pPr>
              <w:keepNext w:val="0"/>
              <w:keepLines w:val="0"/>
              <w:pageBreakBefore w:val="0"/>
              <w:widowControl w:val="0"/>
              <w:kinsoku/>
              <w:wordWrap/>
              <w:overflowPunct/>
              <w:topLinePunct w:val="0"/>
              <w:autoSpaceDE/>
              <w:autoSpaceDN/>
              <w:bidi w:val="0"/>
              <w:adjustRightInd/>
              <w:snapToGrid/>
              <w:spacing w:before="102"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66A661FE">
            <w:pPr>
              <w:keepNext w:val="0"/>
              <w:keepLines w:val="0"/>
              <w:pageBreakBefore w:val="0"/>
              <w:widowControl w:val="0"/>
              <w:kinsoku/>
              <w:wordWrap/>
              <w:overflowPunct/>
              <w:topLinePunct w:val="0"/>
              <w:autoSpaceDE/>
              <w:autoSpaceDN/>
              <w:bidi w:val="0"/>
              <w:adjustRightInd/>
              <w:snapToGrid/>
              <w:spacing w:before="102"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51EFF92">
            <w:pPr>
              <w:keepNext w:val="0"/>
              <w:keepLines w:val="0"/>
              <w:pageBreakBefore w:val="0"/>
              <w:widowControl w:val="0"/>
              <w:kinsoku/>
              <w:wordWrap/>
              <w:overflowPunct/>
              <w:topLinePunct w:val="0"/>
              <w:autoSpaceDE/>
              <w:autoSpaceDN/>
              <w:bidi w:val="0"/>
              <w:adjustRightInd/>
              <w:snapToGrid/>
              <w:spacing w:before="102"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4A72A216">
            <w:pPr>
              <w:keepNext w:val="0"/>
              <w:keepLines w:val="0"/>
              <w:pageBreakBefore w:val="0"/>
              <w:widowControl w:val="0"/>
              <w:kinsoku/>
              <w:wordWrap/>
              <w:overflowPunct/>
              <w:topLinePunct w:val="0"/>
              <w:autoSpaceDE/>
              <w:autoSpaceDN/>
              <w:bidi w:val="0"/>
              <w:adjustRightInd/>
              <w:snapToGrid/>
              <w:spacing w:before="143"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5172246A">
            <w:pPr>
              <w:keepNext w:val="0"/>
              <w:keepLines w:val="0"/>
              <w:pageBreakBefore w:val="0"/>
              <w:widowControl w:val="0"/>
              <w:kinsoku/>
              <w:wordWrap/>
              <w:overflowPunct/>
              <w:topLinePunct w:val="0"/>
              <w:autoSpaceDE/>
              <w:autoSpaceDN/>
              <w:bidi w:val="0"/>
              <w:adjustRightInd/>
              <w:snapToGrid/>
              <w:spacing w:before="143"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2F727E18">
            <w:pPr>
              <w:keepNext w:val="0"/>
              <w:keepLines w:val="0"/>
              <w:pageBreakBefore w:val="0"/>
              <w:widowControl w:val="0"/>
              <w:kinsoku/>
              <w:wordWrap/>
              <w:overflowPunct/>
              <w:topLinePunct w:val="0"/>
              <w:autoSpaceDE/>
              <w:autoSpaceDN/>
              <w:bidi w:val="0"/>
              <w:adjustRightInd/>
              <w:snapToGrid/>
              <w:spacing w:before="102"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74065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vAlign w:val="top"/>
          </w:tcPr>
          <w:p w14:paraId="1CCF1EA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5A3ECBF9">
            <w:pPr>
              <w:keepNext w:val="0"/>
              <w:keepLines w:val="0"/>
              <w:pageBreakBefore w:val="0"/>
              <w:widowControl w:val="0"/>
              <w:kinsoku/>
              <w:wordWrap/>
              <w:overflowPunct/>
              <w:topLinePunct w:val="0"/>
              <w:autoSpaceDE/>
              <w:autoSpaceDN/>
              <w:bidi w:val="0"/>
              <w:adjustRightInd/>
              <w:snapToGrid/>
              <w:spacing w:before="105"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662F785E">
            <w:pPr>
              <w:keepNext w:val="0"/>
              <w:keepLines w:val="0"/>
              <w:pageBreakBefore w:val="0"/>
              <w:widowControl w:val="0"/>
              <w:kinsoku/>
              <w:wordWrap/>
              <w:overflowPunct/>
              <w:topLinePunct w:val="0"/>
              <w:autoSpaceDE/>
              <w:autoSpaceDN/>
              <w:bidi w:val="0"/>
              <w:adjustRightInd/>
              <w:snapToGrid/>
              <w:spacing w:before="105"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A0F833B">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EF802DF">
            <w:pPr>
              <w:keepNext w:val="0"/>
              <w:keepLines w:val="0"/>
              <w:pageBreakBefore w:val="0"/>
              <w:widowControl w:val="0"/>
              <w:kinsoku/>
              <w:wordWrap/>
              <w:overflowPunct/>
              <w:topLinePunct w:val="0"/>
              <w:autoSpaceDE/>
              <w:autoSpaceDN/>
              <w:bidi w:val="0"/>
              <w:adjustRightInd/>
              <w:snapToGrid/>
              <w:spacing w:before="145"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30</w:t>
            </w:r>
            <w:r>
              <w:rPr>
                <w:rFonts w:ascii="仿宋" w:hAnsi="仿宋" w:eastAsia="仿宋" w:cs="仿宋"/>
                <w:color w:val="auto"/>
                <w:spacing w:val="3"/>
                <w:sz w:val="23"/>
                <w:szCs w:val="23"/>
              </w:rPr>
              <w:t>00-30000</w:t>
            </w:r>
          </w:p>
        </w:tc>
        <w:tc>
          <w:tcPr>
            <w:tcW w:w="1295" w:type="dxa"/>
            <w:vAlign w:val="top"/>
          </w:tcPr>
          <w:p w14:paraId="7F556708">
            <w:pPr>
              <w:keepNext w:val="0"/>
              <w:keepLines w:val="0"/>
              <w:pageBreakBefore w:val="0"/>
              <w:widowControl w:val="0"/>
              <w:kinsoku/>
              <w:wordWrap/>
              <w:overflowPunct/>
              <w:topLinePunct w:val="0"/>
              <w:autoSpaceDE/>
              <w:autoSpaceDN/>
              <w:bidi w:val="0"/>
              <w:adjustRightInd/>
              <w:snapToGrid/>
              <w:spacing w:before="145" w:line="200" w:lineRule="exact"/>
              <w:ind w:left="176"/>
              <w:textAlignment w:val="auto"/>
              <w:rPr>
                <w:rFonts w:ascii="仿宋" w:hAnsi="仿宋" w:eastAsia="仿宋" w:cs="仿宋"/>
                <w:color w:val="auto"/>
                <w:sz w:val="23"/>
                <w:szCs w:val="23"/>
              </w:rPr>
            </w:pPr>
            <w:r>
              <w:rPr>
                <w:rFonts w:ascii="仿宋" w:hAnsi="仿宋" w:eastAsia="仿宋" w:cs="仿宋"/>
                <w:color w:val="auto"/>
                <w:spacing w:val="6"/>
                <w:sz w:val="23"/>
                <w:szCs w:val="23"/>
              </w:rPr>
              <w:t>2</w:t>
            </w:r>
            <w:r>
              <w:rPr>
                <w:rFonts w:ascii="仿宋" w:hAnsi="仿宋" w:eastAsia="仿宋" w:cs="仿宋"/>
                <w:color w:val="auto"/>
                <w:spacing w:val="4"/>
                <w:sz w:val="23"/>
                <w:szCs w:val="23"/>
              </w:rPr>
              <w:t>0</w:t>
            </w:r>
            <w:r>
              <w:rPr>
                <w:rFonts w:ascii="仿宋" w:hAnsi="仿宋" w:eastAsia="仿宋" w:cs="仿宋"/>
                <w:color w:val="auto"/>
                <w:spacing w:val="3"/>
                <w:sz w:val="23"/>
                <w:szCs w:val="23"/>
              </w:rPr>
              <w:t>0-3000</w:t>
            </w:r>
          </w:p>
        </w:tc>
        <w:tc>
          <w:tcPr>
            <w:tcW w:w="1004" w:type="dxa"/>
            <w:vAlign w:val="top"/>
          </w:tcPr>
          <w:p w14:paraId="1AAB9982">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＜20</w:t>
            </w:r>
            <w:r>
              <w:rPr>
                <w:rFonts w:ascii="仿宋" w:hAnsi="仿宋" w:eastAsia="仿宋" w:cs="仿宋"/>
                <w:color w:val="auto"/>
                <w:position w:val="2"/>
                <w:sz w:val="23"/>
                <w:szCs w:val="23"/>
              </w:rPr>
              <w:t>0</w:t>
            </w:r>
          </w:p>
        </w:tc>
      </w:tr>
      <w:tr w14:paraId="6262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117B2F1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43FA5D3B">
            <w:pPr>
              <w:keepNext w:val="0"/>
              <w:keepLines w:val="0"/>
              <w:pageBreakBefore w:val="0"/>
              <w:widowControl w:val="0"/>
              <w:kinsoku/>
              <w:wordWrap/>
              <w:overflowPunct/>
              <w:topLinePunct w:val="0"/>
              <w:autoSpaceDE/>
              <w:autoSpaceDN/>
              <w:bidi w:val="0"/>
              <w:adjustRightInd/>
              <w:snapToGrid/>
              <w:spacing w:before="75" w:line="200" w:lineRule="exact"/>
              <w:ind w:left="369"/>
              <w:textAlignment w:val="auto"/>
              <w:rPr>
                <w:rFonts w:ascii="仿宋" w:hAnsi="仿宋" w:eastAsia="仿宋" w:cs="仿宋"/>
                <w:color w:val="auto"/>
                <w:sz w:val="23"/>
                <w:szCs w:val="23"/>
              </w:rPr>
            </w:pPr>
            <w:r>
              <w:rPr>
                <w:rFonts w:ascii="仿宋" w:hAnsi="仿宋" w:eastAsia="仿宋" w:cs="仿宋"/>
                <w:color w:val="auto"/>
                <w:spacing w:val="-1"/>
                <w:sz w:val="23"/>
                <w:szCs w:val="23"/>
              </w:rPr>
              <w:t>仓</w:t>
            </w:r>
            <w:r>
              <w:rPr>
                <w:rFonts w:ascii="仿宋" w:hAnsi="仿宋" w:eastAsia="仿宋" w:cs="仿宋"/>
                <w:color w:val="auto"/>
                <w:sz w:val="23"/>
                <w:szCs w:val="23"/>
              </w:rPr>
              <w:t>储</w:t>
            </w:r>
          </w:p>
        </w:tc>
        <w:tc>
          <w:tcPr>
            <w:tcW w:w="1187" w:type="dxa"/>
            <w:vAlign w:val="top"/>
          </w:tcPr>
          <w:p w14:paraId="19AB2CF8">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036893ED">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7FEDE9F">
            <w:pPr>
              <w:keepNext w:val="0"/>
              <w:keepLines w:val="0"/>
              <w:pageBreakBefore w:val="0"/>
              <w:widowControl w:val="0"/>
              <w:kinsoku/>
              <w:wordWrap/>
              <w:overflowPunct/>
              <w:topLinePunct w:val="0"/>
              <w:autoSpaceDE/>
              <w:autoSpaceDN/>
              <w:bidi w:val="0"/>
              <w:adjustRightInd/>
              <w:snapToGrid/>
              <w:spacing w:before="104"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≥200</w:t>
            </w:r>
          </w:p>
        </w:tc>
        <w:tc>
          <w:tcPr>
            <w:tcW w:w="1535" w:type="dxa"/>
            <w:vAlign w:val="top"/>
          </w:tcPr>
          <w:p w14:paraId="3E8B6160">
            <w:pPr>
              <w:keepNext w:val="0"/>
              <w:keepLines w:val="0"/>
              <w:pageBreakBefore w:val="0"/>
              <w:widowControl w:val="0"/>
              <w:kinsoku/>
              <w:wordWrap/>
              <w:overflowPunct/>
              <w:topLinePunct w:val="0"/>
              <w:autoSpaceDE/>
              <w:autoSpaceDN/>
              <w:bidi w:val="0"/>
              <w:adjustRightInd/>
              <w:snapToGrid/>
              <w:spacing w:before="145"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47EC4D42">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20-100</w:t>
            </w:r>
          </w:p>
        </w:tc>
        <w:tc>
          <w:tcPr>
            <w:tcW w:w="1004" w:type="dxa"/>
            <w:vAlign w:val="top"/>
          </w:tcPr>
          <w:p w14:paraId="3A01F98B">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30DD8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2769C19">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564DA4E3">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64269F66">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321CF6A8">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11B4F241">
            <w:pPr>
              <w:keepNext w:val="0"/>
              <w:keepLines w:val="0"/>
              <w:pageBreakBefore w:val="0"/>
              <w:widowControl w:val="0"/>
              <w:kinsoku/>
              <w:wordWrap/>
              <w:overflowPunct/>
              <w:topLinePunct w:val="0"/>
              <w:autoSpaceDE/>
              <w:autoSpaceDN/>
              <w:bidi w:val="0"/>
              <w:adjustRightInd/>
              <w:snapToGrid/>
              <w:spacing w:before="145"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00-30000</w:t>
            </w:r>
          </w:p>
        </w:tc>
        <w:tc>
          <w:tcPr>
            <w:tcW w:w="1295" w:type="dxa"/>
            <w:vAlign w:val="top"/>
          </w:tcPr>
          <w:p w14:paraId="64CD0808">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040172B8">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590BE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C7BE047">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0A86D5AE">
            <w:pPr>
              <w:keepNext w:val="0"/>
              <w:keepLines w:val="0"/>
              <w:pageBreakBefore w:val="0"/>
              <w:widowControl w:val="0"/>
              <w:kinsoku/>
              <w:wordWrap/>
              <w:overflowPunct/>
              <w:topLinePunct w:val="0"/>
              <w:autoSpaceDE/>
              <w:autoSpaceDN/>
              <w:bidi w:val="0"/>
              <w:adjustRightInd/>
              <w:snapToGrid/>
              <w:spacing w:before="75" w:line="200" w:lineRule="exact"/>
              <w:ind w:left="262"/>
              <w:textAlignment w:val="auto"/>
              <w:rPr>
                <w:rFonts w:ascii="仿宋" w:hAnsi="仿宋" w:eastAsia="仿宋" w:cs="仿宋"/>
                <w:color w:val="auto"/>
                <w:sz w:val="23"/>
                <w:szCs w:val="23"/>
              </w:rPr>
            </w:pPr>
            <w:r>
              <w:rPr>
                <w:rFonts w:ascii="仿宋" w:hAnsi="仿宋" w:eastAsia="仿宋" w:cs="仿宋"/>
                <w:color w:val="auto"/>
                <w:spacing w:val="-2"/>
                <w:sz w:val="23"/>
                <w:szCs w:val="23"/>
              </w:rPr>
              <w:t>邮</w:t>
            </w:r>
            <w:r>
              <w:rPr>
                <w:rFonts w:ascii="仿宋" w:hAnsi="仿宋" w:eastAsia="仿宋" w:cs="仿宋"/>
                <w:color w:val="auto"/>
                <w:spacing w:val="-1"/>
                <w:sz w:val="23"/>
                <w:szCs w:val="23"/>
              </w:rPr>
              <w:t>政业</w:t>
            </w:r>
          </w:p>
        </w:tc>
        <w:tc>
          <w:tcPr>
            <w:tcW w:w="1187" w:type="dxa"/>
            <w:vAlign w:val="top"/>
          </w:tcPr>
          <w:p w14:paraId="6CC89387">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E1CBE80">
            <w:pPr>
              <w:keepNext w:val="0"/>
              <w:keepLines w:val="0"/>
              <w:pageBreakBefore w:val="0"/>
              <w:widowControl w:val="0"/>
              <w:kinsoku/>
              <w:wordWrap/>
              <w:overflowPunct/>
              <w:topLinePunct w:val="0"/>
              <w:autoSpaceDE/>
              <w:autoSpaceDN/>
              <w:bidi w:val="0"/>
              <w:adjustRightInd/>
              <w:snapToGrid/>
              <w:spacing w:before="104"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4DDBA319">
            <w:pPr>
              <w:keepNext w:val="0"/>
              <w:keepLines w:val="0"/>
              <w:pageBreakBefore w:val="0"/>
              <w:widowControl w:val="0"/>
              <w:kinsoku/>
              <w:wordWrap/>
              <w:overflowPunct/>
              <w:topLinePunct w:val="0"/>
              <w:autoSpaceDE/>
              <w:autoSpaceDN/>
              <w:bidi w:val="0"/>
              <w:adjustRightInd/>
              <w:snapToGrid/>
              <w:spacing w:before="104"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w:t>
            </w:r>
            <w:r>
              <w:rPr>
                <w:rFonts w:ascii="仿宋" w:hAnsi="仿宋" w:eastAsia="仿宋" w:cs="仿宋"/>
                <w:color w:val="auto"/>
                <w:position w:val="1"/>
                <w:sz w:val="23"/>
                <w:szCs w:val="23"/>
              </w:rPr>
              <w:t>00</w:t>
            </w:r>
          </w:p>
        </w:tc>
        <w:tc>
          <w:tcPr>
            <w:tcW w:w="1535" w:type="dxa"/>
            <w:vAlign w:val="top"/>
          </w:tcPr>
          <w:p w14:paraId="18F69622">
            <w:pPr>
              <w:keepNext w:val="0"/>
              <w:keepLines w:val="0"/>
              <w:pageBreakBefore w:val="0"/>
              <w:widowControl w:val="0"/>
              <w:kinsoku/>
              <w:wordWrap/>
              <w:overflowPunct/>
              <w:topLinePunct w:val="0"/>
              <w:autoSpaceDE/>
              <w:autoSpaceDN/>
              <w:bidi w:val="0"/>
              <w:adjustRightInd/>
              <w:snapToGrid/>
              <w:spacing w:before="145" w:line="200" w:lineRule="exact"/>
              <w:ind w:left="237"/>
              <w:textAlignment w:val="auto"/>
              <w:rPr>
                <w:rFonts w:ascii="仿宋" w:hAnsi="仿宋" w:eastAsia="仿宋" w:cs="仿宋"/>
                <w:color w:val="auto"/>
                <w:sz w:val="23"/>
                <w:szCs w:val="23"/>
              </w:rPr>
            </w:pPr>
            <w:r>
              <w:rPr>
                <w:rFonts w:ascii="仿宋" w:hAnsi="仿宋" w:eastAsia="仿宋" w:cs="仿宋"/>
                <w:color w:val="auto"/>
                <w:spacing w:val="6"/>
                <w:sz w:val="23"/>
                <w:szCs w:val="23"/>
              </w:rPr>
              <w:t>3</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295" w:type="dxa"/>
            <w:vAlign w:val="top"/>
          </w:tcPr>
          <w:p w14:paraId="5C2813FC">
            <w:pPr>
              <w:keepNext w:val="0"/>
              <w:keepLines w:val="0"/>
              <w:pageBreakBefore w:val="0"/>
              <w:widowControl w:val="0"/>
              <w:kinsoku/>
              <w:wordWrap/>
              <w:overflowPunct/>
              <w:topLinePunct w:val="0"/>
              <w:autoSpaceDE/>
              <w:autoSpaceDN/>
              <w:bidi w:val="0"/>
              <w:adjustRightInd/>
              <w:snapToGrid/>
              <w:spacing w:before="145" w:line="200" w:lineRule="exact"/>
              <w:ind w:left="296"/>
              <w:textAlignment w:val="auto"/>
              <w:rPr>
                <w:rFonts w:ascii="仿宋" w:hAnsi="仿宋" w:eastAsia="仿宋" w:cs="仿宋"/>
                <w:color w:val="auto"/>
                <w:sz w:val="23"/>
                <w:szCs w:val="23"/>
              </w:rPr>
            </w:pPr>
            <w:r>
              <w:rPr>
                <w:rFonts w:ascii="仿宋" w:hAnsi="仿宋" w:eastAsia="仿宋" w:cs="仿宋"/>
                <w:color w:val="auto"/>
                <w:spacing w:val="3"/>
                <w:sz w:val="23"/>
                <w:szCs w:val="23"/>
              </w:rPr>
              <w:t>20-300</w:t>
            </w:r>
          </w:p>
        </w:tc>
        <w:tc>
          <w:tcPr>
            <w:tcW w:w="1004" w:type="dxa"/>
            <w:vAlign w:val="top"/>
          </w:tcPr>
          <w:p w14:paraId="446B8DBE">
            <w:pPr>
              <w:keepNext w:val="0"/>
              <w:keepLines w:val="0"/>
              <w:pageBreakBefore w:val="0"/>
              <w:widowControl w:val="0"/>
              <w:kinsoku/>
              <w:wordWrap/>
              <w:overflowPunct/>
              <w:topLinePunct w:val="0"/>
              <w:autoSpaceDE/>
              <w:autoSpaceDN/>
              <w:bidi w:val="0"/>
              <w:adjustRightInd/>
              <w:snapToGrid/>
              <w:spacing w:before="104"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20</w:t>
            </w:r>
          </w:p>
        </w:tc>
      </w:tr>
      <w:tr w14:paraId="3752E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vAlign w:val="top"/>
          </w:tcPr>
          <w:p w14:paraId="5037003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31DA28F2">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3862901F">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00F4E2D">
            <w:pPr>
              <w:keepNext w:val="0"/>
              <w:keepLines w:val="0"/>
              <w:pageBreakBefore w:val="0"/>
              <w:widowControl w:val="0"/>
              <w:kinsoku/>
              <w:wordWrap/>
              <w:overflowPunct/>
              <w:topLinePunct w:val="0"/>
              <w:autoSpaceDE/>
              <w:autoSpaceDN/>
              <w:bidi w:val="0"/>
              <w:adjustRightInd/>
              <w:snapToGrid/>
              <w:spacing w:before="104"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≥3</w:t>
            </w:r>
            <w:r>
              <w:rPr>
                <w:rFonts w:ascii="仿宋" w:hAnsi="仿宋" w:eastAsia="仿宋" w:cs="仿宋"/>
                <w:color w:val="auto"/>
                <w:position w:val="1"/>
                <w:sz w:val="23"/>
                <w:szCs w:val="23"/>
              </w:rPr>
              <w:t>0000</w:t>
            </w:r>
          </w:p>
        </w:tc>
        <w:tc>
          <w:tcPr>
            <w:tcW w:w="1535" w:type="dxa"/>
            <w:vAlign w:val="top"/>
          </w:tcPr>
          <w:p w14:paraId="7648FE96">
            <w:pPr>
              <w:keepNext w:val="0"/>
              <w:keepLines w:val="0"/>
              <w:pageBreakBefore w:val="0"/>
              <w:widowControl w:val="0"/>
              <w:kinsoku/>
              <w:wordWrap/>
              <w:overflowPunct/>
              <w:topLinePunct w:val="0"/>
              <w:autoSpaceDE/>
              <w:autoSpaceDN/>
              <w:bidi w:val="0"/>
              <w:adjustRightInd/>
              <w:snapToGrid/>
              <w:spacing w:before="145"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2000-3000</w:t>
            </w:r>
            <w:r>
              <w:rPr>
                <w:rFonts w:ascii="仿宋" w:hAnsi="仿宋" w:eastAsia="仿宋" w:cs="仿宋"/>
                <w:color w:val="auto"/>
                <w:spacing w:val="2"/>
                <w:sz w:val="23"/>
                <w:szCs w:val="23"/>
              </w:rPr>
              <w:t>0</w:t>
            </w:r>
          </w:p>
        </w:tc>
        <w:tc>
          <w:tcPr>
            <w:tcW w:w="1295" w:type="dxa"/>
            <w:vAlign w:val="top"/>
          </w:tcPr>
          <w:p w14:paraId="25181141">
            <w:pPr>
              <w:keepNext w:val="0"/>
              <w:keepLines w:val="0"/>
              <w:pageBreakBefore w:val="0"/>
              <w:widowControl w:val="0"/>
              <w:kinsoku/>
              <w:wordWrap/>
              <w:overflowPunct/>
              <w:topLinePunct w:val="0"/>
              <w:autoSpaceDE/>
              <w:autoSpaceDN/>
              <w:bidi w:val="0"/>
              <w:adjustRightInd/>
              <w:snapToGrid/>
              <w:spacing w:before="145"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1F5CAB71">
            <w:pPr>
              <w:keepNext w:val="0"/>
              <w:keepLines w:val="0"/>
              <w:pageBreakBefore w:val="0"/>
              <w:widowControl w:val="0"/>
              <w:kinsoku/>
              <w:wordWrap/>
              <w:overflowPunct/>
              <w:topLinePunct w:val="0"/>
              <w:autoSpaceDE/>
              <w:autoSpaceDN/>
              <w:bidi w:val="0"/>
              <w:adjustRightInd/>
              <w:snapToGrid/>
              <w:spacing w:before="104"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1140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vAlign w:val="top"/>
          </w:tcPr>
          <w:p w14:paraId="0425935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p w14:paraId="75595A01">
            <w:pPr>
              <w:keepNext w:val="0"/>
              <w:keepLines w:val="0"/>
              <w:pageBreakBefore w:val="0"/>
              <w:widowControl w:val="0"/>
              <w:kinsoku/>
              <w:wordWrap/>
              <w:overflowPunct/>
              <w:topLinePunct w:val="0"/>
              <w:autoSpaceDE/>
              <w:autoSpaceDN/>
              <w:bidi w:val="0"/>
              <w:adjustRightInd/>
              <w:snapToGrid/>
              <w:spacing w:before="75"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住宿餐饮</w:t>
            </w:r>
          </w:p>
        </w:tc>
        <w:tc>
          <w:tcPr>
            <w:tcW w:w="1187" w:type="dxa"/>
            <w:vAlign w:val="top"/>
          </w:tcPr>
          <w:p w14:paraId="5FAC0791">
            <w:pPr>
              <w:keepNext w:val="0"/>
              <w:keepLines w:val="0"/>
              <w:pageBreakBefore w:val="0"/>
              <w:widowControl w:val="0"/>
              <w:kinsoku/>
              <w:wordWrap/>
              <w:overflowPunct/>
              <w:topLinePunct w:val="0"/>
              <w:autoSpaceDE/>
              <w:autoSpaceDN/>
              <w:bidi w:val="0"/>
              <w:adjustRightInd/>
              <w:snapToGrid/>
              <w:spacing w:before="104"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13A17738">
            <w:pPr>
              <w:keepNext w:val="0"/>
              <w:keepLines w:val="0"/>
              <w:pageBreakBefore w:val="0"/>
              <w:widowControl w:val="0"/>
              <w:kinsoku/>
              <w:wordWrap/>
              <w:overflowPunct/>
              <w:topLinePunct w:val="0"/>
              <w:autoSpaceDE/>
              <w:autoSpaceDN/>
              <w:bidi w:val="0"/>
              <w:adjustRightInd/>
              <w:snapToGrid/>
              <w:spacing w:before="103"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1510B164">
            <w:pPr>
              <w:keepNext w:val="0"/>
              <w:keepLines w:val="0"/>
              <w:pageBreakBefore w:val="0"/>
              <w:widowControl w:val="0"/>
              <w:kinsoku/>
              <w:wordWrap/>
              <w:overflowPunct/>
              <w:topLinePunct w:val="0"/>
              <w:autoSpaceDE/>
              <w:autoSpaceDN/>
              <w:bidi w:val="0"/>
              <w:adjustRightInd/>
              <w:snapToGrid/>
              <w:spacing w:before="103"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14781C55">
            <w:pPr>
              <w:keepNext w:val="0"/>
              <w:keepLines w:val="0"/>
              <w:pageBreakBefore w:val="0"/>
              <w:widowControl w:val="0"/>
              <w:kinsoku/>
              <w:wordWrap/>
              <w:overflowPunct/>
              <w:topLinePunct w:val="0"/>
              <w:autoSpaceDE/>
              <w:autoSpaceDN/>
              <w:bidi w:val="0"/>
              <w:adjustRightInd/>
              <w:snapToGrid/>
              <w:spacing w:before="144"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067C2533">
            <w:pPr>
              <w:keepNext w:val="0"/>
              <w:keepLines w:val="0"/>
              <w:pageBreakBefore w:val="0"/>
              <w:widowControl w:val="0"/>
              <w:kinsoku/>
              <w:wordWrap/>
              <w:overflowPunct/>
              <w:topLinePunct w:val="0"/>
              <w:autoSpaceDE/>
              <w:autoSpaceDN/>
              <w:bidi w:val="0"/>
              <w:adjustRightInd/>
              <w:snapToGrid/>
              <w:spacing w:before="144"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15647298">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r w14:paraId="27F72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F8CD47E">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14138F7">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0101DC68">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6360587">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7EF1DB2F">
            <w:pPr>
              <w:keepNext w:val="0"/>
              <w:keepLines w:val="0"/>
              <w:pageBreakBefore w:val="0"/>
              <w:widowControl w:val="0"/>
              <w:kinsoku/>
              <w:wordWrap/>
              <w:overflowPunct/>
              <w:topLinePunct w:val="0"/>
              <w:autoSpaceDE/>
              <w:autoSpaceDN/>
              <w:bidi w:val="0"/>
              <w:adjustRightInd/>
              <w:snapToGrid/>
              <w:spacing w:before="144" w:line="200" w:lineRule="exact"/>
              <w:ind w:left="175"/>
              <w:textAlignment w:val="auto"/>
              <w:rPr>
                <w:rFonts w:ascii="仿宋" w:hAnsi="仿宋" w:eastAsia="仿宋" w:cs="仿宋"/>
                <w:color w:val="auto"/>
                <w:sz w:val="23"/>
                <w:szCs w:val="23"/>
              </w:rPr>
            </w:pPr>
            <w:r>
              <w:rPr>
                <w:rFonts w:ascii="仿宋" w:hAnsi="仿宋" w:eastAsia="仿宋" w:cs="仿宋"/>
                <w:color w:val="auto"/>
                <w:spacing w:val="4"/>
                <w:sz w:val="23"/>
                <w:szCs w:val="23"/>
              </w:rPr>
              <w:t>2000-1000</w:t>
            </w:r>
            <w:r>
              <w:rPr>
                <w:rFonts w:ascii="仿宋" w:hAnsi="仿宋" w:eastAsia="仿宋" w:cs="仿宋"/>
                <w:color w:val="auto"/>
                <w:spacing w:val="2"/>
                <w:sz w:val="23"/>
                <w:szCs w:val="23"/>
              </w:rPr>
              <w:t>0</w:t>
            </w:r>
          </w:p>
        </w:tc>
        <w:tc>
          <w:tcPr>
            <w:tcW w:w="1295" w:type="dxa"/>
            <w:vAlign w:val="top"/>
          </w:tcPr>
          <w:p w14:paraId="7F3C12AB">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100-2</w:t>
            </w:r>
            <w:r>
              <w:rPr>
                <w:rFonts w:ascii="仿宋" w:hAnsi="仿宋" w:eastAsia="仿宋" w:cs="仿宋"/>
                <w:color w:val="auto"/>
                <w:spacing w:val="1"/>
                <w:sz w:val="23"/>
                <w:szCs w:val="23"/>
              </w:rPr>
              <w:t>000</w:t>
            </w:r>
          </w:p>
        </w:tc>
        <w:tc>
          <w:tcPr>
            <w:tcW w:w="1004" w:type="dxa"/>
            <w:vAlign w:val="top"/>
          </w:tcPr>
          <w:p w14:paraId="6C96DA3C">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F690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vAlign w:val="top"/>
          </w:tcPr>
          <w:p w14:paraId="626E3184">
            <w:pPr>
              <w:keepNext w:val="0"/>
              <w:keepLines w:val="0"/>
              <w:pageBreakBefore w:val="0"/>
              <w:widowControl w:val="0"/>
              <w:kinsoku/>
              <w:wordWrap/>
              <w:overflowPunct/>
              <w:topLinePunct w:val="0"/>
              <w:autoSpaceDE/>
              <w:autoSpaceDN/>
              <w:bidi w:val="0"/>
              <w:adjustRightInd/>
              <w:snapToGrid/>
              <w:spacing w:before="172" w:line="200" w:lineRule="exact"/>
              <w:ind w:left="124" w:right="110" w:firstLine="124"/>
              <w:textAlignment w:val="auto"/>
              <w:rPr>
                <w:rFonts w:ascii="仿宋" w:hAnsi="仿宋" w:eastAsia="仿宋" w:cs="仿宋"/>
                <w:color w:val="auto"/>
                <w:sz w:val="23"/>
                <w:szCs w:val="23"/>
              </w:rPr>
            </w:pPr>
            <w:r>
              <w:rPr>
                <w:rFonts w:ascii="仿宋" w:hAnsi="仿宋" w:eastAsia="仿宋" w:cs="仿宋"/>
                <w:color w:val="auto"/>
                <w:spacing w:val="3"/>
                <w:sz w:val="23"/>
                <w:szCs w:val="23"/>
              </w:rPr>
              <w:t>房地产</w:t>
            </w:r>
            <w:r>
              <w:rPr>
                <w:rFonts w:ascii="仿宋" w:hAnsi="仿宋" w:eastAsia="仿宋" w:cs="仿宋"/>
                <w:color w:val="auto"/>
                <w:sz w:val="23"/>
                <w:szCs w:val="23"/>
              </w:rPr>
              <w:t xml:space="preserve"> </w:t>
            </w:r>
            <w:r>
              <w:rPr>
                <w:rFonts w:ascii="仿宋" w:hAnsi="仿宋" w:eastAsia="仿宋" w:cs="仿宋"/>
                <w:color w:val="auto"/>
                <w:spacing w:val="6"/>
                <w:sz w:val="23"/>
                <w:szCs w:val="23"/>
              </w:rPr>
              <w:t>开发经营</w:t>
            </w:r>
          </w:p>
        </w:tc>
        <w:tc>
          <w:tcPr>
            <w:tcW w:w="1187" w:type="dxa"/>
            <w:vAlign w:val="top"/>
          </w:tcPr>
          <w:p w14:paraId="4B4FF128">
            <w:pPr>
              <w:keepNext w:val="0"/>
              <w:keepLines w:val="0"/>
              <w:pageBreakBefore w:val="0"/>
              <w:widowControl w:val="0"/>
              <w:kinsoku/>
              <w:wordWrap/>
              <w:overflowPunct/>
              <w:topLinePunct w:val="0"/>
              <w:autoSpaceDE/>
              <w:autoSpaceDN/>
              <w:bidi w:val="0"/>
              <w:adjustRightInd/>
              <w:snapToGrid/>
              <w:spacing w:before="103"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539BEB6A">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605DA3AC">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10DAF777">
            <w:pPr>
              <w:keepNext w:val="0"/>
              <w:keepLines w:val="0"/>
              <w:pageBreakBefore w:val="0"/>
              <w:widowControl w:val="0"/>
              <w:kinsoku/>
              <w:wordWrap/>
              <w:overflowPunct/>
              <w:topLinePunct w:val="0"/>
              <w:autoSpaceDE/>
              <w:autoSpaceDN/>
              <w:bidi w:val="0"/>
              <w:adjustRightInd/>
              <w:snapToGrid/>
              <w:spacing w:before="144" w:line="200" w:lineRule="exact"/>
              <w:ind w:left="177"/>
              <w:textAlignment w:val="auto"/>
              <w:rPr>
                <w:rFonts w:ascii="仿宋" w:hAnsi="仿宋" w:eastAsia="仿宋" w:cs="仿宋"/>
                <w:color w:val="auto"/>
                <w:sz w:val="23"/>
                <w:szCs w:val="23"/>
              </w:rPr>
            </w:pPr>
            <w:r>
              <w:rPr>
                <w:rFonts w:ascii="仿宋" w:hAnsi="仿宋" w:eastAsia="仿宋" w:cs="仿宋"/>
                <w:color w:val="auto"/>
                <w:spacing w:val="6"/>
                <w:sz w:val="23"/>
                <w:szCs w:val="23"/>
              </w:rPr>
              <w:t>50</w:t>
            </w:r>
            <w:r>
              <w:rPr>
                <w:rFonts w:ascii="仿宋" w:hAnsi="仿宋" w:eastAsia="仿宋" w:cs="仿宋"/>
                <w:color w:val="auto"/>
                <w:spacing w:val="3"/>
                <w:sz w:val="23"/>
                <w:szCs w:val="23"/>
              </w:rPr>
              <w:t>00-10000</w:t>
            </w:r>
          </w:p>
        </w:tc>
        <w:tc>
          <w:tcPr>
            <w:tcW w:w="1295" w:type="dxa"/>
            <w:vAlign w:val="top"/>
          </w:tcPr>
          <w:p w14:paraId="576C4C6D">
            <w:pPr>
              <w:keepNext w:val="0"/>
              <w:keepLines w:val="0"/>
              <w:pageBreakBefore w:val="0"/>
              <w:widowControl w:val="0"/>
              <w:kinsoku/>
              <w:wordWrap/>
              <w:overflowPunct/>
              <w:topLinePunct w:val="0"/>
              <w:autoSpaceDE/>
              <w:autoSpaceDN/>
              <w:bidi w:val="0"/>
              <w:adjustRightInd/>
              <w:snapToGrid/>
              <w:spacing w:before="103" w:line="200" w:lineRule="exact"/>
              <w:ind w:left="116"/>
              <w:textAlignment w:val="auto"/>
              <w:rPr>
                <w:rFonts w:ascii="仿宋" w:hAnsi="仿宋" w:eastAsia="仿宋" w:cs="仿宋"/>
                <w:color w:val="auto"/>
                <w:sz w:val="23"/>
                <w:szCs w:val="23"/>
              </w:rPr>
            </w:pPr>
            <w:r>
              <w:rPr>
                <w:rFonts w:ascii="仿宋" w:hAnsi="仿宋" w:eastAsia="仿宋" w:cs="仿宋"/>
                <w:color w:val="auto"/>
                <w:spacing w:val="6"/>
                <w:position w:val="1"/>
                <w:sz w:val="23"/>
                <w:szCs w:val="23"/>
              </w:rPr>
              <w:t>20</w:t>
            </w:r>
            <w:r>
              <w:rPr>
                <w:rFonts w:ascii="仿宋" w:hAnsi="仿宋" w:eastAsia="仿宋" w:cs="仿宋"/>
                <w:color w:val="auto"/>
                <w:spacing w:val="3"/>
                <w:position w:val="1"/>
                <w:sz w:val="23"/>
                <w:szCs w:val="23"/>
              </w:rPr>
              <w:t>00&lt;5000</w:t>
            </w:r>
          </w:p>
        </w:tc>
        <w:tc>
          <w:tcPr>
            <w:tcW w:w="1004" w:type="dxa"/>
            <w:vAlign w:val="top"/>
          </w:tcPr>
          <w:p w14:paraId="7F4A6549">
            <w:pPr>
              <w:keepNext w:val="0"/>
              <w:keepLines w:val="0"/>
              <w:pageBreakBefore w:val="0"/>
              <w:widowControl w:val="0"/>
              <w:kinsoku/>
              <w:wordWrap/>
              <w:overflowPunct/>
              <w:topLinePunct w:val="0"/>
              <w:autoSpaceDE/>
              <w:autoSpaceDN/>
              <w:bidi w:val="0"/>
              <w:adjustRightInd/>
              <w:snapToGrid/>
              <w:spacing w:before="103" w:line="200" w:lineRule="exact"/>
              <w:ind w:left="16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＜2</w:t>
            </w:r>
            <w:r>
              <w:rPr>
                <w:rFonts w:ascii="仿宋" w:hAnsi="仿宋" w:eastAsia="仿宋" w:cs="仿宋"/>
                <w:color w:val="auto"/>
                <w:position w:val="2"/>
                <w:sz w:val="23"/>
                <w:szCs w:val="23"/>
              </w:rPr>
              <w:t>000</w:t>
            </w:r>
          </w:p>
        </w:tc>
      </w:tr>
      <w:tr w14:paraId="08D26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vAlign w:val="top"/>
          </w:tcPr>
          <w:p w14:paraId="713528F1">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1C03DD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09FCA6CA">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0B34101B">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≥200000</w:t>
            </w:r>
          </w:p>
        </w:tc>
        <w:tc>
          <w:tcPr>
            <w:tcW w:w="1535" w:type="dxa"/>
            <w:vAlign w:val="top"/>
          </w:tcPr>
          <w:p w14:paraId="050DDBDA">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0-200000</w:t>
            </w:r>
          </w:p>
        </w:tc>
        <w:tc>
          <w:tcPr>
            <w:tcW w:w="1295" w:type="dxa"/>
            <w:vAlign w:val="top"/>
          </w:tcPr>
          <w:p w14:paraId="3B1287FF">
            <w:pPr>
              <w:keepNext w:val="0"/>
              <w:keepLines w:val="0"/>
              <w:pageBreakBefore w:val="0"/>
              <w:widowControl w:val="0"/>
              <w:kinsoku/>
              <w:wordWrap/>
              <w:overflowPunct/>
              <w:topLinePunct w:val="0"/>
              <w:autoSpaceDE/>
              <w:autoSpaceDN/>
              <w:bidi w:val="0"/>
              <w:adjustRightInd/>
              <w:snapToGrid/>
              <w:spacing w:before="103" w:line="200" w:lineRule="exact"/>
              <w:ind w:left="131"/>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100&lt;10000</w:t>
            </w:r>
          </w:p>
        </w:tc>
        <w:tc>
          <w:tcPr>
            <w:tcW w:w="1004" w:type="dxa"/>
            <w:vAlign w:val="top"/>
          </w:tcPr>
          <w:p w14:paraId="5EB5ACA3">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0779E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vAlign w:val="top"/>
          </w:tcPr>
          <w:p w14:paraId="7866E9E1">
            <w:pPr>
              <w:keepNext w:val="0"/>
              <w:keepLines w:val="0"/>
              <w:pageBreakBefore w:val="0"/>
              <w:widowControl w:val="0"/>
              <w:kinsoku/>
              <w:wordWrap/>
              <w:overflowPunct/>
              <w:topLinePunct w:val="0"/>
              <w:autoSpaceDE/>
              <w:autoSpaceDN/>
              <w:bidi w:val="0"/>
              <w:adjustRightInd/>
              <w:snapToGrid/>
              <w:spacing w:before="263"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物业管</w:t>
            </w:r>
            <w:r>
              <w:rPr>
                <w:rFonts w:ascii="仿宋" w:hAnsi="仿宋" w:eastAsia="仿宋" w:cs="仿宋"/>
                <w:color w:val="auto"/>
                <w:spacing w:val="5"/>
                <w:sz w:val="23"/>
                <w:szCs w:val="23"/>
              </w:rPr>
              <w:t>理</w:t>
            </w:r>
          </w:p>
        </w:tc>
        <w:tc>
          <w:tcPr>
            <w:tcW w:w="1187" w:type="dxa"/>
            <w:vAlign w:val="top"/>
          </w:tcPr>
          <w:p w14:paraId="595C1DE8">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EFF4EE9">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911435B">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00</w:t>
            </w:r>
          </w:p>
        </w:tc>
        <w:tc>
          <w:tcPr>
            <w:tcW w:w="1535" w:type="dxa"/>
            <w:vAlign w:val="top"/>
          </w:tcPr>
          <w:p w14:paraId="086C9C7A">
            <w:pPr>
              <w:keepNext w:val="0"/>
              <w:keepLines w:val="0"/>
              <w:pageBreakBefore w:val="0"/>
              <w:widowControl w:val="0"/>
              <w:kinsoku/>
              <w:wordWrap/>
              <w:overflowPunct/>
              <w:topLinePunct w:val="0"/>
              <w:autoSpaceDE/>
              <w:autoSpaceDN/>
              <w:bidi w:val="0"/>
              <w:adjustRightInd/>
              <w:snapToGrid/>
              <w:spacing w:before="81" w:line="200" w:lineRule="exact"/>
              <w:ind w:left="297"/>
              <w:textAlignment w:val="auto"/>
              <w:rPr>
                <w:rFonts w:ascii="仿宋" w:hAnsi="仿宋" w:eastAsia="仿宋" w:cs="仿宋"/>
                <w:color w:val="auto"/>
                <w:sz w:val="23"/>
                <w:szCs w:val="23"/>
              </w:rPr>
            </w:pPr>
            <w:r>
              <w:rPr>
                <w:rFonts w:ascii="仿宋" w:hAnsi="仿宋" w:eastAsia="仿宋" w:cs="仿宋"/>
                <w:color w:val="auto"/>
                <w:spacing w:val="5"/>
                <w:sz w:val="23"/>
                <w:szCs w:val="23"/>
              </w:rPr>
              <w:t>3</w:t>
            </w:r>
            <w:r>
              <w:rPr>
                <w:rFonts w:ascii="仿宋" w:hAnsi="仿宋" w:eastAsia="仿宋" w:cs="仿宋"/>
                <w:color w:val="auto"/>
                <w:spacing w:val="3"/>
                <w:sz w:val="23"/>
                <w:szCs w:val="23"/>
              </w:rPr>
              <w:t>00-1000</w:t>
            </w:r>
          </w:p>
        </w:tc>
        <w:tc>
          <w:tcPr>
            <w:tcW w:w="1295" w:type="dxa"/>
            <w:vAlign w:val="top"/>
          </w:tcPr>
          <w:p w14:paraId="30E73555">
            <w:pPr>
              <w:keepNext w:val="0"/>
              <w:keepLines w:val="0"/>
              <w:pageBreakBefore w:val="0"/>
              <w:widowControl w:val="0"/>
              <w:kinsoku/>
              <w:wordWrap/>
              <w:overflowPunct/>
              <w:topLinePunct w:val="0"/>
              <w:autoSpaceDE/>
              <w:autoSpaceDN/>
              <w:bidi w:val="0"/>
              <w:adjustRightInd/>
              <w:snapToGrid/>
              <w:spacing w:before="81" w:line="200" w:lineRule="exact"/>
              <w:ind w:left="251"/>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004" w:type="dxa"/>
            <w:vAlign w:val="top"/>
          </w:tcPr>
          <w:p w14:paraId="21DDFE85">
            <w:pPr>
              <w:keepNext w:val="0"/>
              <w:keepLines w:val="0"/>
              <w:pageBreakBefore w:val="0"/>
              <w:widowControl w:val="0"/>
              <w:kinsoku/>
              <w:wordWrap/>
              <w:overflowPunct/>
              <w:topLinePunct w:val="0"/>
              <w:autoSpaceDE/>
              <w:autoSpaceDN/>
              <w:bidi w:val="0"/>
              <w:adjustRightInd/>
              <w:snapToGrid/>
              <w:spacing w:before="40" w:line="200" w:lineRule="exact"/>
              <w:ind w:left="227"/>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0</w:t>
            </w:r>
          </w:p>
        </w:tc>
      </w:tr>
      <w:tr w14:paraId="04072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vAlign w:val="top"/>
          </w:tcPr>
          <w:p w14:paraId="1184BC9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EBB1729">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122A7719">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289D1A17">
            <w:pPr>
              <w:keepNext w:val="0"/>
              <w:keepLines w:val="0"/>
              <w:pageBreakBefore w:val="0"/>
              <w:widowControl w:val="0"/>
              <w:kinsoku/>
              <w:wordWrap/>
              <w:overflowPunct/>
              <w:topLinePunct w:val="0"/>
              <w:autoSpaceDE/>
              <w:autoSpaceDN/>
              <w:bidi w:val="0"/>
              <w:adjustRightInd/>
              <w:snapToGrid/>
              <w:spacing w:before="103" w:line="200" w:lineRule="exact"/>
              <w:ind w:left="37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≥50</w:t>
            </w:r>
            <w:r>
              <w:rPr>
                <w:rFonts w:ascii="仿宋" w:hAnsi="仿宋" w:eastAsia="仿宋" w:cs="仿宋"/>
                <w:color w:val="auto"/>
                <w:position w:val="1"/>
                <w:sz w:val="23"/>
                <w:szCs w:val="23"/>
              </w:rPr>
              <w:t>00</w:t>
            </w:r>
          </w:p>
        </w:tc>
        <w:tc>
          <w:tcPr>
            <w:tcW w:w="1535" w:type="dxa"/>
            <w:vAlign w:val="top"/>
          </w:tcPr>
          <w:p w14:paraId="04E4C43E">
            <w:pPr>
              <w:keepNext w:val="0"/>
              <w:keepLines w:val="0"/>
              <w:pageBreakBefore w:val="0"/>
              <w:widowControl w:val="0"/>
              <w:kinsoku/>
              <w:wordWrap/>
              <w:overflowPunct/>
              <w:topLinePunct w:val="0"/>
              <w:autoSpaceDE/>
              <w:autoSpaceDN/>
              <w:bidi w:val="0"/>
              <w:adjustRightInd/>
              <w:snapToGrid/>
              <w:spacing w:before="144" w:line="200" w:lineRule="exact"/>
              <w:ind w:left="250"/>
              <w:textAlignment w:val="auto"/>
              <w:rPr>
                <w:rFonts w:ascii="仿宋" w:hAnsi="仿宋" w:eastAsia="仿宋" w:cs="仿宋"/>
                <w:color w:val="auto"/>
                <w:sz w:val="23"/>
                <w:szCs w:val="23"/>
              </w:rPr>
            </w:pPr>
            <w:r>
              <w:rPr>
                <w:rFonts w:ascii="仿宋" w:hAnsi="仿宋" w:eastAsia="仿宋" w:cs="仿宋"/>
                <w:color w:val="auto"/>
                <w:spacing w:val="2"/>
                <w:sz w:val="23"/>
                <w:szCs w:val="23"/>
              </w:rPr>
              <w:t>1000-5000</w:t>
            </w:r>
          </w:p>
        </w:tc>
        <w:tc>
          <w:tcPr>
            <w:tcW w:w="1295" w:type="dxa"/>
            <w:vAlign w:val="top"/>
          </w:tcPr>
          <w:p w14:paraId="07D2F620">
            <w:pPr>
              <w:keepNext w:val="0"/>
              <w:keepLines w:val="0"/>
              <w:pageBreakBefore w:val="0"/>
              <w:widowControl w:val="0"/>
              <w:kinsoku/>
              <w:wordWrap/>
              <w:overflowPunct/>
              <w:topLinePunct w:val="0"/>
              <w:autoSpaceDE/>
              <w:autoSpaceDN/>
              <w:bidi w:val="0"/>
              <w:adjustRightInd/>
              <w:snapToGrid/>
              <w:spacing w:before="144" w:line="200" w:lineRule="exact"/>
              <w:ind w:left="118"/>
              <w:textAlignment w:val="auto"/>
              <w:rPr>
                <w:rFonts w:ascii="仿宋" w:hAnsi="仿宋" w:eastAsia="仿宋" w:cs="仿宋"/>
                <w:color w:val="auto"/>
                <w:sz w:val="23"/>
                <w:szCs w:val="23"/>
              </w:rPr>
            </w:pPr>
            <w:r>
              <w:rPr>
                <w:rFonts w:ascii="仿宋" w:hAnsi="仿宋" w:eastAsia="仿宋" w:cs="仿宋"/>
                <w:color w:val="auto"/>
                <w:spacing w:val="6"/>
                <w:sz w:val="23"/>
                <w:szCs w:val="23"/>
              </w:rPr>
              <w:t>5</w:t>
            </w:r>
            <w:r>
              <w:rPr>
                <w:rFonts w:ascii="仿宋" w:hAnsi="仿宋" w:eastAsia="仿宋" w:cs="仿宋"/>
                <w:color w:val="auto"/>
                <w:spacing w:val="4"/>
                <w:sz w:val="23"/>
                <w:szCs w:val="23"/>
              </w:rPr>
              <w:t>0</w:t>
            </w:r>
            <w:r>
              <w:rPr>
                <w:rFonts w:ascii="仿宋" w:hAnsi="仿宋" w:eastAsia="仿宋" w:cs="仿宋"/>
                <w:color w:val="auto"/>
                <w:spacing w:val="3"/>
                <w:sz w:val="23"/>
                <w:szCs w:val="23"/>
              </w:rPr>
              <w:t>0- 1000</w:t>
            </w:r>
          </w:p>
        </w:tc>
        <w:tc>
          <w:tcPr>
            <w:tcW w:w="1004" w:type="dxa"/>
            <w:vAlign w:val="top"/>
          </w:tcPr>
          <w:p w14:paraId="14A8885D">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＜50</w:t>
            </w:r>
            <w:r>
              <w:rPr>
                <w:rFonts w:ascii="仿宋" w:hAnsi="仿宋" w:eastAsia="仿宋" w:cs="仿宋"/>
                <w:color w:val="auto"/>
                <w:position w:val="2"/>
                <w:sz w:val="23"/>
                <w:szCs w:val="23"/>
              </w:rPr>
              <w:t>0</w:t>
            </w:r>
          </w:p>
        </w:tc>
      </w:tr>
      <w:tr w14:paraId="08883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vAlign w:val="top"/>
          </w:tcPr>
          <w:p w14:paraId="77A096E1">
            <w:pPr>
              <w:keepNext w:val="0"/>
              <w:keepLines w:val="0"/>
              <w:pageBreakBefore w:val="0"/>
              <w:widowControl w:val="0"/>
              <w:kinsoku/>
              <w:wordWrap/>
              <w:overflowPunct/>
              <w:topLinePunct w:val="0"/>
              <w:autoSpaceDE/>
              <w:autoSpaceDN/>
              <w:bidi w:val="0"/>
              <w:adjustRightInd/>
              <w:snapToGrid/>
              <w:spacing w:before="263" w:line="200" w:lineRule="exact"/>
              <w:ind w:left="124"/>
              <w:textAlignment w:val="auto"/>
              <w:rPr>
                <w:rFonts w:ascii="仿宋" w:hAnsi="仿宋" w:eastAsia="仿宋" w:cs="仿宋"/>
                <w:color w:val="auto"/>
                <w:sz w:val="23"/>
                <w:szCs w:val="23"/>
              </w:rPr>
            </w:pPr>
            <w:r>
              <w:rPr>
                <w:rFonts w:ascii="仿宋" w:hAnsi="仿宋" w:eastAsia="仿宋" w:cs="仿宋"/>
                <w:color w:val="auto"/>
                <w:spacing w:val="6"/>
                <w:sz w:val="23"/>
                <w:szCs w:val="23"/>
              </w:rPr>
              <w:t>信息传输</w:t>
            </w:r>
          </w:p>
        </w:tc>
        <w:tc>
          <w:tcPr>
            <w:tcW w:w="1187" w:type="dxa"/>
            <w:vAlign w:val="top"/>
          </w:tcPr>
          <w:p w14:paraId="7C8F4B59">
            <w:pPr>
              <w:keepNext w:val="0"/>
              <w:keepLines w:val="0"/>
              <w:pageBreakBefore w:val="0"/>
              <w:widowControl w:val="0"/>
              <w:kinsoku/>
              <w:wordWrap/>
              <w:overflowPunct/>
              <w:topLinePunct w:val="0"/>
              <w:autoSpaceDE/>
              <w:autoSpaceDN/>
              <w:bidi w:val="0"/>
              <w:adjustRightInd/>
              <w:snapToGrid/>
              <w:spacing w:before="40"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381FA755">
            <w:pPr>
              <w:keepNext w:val="0"/>
              <w:keepLines w:val="0"/>
              <w:pageBreakBefore w:val="0"/>
              <w:widowControl w:val="0"/>
              <w:kinsoku/>
              <w:wordWrap/>
              <w:overflowPunct/>
              <w:topLinePunct w:val="0"/>
              <w:autoSpaceDE/>
              <w:autoSpaceDN/>
              <w:bidi w:val="0"/>
              <w:adjustRightInd/>
              <w:snapToGrid/>
              <w:spacing w:before="40"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59FA8C12">
            <w:pPr>
              <w:keepNext w:val="0"/>
              <w:keepLines w:val="0"/>
              <w:pageBreakBefore w:val="0"/>
              <w:widowControl w:val="0"/>
              <w:kinsoku/>
              <w:wordWrap/>
              <w:overflowPunct/>
              <w:topLinePunct w:val="0"/>
              <w:autoSpaceDE/>
              <w:autoSpaceDN/>
              <w:bidi w:val="0"/>
              <w:adjustRightInd/>
              <w:snapToGrid/>
              <w:spacing w:before="40" w:line="200" w:lineRule="exact"/>
              <w:ind w:left="370"/>
              <w:textAlignment w:val="auto"/>
              <w:rPr>
                <w:rFonts w:ascii="仿宋" w:hAnsi="仿宋" w:eastAsia="仿宋" w:cs="仿宋"/>
                <w:color w:val="auto"/>
                <w:sz w:val="23"/>
                <w:szCs w:val="23"/>
              </w:rPr>
            </w:pPr>
            <w:r>
              <w:rPr>
                <w:rFonts w:ascii="仿宋" w:hAnsi="仿宋" w:eastAsia="仿宋" w:cs="仿宋"/>
                <w:color w:val="auto"/>
                <w:spacing w:val="-1"/>
                <w:sz w:val="23"/>
                <w:szCs w:val="23"/>
              </w:rPr>
              <w:t>≥20</w:t>
            </w:r>
            <w:r>
              <w:rPr>
                <w:rFonts w:ascii="仿宋" w:hAnsi="仿宋" w:eastAsia="仿宋" w:cs="仿宋"/>
                <w:color w:val="auto"/>
                <w:sz w:val="23"/>
                <w:szCs w:val="23"/>
              </w:rPr>
              <w:t>00</w:t>
            </w:r>
          </w:p>
        </w:tc>
        <w:tc>
          <w:tcPr>
            <w:tcW w:w="1535" w:type="dxa"/>
            <w:vAlign w:val="top"/>
          </w:tcPr>
          <w:p w14:paraId="37CEBC51">
            <w:pPr>
              <w:keepNext w:val="0"/>
              <w:keepLines w:val="0"/>
              <w:pageBreakBefore w:val="0"/>
              <w:widowControl w:val="0"/>
              <w:kinsoku/>
              <w:wordWrap/>
              <w:overflowPunct/>
              <w:topLinePunct w:val="0"/>
              <w:autoSpaceDE/>
              <w:autoSpaceDN/>
              <w:bidi w:val="0"/>
              <w:adjustRightInd/>
              <w:snapToGrid/>
              <w:spacing w:before="82"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00-200</w:t>
            </w:r>
          </w:p>
        </w:tc>
        <w:tc>
          <w:tcPr>
            <w:tcW w:w="1295" w:type="dxa"/>
            <w:vAlign w:val="top"/>
          </w:tcPr>
          <w:p w14:paraId="6F223B3A">
            <w:pPr>
              <w:keepNext w:val="0"/>
              <w:keepLines w:val="0"/>
              <w:pageBreakBefore w:val="0"/>
              <w:widowControl w:val="0"/>
              <w:kinsoku/>
              <w:wordWrap/>
              <w:overflowPunct/>
              <w:topLinePunct w:val="0"/>
              <w:autoSpaceDE/>
              <w:autoSpaceDN/>
              <w:bidi w:val="0"/>
              <w:adjustRightInd/>
              <w:snapToGrid/>
              <w:spacing w:before="82"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7E26B29E">
            <w:pPr>
              <w:keepNext w:val="0"/>
              <w:keepLines w:val="0"/>
              <w:pageBreakBefore w:val="0"/>
              <w:widowControl w:val="0"/>
              <w:kinsoku/>
              <w:wordWrap/>
              <w:overflowPunct/>
              <w:topLinePunct w:val="0"/>
              <w:autoSpaceDE/>
              <w:autoSpaceDN/>
              <w:bidi w:val="0"/>
              <w:adjustRightInd/>
              <w:snapToGrid/>
              <w:spacing w:before="40"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312A8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41737B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4E656BC1">
            <w:pPr>
              <w:keepNext w:val="0"/>
              <w:keepLines w:val="0"/>
              <w:pageBreakBefore w:val="0"/>
              <w:widowControl w:val="0"/>
              <w:kinsoku/>
              <w:wordWrap/>
              <w:overflowPunct/>
              <w:topLinePunct w:val="0"/>
              <w:autoSpaceDE/>
              <w:autoSpaceDN/>
              <w:bidi w:val="0"/>
              <w:adjustRightInd/>
              <w:snapToGrid/>
              <w:spacing w:before="103"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24D6E780">
            <w:pPr>
              <w:keepNext w:val="0"/>
              <w:keepLines w:val="0"/>
              <w:pageBreakBefore w:val="0"/>
              <w:widowControl w:val="0"/>
              <w:kinsoku/>
              <w:wordWrap/>
              <w:overflowPunct/>
              <w:topLinePunct w:val="0"/>
              <w:autoSpaceDE/>
              <w:autoSpaceDN/>
              <w:bidi w:val="0"/>
              <w:adjustRightInd/>
              <w:snapToGrid/>
              <w:spacing w:before="103"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1A58A000">
            <w:pPr>
              <w:keepNext w:val="0"/>
              <w:keepLines w:val="0"/>
              <w:pageBreakBefore w:val="0"/>
              <w:widowControl w:val="0"/>
              <w:kinsoku/>
              <w:wordWrap/>
              <w:overflowPunct/>
              <w:topLinePunct w:val="0"/>
              <w:autoSpaceDE/>
              <w:autoSpaceDN/>
              <w:bidi w:val="0"/>
              <w:adjustRightInd/>
              <w:snapToGrid/>
              <w:spacing w:before="103"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≥100000</w:t>
            </w:r>
          </w:p>
        </w:tc>
        <w:tc>
          <w:tcPr>
            <w:tcW w:w="1535" w:type="dxa"/>
            <w:vAlign w:val="top"/>
          </w:tcPr>
          <w:p w14:paraId="696F1418">
            <w:pPr>
              <w:keepNext w:val="0"/>
              <w:keepLines w:val="0"/>
              <w:pageBreakBefore w:val="0"/>
              <w:widowControl w:val="0"/>
              <w:kinsoku/>
              <w:wordWrap/>
              <w:overflowPunct/>
              <w:topLinePunct w:val="0"/>
              <w:autoSpaceDE/>
              <w:autoSpaceDN/>
              <w:bidi w:val="0"/>
              <w:adjustRightInd/>
              <w:snapToGrid/>
              <w:spacing w:before="144" w:line="200" w:lineRule="exact"/>
              <w:ind w:left="130"/>
              <w:textAlignment w:val="auto"/>
              <w:rPr>
                <w:rFonts w:ascii="仿宋" w:hAnsi="仿宋" w:eastAsia="仿宋" w:cs="仿宋"/>
                <w:color w:val="auto"/>
                <w:sz w:val="23"/>
                <w:szCs w:val="23"/>
              </w:rPr>
            </w:pPr>
            <w:r>
              <w:rPr>
                <w:rFonts w:ascii="仿宋" w:hAnsi="仿宋" w:eastAsia="仿宋" w:cs="仿宋"/>
                <w:color w:val="auto"/>
                <w:spacing w:val="4"/>
                <w:sz w:val="23"/>
                <w:szCs w:val="23"/>
              </w:rPr>
              <w:t>100</w:t>
            </w:r>
            <w:r>
              <w:rPr>
                <w:rFonts w:ascii="仿宋" w:hAnsi="仿宋" w:eastAsia="仿宋" w:cs="仿宋"/>
                <w:color w:val="auto"/>
                <w:spacing w:val="2"/>
                <w:sz w:val="23"/>
                <w:szCs w:val="23"/>
              </w:rPr>
              <w:t>0-100000</w:t>
            </w:r>
          </w:p>
        </w:tc>
        <w:tc>
          <w:tcPr>
            <w:tcW w:w="1295" w:type="dxa"/>
            <w:vAlign w:val="top"/>
          </w:tcPr>
          <w:p w14:paraId="3889CBC4">
            <w:pPr>
              <w:keepNext w:val="0"/>
              <w:keepLines w:val="0"/>
              <w:pageBreakBefore w:val="0"/>
              <w:widowControl w:val="0"/>
              <w:kinsoku/>
              <w:wordWrap/>
              <w:overflowPunct/>
              <w:topLinePunct w:val="0"/>
              <w:autoSpaceDE/>
              <w:autoSpaceDN/>
              <w:bidi w:val="0"/>
              <w:adjustRightInd/>
              <w:snapToGrid/>
              <w:spacing w:before="144"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100-1</w:t>
            </w:r>
            <w:r>
              <w:rPr>
                <w:rFonts w:ascii="仿宋" w:hAnsi="仿宋" w:eastAsia="仿宋" w:cs="仿宋"/>
                <w:color w:val="auto"/>
                <w:spacing w:val="1"/>
                <w:sz w:val="23"/>
                <w:szCs w:val="23"/>
              </w:rPr>
              <w:t>000</w:t>
            </w:r>
          </w:p>
        </w:tc>
        <w:tc>
          <w:tcPr>
            <w:tcW w:w="1004" w:type="dxa"/>
            <w:vAlign w:val="top"/>
          </w:tcPr>
          <w:p w14:paraId="6DA83398">
            <w:pPr>
              <w:keepNext w:val="0"/>
              <w:keepLines w:val="0"/>
              <w:pageBreakBefore w:val="0"/>
              <w:widowControl w:val="0"/>
              <w:kinsoku/>
              <w:wordWrap/>
              <w:overflowPunct/>
              <w:topLinePunct w:val="0"/>
              <w:autoSpaceDE/>
              <w:autoSpaceDN/>
              <w:bidi w:val="0"/>
              <w:adjustRightInd/>
              <w:snapToGrid/>
              <w:spacing w:before="103"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647D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vAlign w:val="top"/>
          </w:tcPr>
          <w:p w14:paraId="265C7EC8">
            <w:pPr>
              <w:keepNext w:val="0"/>
              <w:keepLines w:val="0"/>
              <w:pageBreakBefore w:val="0"/>
              <w:widowControl w:val="0"/>
              <w:kinsoku/>
              <w:wordWrap/>
              <w:overflowPunct/>
              <w:topLinePunct w:val="0"/>
              <w:autoSpaceDE/>
              <w:autoSpaceDN/>
              <w:bidi w:val="0"/>
              <w:adjustRightInd/>
              <w:snapToGrid/>
              <w:spacing w:before="127" w:line="200" w:lineRule="exact"/>
              <w:ind w:left="124" w:right="110" w:firstLine="120"/>
              <w:textAlignment w:val="auto"/>
              <w:rPr>
                <w:rFonts w:ascii="仿宋" w:hAnsi="仿宋" w:eastAsia="仿宋" w:cs="仿宋"/>
                <w:color w:val="auto"/>
                <w:sz w:val="23"/>
                <w:szCs w:val="23"/>
              </w:rPr>
            </w:pPr>
            <w:r>
              <w:rPr>
                <w:rFonts w:ascii="仿宋" w:hAnsi="仿宋" w:eastAsia="仿宋" w:cs="仿宋"/>
                <w:color w:val="auto"/>
                <w:spacing w:val="5"/>
                <w:sz w:val="23"/>
                <w:szCs w:val="23"/>
              </w:rPr>
              <w:t>软</w:t>
            </w:r>
            <w:r>
              <w:rPr>
                <w:rFonts w:ascii="仿宋" w:hAnsi="仿宋" w:eastAsia="仿宋" w:cs="仿宋"/>
                <w:color w:val="auto"/>
                <w:spacing w:val="4"/>
                <w:sz w:val="23"/>
                <w:szCs w:val="23"/>
              </w:rPr>
              <w:t>件和</w:t>
            </w:r>
            <w:r>
              <w:rPr>
                <w:rFonts w:ascii="仿宋" w:hAnsi="仿宋" w:eastAsia="仿宋" w:cs="仿宋"/>
                <w:color w:val="auto"/>
                <w:sz w:val="23"/>
                <w:szCs w:val="23"/>
              </w:rPr>
              <w:t xml:space="preserve"> </w:t>
            </w:r>
            <w:r>
              <w:rPr>
                <w:rFonts w:ascii="仿宋" w:hAnsi="仿宋" w:eastAsia="仿宋" w:cs="仿宋"/>
                <w:color w:val="auto"/>
                <w:spacing w:val="6"/>
                <w:sz w:val="23"/>
                <w:szCs w:val="23"/>
              </w:rPr>
              <w:t>信息技术</w:t>
            </w:r>
          </w:p>
        </w:tc>
        <w:tc>
          <w:tcPr>
            <w:tcW w:w="1187" w:type="dxa"/>
            <w:vAlign w:val="top"/>
          </w:tcPr>
          <w:p w14:paraId="5553F3CF">
            <w:pPr>
              <w:keepNext w:val="0"/>
              <w:keepLines w:val="0"/>
              <w:pageBreakBefore w:val="0"/>
              <w:widowControl w:val="0"/>
              <w:kinsoku/>
              <w:wordWrap/>
              <w:overflowPunct/>
              <w:topLinePunct w:val="0"/>
              <w:autoSpaceDE/>
              <w:autoSpaceDN/>
              <w:bidi w:val="0"/>
              <w:adjustRightInd/>
              <w:snapToGrid/>
              <w:spacing w:before="57"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277655A1">
            <w:pPr>
              <w:keepNext w:val="0"/>
              <w:keepLines w:val="0"/>
              <w:pageBreakBefore w:val="0"/>
              <w:widowControl w:val="0"/>
              <w:kinsoku/>
              <w:wordWrap/>
              <w:overflowPunct/>
              <w:topLinePunct w:val="0"/>
              <w:autoSpaceDE/>
              <w:autoSpaceDN/>
              <w:bidi w:val="0"/>
              <w:adjustRightInd/>
              <w:snapToGrid/>
              <w:spacing w:before="57"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0E2BE47B">
            <w:pPr>
              <w:keepNext w:val="0"/>
              <w:keepLines w:val="0"/>
              <w:pageBreakBefore w:val="0"/>
              <w:widowControl w:val="0"/>
              <w:kinsoku/>
              <w:wordWrap/>
              <w:overflowPunct/>
              <w:topLinePunct w:val="0"/>
              <w:autoSpaceDE/>
              <w:autoSpaceDN/>
              <w:bidi w:val="0"/>
              <w:adjustRightInd/>
              <w:snapToGrid/>
              <w:spacing w:before="57"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18FA4D4B">
            <w:pPr>
              <w:keepNext w:val="0"/>
              <w:keepLines w:val="0"/>
              <w:pageBreakBefore w:val="0"/>
              <w:widowControl w:val="0"/>
              <w:kinsoku/>
              <w:wordWrap/>
              <w:overflowPunct/>
              <w:topLinePunct w:val="0"/>
              <w:autoSpaceDE/>
              <w:autoSpaceDN/>
              <w:bidi w:val="0"/>
              <w:adjustRightInd/>
              <w:snapToGrid/>
              <w:spacing w:before="98"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3FDB219B">
            <w:pPr>
              <w:keepNext w:val="0"/>
              <w:keepLines w:val="0"/>
              <w:pageBreakBefore w:val="0"/>
              <w:widowControl w:val="0"/>
              <w:kinsoku/>
              <w:wordWrap/>
              <w:overflowPunct/>
              <w:topLinePunct w:val="0"/>
              <w:autoSpaceDE/>
              <w:autoSpaceDN/>
              <w:bidi w:val="0"/>
              <w:adjustRightInd/>
              <w:snapToGrid/>
              <w:spacing w:before="98"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03D06B8F">
            <w:pPr>
              <w:keepNext w:val="0"/>
              <w:keepLines w:val="0"/>
              <w:pageBreakBefore w:val="0"/>
              <w:widowControl w:val="0"/>
              <w:kinsoku/>
              <w:wordWrap/>
              <w:overflowPunct/>
              <w:topLinePunct w:val="0"/>
              <w:autoSpaceDE/>
              <w:autoSpaceDN/>
              <w:bidi w:val="0"/>
              <w:adjustRightInd/>
              <w:snapToGrid/>
              <w:spacing w:before="57"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718E9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vAlign w:val="top"/>
          </w:tcPr>
          <w:p w14:paraId="1F6DEE35">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22F0D979">
            <w:pPr>
              <w:keepNext w:val="0"/>
              <w:keepLines w:val="0"/>
              <w:pageBreakBefore w:val="0"/>
              <w:widowControl w:val="0"/>
              <w:kinsoku/>
              <w:wordWrap/>
              <w:overflowPunct/>
              <w:topLinePunct w:val="0"/>
              <w:autoSpaceDE/>
              <w:autoSpaceDN/>
              <w:bidi w:val="0"/>
              <w:adjustRightInd/>
              <w:snapToGrid/>
              <w:spacing w:before="104" w:line="200" w:lineRule="exact"/>
              <w:ind w:left="133"/>
              <w:textAlignment w:val="auto"/>
              <w:rPr>
                <w:rFonts w:ascii="仿宋" w:hAnsi="仿宋" w:eastAsia="仿宋" w:cs="仿宋"/>
                <w:color w:val="auto"/>
                <w:sz w:val="23"/>
                <w:szCs w:val="23"/>
              </w:rPr>
            </w:pPr>
            <w:r>
              <w:rPr>
                <w:rFonts w:ascii="仿宋" w:hAnsi="仿宋" w:eastAsia="仿宋" w:cs="仿宋"/>
                <w:color w:val="auto"/>
                <w:spacing w:val="5"/>
                <w:sz w:val="23"/>
                <w:szCs w:val="23"/>
              </w:rPr>
              <w:t>营</w:t>
            </w:r>
            <w:r>
              <w:rPr>
                <w:rFonts w:ascii="仿宋" w:hAnsi="仿宋" w:eastAsia="仿宋" w:cs="仿宋"/>
                <w:color w:val="auto"/>
                <w:spacing w:val="4"/>
                <w:sz w:val="23"/>
                <w:szCs w:val="23"/>
              </w:rPr>
              <w:t>业收入</w:t>
            </w:r>
          </w:p>
        </w:tc>
        <w:tc>
          <w:tcPr>
            <w:tcW w:w="900" w:type="dxa"/>
            <w:vAlign w:val="top"/>
          </w:tcPr>
          <w:p w14:paraId="78AA2DEB">
            <w:pPr>
              <w:keepNext w:val="0"/>
              <w:keepLines w:val="0"/>
              <w:pageBreakBefore w:val="0"/>
              <w:widowControl w:val="0"/>
              <w:kinsoku/>
              <w:wordWrap/>
              <w:overflowPunct/>
              <w:topLinePunct w:val="0"/>
              <w:autoSpaceDE/>
              <w:autoSpaceDN/>
              <w:bidi w:val="0"/>
              <w:adjustRightInd/>
              <w:snapToGrid/>
              <w:spacing w:before="104"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1246DFF2">
            <w:pPr>
              <w:keepNext w:val="0"/>
              <w:keepLines w:val="0"/>
              <w:pageBreakBefore w:val="0"/>
              <w:widowControl w:val="0"/>
              <w:kinsoku/>
              <w:wordWrap/>
              <w:overflowPunct/>
              <w:topLinePunct w:val="0"/>
              <w:autoSpaceDE/>
              <w:autoSpaceDN/>
              <w:bidi w:val="0"/>
              <w:adjustRightInd/>
              <w:snapToGrid/>
              <w:spacing w:before="103" w:line="200" w:lineRule="exact"/>
              <w:ind w:left="31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w:t>
            </w:r>
            <w:r>
              <w:rPr>
                <w:rFonts w:ascii="仿宋" w:hAnsi="仿宋" w:eastAsia="仿宋" w:cs="仿宋"/>
                <w:color w:val="auto"/>
                <w:position w:val="1"/>
                <w:sz w:val="23"/>
                <w:szCs w:val="23"/>
              </w:rPr>
              <w:t>0000</w:t>
            </w:r>
          </w:p>
        </w:tc>
        <w:tc>
          <w:tcPr>
            <w:tcW w:w="1535" w:type="dxa"/>
            <w:vAlign w:val="top"/>
          </w:tcPr>
          <w:p w14:paraId="14AA003A">
            <w:pPr>
              <w:keepNext w:val="0"/>
              <w:keepLines w:val="0"/>
              <w:pageBreakBefore w:val="0"/>
              <w:widowControl w:val="0"/>
              <w:kinsoku/>
              <w:wordWrap/>
              <w:overflowPunct/>
              <w:topLinePunct w:val="0"/>
              <w:autoSpaceDE/>
              <w:autoSpaceDN/>
              <w:bidi w:val="0"/>
              <w:adjustRightInd/>
              <w:snapToGrid/>
              <w:spacing w:before="144" w:line="200" w:lineRule="exact"/>
              <w:ind w:left="190"/>
              <w:textAlignment w:val="auto"/>
              <w:rPr>
                <w:rFonts w:ascii="仿宋" w:hAnsi="仿宋" w:eastAsia="仿宋" w:cs="仿宋"/>
                <w:color w:val="auto"/>
                <w:sz w:val="23"/>
                <w:szCs w:val="23"/>
              </w:rPr>
            </w:pPr>
            <w:r>
              <w:rPr>
                <w:rFonts w:ascii="仿宋" w:hAnsi="仿宋" w:eastAsia="仿宋" w:cs="仿宋"/>
                <w:color w:val="auto"/>
                <w:spacing w:val="4"/>
                <w:sz w:val="23"/>
                <w:szCs w:val="23"/>
              </w:rPr>
              <w:t>1</w:t>
            </w:r>
            <w:r>
              <w:rPr>
                <w:rFonts w:ascii="仿宋" w:hAnsi="仿宋" w:eastAsia="仿宋" w:cs="仿宋"/>
                <w:color w:val="auto"/>
                <w:spacing w:val="3"/>
                <w:sz w:val="23"/>
                <w:szCs w:val="23"/>
              </w:rPr>
              <w:t>0</w:t>
            </w:r>
            <w:r>
              <w:rPr>
                <w:rFonts w:ascii="仿宋" w:hAnsi="仿宋" w:eastAsia="仿宋" w:cs="仿宋"/>
                <w:color w:val="auto"/>
                <w:spacing w:val="2"/>
                <w:sz w:val="23"/>
                <w:szCs w:val="23"/>
              </w:rPr>
              <w:t>00-10000</w:t>
            </w:r>
          </w:p>
        </w:tc>
        <w:tc>
          <w:tcPr>
            <w:tcW w:w="1295" w:type="dxa"/>
            <w:vAlign w:val="top"/>
          </w:tcPr>
          <w:p w14:paraId="05E708A7">
            <w:pPr>
              <w:keepNext w:val="0"/>
              <w:keepLines w:val="0"/>
              <w:pageBreakBefore w:val="0"/>
              <w:widowControl w:val="0"/>
              <w:kinsoku/>
              <w:wordWrap/>
              <w:overflowPunct/>
              <w:topLinePunct w:val="0"/>
              <w:autoSpaceDE/>
              <w:autoSpaceDN/>
              <w:bidi w:val="0"/>
              <w:adjustRightInd/>
              <w:snapToGrid/>
              <w:spacing w:before="144" w:line="200" w:lineRule="exact"/>
              <w:ind w:left="238"/>
              <w:textAlignment w:val="auto"/>
              <w:rPr>
                <w:rFonts w:ascii="仿宋" w:hAnsi="仿宋" w:eastAsia="仿宋" w:cs="仿宋"/>
                <w:color w:val="auto"/>
                <w:sz w:val="23"/>
                <w:szCs w:val="23"/>
              </w:rPr>
            </w:pPr>
            <w:r>
              <w:rPr>
                <w:rFonts w:ascii="仿宋" w:hAnsi="仿宋" w:eastAsia="仿宋" w:cs="仿宋"/>
                <w:color w:val="auto"/>
                <w:spacing w:val="3"/>
                <w:sz w:val="23"/>
                <w:szCs w:val="23"/>
              </w:rPr>
              <w:t>50-1000</w:t>
            </w:r>
          </w:p>
        </w:tc>
        <w:tc>
          <w:tcPr>
            <w:tcW w:w="1004" w:type="dxa"/>
            <w:vAlign w:val="top"/>
          </w:tcPr>
          <w:p w14:paraId="03AA31CC">
            <w:pPr>
              <w:keepNext w:val="0"/>
              <w:keepLines w:val="0"/>
              <w:pageBreakBefore w:val="0"/>
              <w:widowControl w:val="0"/>
              <w:kinsoku/>
              <w:wordWrap/>
              <w:overflowPunct/>
              <w:topLinePunct w:val="0"/>
              <w:autoSpaceDE/>
              <w:autoSpaceDN/>
              <w:bidi w:val="0"/>
              <w:adjustRightInd/>
              <w:snapToGrid/>
              <w:spacing w:before="103"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50</w:t>
            </w:r>
          </w:p>
        </w:tc>
      </w:tr>
      <w:tr w14:paraId="3E44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vAlign w:val="top"/>
          </w:tcPr>
          <w:p w14:paraId="005621C8">
            <w:pPr>
              <w:keepNext w:val="0"/>
              <w:keepLines w:val="0"/>
              <w:pageBreakBefore w:val="0"/>
              <w:widowControl w:val="0"/>
              <w:kinsoku/>
              <w:wordWrap/>
              <w:overflowPunct/>
              <w:topLinePunct w:val="0"/>
              <w:autoSpaceDE/>
              <w:autoSpaceDN/>
              <w:bidi w:val="0"/>
              <w:adjustRightInd/>
              <w:snapToGrid/>
              <w:spacing w:before="117" w:line="200" w:lineRule="exact"/>
              <w:ind w:left="133" w:right="110" w:firstLine="112"/>
              <w:textAlignment w:val="auto"/>
              <w:rPr>
                <w:rFonts w:ascii="仿宋" w:hAnsi="仿宋" w:eastAsia="仿宋" w:cs="仿宋"/>
                <w:color w:val="auto"/>
                <w:sz w:val="23"/>
                <w:szCs w:val="23"/>
              </w:rPr>
            </w:pPr>
            <w:r>
              <w:rPr>
                <w:rFonts w:ascii="仿宋" w:hAnsi="仿宋" w:eastAsia="仿宋" w:cs="仿宋"/>
                <w:color w:val="auto"/>
                <w:spacing w:val="5"/>
                <w:sz w:val="23"/>
                <w:szCs w:val="23"/>
              </w:rPr>
              <w:t>租</w:t>
            </w:r>
            <w:r>
              <w:rPr>
                <w:rFonts w:ascii="仿宋" w:hAnsi="仿宋" w:eastAsia="仿宋" w:cs="仿宋"/>
                <w:color w:val="auto"/>
                <w:spacing w:val="4"/>
                <w:sz w:val="23"/>
                <w:szCs w:val="23"/>
              </w:rPr>
              <w:t>赁和</w:t>
            </w:r>
            <w:r>
              <w:rPr>
                <w:rFonts w:ascii="仿宋" w:hAnsi="仿宋" w:eastAsia="仿宋" w:cs="仿宋"/>
                <w:color w:val="auto"/>
                <w:sz w:val="23"/>
                <w:szCs w:val="23"/>
              </w:rPr>
              <w:t xml:space="preserve"> </w:t>
            </w:r>
            <w:r>
              <w:rPr>
                <w:rFonts w:ascii="仿宋" w:hAnsi="仿宋" w:eastAsia="仿宋" w:cs="仿宋"/>
                <w:color w:val="auto"/>
                <w:spacing w:val="4"/>
                <w:sz w:val="23"/>
                <w:szCs w:val="23"/>
              </w:rPr>
              <w:t>商务服</w:t>
            </w:r>
            <w:r>
              <w:rPr>
                <w:rFonts w:ascii="仿宋" w:hAnsi="仿宋" w:eastAsia="仿宋" w:cs="仿宋"/>
                <w:color w:val="auto"/>
                <w:spacing w:val="3"/>
                <w:sz w:val="23"/>
                <w:szCs w:val="23"/>
              </w:rPr>
              <w:t>务</w:t>
            </w:r>
          </w:p>
        </w:tc>
        <w:tc>
          <w:tcPr>
            <w:tcW w:w="1187" w:type="dxa"/>
            <w:vAlign w:val="top"/>
          </w:tcPr>
          <w:p w14:paraId="59C6BCF6">
            <w:pPr>
              <w:keepNext w:val="0"/>
              <w:keepLines w:val="0"/>
              <w:pageBreakBefore w:val="0"/>
              <w:widowControl w:val="0"/>
              <w:kinsoku/>
              <w:wordWrap/>
              <w:overflowPunct/>
              <w:topLinePunct w:val="0"/>
              <w:autoSpaceDE/>
              <w:autoSpaceDN/>
              <w:bidi w:val="0"/>
              <w:adjustRightInd/>
              <w:snapToGrid/>
              <w:spacing w:before="48"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41EBB8B6">
            <w:pPr>
              <w:keepNext w:val="0"/>
              <w:keepLines w:val="0"/>
              <w:pageBreakBefore w:val="0"/>
              <w:widowControl w:val="0"/>
              <w:kinsoku/>
              <w:wordWrap/>
              <w:overflowPunct/>
              <w:topLinePunct w:val="0"/>
              <w:autoSpaceDE/>
              <w:autoSpaceDN/>
              <w:bidi w:val="0"/>
              <w:adjustRightInd/>
              <w:snapToGrid/>
              <w:spacing w:before="48"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06B982A">
            <w:pPr>
              <w:keepNext w:val="0"/>
              <w:keepLines w:val="0"/>
              <w:pageBreakBefore w:val="0"/>
              <w:widowControl w:val="0"/>
              <w:kinsoku/>
              <w:wordWrap/>
              <w:overflowPunct/>
              <w:topLinePunct w:val="0"/>
              <w:autoSpaceDE/>
              <w:autoSpaceDN/>
              <w:bidi w:val="0"/>
              <w:adjustRightInd/>
              <w:snapToGrid/>
              <w:spacing w:before="48" w:line="200" w:lineRule="exact"/>
              <w:ind w:left="430"/>
              <w:textAlignment w:val="auto"/>
              <w:rPr>
                <w:rFonts w:ascii="仿宋" w:hAnsi="仿宋" w:eastAsia="仿宋" w:cs="仿宋"/>
                <w:color w:val="auto"/>
                <w:sz w:val="23"/>
                <w:szCs w:val="23"/>
              </w:rPr>
            </w:pPr>
            <w:r>
              <w:rPr>
                <w:rFonts w:ascii="仿宋" w:hAnsi="仿宋" w:eastAsia="仿宋" w:cs="仿宋"/>
                <w:color w:val="auto"/>
                <w:spacing w:val="-2"/>
                <w:sz w:val="23"/>
                <w:szCs w:val="23"/>
              </w:rPr>
              <w:t>≥300</w:t>
            </w:r>
          </w:p>
        </w:tc>
        <w:tc>
          <w:tcPr>
            <w:tcW w:w="1535" w:type="dxa"/>
            <w:vAlign w:val="top"/>
          </w:tcPr>
          <w:p w14:paraId="2BA6934E">
            <w:pPr>
              <w:keepNext w:val="0"/>
              <w:keepLines w:val="0"/>
              <w:pageBreakBefore w:val="0"/>
              <w:widowControl w:val="0"/>
              <w:kinsoku/>
              <w:wordWrap/>
              <w:overflowPunct/>
              <w:topLinePunct w:val="0"/>
              <w:autoSpaceDE/>
              <w:autoSpaceDN/>
              <w:bidi w:val="0"/>
              <w:adjustRightInd/>
              <w:snapToGrid/>
              <w:spacing w:before="89"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3FBDA58C">
            <w:pPr>
              <w:keepNext w:val="0"/>
              <w:keepLines w:val="0"/>
              <w:pageBreakBefore w:val="0"/>
              <w:widowControl w:val="0"/>
              <w:kinsoku/>
              <w:wordWrap/>
              <w:overflowPunct/>
              <w:topLinePunct w:val="0"/>
              <w:autoSpaceDE/>
              <w:autoSpaceDN/>
              <w:bidi w:val="0"/>
              <w:adjustRightInd/>
              <w:snapToGrid/>
              <w:spacing w:before="89"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3F5F136B">
            <w:pPr>
              <w:keepNext w:val="0"/>
              <w:keepLines w:val="0"/>
              <w:pageBreakBefore w:val="0"/>
              <w:widowControl w:val="0"/>
              <w:kinsoku/>
              <w:wordWrap/>
              <w:overflowPunct/>
              <w:topLinePunct w:val="0"/>
              <w:autoSpaceDE/>
              <w:autoSpaceDN/>
              <w:bidi w:val="0"/>
              <w:adjustRightInd/>
              <w:snapToGrid/>
              <w:spacing w:before="48" w:line="200" w:lineRule="exact"/>
              <w:ind w:left="287"/>
              <w:textAlignment w:val="auto"/>
              <w:rPr>
                <w:rFonts w:ascii="仿宋" w:hAnsi="仿宋" w:eastAsia="仿宋" w:cs="仿宋"/>
                <w:color w:val="auto"/>
                <w:sz w:val="23"/>
                <w:szCs w:val="23"/>
              </w:rPr>
            </w:pPr>
            <w:r>
              <w:rPr>
                <w:rFonts w:ascii="仿宋" w:hAnsi="仿宋" w:eastAsia="仿宋" w:cs="仿宋"/>
                <w:color w:val="auto"/>
                <w:spacing w:val="-4"/>
                <w:sz w:val="23"/>
                <w:szCs w:val="23"/>
              </w:rPr>
              <w:t>＜</w:t>
            </w:r>
            <w:r>
              <w:rPr>
                <w:rFonts w:ascii="仿宋" w:hAnsi="仿宋" w:eastAsia="仿宋" w:cs="仿宋"/>
                <w:color w:val="auto"/>
                <w:spacing w:val="-2"/>
                <w:sz w:val="23"/>
                <w:szCs w:val="23"/>
              </w:rPr>
              <w:t>10</w:t>
            </w:r>
          </w:p>
        </w:tc>
      </w:tr>
      <w:tr w14:paraId="6FAC8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vAlign w:val="top"/>
          </w:tcPr>
          <w:p w14:paraId="6D993F70">
            <w:pPr>
              <w:keepNext w:val="0"/>
              <w:keepLines w:val="0"/>
              <w:pageBreakBefore w:val="0"/>
              <w:widowControl w:val="0"/>
              <w:kinsoku/>
              <w:wordWrap/>
              <w:overflowPunct/>
              <w:topLinePunct w:val="0"/>
              <w:autoSpaceDE/>
              <w:autoSpaceDN/>
              <w:bidi w:val="0"/>
              <w:adjustRightInd/>
              <w:snapToGrid/>
              <w:spacing w:line="200" w:lineRule="exact"/>
              <w:textAlignment w:val="auto"/>
              <w:rPr>
                <w:rFonts w:ascii="Arial"/>
                <w:color w:val="auto"/>
                <w:sz w:val="21"/>
              </w:rPr>
            </w:pPr>
          </w:p>
        </w:tc>
        <w:tc>
          <w:tcPr>
            <w:tcW w:w="1187" w:type="dxa"/>
            <w:vAlign w:val="top"/>
          </w:tcPr>
          <w:p w14:paraId="778E6988">
            <w:pPr>
              <w:keepNext w:val="0"/>
              <w:keepLines w:val="0"/>
              <w:pageBreakBefore w:val="0"/>
              <w:widowControl w:val="0"/>
              <w:kinsoku/>
              <w:wordWrap/>
              <w:overflowPunct/>
              <w:topLinePunct w:val="0"/>
              <w:autoSpaceDE/>
              <w:autoSpaceDN/>
              <w:bidi w:val="0"/>
              <w:adjustRightInd/>
              <w:snapToGrid/>
              <w:spacing w:before="102" w:line="200" w:lineRule="exact"/>
              <w:ind w:left="138"/>
              <w:textAlignment w:val="auto"/>
              <w:rPr>
                <w:rFonts w:ascii="仿宋" w:hAnsi="仿宋" w:eastAsia="仿宋" w:cs="仿宋"/>
                <w:color w:val="auto"/>
                <w:sz w:val="23"/>
                <w:szCs w:val="23"/>
              </w:rPr>
            </w:pPr>
            <w:r>
              <w:rPr>
                <w:rFonts w:ascii="仿宋" w:hAnsi="仿宋" w:eastAsia="仿宋" w:cs="仿宋"/>
                <w:color w:val="auto"/>
                <w:spacing w:val="3"/>
                <w:sz w:val="23"/>
                <w:szCs w:val="23"/>
              </w:rPr>
              <w:t>资产总</w:t>
            </w:r>
            <w:r>
              <w:rPr>
                <w:rFonts w:ascii="仿宋" w:hAnsi="仿宋" w:eastAsia="仿宋" w:cs="仿宋"/>
                <w:color w:val="auto"/>
                <w:spacing w:val="2"/>
                <w:sz w:val="23"/>
                <w:szCs w:val="23"/>
              </w:rPr>
              <w:t>额</w:t>
            </w:r>
          </w:p>
        </w:tc>
        <w:tc>
          <w:tcPr>
            <w:tcW w:w="900" w:type="dxa"/>
            <w:vAlign w:val="top"/>
          </w:tcPr>
          <w:p w14:paraId="5FA4E39D">
            <w:pPr>
              <w:keepNext w:val="0"/>
              <w:keepLines w:val="0"/>
              <w:pageBreakBefore w:val="0"/>
              <w:widowControl w:val="0"/>
              <w:kinsoku/>
              <w:wordWrap/>
              <w:overflowPunct/>
              <w:topLinePunct w:val="0"/>
              <w:autoSpaceDE/>
              <w:autoSpaceDN/>
              <w:bidi w:val="0"/>
              <w:adjustRightInd/>
              <w:snapToGrid/>
              <w:spacing w:before="102" w:line="200" w:lineRule="exact"/>
              <w:ind w:left="225"/>
              <w:textAlignment w:val="auto"/>
              <w:rPr>
                <w:rFonts w:ascii="仿宋" w:hAnsi="仿宋" w:eastAsia="仿宋" w:cs="仿宋"/>
                <w:color w:val="auto"/>
                <w:sz w:val="23"/>
                <w:szCs w:val="23"/>
              </w:rPr>
            </w:pPr>
            <w:r>
              <w:rPr>
                <w:rFonts w:ascii="仿宋" w:hAnsi="仿宋" w:eastAsia="仿宋" w:cs="仿宋"/>
                <w:color w:val="auto"/>
                <w:spacing w:val="1"/>
                <w:sz w:val="23"/>
                <w:szCs w:val="23"/>
              </w:rPr>
              <w:t>万元</w:t>
            </w:r>
          </w:p>
        </w:tc>
        <w:tc>
          <w:tcPr>
            <w:tcW w:w="1399" w:type="dxa"/>
            <w:vAlign w:val="top"/>
          </w:tcPr>
          <w:p w14:paraId="496F1F71">
            <w:pPr>
              <w:keepNext w:val="0"/>
              <w:keepLines w:val="0"/>
              <w:pageBreakBefore w:val="0"/>
              <w:widowControl w:val="0"/>
              <w:kinsoku/>
              <w:wordWrap/>
              <w:overflowPunct/>
              <w:topLinePunct w:val="0"/>
              <w:autoSpaceDE/>
              <w:autoSpaceDN/>
              <w:bidi w:val="0"/>
              <w:adjustRightInd/>
              <w:snapToGrid/>
              <w:spacing w:before="102" w:line="200" w:lineRule="exact"/>
              <w:ind w:left="250"/>
              <w:textAlignment w:val="auto"/>
              <w:rPr>
                <w:rFonts w:ascii="仿宋" w:hAnsi="仿宋" w:eastAsia="仿宋" w:cs="仿宋"/>
                <w:color w:val="auto"/>
                <w:sz w:val="23"/>
                <w:szCs w:val="23"/>
              </w:rPr>
            </w:pPr>
            <w:r>
              <w:rPr>
                <w:rFonts w:ascii="仿宋" w:hAnsi="仿宋" w:eastAsia="仿宋" w:cs="仿宋"/>
                <w:color w:val="auto"/>
                <w:spacing w:val="1"/>
                <w:position w:val="1"/>
                <w:sz w:val="23"/>
                <w:szCs w:val="23"/>
              </w:rPr>
              <w:t>≥120000</w:t>
            </w:r>
          </w:p>
        </w:tc>
        <w:tc>
          <w:tcPr>
            <w:tcW w:w="1535" w:type="dxa"/>
            <w:vAlign w:val="top"/>
          </w:tcPr>
          <w:p w14:paraId="243E1B81">
            <w:pPr>
              <w:keepNext w:val="0"/>
              <w:keepLines w:val="0"/>
              <w:pageBreakBefore w:val="0"/>
              <w:widowControl w:val="0"/>
              <w:kinsoku/>
              <w:wordWrap/>
              <w:overflowPunct/>
              <w:topLinePunct w:val="0"/>
              <w:autoSpaceDE/>
              <w:autoSpaceDN/>
              <w:bidi w:val="0"/>
              <w:adjustRightInd/>
              <w:snapToGrid/>
              <w:spacing w:before="143" w:line="200" w:lineRule="exact"/>
              <w:ind w:left="113"/>
              <w:textAlignment w:val="auto"/>
              <w:rPr>
                <w:rFonts w:ascii="仿宋" w:hAnsi="仿宋" w:eastAsia="仿宋" w:cs="仿宋"/>
                <w:color w:val="auto"/>
                <w:sz w:val="23"/>
                <w:szCs w:val="23"/>
              </w:rPr>
            </w:pPr>
            <w:r>
              <w:rPr>
                <w:rFonts w:ascii="仿宋" w:hAnsi="仿宋" w:eastAsia="仿宋" w:cs="仿宋"/>
                <w:color w:val="auto"/>
                <w:spacing w:val="5"/>
                <w:sz w:val="23"/>
                <w:szCs w:val="23"/>
              </w:rPr>
              <w:t>8</w:t>
            </w:r>
            <w:r>
              <w:rPr>
                <w:rFonts w:ascii="仿宋" w:hAnsi="仿宋" w:eastAsia="仿宋" w:cs="仿宋"/>
                <w:color w:val="auto"/>
                <w:spacing w:val="4"/>
                <w:sz w:val="23"/>
                <w:szCs w:val="23"/>
              </w:rPr>
              <w:t>000-120000</w:t>
            </w:r>
          </w:p>
        </w:tc>
        <w:tc>
          <w:tcPr>
            <w:tcW w:w="1295" w:type="dxa"/>
            <w:vAlign w:val="top"/>
          </w:tcPr>
          <w:p w14:paraId="4F366E14">
            <w:pPr>
              <w:keepNext w:val="0"/>
              <w:keepLines w:val="0"/>
              <w:pageBreakBefore w:val="0"/>
              <w:widowControl w:val="0"/>
              <w:kinsoku/>
              <w:wordWrap/>
              <w:overflowPunct/>
              <w:topLinePunct w:val="0"/>
              <w:autoSpaceDE/>
              <w:autoSpaceDN/>
              <w:bidi w:val="0"/>
              <w:adjustRightInd/>
              <w:snapToGrid/>
              <w:spacing w:before="143" w:line="200" w:lineRule="exact"/>
              <w:ind w:left="191"/>
              <w:textAlignment w:val="auto"/>
              <w:rPr>
                <w:rFonts w:ascii="仿宋" w:hAnsi="仿宋" w:eastAsia="仿宋" w:cs="仿宋"/>
                <w:color w:val="auto"/>
                <w:sz w:val="23"/>
                <w:szCs w:val="23"/>
              </w:rPr>
            </w:pPr>
            <w:r>
              <w:rPr>
                <w:rFonts w:ascii="仿宋" w:hAnsi="仿宋" w:eastAsia="仿宋" w:cs="仿宋"/>
                <w:color w:val="auto"/>
                <w:spacing w:val="2"/>
                <w:sz w:val="23"/>
                <w:szCs w:val="23"/>
              </w:rPr>
              <w:t>100-8</w:t>
            </w:r>
            <w:r>
              <w:rPr>
                <w:rFonts w:ascii="仿宋" w:hAnsi="仿宋" w:eastAsia="仿宋" w:cs="仿宋"/>
                <w:color w:val="auto"/>
                <w:spacing w:val="1"/>
                <w:sz w:val="23"/>
                <w:szCs w:val="23"/>
              </w:rPr>
              <w:t>000</w:t>
            </w:r>
          </w:p>
        </w:tc>
        <w:tc>
          <w:tcPr>
            <w:tcW w:w="1004" w:type="dxa"/>
            <w:vAlign w:val="top"/>
          </w:tcPr>
          <w:p w14:paraId="4A407291">
            <w:pPr>
              <w:keepNext w:val="0"/>
              <w:keepLines w:val="0"/>
              <w:pageBreakBefore w:val="0"/>
              <w:widowControl w:val="0"/>
              <w:kinsoku/>
              <w:wordWrap/>
              <w:overflowPunct/>
              <w:topLinePunct w:val="0"/>
              <w:autoSpaceDE/>
              <w:autoSpaceDN/>
              <w:bidi w:val="0"/>
              <w:adjustRightInd/>
              <w:snapToGrid/>
              <w:spacing w:before="102" w:line="200" w:lineRule="exact"/>
              <w:ind w:left="227"/>
              <w:textAlignment w:val="auto"/>
              <w:rPr>
                <w:rFonts w:ascii="仿宋" w:hAnsi="仿宋" w:eastAsia="仿宋" w:cs="仿宋"/>
                <w:color w:val="auto"/>
                <w:sz w:val="23"/>
                <w:szCs w:val="23"/>
              </w:rPr>
            </w:pPr>
            <w:r>
              <w:rPr>
                <w:rFonts w:ascii="仿宋" w:hAnsi="仿宋" w:eastAsia="仿宋" w:cs="仿宋"/>
                <w:color w:val="auto"/>
                <w:spacing w:val="-1"/>
                <w:position w:val="2"/>
                <w:sz w:val="23"/>
                <w:szCs w:val="23"/>
              </w:rPr>
              <w:t>＜10</w:t>
            </w:r>
            <w:r>
              <w:rPr>
                <w:rFonts w:ascii="仿宋" w:hAnsi="仿宋" w:eastAsia="仿宋" w:cs="仿宋"/>
                <w:color w:val="auto"/>
                <w:position w:val="2"/>
                <w:sz w:val="23"/>
                <w:szCs w:val="23"/>
              </w:rPr>
              <w:t>0</w:t>
            </w:r>
          </w:p>
        </w:tc>
      </w:tr>
      <w:tr w14:paraId="4D3FA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vAlign w:val="top"/>
          </w:tcPr>
          <w:p w14:paraId="553711B9">
            <w:pPr>
              <w:keepNext w:val="0"/>
              <w:keepLines w:val="0"/>
              <w:pageBreakBefore w:val="0"/>
              <w:widowControl w:val="0"/>
              <w:kinsoku/>
              <w:wordWrap/>
              <w:overflowPunct/>
              <w:topLinePunct w:val="0"/>
              <w:autoSpaceDE/>
              <w:autoSpaceDN/>
              <w:bidi w:val="0"/>
              <w:adjustRightInd/>
              <w:snapToGrid/>
              <w:spacing w:before="40" w:line="200" w:lineRule="exact"/>
              <w:ind w:left="259" w:right="110" w:hanging="133"/>
              <w:textAlignment w:val="auto"/>
              <w:rPr>
                <w:rFonts w:ascii="仿宋" w:hAnsi="仿宋" w:eastAsia="仿宋" w:cs="仿宋"/>
                <w:color w:val="auto"/>
                <w:sz w:val="23"/>
                <w:szCs w:val="23"/>
              </w:rPr>
            </w:pPr>
            <w:r>
              <w:rPr>
                <w:rFonts w:ascii="仿宋" w:hAnsi="仿宋" w:eastAsia="仿宋" w:cs="仿宋"/>
                <w:color w:val="auto"/>
                <w:spacing w:val="7"/>
                <w:sz w:val="23"/>
                <w:szCs w:val="23"/>
              </w:rPr>
              <w:t>其</w:t>
            </w:r>
            <w:r>
              <w:rPr>
                <w:rFonts w:ascii="仿宋" w:hAnsi="仿宋" w:eastAsia="仿宋" w:cs="仿宋"/>
                <w:color w:val="auto"/>
                <w:spacing w:val="5"/>
                <w:sz w:val="23"/>
                <w:szCs w:val="23"/>
              </w:rPr>
              <w:t>他未列</w:t>
            </w:r>
            <w:r>
              <w:rPr>
                <w:rFonts w:ascii="仿宋" w:hAnsi="仿宋" w:eastAsia="仿宋" w:cs="仿宋"/>
                <w:color w:val="auto"/>
                <w:sz w:val="23"/>
                <w:szCs w:val="23"/>
              </w:rPr>
              <w:t xml:space="preserve"> </w:t>
            </w:r>
            <w:r>
              <w:rPr>
                <w:rFonts w:ascii="仿宋" w:hAnsi="仿宋" w:eastAsia="仿宋" w:cs="仿宋"/>
                <w:color w:val="auto"/>
                <w:spacing w:val="-1"/>
                <w:sz w:val="23"/>
                <w:szCs w:val="23"/>
              </w:rPr>
              <w:t>明</w:t>
            </w:r>
            <w:r>
              <w:rPr>
                <w:rFonts w:ascii="仿宋" w:hAnsi="仿宋" w:eastAsia="仿宋" w:cs="仿宋"/>
                <w:color w:val="auto"/>
                <w:sz w:val="23"/>
                <w:szCs w:val="23"/>
              </w:rPr>
              <w:t>行业</w:t>
            </w:r>
          </w:p>
        </w:tc>
        <w:tc>
          <w:tcPr>
            <w:tcW w:w="1187" w:type="dxa"/>
            <w:vAlign w:val="top"/>
          </w:tcPr>
          <w:p w14:paraId="44817616">
            <w:pPr>
              <w:keepNext w:val="0"/>
              <w:keepLines w:val="0"/>
              <w:pageBreakBefore w:val="0"/>
              <w:widowControl w:val="0"/>
              <w:kinsoku/>
              <w:wordWrap/>
              <w:overflowPunct/>
              <w:topLinePunct w:val="0"/>
              <w:autoSpaceDE/>
              <w:autoSpaceDN/>
              <w:bidi w:val="0"/>
              <w:adjustRightInd/>
              <w:snapToGrid/>
              <w:spacing w:before="195" w:line="200" w:lineRule="exact"/>
              <w:ind w:left="125"/>
              <w:textAlignment w:val="auto"/>
              <w:rPr>
                <w:rFonts w:ascii="仿宋" w:hAnsi="仿宋" w:eastAsia="仿宋" w:cs="仿宋"/>
                <w:color w:val="auto"/>
                <w:sz w:val="23"/>
                <w:szCs w:val="23"/>
              </w:rPr>
            </w:pPr>
            <w:r>
              <w:rPr>
                <w:rFonts w:ascii="仿宋" w:hAnsi="仿宋" w:eastAsia="仿宋" w:cs="仿宋"/>
                <w:color w:val="auto"/>
                <w:spacing w:val="6"/>
                <w:sz w:val="23"/>
                <w:szCs w:val="23"/>
              </w:rPr>
              <w:t>从业人员</w:t>
            </w:r>
          </w:p>
        </w:tc>
        <w:tc>
          <w:tcPr>
            <w:tcW w:w="900" w:type="dxa"/>
            <w:vAlign w:val="top"/>
          </w:tcPr>
          <w:p w14:paraId="7545D3A4">
            <w:pPr>
              <w:keepNext w:val="0"/>
              <w:keepLines w:val="0"/>
              <w:pageBreakBefore w:val="0"/>
              <w:widowControl w:val="0"/>
              <w:kinsoku/>
              <w:wordWrap/>
              <w:overflowPunct/>
              <w:topLinePunct w:val="0"/>
              <w:autoSpaceDE/>
              <w:autoSpaceDN/>
              <w:bidi w:val="0"/>
              <w:adjustRightInd/>
              <w:snapToGrid/>
              <w:spacing w:before="195" w:line="200" w:lineRule="exact"/>
              <w:ind w:left="347"/>
              <w:textAlignment w:val="auto"/>
              <w:rPr>
                <w:rFonts w:ascii="仿宋" w:hAnsi="仿宋" w:eastAsia="仿宋" w:cs="仿宋"/>
                <w:color w:val="auto"/>
                <w:sz w:val="23"/>
                <w:szCs w:val="23"/>
              </w:rPr>
            </w:pPr>
            <w:r>
              <w:rPr>
                <w:rFonts w:ascii="仿宋" w:hAnsi="仿宋" w:eastAsia="仿宋" w:cs="仿宋"/>
                <w:color w:val="auto"/>
                <w:sz w:val="23"/>
                <w:szCs w:val="23"/>
              </w:rPr>
              <w:t>人</w:t>
            </w:r>
          </w:p>
        </w:tc>
        <w:tc>
          <w:tcPr>
            <w:tcW w:w="1399" w:type="dxa"/>
            <w:vAlign w:val="top"/>
          </w:tcPr>
          <w:p w14:paraId="63565BD7">
            <w:pPr>
              <w:keepNext w:val="0"/>
              <w:keepLines w:val="0"/>
              <w:pageBreakBefore w:val="0"/>
              <w:widowControl w:val="0"/>
              <w:kinsoku/>
              <w:wordWrap/>
              <w:overflowPunct/>
              <w:topLinePunct w:val="0"/>
              <w:autoSpaceDE/>
              <w:autoSpaceDN/>
              <w:bidi w:val="0"/>
              <w:adjustRightInd/>
              <w:snapToGrid/>
              <w:spacing w:before="195" w:line="200" w:lineRule="exact"/>
              <w:ind w:left="430"/>
              <w:textAlignment w:val="auto"/>
              <w:rPr>
                <w:rFonts w:ascii="仿宋" w:hAnsi="仿宋" w:eastAsia="仿宋" w:cs="仿宋"/>
                <w:color w:val="auto"/>
                <w:sz w:val="23"/>
                <w:szCs w:val="23"/>
              </w:rPr>
            </w:pPr>
            <w:r>
              <w:rPr>
                <w:rFonts w:ascii="仿宋" w:hAnsi="仿宋" w:eastAsia="仿宋" w:cs="仿宋"/>
                <w:color w:val="auto"/>
                <w:spacing w:val="-2"/>
                <w:position w:val="1"/>
                <w:sz w:val="23"/>
                <w:szCs w:val="23"/>
              </w:rPr>
              <w:t>≥300</w:t>
            </w:r>
          </w:p>
        </w:tc>
        <w:tc>
          <w:tcPr>
            <w:tcW w:w="1535" w:type="dxa"/>
            <w:vAlign w:val="top"/>
          </w:tcPr>
          <w:p w14:paraId="5760A5D6">
            <w:pPr>
              <w:keepNext w:val="0"/>
              <w:keepLines w:val="0"/>
              <w:pageBreakBefore w:val="0"/>
              <w:widowControl w:val="0"/>
              <w:kinsoku/>
              <w:wordWrap/>
              <w:overflowPunct/>
              <w:topLinePunct w:val="0"/>
              <w:autoSpaceDE/>
              <w:autoSpaceDN/>
              <w:bidi w:val="0"/>
              <w:adjustRightInd/>
              <w:snapToGrid/>
              <w:spacing w:before="236" w:line="200" w:lineRule="exact"/>
              <w:ind w:left="370"/>
              <w:textAlignment w:val="auto"/>
              <w:rPr>
                <w:rFonts w:ascii="仿宋" w:hAnsi="仿宋" w:eastAsia="仿宋" w:cs="仿宋"/>
                <w:color w:val="auto"/>
                <w:sz w:val="23"/>
                <w:szCs w:val="23"/>
              </w:rPr>
            </w:pPr>
            <w:r>
              <w:rPr>
                <w:rFonts w:ascii="仿宋" w:hAnsi="仿宋" w:eastAsia="仿宋" w:cs="仿宋"/>
                <w:color w:val="auto"/>
                <w:spacing w:val="2"/>
                <w:sz w:val="23"/>
                <w:szCs w:val="23"/>
              </w:rPr>
              <w:t>1</w:t>
            </w:r>
            <w:r>
              <w:rPr>
                <w:rFonts w:ascii="仿宋" w:hAnsi="仿宋" w:eastAsia="仿宋" w:cs="仿宋"/>
                <w:color w:val="auto"/>
                <w:spacing w:val="1"/>
                <w:sz w:val="23"/>
                <w:szCs w:val="23"/>
              </w:rPr>
              <w:t>00-300</w:t>
            </w:r>
          </w:p>
        </w:tc>
        <w:tc>
          <w:tcPr>
            <w:tcW w:w="1295" w:type="dxa"/>
            <w:vAlign w:val="top"/>
          </w:tcPr>
          <w:p w14:paraId="55B7E7A4">
            <w:pPr>
              <w:keepNext w:val="0"/>
              <w:keepLines w:val="0"/>
              <w:pageBreakBefore w:val="0"/>
              <w:widowControl w:val="0"/>
              <w:kinsoku/>
              <w:wordWrap/>
              <w:overflowPunct/>
              <w:topLinePunct w:val="0"/>
              <w:autoSpaceDE/>
              <w:autoSpaceDN/>
              <w:bidi w:val="0"/>
              <w:adjustRightInd/>
              <w:snapToGrid/>
              <w:spacing w:before="236" w:line="200" w:lineRule="exact"/>
              <w:ind w:left="311"/>
              <w:textAlignment w:val="auto"/>
              <w:rPr>
                <w:rFonts w:ascii="仿宋" w:hAnsi="仿宋" w:eastAsia="仿宋" w:cs="仿宋"/>
                <w:color w:val="auto"/>
                <w:sz w:val="23"/>
                <w:szCs w:val="23"/>
              </w:rPr>
            </w:pPr>
            <w:r>
              <w:rPr>
                <w:rFonts w:ascii="仿宋" w:hAnsi="仿宋" w:eastAsia="仿宋" w:cs="仿宋"/>
                <w:color w:val="auto"/>
                <w:spacing w:val="1"/>
                <w:sz w:val="23"/>
                <w:szCs w:val="23"/>
              </w:rPr>
              <w:t>10-</w:t>
            </w:r>
            <w:r>
              <w:rPr>
                <w:rFonts w:ascii="仿宋" w:hAnsi="仿宋" w:eastAsia="仿宋" w:cs="仿宋"/>
                <w:color w:val="auto"/>
                <w:sz w:val="23"/>
                <w:szCs w:val="23"/>
              </w:rPr>
              <w:t>100</w:t>
            </w:r>
          </w:p>
        </w:tc>
        <w:tc>
          <w:tcPr>
            <w:tcW w:w="1004" w:type="dxa"/>
            <w:vAlign w:val="top"/>
          </w:tcPr>
          <w:p w14:paraId="281A3680">
            <w:pPr>
              <w:keepNext w:val="0"/>
              <w:keepLines w:val="0"/>
              <w:pageBreakBefore w:val="0"/>
              <w:widowControl w:val="0"/>
              <w:kinsoku/>
              <w:wordWrap/>
              <w:overflowPunct/>
              <w:topLinePunct w:val="0"/>
              <w:autoSpaceDE/>
              <w:autoSpaceDN/>
              <w:bidi w:val="0"/>
              <w:adjustRightInd/>
              <w:snapToGrid/>
              <w:spacing w:before="195" w:line="200" w:lineRule="exact"/>
              <w:ind w:left="287"/>
              <w:textAlignment w:val="auto"/>
              <w:rPr>
                <w:rFonts w:ascii="仿宋" w:hAnsi="仿宋" w:eastAsia="仿宋" w:cs="仿宋"/>
                <w:color w:val="auto"/>
                <w:sz w:val="23"/>
                <w:szCs w:val="23"/>
              </w:rPr>
            </w:pPr>
            <w:r>
              <w:rPr>
                <w:rFonts w:ascii="仿宋" w:hAnsi="仿宋" w:eastAsia="仿宋" w:cs="仿宋"/>
                <w:color w:val="auto"/>
                <w:spacing w:val="-4"/>
                <w:position w:val="2"/>
                <w:sz w:val="23"/>
                <w:szCs w:val="23"/>
              </w:rPr>
              <w:t>＜</w:t>
            </w:r>
            <w:r>
              <w:rPr>
                <w:rFonts w:ascii="仿宋" w:hAnsi="仿宋" w:eastAsia="仿宋" w:cs="仿宋"/>
                <w:color w:val="auto"/>
                <w:spacing w:val="-2"/>
                <w:position w:val="2"/>
                <w:sz w:val="23"/>
                <w:szCs w:val="23"/>
              </w:rPr>
              <w:t>10</w:t>
            </w:r>
          </w:p>
        </w:tc>
      </w:tr>
    </w:tbl>
    <w:p w14:paraId="2C203234">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lang w:eastAsia="zh-CN"/>
        </w:rPr>
      </w:pPr>
      <w:r>
        <w:rPr>
          <w:rFonts w:hint="eastAsia" w:ascii="宋体" w:hAnsi="宋体" w:eastAsia="宋体" w:cs="宋体"/>
          <w:b w:val="0"/>
          <w:bCs w:val="0"/>
          <w:color w:val="auto"/>
          <w:sz w:val="21"/>
          <w:szCs w:val="24"/>
        </w:rPr>
        <w:t>说明： 中、小、微型企业只须满足所列指标中的一项，即为该型企业</w:t>
      </w:r>
      <w:r>
        <w:rPr>
          <w:rFonts w:hint="eastAsia" w:ascii="宋体" w:hAnsi="宋体" w:eastAsia="宋体" w:cs="宋体"/>
          <w:b w:val="0"/>
          <w:bCs w:val="0"/>
          <w:color w:val="auto"/>
          <w:sz w:val="21"/>
          <w:szCs w:val="24"/>
          <w:lang w:eastAsia="zh-CN"/>
        </w:rPr>
        <w:t>。</w:t>
      </w:r>
    </w:p>
    <w:p w14:paraId="3521E217">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2BEF2B9B">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3393F828">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4219AE23">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79E62FDA">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③</w:t>
      </w:r>
      <w:r>
        <w:rPr>
          <w:rFonts w:hint="eastAsia" w:ascii="宋体" w:hAnsi="宋体" w:eastAsia="宋体" w:cs="宋体"/>
          <w:b w:val="0"/>
          <w:bCs w:val="0"/>
          <w:color w:val="auto"/>
          <w:sz w:val="21"/>
          <w:szCs w:val="24"/>
        </w:rPr>
        <w:t>监狱企业由省级以上监狱管理局、戒毒管理局 (含新疆生产建设兵团) 出具的属于</w:t>
      </w:r>
      <w:r>
        <w:rPr>
          <w:rFonts w:hint="eastAsia" w:ascii="宋体" w:hAnsi="宋体" w:eastAsia="宋体" w:cs="宋体"/>
          <w:b w:val="0"/>
          <w:bCs w:val="0"/>
          <w:color w:val="auto"/>
          <w:sz w:val="21"/>
          <w:szCs w:val="24"/>
          <w:lang w:val="en-US" w:eastAsia="zh-CN"/>
        </w:rPr>
        <w:t>监狱企业的证明文件；</w:t>
      </w:r>
      <w:r>
        <w:rPr>
          <w:rFonts w:hint="eastAsia" w:ascii="宋体" w:hAnsi="宋体" w:eastAsia="宋体" w:cs="宋体"/>
          <w:b w:val="0"/>
          <w:bCs w:val="0"/>
          <w:color w:val="auto"/>
          <w:sz w:val="21"/>
          <w:szCs w:val="24"/>
        </w:rPr>
        <w:t xml:space="preserve">                                                                    </w:t>
      </w:r>
    </w:p>
    <w:p w14:paraId="4D121AE1">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color w:val="auto"/>
        </w:rPr>
        <w:t>④</w:t>
      </w:r>
      <w:r>
        <w:rPr>
          <w:rFonts w:hint="eastAsia" w:ascii="宋体" w:hAnsi="宋体" w:eastAsia="宋体" w:cs="宋体"/>
          <w:b w:val="0"/>
          <w:bCs w:val="0"/>
          <w:color w:val="auto"/>
          <w:sz w:val="21"/>
          <w:szCs w:val="24"/>
        </w:rPr>
        <w:t>残疾人福利性单位声明函 (参照《关于促进残疾人就业政府采购政策的通知》(财库〔2017〕 141 号)认定为残疾人福利性单位的，在政府采购活动中，残疾人福利性单位视同小型、微型 企业。符合条件的残疾人福利性单位在参加政府采购活动时，应当提供本通知规定的《残疾人 福利性单位声明函》，并对声明的真实性负责(如有请提供，格式见附件) ；</w:t>
      </w:r>
    </w:p>
    <w:p w14:paraId="16911F02">
      <w:pPr>
        <w:pStyle w:val="3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32"/>
        </w:rPr>
      </w:pPr>
    </w:p>
    <w:p w14:paraId="61642742">
      <w:pPr>
        <w:pStyle w:val="37"/>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val="0"/>
          <w:bCs w:val="0"/>
          <w:color w:val="auto"/>
          <w:sz w:val="32"/>
          <w:szCs w:val="32"/>
        </w:rPr>
      </w:pPr>
      <w:r>
        <w:rPr>
          <w:rFonts w:hint="eastAsia" w:ascii="宋体" w:hAnsi="宋体" w:eastAsia="宋体" w:cs="宋体"/>
          <w:b/>
          <w:bCs/>
          <w:color w:val="auto"/>
          <w:sz w:val="32"/>
          <w:szCs w:val="32"/>
        </w:rPr>
        <w:t>残疾人福利性单位声明函</w:t>
      </w:r>
    </w:p>
    <w:p w14:paraId="3419D234">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7EC97449">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本单位郑重声明，根据《财政部 民政部 中国残疾人联合会关于促进残疾人就业政府采购政策的通知》 (财库〔2017〕141 号) 的规定，本单位为符合条件的残疾人福利性单位，且本单位参加______单位的______项目采购活动提供本单位制造的货物 (由本单位承担工程/提供服务) ，或者提供其他残疾人福利性单位制造的货物 (不包括使用非残疾人福利性单位注册商标的货物) 。</w:t>
      </w:r>
    </w:p>
    <w:p w14:paraId="5A5DE744">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本单位对上述声明的真实性负责。如有虚假，将依法承担相应责任。</w:t>
      </w:r>
    </w:p>
    <w:p w14:paraId="5E5E85DC">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2F9DE86E">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p>
    <w:p w14:paraId="017533BE">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5670" w:firstLineChars="27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单位名称 (盖章) ：</w:t>
      </w:r>
    </w:p>
    <w:p w14:paraId="74B3A6AC">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日  期：</w:t>
      </w:r>
    </w:p>
    <w:p w14:paraId="42361D3C">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3D37DCE7">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5880" w:firstLineChars="2800"/>
        <w:jc w:val="both"/>
        <w:textAlignment w:val="auto"/>
        <w:rPr>
          <w:rFonts w:hint="eastAsia" w:ascii="宋体" w:hAnsi="宋体" w:eastAsia="宋体" w:cs="宋体"/>
          <w:b w:val="0"/>
          <w:bCs w:val="0"/>
          <w:color w:val="auto"/>
          <w:sz w:val="21"/>
          <w:szCs w:val="24"/>
        </w:rPr>
      </w:pPr>
    </w:p>
    <w:p w14:paraId="6066F462">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注：如磋商人为残疾人福利性单位，可提供声明函作为评分项加分依据。但除了提供本声明函外，还须提供工商办理残疾人福利性单位相关证明材料 (如残疾人证件等被认定为残疾人福利性单位的相关证明材料)</w:t>
      </w:r>
    </w:p>
    <w:p w14:paraId="607B802C">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253B13BF">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3C3F5B3C">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4"/>
          <w:szCs w:val="32"/>
        </w:rPr>
      </w:pPr>
    </w:p>
    <w:p w14:paraId="16496384">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val="0"/>
          <w:bCs w:val="0"/>
          <w:color w:val="auto"/>
          <w:sz w:val="24"/>
          <w:szCs w:val="32"/>
        </w:rPr>
      </w:pPr>
    </w:p>
    <w:p w14:paraId="0CF223CA">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190D72D">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317F7FE3">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045A9F7F">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hAnsi="宋体"/>
          <w:color w:val="auto"/>
        </w:rPr>
      </w:pPr>
    </w:p>
    <w:p w14:paraId="7C6133E8">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r>
        <w:rPr>
          <w:rFonts w:hint="eastAsia" w:asciiTheme="majorEastAsia" w:hAnsiTheme="majorEastAsia" w:eastAsiaTheme="majorEastAsia" w:cstheme="majorEastAsia"/>
          <w:b/>
          <w:bCs/>
          <w:color w:val="auto"/>
          <w:sz w:val="28"/>
          <w:szCs w:val="36"/>
        </w:rPr>
        <w:t>三、报价文件格式</w:t>
      </w:r>
    </w:p>
    <w:p w14:paraId="62C4809F">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30936F82">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3A6D1A50">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23E32406">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67172F5B">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4ABCC7D8">
      <w:pPr>
        <w:pStyle w:val="37"/>
        <w:keepNext w:val="0"/>
        <w:keepLines w:val="0"/>
        <w:pageBreakBefore w:val="0"/>
        <w:widowControl w:val="0"/>
        <w:kinsoku/>
        <w:wordWrap/>
        <w:overflowPunct/>
        <w:topLinePunct w:val="0"/>
        <w:autoSpaceDE w:val="0"/>
        <w:autoSpaceDN w:val="0"/>
        <w:bidi w:val="0"/>
        <w:adjustRightInd w:val="0"/>
        <w:snapToGrid/>
        <w:textAlignment w:val="auto"/>
        <w:rPr>
          <w:rFonts w:hint="eastAsia" w:asciiTheme="majorEastAsia" w:hAnsiTheme="majorEastAsia" w:eastAsiaTheme="majorEastAsia" w:cstheme="majorEastAsia"/>
          <w:b/>
          <w:bCs/>
          <w:color w:val="auto"/>
          <w:sz w:val="28"/>
          <w:szCs w:val="36"/>
        </w:rPr>
      </w:pPr>
    </w:p>
    <w:p w14:paraId="58081C0F">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投 标 报 价 文 件</w:t>
      </w:r>
    </w:p>
    <w:p w14:paraId="21074CFC">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C98BA40">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691CC4F4">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90B5372">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2F349E99">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FC1391B">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59B62CE3">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0EE6AC4">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0A353086">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153FA081">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132846CD">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40"/>
        </w:rPr>
      </w:pPr>
    </w:p>
    <w:p w14:paraId="413CB49E">
      <w:pPr>
        <w:pStyle w:val="3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0552F508">
      <w:pPr>
        <w:pStyle w:val="3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32"/>
          <w:szCs w:val="40"/>
        </w:rPr>
      </w:pPr>
    </w:p>
    <w:p w14:paraId="472F50C5">
      <w:pPr>
        <w:pStyle w:val="3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bCs/>
          <w:color w:val="auto"/>
          <w:sz w:val="21"/>
          <w:szCs w:val="24"/>
        </w:rPr>
      </w:pPr>
      <w:r>
        <w:rPr>
          <w:rFonts w:hint="eastAsia" w:asciiTheme="majorEastAsia" w:hAnsiTheme="majorEastAsia" w:eastAsiaTheme="majorEastAsia" w:cstheme="majorEastAsia"/>
          <w:b/>
          <w:bCs/>
          <w:color w:val="auto"/>
          <w:sz w:val="21"/>
          <w:szCs w:val="24"/>
        </w:rPr>
        <w:t>1、磋商函；</w:t>
      </w:r>
    </w:p>
    <w:p w14:paraId="60DE9F4F">
      <w:pPr>
        <w:pStyle w:val="37"/>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Theme="majorEastAsia" w:hAnsiTheme="majorEastAsia" w:eastAsiaTheme="majorEastAsia" w:cstheme="majorEastAsia"/>
          <w:b/>
          <w:bCs/>
          <w:color w:val="auto"/>
          <w:sz w:val="32"/>
          <w:szCs w:val="32"/>
        </w:rPr>
      </w:pPr>
      <w:r>
        <w:rPr>
          <w:rFonts w:hint="eastAsia" w:asciiTheme="majorEastAsia" w:hAnsiTheme="majorEastAsia" w:eastAsiaTheme="majorEastAsia" w:cstheme="majorEastAsia"/>
          <w:b/>
          <w:bCs/>
          <w:color w:val="auto"/>
          <w:sz w:val="32"/>
          <w:szCs w:val="32"/>
        </w:rPr>
        <w:t>磋商函</w:t>
      </w:r>
    </w:p>
    <w:p w14:paraId="681D1E90">
      <w:pPr>
        <w:pStyle w:val="37"/>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asciiTheme="majorEastAsia" w:hAnsiTheme="majorEastAsia" w:eastAsiaTheme="majorEastAsia" w:cstheme="majorEastAsia"/>
          <w:b w:val="0"/>
          <w:bCs w:val="0"/>
          <w:color w:val="auto"/>
          <w:sz w:val="21"/>
          <w:szCs w:val="24"/>
        </w:rPr>
      </w:pPr>
    </w:p>
    <w:p w14:paraId="651D0147">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1、根据你方项目编号为</w:t>
      </w:r>
      <w:r>
        <w:rPr>
          <w:rFonts w:hint="eastAsia" w:asciiTheme="majorEastAsia" w:hAnsiTheme="majorEastAsia" w:eastAsiaTheme="majorEastAsia" w:cstheme="majorEastAsia"/>
          <w:b w:val="0"/>
          <w:bCs w:val="0"/>
          <w:color w:val="auto"/>
          <w:sz w:val="21"/>
          <w:szCs w:val="24"/>
          <w:u w:val="single"/>
        </w:rPr>
        <w:t xml:space="preserve">     (项目编号)    </w:t>
      </w:r>
      <w:r>
        <w:rPr>
          <w:rFonts w:hint="eastAsia" w:asciiTheme="majorEastAsia" w:hAnsiTheme="majorEastAsia" w:eastAsiaTheme="majorEastAsia" w:cstheme="majorEastAsia"/>
          <w:b w:val="0"/>
          <w:bCs w:val="0"/>
          <w:color w:val="auto"/>
          <w:sz w:val="21"/>
          <w:szCs w:val="24"/>
        </w:rPr>
        <w:t>的</w:t>
      </w:r>
      <w:r>
        <w:rPr>
          <w:rFonts w:hint="eastAsia" w:asciiTheme="majorEastAsia" w:hAnsiTheme="majorEastAsia" w:eastAsiaTheme="majorEastAsia" w:cstheme="majorEastAsia"/>
          <w:b w:val="0"/>
          <w:bCs w:val="0"/>
          <w:color w:val="auto"/>
          <w:sz w:val="21"/>
          <w:szCs w:val="24"/>
          <w:u w:val="single"/>
        </w:rPr>
        <w:t xml:space="preserve">    (项目名称)    </w:t>
      </w:r>
      <w:r>
        <w:rPr>
          <w:rFonts w:hint="eastAsia" w:asciiTheme="majorEastAsia" w:hAnsiTheme="majorEastAsia" w:eastAsiaTheme="majorEastAsia" w:cstheme="majorEastAsia"/>
          <w:b w:val="0"/>
          <w:bCs w:val="0"/>
          <w:color w:val="auto"/>
          <w:sz w:val="21"/>
          <w:szCs w:val="24"/>
        </w:rPr>
        <w:t>工程竞争性磋商文件，遵照《中华人民共和国招标投标采购法》、《中华人民共和国招标投标采购法实施条例》、《招标投标采购竞争性磋商采购方式管理暂行办法》等有关规定，经踏勘项目现场和研究上述竞争性磋商文件的磋商须知、合同 条款、图纸、工程建设标准和工程量清单及其他有关文件后，我方愿以人民币 (大 写)</w:t>
      </w:r>
      <w:r>
        <w:rPr>
          <w:rFonts w:hint="eastAsia" w:asciiTheme="majorEastAsia" w:hAnsiTheme="majorEastAsia" w:eastAsiaTheme="majorEastAsia" w:cstheme="majorEastAsia"/>
          <w:b w:val="0"/>
          <w:bCs w:val="0"/>
          <w:color w:val="auto"/>
          <w:sz w:val="21"/>
          <w:szCs w:val="24"/>
          <w:u w:val="single"/>
        </w:rPr>
        <w:t xml:space="preserve">                (</w:t>
      </w:r>
      <w:r>
        <w:rPr>
          <w:rFonts w:hint="default" w:ascii="Arial" w:hAnsi="Arial" w:cs="Arial" w:eastAsiaTheme="majorEastAsia"/>
          <w:b w:val="0"/>
          <w:bCs w:val="0"/>
          <w:color w:val="auto"/>
          <w:sz w:val="21"/>
          <w:szCs w:val="24"/>
          <w:u w:val="single"/>
        </w:rPr>
        <w:t>¥</w:t>
      </w:r>
      <w:r>
        <w:rPr>
          <w:rFonts w:hint="eastAsia" w:asciiTheme="majorEastAsia" w:hAnsiTheme="majorEastAsia" w:eastAsiaTheme="majorEastAsia" w:cstheme="majorEastAsia"/>
          <w:b w:val="0"/>
          <w:bCs w:val="0"/>
          <w:color w:val="auto"/>
          <w:sz w:val="21"/>
          <w:szCs w:val="24"/>
          <w:u w:val="single"/>
        </w:rPr>
        <w:t xml:space="preserve">        元)</w:t>
      </w:r>
      <w:r>
        <w:rPr>
          <w:rFonts w:hint="eastAsia" w:asciiTheme="majorEastAsia" w:hAnsiTheme="majorEastAsia" w:eastAsiaTheme="majorEastAsia" w:cstheme="majorEastAsia"/>
          <w:b w:val="0"/>
          <w:bCs w:val="0"/>
          <w:color w:val="auto"/>
          <w:sz w:val="21"/>
          <w:szCs w:val="24"/>
        </w:rPr>
        <w:t>的磋商报价并按上述图纸、合同条款、工程建设标准和工程量清单 (如有时) 的条件要求承包上述工程的施工、竣工，并承担任何质量缺陷保修责任。我方保证工程质量达到</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等级。</w:t>
      </w:r>
    </w:p>
    <w:p w14:paraId="74884AAF">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2、我方已详细审核全部竞争性磋商文件，包括修改文件 (如有时) 及有关附件。</w:t>
      </w:r>
    </w:p>
    <w:p w14:paraId="577025CC">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3、我方承认磋商函附录是我方磋商函的组成部分。</w:t>
      </w:r>
    </w:p>
    <w:p w14:paraId="23771CA5">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4、我方承诺已经具备《中华人民共和国招标投标采购法》中规定的参加招标投标采购活动的供应商应当具备的条件：</w:t>
      </w:r>
    </w:p>
    <w:p w14:paraId="165E8684">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(1) 具有独立承担民事责任的能力；</w:t>
      </w:r>
    </w:p>
    <w:p w14:paraId="2531C811">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(2) 具有良好的商业信誉和健全的财务会计制度；</w:t>
      </w:r>
    </w:p>
    <w:p w14:paraId="47FD80B6">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(3) 具有履行合同所必需的设备和专业技术能力；</w:t>
      </w:r>
    </w:p>
    <w:p w14:paraId="17335804">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(4) 有依法缴纳税收和社会保障资金的良好记录；</w:t>
      </w:r>
    </w:p>
    <w:p w14:paraId="6D6B51A8">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 参加招标投标采购活动前三年内，在经营活动中没有重大违法记录；</w:t>
      </w:r>
    </w:p>
    <w:p w14:paraId="0C716757">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 法律、行政法规规定的其他条件。</w:t>
      </w:r>
    </w:p>
    <w:p w14:paraId="290A20CB">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5、一旦我方成交，我方保证按合同书中规定的工期</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none"/>
        </w:rPr>
        <w:t>日</w:t>
      </w:r>
      <w:r>
        <w:rPr>
          <w:rFonts w:hint="eastAsia" w:asciiTheme="majorEastAsia" w:hAnsiTheme="majorEastAsia" w:eastAsiaTheme="majorEastAsia" w:cstheme="majorEastAsia"/>
          <w:b w:val="0"/>
          <w:bCs w:val="0"/>
          <w:color w:val="auto"/>
          <w:sz w:val="21"/>
          <w:szCs w:val="24"/>
        </w:rPr>
        <w:t>历天内完成并移交全部工程。</w:t>
      </w:r>
    </w:p>
    <w:p w14:paraId="640B5818">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6、如果我方成交，我方将按照文件规定提交履约保证金作为履约担保。</w:t>
      </w:r>
    </w:p>
    <w:p w14:paraId="52EAA38C">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7、我方同意所提交的响应文件在竞争性磋商文件的“磋商须知”中第 11 条规定的响应文件有效期内有效，在此期间内如果成交，我方将受此约束。</w:t>
      </w:r>
    </w:p>
    <w:p w14:paraId="44B3AA67">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8、除非另外达成协议并生效，你方的成交通知书和本响应文件将成为约束双方的合同文件的组成部分。</w:t>
      </w:r>
    </w:p>
    <w:p w14:paraId="704EE21A">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p>
    <w:p w14:paraId="2956A175">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供 应 商：</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u w:val="single"/>
          <w:lang w:val="en-US" w:eastAsia="zh-CN"/>
        </w:rPr>
        <w:t xml:space="preserve">    </w:t>
      </w:r>
      <w:r>
        <w:rPr>
          <w:rFonts w:hint="eastAsia" w:asciiTheme="majorEastAsia" w:hAnsiTheme="majorEastAsia" w:eastAsiaTheme="majorEastAsia" w:cstheme="majorEastAsia"/>
          <w:b w:val="0"/>
          <w:bCs w:val="0"/>
          <w:color w:val="auto"/>
          <w:sz w:val="21"/>
          <w:szCs w:val="24"/>
          <w:u w:val="single"/>
        </w:rPr>
        <w:t xml:space="preserve">       </w:t>
      </w:r>
      <w:r>
        <w:rPr>
          <w:rFonts w:hint="eastAsia" w:asciiTheme="majorEastAsia" w:hAnsiTheme="majorEastAsia" w:eastAsiaTheme="majorEastAsia" w:cstheme="majorEastAsia"/>
          <w:b w:val="0"/>
          <w:bCs w:val="0"/>
          <w:color w:val="auto"/>
          <w:sz w:val="21"/>
          <w:szCs w:val="24"/>
        </w:rPr>
        <w:t>(盖单位章)</w:t>
      </w:r>
    </w:p>
    <w:p w14:paraId="05DE72E8">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单位地址：</w:t>
      </w:r>
    </w:p>
    <w:p w14:paraId="4937DC5F">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法定代表人或其委托代理人：           (签字或盖章)</w:t>
      </w:r>
    </w:p>
    <w:p w14:paraId="535F0582">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邮政编码：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电话：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传真：</w:t>
      </w:r>
    </w:p>
    <w:p w14:paraId="161BDB24">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开户银行名称：</w:t>
      </w:r>
    </w:p>
    <w:p w14:paraId="58EAF6B0">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开户银行账号：</w:t>
      </w:r>
    </w:p>
    <w:p w14:paraId="21055FDC">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开户银行地址：</w:t>
      </w:r>
    </w:p>
    <w:p w14:paraId="16E6D632">
      <w:pPr>
        <w:pStyle w:val="37"/>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日期：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年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月 </w:t>
      </w:r>
      <w:r>
        <w:rPr>
          <w:rFonts w:hint="eastAsia" w:asciiTheme="majorEastAsia" w:hAnsiTheme="majorEastAsia" w:eastAsiaTheme="majorEastAsia" w:cstheme="majorEastAsia"/>
          <w:b w:val="0"/>
          <w:bCs w:val="0"/>
          <w:color w:val="auto"/>
          <w:sz w:val="21"/>
          <w:szCs w:val="24"/>
          <w:lang w:val="en-US" w:eastAsia="zh-CN"/>
        </w:rPr>
        <w:t xml:space="preserve"> </w:t>
      </w:r>
      <w:r>
        <w:rPr>
          <w:rFonts w:hint="eastAsia" w:asciiTheme="majorEastAsia" w:hAnsiTheme="majorEastAsia" w:eastAsiaTheme="majorEastAsia" w:cstheme="majorEastAsia"/>
          <w:b w:val="0"/>
          <w:bCs w:val="0"/>
          <w:color w:val="auto"/>
          <w:sz w:val="21"/>
          <w:szCs w:val="24"/>
        </w:rPr>
        <w:t xml:space="preserve"> 日</w:t>
      </w:r>
    </w:p>
    <w:p w14:paraId="3C3E979B">
      <w:pPr>
        <w:pStyle w:val="37"/>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Theme="majorEastAsia" w:hAnsiTheme="majorEastAsia" w:eastAsiaTheme="majorEastAsia" w:cstheme="majorEastAsia"/>
          <w:b/>
          <w:bCs/>
          <w:color w:val="auto"/>
          <w:sz w:val="24"/>
          <w:szCs w:val="32"/>
        </w:rPr>
      </w:pPr>
      <w:r>
        <w:rPr>
          <w:rFonts w:hint="eastAsia" w:asciiTheme="majorEastAsia" w:hAnsiTheme="majorEastAsia" w:eastAsiaTheme="majorEastAsia" w:cstheme="majorEastAsia"/>
          <w:b/>
          <w:bCs/>
          <w:color w:val="auto"/>
          <w:sz w:val="24"/>
          <w:szCs w:val="32"/>
        </w:rPr>
        <w:t>2、磋商函附录</w:t>
      </w:r>
    </w:p>
    <w:p w14:paraId="4C45173E">
      <w:pPr>
        <w:pStyle w:val="37"/>
        <w:keepNext w:val="0"/>
        <w:keepLines w:val="0"/>
        <w:pageBreakBefore w:val="0"/>
        <w:widowControl w:val="0"/>
        <w:kinsoku/>
        <w:wordWrap/>
        <w:overflowPunct/>
        <w:topLinePunct w:val="0"/>
        <w:autoSpaceDE w:val="0"/>
        <w:autoSpaceDN w:val="0"/>
        <w:bidi w:val="0"/>
        <w:adjustRightInd w:val="0"/>
        <w:snapToGrid/>
        <w:spacing w:line="360" w:lineRule="exact"/>
        <w:ind w:firstLine="562" w:firstLineChars="200"/>
        <w:jc w:val="center"/>
        <w:textAlignment w:val="auto"/>
        <w:rPr>
          <w:rFonts w:hint="eastAsia"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磋商函附录</w:t>
      </w:r>
    </w:p>
    <w:tbl>
      <w:tblPr>
        <w:tblStyle w:val="49"/>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3546D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vAlign w:val="top"/>
          </w:tcPr>
          <w:p w14:paraId="50D7DBD8">
            <w:pPr>
              <w:spacing w:before="181" w:line="230" w:lineRule="auto"/>
              <w:ind w:left="292"/>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3424" w:type="dxa"/>
            <w:vAlign w:val="top"/>
          </w:tcPr>
          <w:p w14:paraId="3AFA5749">
            <w:pPr>
              <w:spacing w:before="181" w:line="228" w:lineRule="auto"/>
              <w:ind w:left="1298"/>
              <w:rPr>
                <w:rFonts w:hint="eastAsia" w:ascii="宋体" w:hAnsi="宋体" w:eastAsia="宋体" w:cs="宋体"/>
                <w:color w:val="auto"/>
                <w:sz w:val="21"/>
                <w:szCs w:val="21"/>
              </w:rPr>
            </w:pPr>
            <w:r>
              <w:rPr>
                <w:rFonts w:hint="eastAsia" w:ascii="宋体" w:hAnsi="宋体" w:eastAsia="宋体" w:cs="宋体"/>
                <w:color w:val="auto"/>
                <w:spacing w:val="7"/>
                <w:sz w:val="21"/>
                <w:szCs w:val="21"/>
              </w:rPr>
              <w:t>条款内</w:t>
            </w:r>
            <w:r>
              <w:rPr>
                <w:rFonts w:hint="eastAsia" w:ascii="宋体" w:hAnsi="宋体" w:eastAsia="宋体" w:cs="宋体"/>
                <w:color w:val="auto"/>
                <w:spacing w:val="6"/>
                <w:sz w:val="21"/>
                <w:szCs w:val="21"/>
              </w:rPr>
              <w:t>容</w:t>
            </w:r>
          </w:p>
        </w:tc>
        <w:tc>
          <w:tcPr>
            <w:tcW w:w="2818" w:type="dxa"/>
            <w:vAlign w:val="top"/>
          </w:tcPr>
          <w:p w14:paraId="780F0C91">
            <w:pPr>
              <w:spacing w:before="181" w:line="228" w:lineRule="auto"/>
              <w:ind w:left="1000"/>
              <w:rPr>
                <w:rFonts w:hint="eastAsia" w:ascii="宋体" w:hAnsi="宋体" w:eastAsia="宋体" w:cs="宋体"/>
                <w:color w:val="auto"/>
                <w:sz w:val="21"/>
                <w:szCs w:val="21"/>
              </w:rPr>
            </w:pPr>
            <w:r>
              <w:rPr>
                <w:rFonts w:hint="eastAsia" w:ascii="宋体" w:hAnsi="宋体" w:eastAsia="宋体" w:cs="宋体"/>
                <w:color w:val="auto"/>
                <w:spacing w:val="6"/>
                <w:sz w:val="21"/>
                <w:szCs w:val="21"/>
              </w:rPr>
              <w:t>约定内容</w:t>
            </w:r>
          </w:p>
        </w:tc>
        <w:tc>
          <w:tcPr>
            <w:tcW w:w="1696" w:type="dxa"/>
            <w:vAlign w:val="top"/>
          </w:tcPr>
          <w:p w14:paraId="1AF60C62">
            <w:pPr>
              <w:spacing w:before="181" w:line="230" w:lineRule="auto"/>
              <w:ind w:left="646"/>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r>
      <w:tr w14:paraId="2B72D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64AAA5F6">
            <w:pPr>
              <w:spacing w:before="211" w:line="193" w:lineRule="auto"/>
              <w:ind w:left="467"/>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3424" w:type="dxa"/>
            <w:vAlign w:val="top"/>
          </w:tcPr>
          <w:p w14:paraId="5EF5480D">
            <w:pPr>
              <w:spacing w:before="180" w:line="229" w:lineRule="auto"/>
              <w:ind w:left="1300"/>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目经理</w:t>
            </w:r>
          </w:p>
        </w:tc>
        <w:tc>
          <w:tcPr>
            <w:tcW w:w="2818" w:type="dxa"/>
            <w:vAlign w:val="top"/>
          </w:tcPr>
          <w:p w14:paraId="508C4196">
            <w:pPr>
              <w:spacing w:before="180" w:line="228"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姓名：</w:t>
            </w:r>
          </w:p>
        </w:tc>
        <w:tc>
          <w:tcPr>
            <w:tcW w:w="1696" w:type="dxa"/>
            <w:vAlign w:val="top"/>
          </w:tcPr>
          <w:p w14:paraId="2C14DF70">
            <w:pPr>
              <w:rPr>
                <w:rFonts w:hint="eastAsia" w:ascii="宋体" w:hAnsi="宋体" w:eastAsia="宋体" w:cs="宋体"/>
                <w:color w:val="auto"/>
                <w:sz w:val="21"/>
                <w:szCs w:val="21"/>
              </w:rPr>
            </w:pPr>
          </w:p>
        </w:tc>
      </w:tr>
      <w:tr w14:paraId="3AEF6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308AC3F8">
            <w:pPr>
              <w:spacing w:before="211" w:line="192" w:lineRule="auto"/>
              <w:ind w:left="454"/>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3424" w:type="dxa"/>
            <w:vAlign w:val="top"/>
          </w:tcPr>
          <w:p w14:paraId="5E0EF301">
            <w:pPr>
              <w:spacing w:before="179" w:line="228" w:lineRule="auto"/>
              <w:ind w:left="993"/>
              <w:rPr>
                <w:rFonts w:hint="eastAsia" w:ascii="宋体" w:hAnsi="宋体" w:eastAsia="宋体" w:cs="宋体"/>
                <w:color w:val="auto"/>
                <w:sz w:val="21"/>
                <w:szCs w:val="21"/>
              </w:rPr>
            </w:pPr>
            <w:r>
              <w:rPr>
                <w:rFonts w:hint="eastAsia" w:ascii="宋体" w:hAnsi="宋体" w:eastAsia="宋体" w:cs="宋体"/>
                <w:color w:val="auto"/>
                <w:spacing w:val="8"/>
                <w:sz w:val="21"/>
                <w:szCs w:val="21"/>
              </w:rPr>
              <w:t>响</w:t>
            </w:r>
            <w:r>
              <w:rPr>
                <w:rFonts w:hint="eastAsia" w:ascii="宋体" w:hAnsi="宋体" w:eastAsia="宋体" w:cs="宋体"/>
                <w:color w:val="auto"/>
                <w:spacing w:val="7"/>
                <w:sz w:val="21"/>
                <w:szCs w:val="21"/>
              </w:rPr>
              <w:t>应文件有效期</w:t>
            </w:r>
          </w:p>
        </w:tc>
        <w:tc>
          <w:tcPr>
            <w:tcW w:w="2818" w:type="dxa"/>
            <w:vAlign w:val="top"/>
          </w:tcPr>
          <w:p w14:paraId="2B4996EA">
            <w:pPr>
              <w:rPr>
                <w:rFonts w:hint="eastAsia" w:ascii="宋体" w:hAnsi="宋体" w:eastAsia="宋体" w:cs="宋体"/>
                <w:color w:val="auto"/>
                <w:sz w:val="21"/>
                <w:szCs w:val="21"/>
              </w:rPr>
            </w:pPr>
          </w:p>
        </w:tc>
        <w:tc>
          <w:tcPr>
            <w:tcW w:w="1696" w:type="dxa"/>
            <w:vAlign w:val="top"/>
          </w:tcPr>
          <w:p w14:paraId="6387329F">
            <w:pPr>
              <w:rPr>
                <w:rFonts w:hint="eastAsia" w:ascii="宋体" w:hAnsi="宋体" w:eastAsia="宋体" w:cs="宋体"/>
                <w:color w:val="auto"/>
                <w:sz w:val="21"/>
                <w:szCs w:val="21"/>
              </w:rPr>
            </w:pPr>
          </w:p>
        </w:tc>
      </w:tr>
      <w:tr w14:paraId="0C99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445BD363">
            <w:pPr>
              <w:spacing w:before="212" w:line="190"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3424" w:type="dxa"/>
            <w:vAlign w:val="top"/>
          </w:tcPr>
          <w:p w14:paraId="7C3432AE">
            <w:pPr>
              <w:spacing w:before="179" w:line="229" w:lineRule="auto"/>
              <w:ind w:left="1510"/>
              <w:rPr>
                <w:rFonts w:hint="eastAsia" w:ascii="宋体" w:hAnsi="宋体" w:eastAsia="宋体" w:cs="宋体"/>
                <w:color w:val="auto"/>
                <w:sz w:val="21"/>
                <w:szCs w:val="21"/>
              </w:rPr>
            </w:pPr>
            <w:r>
              <w:rPr>
                <w:rFonts w:hint="eastAsia" w:ascii="宋体" w:hAnsi="宋体" w:eastAsia="宋体" w:cs="宋体"/>
                <w:color w:val="auto"/>
                <w:spacing w:val="4"/>
                <w:sz w:val="21"/>
                <w:szCs w:val="21"/>
              </w:rPr>
              <w:t>工</w:t>
            </w:r>
            <w:r>
              <w:rPr>
                <w:rFonts w:hint="eastAsia" w:ascii="宋体" w:hAnsi="宋体" w:eastAsia="宋体" w:cs="宋体"/>
                <w:color w:val="auto"/>
                <w:spacing w:val="3"/>
                <w:sz w:val="21"/>
                <w:szCs w:val="21"/>
              </w:rPr>
              <w:t>期</w:t>
            </w:r>
          </w:p>
        </w:tc>
        <w:tc>
          <w:tcPr>
            <w:tcW w:w="2818" w:type="dxa"/>
            <w:vAlign w:val="top"/>
          </w:tcPr>
          <w:p w14:paraId="3CDE5990">
            <w:pPr>
              <w:tabs>
                <w:tab w:val="left" w:pos="1506"/>
              </w:tabs>
              <w:spacing w:before="179" w:line="229" w:lineRule="auto"/>
              <w:ind w:left="832"/>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5"/>
                <w:sz w:val="21"/>
                <w:szCs w:val="21"/>
              </w:rPr>
              <w:t>日历天</w:t>
            </w:r>
          </w:p>
        </w:tc>
        <w:tc>
          <w:tcPr>
            <w:tcW w:w="1696" w:type="dxa"/>
            <w:vAlign w:val="top"/>
          </w:tcPr>
          <w:p w14:paraId="0CAA4FC1">
            <w:pPr>
              <w:rPr>
                <w:rFonts w:hint="eastAsia" w:ascii="宋体" w:hAnsi="宋体" w:eastAsia="宋体" w:cs="宋体"/>
                <w:color w:val="auto"/>
                <w:sz w:val="21"/>
                <w:szCs w:val="21"/>
              </w:rPr>
            </w:pPr>
          </w:p>
        </w:tc>
      </w:tr>
      <w:tr w14:paraId="4B188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vAlign w:val="top"/>
          </w:tcPr>
          <w:p w14:paraId="279652A5">
            <w:pPr>
              <w:spacing w:before="215" w:line="192" w:lineRule="auto"/>
              <w:ind w:left="451"/>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3424" w:type="dxa"/>
            <w:vAlign w:val="top"/>
          </w:tcPr>
          <w:p w14:paraId="40E63C4B">
            <w:pPr>
              <w:spacing w:before="182" w:line="229" w:lineRule="auto"/>
              <w:ind w:left="1191"/>
              <w:rPr>
                <w:rFonts w:hint="eastAsia" w:ascii="宋体" w:hAnsi="宋体" w:eastAsia="宋体" w:cs="宋体"/>
                <w:color w:val="auto"/>
                <w:sz w:val="21"/>
                <w:szCs w:val="21"/>
              </w:rPr>
            </w:pPr>
            <w:r>
              <w:rPr>
                <w:rFonts w:hint="eastAsia" w:ascii="宋体" w:hAnsi="宋体" w:eastAsia="宋体" w:cs="宋体"/>
                <w:color w:val="auto"/>
                <w:spacing w:val="8"/>
                <w:sz w:val="21"/>
                <w:szCs w:val="21"/>
              </w:rPr>
              <w:t>质量保证金</w:t>
            </w:r>
          </w:p>
        </w:tc>
        <w:tc>
          <w:tcPr>
            <w:tcW w:w="2818" w:type="dxa"/>
            <w:vAlign w:val="top"/>
          </w:tcPr>
          <w:p w14:paraId="2DAC77A1">
            <w:pPr>
              <w:spacing w:before="182" w:line="227" w:lineRule="auto"/>
              <w:ind w:left="690"/>
              <w:rPr>
                <w:rFonts w:hint="eastAsia" w:ascii="宋体" w:hAnsi="宋体" w:eastAsia="宋体" w:cs="宋体"/>
                <w:color w:val="auto"/>
                <w:sz w:val="21"/>
                <w:szCs w:val="21"/>
              </w:rPr>
            </w:pPr>
            <w:r>
              <w:rPr>
                <w:rFonts w:hint="eastAsia" w:ascii="宋体" w:hAnsi="宋体" w:eastAsia="宋体" w:cs="宋体"/>
                <w:color w:val="auto"/>
                <w:spacing w:val="9"/>
                <w:sz w:val="21"/>
                <w:szCs w:val="21"/>
              </w:rPr>
              <w:t>结</w:t>
            </w:r>
            <w:r>
              <w:rPr>
                <w:rFonts w:hint="eastAsia" w:ascii="宋体" w:hAnsi="宋体" w:eastAsia="宋体" w:cs="宋体"/>
                <w:color w:val="auto"/>
                <w:spacing w:val="5"/>
                <w:sz w:val="21"/>
                <w:szCs w:val="21"/>
              </w:rPr>
              <w:t>算价的</w:t>
            </w:r>
            <w:r>
              <w:rPr>
                <w:rFonts w:hint="eastAsia" w:ascii="宋体" w:hAnsi="宋体" w:eastAsia="宋体" w:cs="宋体"/>
                <w:color w:val="auto"/>
                <w:spacing w:val="5"/>
                <w:sz w:val="21"/>
                <w:szCs w:val="21"/>
                <w:u w:val="single" w:color="auto"/>
              </w:rPr>
              <w:t xml:space="preserve">  </w:t>
            </w:r>
            <w:r>
              <w:rPr>
                <w:rFonts w:hint="eastAsia" w:ascii="宋体" w:hAnsi="宋体" w:cs="宋体"/>
                <w:color w:val="auto"/>
                <w:spacing w:val="5"/>
                <w:sz w:val="21"/>
                <w:szCs w:val="21"/>
                <w:u w:val="single" w:color="auto"/>
                <w:lang w:val="en-US" w:eastAsia="zh-CN"/>
              </w:rPr>
              <w:t xml:space="preserve">  </w:t>
            </w:r>
            <w:r>
              <w:rPr>
                <w:rFonts w:hint="eastAsia" w:ascii="宋体" w:hAnsi="宋体" w:eastAsia="宋体" w:cs="宋体"/>
                <w:color w:val="auto"/>
                <w:spacing w:val="5"/>
                <w:sz w:val="21"/>
                <w:szCs w:val="21"/>
                <w:u w:val="single" w:color="auto"/>
              </w:rPr>
              <w:t xml:space="preserve">   </w:t>
            </w:r>
            <w:r>
              <w:rPr>
                <w:rFonts w:hint="eastAsia" w:ascii="宋体" w:hAnsi="宋体" w:eastAsia="宋体" w:cs="宋体"/>
                <w:color w:val="auto"/>
                <w:spacing w:val="5"/>
                <w:sz w:val="21"/>
                <w:szCs w:val="21"/>
              </w:rPr>
              <w:t>%</w:t>
            </w:r>
          </w:p>
        </w:tc>
        <w:tc>
          <w:tcPr>
            <w:tcW w:w="1696" w:type="dxa"/>
            <w:vAlign w:val="top"/>
          </w:tcPr>
          <w:p w14:paraId="5D7B60E8">
            <w:pPr>
              <w:rPr>
                <w:rFonts w:hint="eastAsia" w:ascii="宋体" w:hAnsi="宋体" w:eastAsia="宋体" w:cs="宋体"/>
                <w:color w:val="auto"/>
                <w:sz w:val="21"/>
                <w:szCs w:val="21"/>
              </w:rPr>
            </w:pPr>
          </w:p>
        </w:tc>
      </w:tr>
      <w:tr w14:paraId="795CE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vAlign w:val="top"/>
          </w:tcPr>
          <w:p w14:paraId="0AFD5153">
            <w:pPr>
              <w:spacing w:before="215" w:line="189" w:lineRule="auto"/>
              <w:ind w:left="456"/>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3424" w:type="dxa"/>
            <w:vAlign w:val="top"/>
          </w:tcPr>
          <w:p w14:paraId="7AC4988D">
            <w:pPr>
              <w:spacing w:before="181" w:line="229" w:lineRule="auto"/>
              <w:ind w:left="1297"/>
              <w:rPr>
                <w:rFonts w:hint="eastAsia" w:ascii="宋体" w:hAnsi="宋体" w:eastAsia="宋体" w:cs="宋体"/>
                <w:color w:val="auto"/>
                <w:sz w:val="21"/>
                <w:szCs w:val="21"/>
              </w:rPr>
            </w:pPr>
            <w:r>
              <w:rPr>
                <w:rFonts w:hint="eastAsia" w:ascii="宋体" w:hAnsi="宋体" w:eastAsia="宋体" w:cs="宋体"/>
                <w:color w:val="auto"/>
                <w:spacing w:val="7"/>
                <w:sz w:val="21"/>
                <w:szCs w:val="21"/>
              </w:rPr>
              <w:t>质量标准</w:t>
            </w:r>
          </w:p>
        </w:tc>
        <w:tc>
          <w:tcPr>
            <w:tcW w:w="2818" w:type="dxa"/>
            <w:vAlign w:val="top"/>
          </w:tcPr>
          <w:p w14:paraId="2D12E81D">
            <w:pPr>
              <w:rPr>
                <w:rFonts w:hint="eastAsia" w:ascii="宋体" w:hAnsi="宋体" w:eastAsia="宋体" w:cs="宋体"/>
                <w:color w:val="auto"/>
                <w:sz w:val="21"/>
                <w:szCs w:val="21"/>
              </w:rPr>
            </w:pPr>
          </w:p>
        </w:tc>
        <w:tc>
          <w:tcPr>
            <w:tcW w:w="1696" w:type="dxa"/>
            <w:vAlign w:val="top"/>
          </w:tcPr>
          <w:p w14:paraId="0054C8E4">
            <w:pPr>
              <w:rPr>
                <w:rFonts w:hint="eastAsia" w:ascii="宋体" w:hAnsi="宋体" w:eastAsia="宋体" w:cs="宋体"/>
                <w:color w:val="auto"/>
                <w:sz w:val="21"/>
                <w:szCs w:val="21"/>
              </w:rPr>
            </w:pPr>
          </w:p>
        </w:tc>
      </w:tr>
      <w:tr w14:paraId="495EF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vAlign w:val="top"/>
          </w:tcPr>
          <w:p w14:paraId="1FF17423">
            <w:pPr>
              <w:spacing w:before="181" w:line="325" w:lineRule="exact"/>
              <w:ind w:left="306"/>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3424" w:type="dxa"/>
            <w:vAlign w:val="top"/>
          </w:tcPr>
          <w:p w14:paraId="4A54BAC0">
            <w:pPr>
              <w:spacing w:before="181" w:line="325" w:lineRule="exact"/>
              <w:ind w:left="1521"/>
              <w:rPr>
                <w:rFonts w:hint="eastAsia" w:ascii="宋体" w:hAnsi="宋体" w:eastAsia="宋体" w:cs="宋体"/>
                <w:color w:val="auto"/>
                <w:sz w:val="21"/>
                <w:szCs w:val="21"/>
              </w:rPr>
            </w:pPr>
            <w:r>
              <w:rPr>
                <w:rFonts w:hint="eastAsia" w:ascii="宋体" w:hAnsi="宋体" w:eastAsia="宋体" w:cs="宋体"/>
                <w:color w:val="auto"/>
                <w:spacing w:val="4"/>
                <w:position w:val="3"/>
                <w:sz w:val="21"/>
                <w:szCs w:val="21"/>
              </w:rPr>
              <w:t>……</w:t>
            </w:r>
          </w:p>
        </w:tc>
        <w:tc>
          <w:tcPr>
            <w:tcW w:w="2818" w:type="dxa"/>
            <w:vAlign w:val="top"/>
          </w:tcPr>
          <w:p w14:paraId="42FF9111">
            <w:pPr>
              <w:rPr>
                <w:rFonts w:hint="eastAsia" w:ascii="宋体" w:hAnsi="宋体" w:eastAsia="宋体" w:cs="宋体"/>
                <w:color w:val="auto"/>
                <w:sz w:val="21"/>
                <w:szCs w:val="21"/>
              </w:rPr>
            </w:pPr>
          </w:p>
        </w:tc>
        <w:tc>
          <w:tcPr>
            <w:tcW w:w="1696" w:type="dxa"/>
            <w:vAlign w:val="top"/>
          </w:tcPr>
          <w:p w14:paraId="470BDE64">
            <w:pPr>
              <w:rPr>
                <w:rFonts w:hint="eastAsia" w:ascii="宋体" w:hAnsi="宋体" w:eastAsia="宋体" w:cs="宋体"/>
                <w:color w:val="auto"/>
                <w:sz w:val="21"/>
                <w:szCs w:val="21"/>
              </w:rPr>
            </w:pPr>
          </w:p>
        </w:tc>
      </w:tr>
      <w:tr w14:paraId="21CFA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vAlign w:val="top"/>
          </w:tcPr>
          <w:p w14:paraId="74CD6804">
            <w:pPr>
              <w:keepNext w:val="0"/>
              <w:keepLines w:val="0"/>
              <w:pageBreakBefore w:val="0"/>
              <w:widowControl w:val="0"/>
              <w:kinsoku/>
              <w:wordWrap/>
              <w:overflowPunct/>
              <w:topLinePunct w:val="0"/>
              <w:autoSpaceDE/>
              <w:autoSpaceDN/>
              <w:bidi w:val="0"/>
              <w:adjustRightInd/>
              <w:snapToGrid/>
              <w:spacing w:line="400" w:lineRule="exact"/>
              <w:ind w:left="119" w:right="102" w:firstLine="6"/>
              <w:textAlignment w:val="auto"/>
              <w:rPr>
                <w:rFonts w:hint="eastAsia" w:ascii="宋体" w:hAnsi="宋体" w:eastAsia="宋体" w:cs="宋体"/>
                <w:color w:val="auto"/>
                <w:sz w:val="21"/>
                <w:szCs w:val="21"/>
              </w:rPr>
            </w:pPr>
            <w:r>
              <w:rPr>
                <w:rFonts w:hint="eastAsia" w:ascii="宋体" w:hAnsi="宋体" w:eastAsia="宋体" w:cs="宋体"/>
                <w:color w:val="auto"/>
                <w:spacing w:val="14"/>
                <w:sz w:val="21"/>
                <w:szCs w:val="21"/>
              </w:rPr>
              <w:t>备</w:t>
            </w:r>
            <w:r>
              <w:rPr>
                <w:rFonts w:hint="eastAsia" w:ascii="宋体" w:hAnsi="宋体" w:eastAsia="宋体" w:cs="宋体"/>
                <w:color w:val="auto"/>
                <w:spacing w:val="7"/>
                <w:sz w:val="21"/>
                <w:szCs w:val="21"/>
              </w:rPr>
              <w:t>注：供应商在响应竞争性磋商文件中规定的实质性要求和条件的基础上，可做出其他有利于采</w:t>
            </w:r>
            <w:r>
              <w:rPr>
                <w:rFonts w:hint="eastAsia" w:ascii="宋体" w:hAnsi="宋体" w:eastAsia="宋体" w:cs="宋体"/>
                <w:color w:val="auto"/>
                <w:spacing w:val="13"/>
                <w:sz w:val="21"/>
                <w:szCs w:val="21"/>
              </w:rPr>
              <w:t>购</w:t>
            </w:r>
            <w:r>
              <w:rPr>
                <w:rFonts w:hint="eastAsia" w:ascii="宋体" w:hAnsi="宋体" w:eastAsia="宋体" w:cs="宋体"/>
                <w:color w:val="auto"/>
                <w:spacing w:val="9"/>
                <w:sz w:val="21"/>
                <w:szCs w:val="21"/>
              </w:rPr>
              <w:t>单位的承诺。此类承诺可在本表中予以补充填写。</w:t>
            </w:r>
          </w:p>
        </w:tc>
      </w:tr>
    </w:tbl>
    <w:p w14:paraId="3898B8BD">
      <w:pPr>
        <w:pStyle w:val="37"/>
        <w:keepNext w:val="0"/>
        <w:keepLines w:val="0"/>
        <w:pageBreakBefore w:val="0"/>
        <w:widowControl w:val="0"/>
        <w:kinsoku/>
        <w:wordWrap/>
        <w:overflowPunct/>
        <w:topLinePunct w:val="0"/>
        <w:autoSpaceDE w:val="0"/>
        <w:autoSpaceDN w:val="0"/>
        <w:bidi w:val="0"/>
        <w:adjustRightInd w:val="0"/>
        <w:snapToGrid/>
        <w:spacing w:line="360" w:lineRule="exact"/>
        <w:ind w:firstLine="482" w:firstLineChars="200"/>
        <w:jc w:val="both"/>
        <w:textAlignment w:val="auto"/>
        <w:rPr>
          <w:rFonts w:hint="eastAsia" w:asciiTheme="majorEastAsia" w:hAnsiTheme="majorEastAsia" w:eastAsiaTheme="majorEastAsia" w:cstheme="majorEastAsia"/>
          <w:b/>
          <w:bCs/>
          <w:color w:val="auto"/>
          <w:sz w:val="24"/>
          <w:szCs w:val="32"/>
        </w:rPr>
      </w:pPr>
    </w:p>
    <w:p w14:paraId="11CB1B58">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宋体" w:hAnsi="宋体" w:cs="宋体"/>
          <w:b w:val="0"/>
          <w:bCs/>
          <w:color w:val="auto"/>
          <w:szCs w:val="21"/>
          <w:lang w:eastAsia="zh-CN"/>
        </w:rPr>
        <w:t>供应商</w:t>
      </w:r>
      <w:r>
        <w:rPr>
          <w:rFonts w:hint="eastAsia" w:asciiTheme="majorEastAsia" w:hAnsiTheme="majorEastAsia" w:eastAsiaTheme="majorEastAsia" w:cstheme="majorEastAsia"/>
          <w:b w:val="0"/>
          <w:bCs w:val="0"/>
          <w:color w:val="auto"/>
          <w:sz w:val="21"/>
          <w:szCs w:val="24"/>
        </w:rPr>
        <w:t xml:space="preserve">全称 (盖公章) ：                   </w:t>
      </w:r>
    </w:p>
    <w:p w14:paraId="5F029F47">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val="0"/>
          <w:bCs w:val="0"/>
          <w:color w:val="auto"/>
          <w:sz w:val="21"/>
          <w:szCs w:val="24"/>
        </w:rPr>
      </w:pPr>
      <w:r>
        <w:rPr>
          <w:rFonts w:hint="eastAsia" w:asciiTheme="majorEastAsia" w:hAnsiTheme="majorEastAsia" w:eastAsiaTheme="majorEastAsia" w:cstheme="majorEastAsia"/>
          <w:b w:val="0"/>
          <w:bCs w:val="0"/>
          <w:color w:val="auto"/>
          <w:sz w:val="21"/>
          <w:szCs w:val="24"/>
        </w:rPr>
        <w:t xml:space="preserve">法定代表人或授权代表签字:                </w:t>
      </w:r>
    </w:p>
    <w:p w14:paraId="2913156F">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r>
        <w:rPr>
          <w:rFonts w:hint="eastAsia" w:asciiTheme="majorEastAsia" w:hAnsiTheme="majorEastAsia" w:eastAsiaTheme="majorEastAsia" w:cstheme="majorEastAsia"/>
          <w:b w:val="0"/>
          <w:bCs w:val="0"/>
          <w:color w:val="auto"/>
          <w:sz w:val="21"/>
          <w:szCs w:val="24"/>
        </w:rPr>
        <w:t>日期：</w:t>
      </w:r>
      <w:r>
        <w:rPr>
          <w:rFonts w:hint="eastAsia" w:asciiTheme="majorEastAsia" w:hAnsiTheme="majorEastAsia" w:eastAsiaTheme="majorEastAsia" w:cstheme="majorEastAsia"/>
          <w:b/>
          <w:bCs/>
          <w:color w:val="auto"/>
          <w:sz w:val="32"/>
          <w:szCs w:val="40"/>
        </w:rPr>
        <w:t xml:space="preserve">                   </w:t>
      </w:r>
    </w:p>
    <w:p w14:paraId="71F65CF7">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AC0203E">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3CF3350">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12AE7FE">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A5BFCF2">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703BBD99">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5790CCF9">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4E88B153">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6CE1D569">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5B59BE00">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heme="majorEastAsia" w:hAnsiTheme="majorEastAsia" w:eastAsiaTheme="majorEastAsia" w:cstheme="majorEastAsia"/>
          <w:b/>
          <w:bCs/>
          <w:color w:val="auto"/>
          <w:sz w:val="32"/>
          <w:szCs w:val="40"/>
        </w:rPr>
      </w:pPr>
    </w:p>
    <w:p w14:paraId="172EE5CC">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rPr>
        <w:t>3、已标价工程量清单</w:t>
      </w:r>
    </w:p>
    <w:p w14:paraId="7D80F885">
      <w:pPr>
        <w:pStyle w:val="37"/>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hint="eastAsia" w:ascii="宋体" w:hAnsi="宋体" w:eastAsia="宋体" w:cs="宋体"/>
          <w:b w:val="0"/>
          <w:bCs w:val="0"/>
          <w:color w:val="auto"/>
          <w:sz w:val="21"/>
          <w:szCs w:val="24"/>
        </w:rPr>
      </w:pPr>
      <w:r>
        <w:rPr>
          <w:rFonts w:hint="eastAsia" w:ascii="宋体" w:hAnsi="宋体" w:eastAsia="宋体" w:cs="宋体"/>
          <w:b w:val="0"/>
          <w:bCs w:val="0"/>
          <w:color w:val="auto"/>
          <w:sz w:val="21"/>
          <w:szCs w:val="24"/>
        </w:rPr>
        <w:t>1、说明：已标价工程量清单按规范中的“工程量清单”中的相关清单表格式填写。构成合同文件的已标价工程量清单包括规范中的“工程量清单”有关工程量清单、磋商报价以及其他说明的内容。</w:t>
      </w:r>
    </w:p>
    <w:p w14:paraId="41FD5E26">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68B341F">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B2EA88C">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345C118">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D755866">
      <w:pPr>
        <w:pStyle w:val="37"/>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275C55">
      <w:pPr>
        <w:pStyle w:val="37"/>
        <w:keepNext w:val="0"/>
        <w:keepLines w:val="0"/>
        <w:pageBreakBefore w:val="0"/>
        <w:widowControl w:val="0"/>
        <w:numPr>
          <w:ilvl w:val="0"/>
          <w:numId w:val="5"/>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r>
        <w:rPr>
          <w:rFonts w:hint="eastAsia" w:ascii="宋体" w:hAnsi="宋体" w:eastAsia="宋体" w:cs="宋体"/>
          <w:b/>
          <w:bCs/>
          <w:color w:val="auto"/>
          <w:sz w:val="21"/>
          <w:szCs w:val="24"/>
          <w:lang w:eastAsia="zh-CN"/>
        </w:rPr>
        <w:t>供应商</w:t>
      </w:r>
      <w:r>
        <w:rPr>
          <w:rFonts w:hint="eastAsia" w:ascii="宋体" w:hAnsi="宋体" w:eastAsia="宋体" w:cs="宋体"/>
          <w:b/>
          <w:bCs/>
          <w:color w:val="auto"/>
          <w:sz w:val="21"/>
          <w:szCs w:val="24"/>
        </w:rPr>
        <w:t>针对商务及报价需要说明的其他文件和说明 (格式自拟)</w:t>
      </w:r>
    </w:p>
    <w:p w14:paraId="1ADE4478">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EEC90AC">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B287770">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0B42E236">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3A4AE37">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400AE5BC">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75C9A162">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1FC48BB">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07F347C8">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112E99B">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F1B8CDE">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7C727B7">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1A09B0E">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660FE876">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2D6E8493">
      <w:pPr>
        <w:pStyle w:val="37"/>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sz w:val="21"/>
          <w:szCs w:val="24"/>
        </w:rPr>
      </w:pPr>
    </w:p>
    <w:p w14:paraId="1D7223CF">
      <w:pPr>
        <w:pStyle w:val="35"/>
        <w:ind w:left="0" w:leftChars="0" w:firstLine="0" w:firstLineChars="0"/>
        <w:rPr>
          <w:color w:val="auto"/>
        </w:rPr>
      </w:pPr>
    </w:p>
    <w:p w14:paraId="6EA1BBCA">
      <w:pPr>
        <w:pStyle w:val="3"/>
        <w:numPr>
          <w:ilvl w:val="0"/>
          <w:numId w:val="6"/>
        </w:numPr>
        <w:spacing w:line="560" w:lineRule="exact"/>
        <w:jc w:val="center"/>
        <w:rPr>
          <w:rFonts w:hint="eastAsia" w:ascii="宋体" w:hAnsi="宋体" w:cs="宋体"/>
          <w:color w:val="auto"/>
          <w:spacing w:val="-14"/>
          <w:kern w:val="0"/>
          <w:position w:val="-6"/>
          <w:sz w:val="36"/>
          <w:szCs w:val="36"/>
        </w:rPr>
      </w:pPr>
      <w:r>
        <w:rPr>
          <w:rFonts w:hint="eastAsia" w:ascii="宋体" w:hAnsi="宋体" w:cs="宋体"/>
          <w:color w:val="auto"/>
          <w:spacing w:val="-14"/>
          <w:kern w:val="0"/>
          <w:position w:val="-6"/>
          <w:sz w:val="36"/>
          <w:szCs w:val="36"/>
        </w:rPr>
        <w:t xml:space="preserve">   </w:t>
      </w:r>
      <w:bookmarkStart w:id="68" w:name="_Toc3612"/>
      <w:r>
        <w:rPr>
          <w:rFonts w:hint="eastAsia" w:ascii="宋体" w:hAnsi="宋体" w:cs="宋体"/>
          <w:color w:val="auto"/>
          <w:spacing w:val="-14"/>
          <w:kern w:val="0"/>
          <w:position w:val="-6"/>
          <w:sz w:val="36"/>
          <w:szCs w:val="36"/>
        </w:rPr>
        <w:t>合同主要条款 (参考格式)</w:t>
      </w:r>
      <w:bookmarkEnd w:id="68"/>
    </w:p>
    <w:p w14:paraId="7D97A7B8">
      <w:pPr>
        <w:pStyle w:val="3"/>
        <w:numPr>
          <w:ilvl w:val="0"/>
          <w:numId w:val="0"/>
        </w:numPr>
        <w:spacing w:line="560" w:lineRule="exact"/>
        <w:jc w:val="center"/>
        <w:rPr>
          <w:rFonts w:hint="eastAsia" w:ascii="宋体" w:hAnsi="宋体" w:cs="宋体"/>
          <w:color w:val="auto"/>
          <w:spacing w:val="-14"/>
          <w:kern w:val="0"/>
          <w:position w:val="-6"/>
          <w:sz w:val="36"/>
          <w:szCs w:val="36"/>
        </w:rPr>
      </w:pPr>
      <w:bookmarkStart w:id="69" w:name="_Toc31567"/>
      <w:r>
        <w:rPr>
          <w:rFonts w:hint="eastAsia" w:ascii="宋体" w:hAnsi="宋体" w:cs="宋体"/>
          <w:color w:val="auto"/>
          <w:spacing w:val="-14"/>
          <w:kern w:val="0"/>
          <w:position w:val="-6"/>
          <w:sz w:val="36"/>
          <w:szCs w:val="36"/>
        </w:rPr>
        <w:t>(仅供参考，由双方按实际情况调整)</w:t>
      </w:r>
      <w:bookmarkEnd w:id="69"/>
    </w:p>
    <w:p w14:paraId="10D4FCF8">
      <w:pPr>
        <w:spacing w:line="400" w:lineRule="exact"/>
        <w:jc w:val="center"/>
        <w:rPr>
          <w:rFonts w:hint="eastAsia"/>
          <w:b/>
          <w:color w:val="auto"/>
          <w:sz w:val="25"/>
          <w:szCs w:val="21"/>
          <w:highlight w:val="none"/>
        </w:rPr>
      </w:pPr>
      <w:r>
        <w:rPr>
          <w:rFonts w:hint="eastAsia"/>
          <w:b/>
          <w:color w:val="auto"/>
          <w:szCs w:val="21"/>
          <w:highlight w:val="none"/>
          <w:u w:val="single"/>
        </w:rPr>
        <w:t xml:space="preserve">                          </w:t>
      </w:r>
      <w:r>
        <w:rPr>
          <w:rFonts w:hint="eastAsia"/>
          <w:b/>
          <w:color w:val="auto"/>
          <w:sz w:val="25"/>
          <w:szCs w:val="21"/>
          <w:highlight w:val="none"/>
        </w:rPr>
        <w:t>工程施工合同</w:t>
      </w:r>
    </w:p>
    <w:p w14:paraId="235F75A9">
      <w:pPr>
        <w:spacing w:line="400" w:lineRule="exact"/>
        <w:jc w:val="center"/>
        <w:rPr>
          <w:rFonts w:hint="eastAsia"/>
          <w:b/>
          <w:color w:val="auto"/>
          <w:szCs w:val="21"/>
          <w:highlight w:val="none"/>
        </w:rPr>
      </w:pPr>
    </w:p>
    <w:p w14:paraId="760E785B">
      <w:pPr>
        <w:spacing w:line="400" w:lineRule="exact"/>
        <w:jc w:val="center"/>
        <w:rPr>
          <w:rFonts w:hint="eastAsia"/>
          <w:b/>
          <w:color w:val="auto"/>
          <w:szCs w:val="21"/>
          <w:highlight w:val="none"/>
        </w:rPr>
      </w:pPr>
    </w:p>
    <w:p w14:paraId="14520BD0">
      <w:pPr>
        <w:spacing w:line="400" w:lineRule="exact"/>
        <w:jc w:val="center"/>
        <w:rPr>
          <w:rFonts w:hint="eastAsia"/>
          <w:b/>
          <w:color w:val="auto"/>
          <w:szCs w:val="21"/>
          <w:highlight w:val="none"/>
        </w:rPr>
      </w:pPr>
    </w:p>
    <w:p w14:paraId="4F8DA036">
      <w:pPr>
        <w:spacing w:line="400" w:lineRule="exact"/>
        <w:jc w:val="center"/>
        <w:rPr>
          <w:rFonts w:hint="eastAsia"/>
          <w:b/>
          <w:color w:val="auto"/>
          <w:szCs w:val="21"/>
          <w:highlight w:val="none"/>
        </w:rPr>
      </w:pPr>
    </w:p>
    <w:p w14:paraId="41955DFE">
      <w:pPr>
        <w:spacing w:line="400" w:lineRule="exact"/>
        <w:jc w:val="center"/>
        <w:rPr>
          <w:rFonts w:hint="eastAsia"/>
          <w:b/>
          <w:color w:val="auto"/>
          <w:sz w:val="25"/>
          <w:szCs w:val="21"/>
          <w:highlight w:val="none"/>
        </w:rPr>
      </w:pPr>
      <w:r>
        <w:rPr>
          <w:rFonts w:hint="eastAsia"/>
          <w:b/>
          <w:color w:val="auto"/>
          <w:sz w:val="25"/>
          <w:szCs w:val="21"/>
          <w:highlight w:val="none"/>
        </w:rPr>
        <w:t>项目编号：</w:t>
      </w:r>
    </w:p>
    <w:p w14:paraId="2DCB243A">
      <w:pPr>
        <w:spacing w:line="400" w:lineRule="exact"/>
        <w:jc w:val="center"/>
        <w:rPr>
          <w:rFonts w:hint="eastAsia"/>
          <w:b/>
          <w:color w:val="auto"/>
          <w:szCs w:val="21"/>
          <w:highlight w:val="none"/>
        </w:rPr>
      </w:pPr>
    </w:p>
    <w:p w14:paraId="7365DF81">
      <w:pPr>
        <w:spacing w:line="400" w:lineRule="exact"/>
        <w:jc w:val="center"/>
        <w:rPr>
          <w:rFonts w:hint="eastAsia"/>
          <w:b/>
          <w:color w:val="auto"/>
          <w:szCs w:val="21"/>
          <w:highlight w:val="none"/>
        </w:rPr>
      </w:pPr>
    </w:p>
    <w:p w14:paraId="0ED9957A">
      <w:pPr>
        <w:spacing w:line="400" w:lineRule="exact"/>
        <w:jc w:val="center"/>
        <w:rPr>
          <w:rFonts w:hint="eastAsia"/>
          <w:b/>
          <w:color w:val="auto"/>
          <w:szCs w:val="21"/>
          <w:highlight w:val="none"/>
        </w:rPr>
      </w:pPr>
    </w:p>
    <w:p w14:paraId="6A3FB2B2">
      <w:pPr>
        <w:spacing w:line="400" w:lineRule="exact"/>
        <w:jc w:val="center"/>
        <w:rPr>
          <w:rFonts w:hint="eastAsia"/>
          <w:b/>
          <w:color w:val="auto"/>
          <w:szCs w:val="21"/>
          <w:highlight w:val="none"/>
        </w:rPr>
      </w:pPr>
    </w:p>
    <w:p w14:paraId="0332C76B">
      <w:pPr>
        <w:spacing w:line="400" w:lineRule="exact"/>
        <w:jc w:val="center"/>
        <w:rPr>
          <w:rFonts w:hint="eastAsia"/>
          <w:b/>
          <w:color w:val="auto"/>
          <w:szCs w:val="21"/>
          <w:highlight w:val="none"/>
        </w:rPr>
      </w:pPr>
    </w:p>
    <w:p w14:paraId="67AA955C">
      <w:pPr>
        <w:spacing w:line="400" w:lineRule="exact"/>
        <w:jc w:val="center"/>
        <w:rPr>
          <w:rFonts w:hint="eastAsia"/>
          <w:b/>
          <w:color w:val="auto"/>
          <w:szCs w:val="21"/>
          <w:highlight w:val="none"/>
        </w:rPr>
      </w:pPr>
    </w:p>
    <w:p w14:paraId="1AF7000F">
      <w:pPr>
        <w:spacing w:line="400" w:lineRule="exact"/>
        <w:jc w:val="center"/>
        <w:rPr>
          <w:rFonts w:hint="eastAsia"/>
          <w:b/>
          <w:color w:val="auto"/>
          <w:szCs w:val="21"/>
          <w:highlight w:val="none"/>
        </w:rPr>
      </w:pPr>
    </w:p>
    <w:p w14:paraId="3FCEFD9F">
      <w:pPr>
        <w:spacing w:line="400" w:lineRule="exact"/>
        <w:jc w:val="center"/>
        <w:rPr>
          <w:rFonts w:hint="eastAsia"/>
          <w:b/>
          <w:color w:val="auto"/>
          <w:szCs w:val="21"/>
          <w:highlight w:val="none"/>
        </w:rPr>
      </w:pPr>
    </w:p>
    <w:p w14:paraId="13BCF136">
      <w:pPr>
        <w:spacing w:line="400" w:lineRule="exact"/>
        <w:jc w:val="center"/>
        <w:rPr>
          <w:rFonts w:hint="eastAsia"/>
          <w:b/>
          <w:color w:val="auto"/>
          <w:szCs w:val="21"/>
          <w:highlight w:val="none"/>
        </w:rPr>
      </w:pPr>
    </w:p>
    <w:p w14:paraId="668398CD">
      <w:pPr>
        <w:spacing w:line="400" w:lineRule="exact"/>
        <w:jc w:val="center"/>
        <w:rPr>
          <w:rFonts w:hint="eastAsia"/>
          <w:b/>
          <w:color w:val="auto"/>
          <w:szCs w:val="21"/>
          <w:highlight w:val="none"/>
        </w:rPr>
      </w:pPr>
    </w:p>
    <w:p w14:paraId="5192182A">
      <w:pPr>
        <w:spacing w:line="400" w:lineRule="exact"/>
        <w:jc w:val="center"/>
        <w:rPr>
          <w:rFonts w:hint="eastAsia"/>
          <w:b/>
          <w:color w:val="auto"/>
          <w:szCs w:val="21"/>
          <w:highlight w:val="none"/>
        </w:rPr>
      </w:pPr>
    </w:p>
    <w:p w14:paraId="64C55240">
      <w:pPr>
        <w:spacing w:line="400" w:lineRule="exact"/>
        <w:jc w:val="center"/>
        <w:rPr>
          <w:rFonts w:hint="eastAsia"/>
          <w:b/>
          <w:color w:val="auto"/>
          <w:szCs w:val="21"/>
          <w:highlight w:val="none"/>
        </w:rPr>
      </w:pPr>
    </w:p>
    <w:p w14:paraId="7FB66DF4">
      <w:pPr>
        <w:spacing w:line="400" w:lineRule="exact"/>
        <w:jc w:val="center"/>
        <w:rPr>
          <w:rFonts w:hint="eastAsia"/>
          <w:b/>
          <w:color w:val="auto"/>
          <w:szCs w:val="21"/>
          <w:highlight w:val="none"/>
        </w:rPr>
      </w:pPr>
    </w:p>
    <w:p w14:paraId="0E4BAFB6">
      <w:pPr>
        <w:spacing w:line="400" w:lineRule="exact"/>
        <w:jc w:val="center"/>
        <w:rPr>
          <w:rFonts w:hint="eastAsia"/>
          <w:b/>
          <w:color w:val="auto"/>
          <w:szCs w:val="21"/>
          <w:highlight w:val="none"/>
        </w:rPr>
      </w:pPr>
    </w:p>
    <w:p w14:paraId="0AEC14E5">
      <w:pPr>
        <w:spacing w:line="400" w:lineRule="exact"/>
        <w:ind w:firstLine="938" w:firstLineChars="445"/>
        <w:rPr>
          <w:rFonts w:hint="eastAsia"/>
          <w:b/>
          <w:color w:val="auto"/>
          <w:szCs w:val="21"/>
          <w:highlight w:val="none"/>
          <w:u w:val="single"/>
        </w:rPr>
      </w:pPr>
      <w:r>
        <w:rPr>
          <w:rFonts w:hint="eastAsia"/>
          <w:b/>
          <w:color w:val="auto"/>
          <w:szCs w:val="21"/>
          <w:highlight w:val="none"/>
        </w:rPr>
        <w:t>发包人：</w:t>
      </w:r>
      <w:r>
        <w:rPr>
          <w:rFonts w:hint="eastAsia"/>
          <w:b/>
          <w:color w:val="auto"/>
          <w:szCs w:val="21"/>
          <w:highlight w:val="none"/>
          <w:u w:val="single"/>
        </w:rPr>
        <w:t xml:space="preserve">                  </w:t>
      </w:r>
    </w:p>
    <w:p w14:paraId="67552286">
      <w:pPr>
        <w:spacing w:line="400" w:lineRule="exact"/>
        <w:ind w:firstLine="938" w:firstLineChars="445"/>
        <w:rPr>
          <w:rFonts w:hint="eastAsia"/>
          <w:b/>
          <w:color w:val="auto"/>
          <w:szCs w:val="21"/>
          <w:highlight w:val="none"/>
          <w:u w:val="single"/>
        </w:rPr>
      </w:pPr>
      <w:r>
        <w:rPr>
          <w:rFonts w:hint="eastAsia"/>
          <w:b/>
          <w:color w:val="auto"/>
          <w:szCs w:val="21"/>
          <w:highlight w:val="none"/>
        </w:rPr>
        <w:t>承包人：</w:t>
      </w:r>
      <w:r>
        <w:rPr>
          <w:rFonts w:hint="eastAsia"/>
          <w:b/>
          <w:color w:val="auto"/>
          <w:szCs w:val="21"/>
          <w:highlight w:val="none"/>
          <w:u w:val="single"/>
        </w:rPr>
        <w:t xml:space="preserve">                  </w:t>
      </w:r>
    </w:p>
    <w:p w14:paraId="45D249E0">
      <w:pPr>
        <w:spacing w:line="400" w:lineRule="exact"/>
        <w:jc w:val="center"/>
        <w:rPr>
          <w:rFonts w:hint="eastAsia"/>
          <w:b/>
          <w:color w:val="auto"/>
          <w:szCs w:val="21"/>
          <w:highlight w:val="none"/>
        </w:rPr>
      </w:pPr>
    </w:p>
    <w:p w14:paraId="7B64E9C4">
      <w:pPr>
        <w:spacing w:line="400" w:lineRule="exact"/>
        <w:rPr>
          <w:rFonts w:hint="eastAsia"/>
          <w:b/>
          <w:color w:val="auto"/>
          <w:szCs w:val="21"/>
          <w:highlight w:val="none"/>
        </w:rPr>
      </w:pPr>
    </w:p>
    <w:p w14:paraId="6C8488AA">
      <w:pPr>
        <w:rPr>
          <w:rFonts w:hint="eastAsia" w:hAnsi="Courier New"/>
          <w:color w:val="auto"/>
          <w:szCs w:val="21"/>
          <w:highlight w:val="none"/>
        </w:rPr>
      </w:pPr>
    </w:p>
    <w:p w14:paraId="381C0CDB">
      <w:pPr>
        <w:jc w:val="center"/>
        <w:rPr>
          <w:rFonts w:hint="eastAsia" w:hAnsi="Courier New"/>
          <w:color w:val="auto"/>
          <w:szCs w:val="21"/>
          <w:highlight w:val="none"/>
        </w:rPr>
      </w:pPr>
      <w:r>
        <w:rPr>
          <w:rFonts w:hint="eastAsia" w:hAnsi="Courier New"/>
          <w:color w:val="auto"/>
          <w:szCs w:val="21"/>
          <w:highlight w:val="none"/>
        </w:rPr>
        <w:br w:type="page"/>
      </w:r>
    </w:p>
    <w:p w14:paraId="06B8640B">
      <w:pPr>
        <w:jc w:val="center"/>
        <w:rPr>
          <w:rFonts w:hint="eastAsia" w:hAnsi="Courier New"/>
          <w:b/>
          <w:bCs/>
          <w:color w:val="auto"/>
          <w:sz w:val="28"/>
          <w:szCs w:val="28"/>
          <w:highlight w:val="none"/>
        </w:rPr>
      </w:pPr>
      <w:r>
        <w:rPr>
          <w:rFonts w:hint="eastAsia" w:hAnsi="Courier New"/>
          <w:b/>
          <w:bCs/>
          <w:color w:val="auto"/>
          <w:sz w:val="28"/>
          <w:szCs w:val="28"/>
          <w:highlight w:val="none"/>
        </w:rPr>
        <w:t>一、协议书</w:t>
      </w:r>
    </w:p>
    <w:p w14:paraId="17A0E0D7">
      <w:pPr>
        <w:rPr>
          <w:rFonts w:hint="eastAsia" w:hAnsi="Courier New"/>
          <w:b/>
          <w:bCs/>
          <w:color w:val="auto"/>
          <w:szCs w:val="21"/>
          <w:highlight w:val="none"/>
        </w:rPr>
      </w:pPr>
    </w:p>
    <w:p w14:paraId="32477C95">
      <w:pPr>
        <w:spacing w:line="360" w:lineRule="exact"/>
        <w:rPr>
          <w:rFonts w:hint="eastAsia" w:hAnsi="Courier New"/>
          <w:color w:val="auto"/>
          <w:szCs w:val="21"/>
          <w:highlight w:val="none"/>
        </w:rPr>
      </w:pPr>
      <w:r>
        <w:rPr>
          <w:rFonts w:hint="eastAsia" w:hAnsi="Courier New"/>
          <w:color w:val="auto"/>
          <w:szCs w:val="21"/>
          <w:highlight w:val="none"/>
        </w:rPr>
        <w:t>发包人（全称）：</w:t>
      </w:r>
      <w:r>
        <w:rPr>
          <w:rFonts w:hint="eastAsia" w:hAnsi="Courier New"/>
          <w:color w:val="auto"/>
          <w:szCs w:val="21"/>
          <w:highlight w:val="none"/>
          <w:u w:val="single"/>
        </w:rPr>
        <w:t xml:space="preserve">                        </w:t>
      </w:r>
    </w:p>
    <w:p w14:paraId="494A31BC">
      <w:pPr>
        <w:spacing w:line="360" w:lineRule="exact"/>
        <w:rPr>
          <w:rFonts w:hint="eastAsia" w:hAnsi="Courier New"/>
          <w:color w:val="auto"/>
          <w:szCs w:val="21"/>
          <w:highlight w:val="none"/>
        </w:rPr>
      </w:pPr>
      <w:r>
        <w:rPr>
          <w:rFonts w:hint="eastAsia" w:hAnsi="Courier New"/>
          <w:color w:val="auto"/>
          <w:szCs w:val="21"/>
          <w:highlight w:val="none"/>
        </w:rPr>
        <w:t>承包人（全称）：</w:t>
      </w:r>
      <w:r>
        <w:rPr>
          <w:rFonts w:hint="eastAsia" w:hAnsi="Courier New"/>
          <w:color w:val="auto"/>
          <w:szCs w:val="21"/>
          <w:highlight w:val="none"/>
          <w:u w:val="single"/>
        </w:rPr>
        <w:t xml:space="preserve">                        </w:t>
      </w:r>
      <w:r>
        <w:rPr>
          <w:rFonts w:hint="eastAsia" w:hAnsi="Courier New"/>
          <w:color w:val="auto"/>
          <w:szCs w:val="21"/>
          <w:highlight w:val="none"/>
        </w:rPr>
        <w:t xml:space="preserve">  </w:t>
      </w:r>
    </w:p>
    <w:p w14:paraId="4942E611">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0C2101D6">
      <w:pPr>
        <w:spacing w:line="360" w:lineRule="exact"/>
        <w:rPr>
          <w:rFonts w:hint="eastAsia" w:hAnsi="Courier New"/>
          <w:color w:val="auto"/>
          <w:szCs w:val="21"/>
          <w:highlight w:val="none"/>
        </w:rPr>
      </w:pPr>
      <w:r>
        <w:rPr>
          <w:rFonts w:hint="eastAsia" w:hAnsi="Courier New"/>
          <w:color w:val="auto"/>
          <w:szCs w:val="21"/>
          <w:highlight w:val="none"/>
        </w:rPr>
        <w:t xml:space="preserve">    依照《中华人民共和国政府采购法》、《中华人民共和国招标投标法》、《中华人民共和国</w:t>
      </w:r>
      <w:r>
        <w:rPr>
          <w:rFonts w:hint="eastAsia" w:hAnsi="Courier New"/>
          <w:color w:val="auto"/>
          <w:szCs w:val="21"/>
          <w:highlight w:val="none"/>
          <w:lang w:eastAsia="zh-CN"/>
        </w:rPr>
        <w:t>民法典</w:t>
      </w:r>
      <w:r>
        <w:rPr>
          <w:rFonts w:hint="eastAsia" w:hAnsi="Courier New"/>
          <w:color w:val="auto"/>
          <w:szCs w:val="21"/>
          <w:highlight w:val="none"/>
        </w:rPr>
        <w:t>》和《中华人民共和国建筑法》及其他有关法律、行政法规，遵循平等、自愿、公平和诚实信用的原则，双方就本建设工程施工事项协商一致，订立本合同。</w:t>
      </w:r>
    </w:p>
    <w:p w14:paraId="747C1509">
      <w:pPr>
        <w:spacing w:line="360" w:lineRule="exact"/>
        <w:rPr>
          <w:rFonts w:hint="eastAsia" w:hAnsi="Courier New"/>
          <w:color w:val="auto"/>
          <w:szCs w:val="21"/>
          <w:highlight w:val="none"/>
        </w:rPr>
      </w:pPr>
      <w:r>
        <w:rPr>
          <w:rFonts w:hint="eastAsia" w:hAnsi="Courier New"/>
          <w:color w:val="auto"/>
          <w:szCs w:val="21"/>
          <w:highlight w:val="none"/>
        </w:rPr>
        <w:t>一、工程概况</w:t>
      </w:r>
    </w:p>
    <w:p w14:paraId="1923C10E">
      <w:pPr>
        <w:spacing w:line="360" w:lineRule="exact"/>
        <w:rPr>
          <w:rFonts w:hint="eastAsia" w:hAnsi="Courier New"/>
          <w:color w:val="auto"/>
          <w:szCs w:val="21"/>
          <w:highlight w:val="none"/>
        </w:rPr>
      </w:pPr>
      <w:r>
        <w:rPr>
          <w:rFonts w:hint="eastAsia" w:hAnsi="Courier New"/>
          <w:color w:val="auto"/>
          <w:szCs w:val="21"/>
          <w:highlight w:val="none"/>
        </w:rPr>
        <w:t xml:space="preserve">    工程名称：</w:t>
      </w:r>
    </w:p>
    <w:p w14:paraId="50E0BD86">
      <w:pPr>
        <w:spacing w:line="360" w:lineRule="exact"/>
        <w:rPr>
          <w:rFonts w:hint="eastAsia" w:hAnsi="Courier New"/>
          <w:color w:val="auto"/>
          <w:szCs w:val="21"/>
          <w:highlight w:val="none"/>
        </w:rPr>
      </w:pPr>
      <w:r>
        <w:rPr>
          <w:rFonts w:hint="eastAsia" w:hAnsi="Courier New"/>
          <w:color w:val="auto"/>
          <w:szCs w:val="21"/>
          <w:highlight w:val="none"/>
        </w:rPr>
        <w:t xml:space="preserve">    工程地点：</w:t>
      </w:r>
    </w:p>
    <w:p w14:paraId="549ED752">
      <w:pPr>
        <w:spacing w:line="360" w:lineRule="exact"/>
        <w:rPr>
          <w:rFonts w:hint="eastAsia" w:hAnsi="Courier New"/>
          <w:color w:val="auto"/>
          <w:szCs w:val="21"/>
          <w:highlight w:val="none"/>
          <w:shd w:val="clear" w:color="auto" w:fill="FFC000"/>
        </w:rPr>
      </w:pPr>
      <w:r>
        <w:rPr>
          <w:rFonts w:hint="eastAsia" w:hAnsi="Courier New"/>
          <w:color w:val="auto"/>
          <w:szCs w:val="21"/>
          <w:highlight w:val="none"/>
        </w:rPr>
        <w:t xml:space="preserve">    工程内容：</w:t>
      </w:r>
    </w:p>
    <w:p w14:paraId="280FA802">
      <w:pPr>
        <w:spacing w:line="360" w:lineRule="exact"/>
        <w:ind w:firstLine="420"/>
        <w:rPr>
          <w:rFonts w:hint="eastAsia" w:hAnsi="Courier New"/>
          <w:color w:val="auto"/>
          <w:szCs w:val="21"/>
          <w:highlight w:val="none"/>
        </w:rPr>
      </w:pPr>
      <w:r>
        <w:rPr>
          <w:rFonts w:hint="eastAsia" w:hAnsi="Courier New"/>
          <w:color w:val="auto"/>
          <w:szCs w:val="21"/>
          <w:highlight w:val="none"/>
        </w:rPr>
        <w:t>建筑规模：</w:t>
      </w:r>
    </w:p>
    <w:p w14:paraId="05D52EAD">
      <w:pPr>
        <w:spacing w:line="360" w:lineRule="exact"/>
        <w:ind w:firstLine="420"/>
        <w:rPr>
          <w:rFonts w:hint="eastAsia" w:hAnsi="Courier New"/>
          <w:color w:val="auto"/>
          <w:szCs w:val="21"/>
          <w:highlight w:val="none"/>
        </w:rPr>
      </w:pPr>
      <w:r>
        <w:rPr>
          <w:rFonts w:hint="eastAsia" w:hAnsi="Courier New"/>
          <w:color w:val="auto"/>
          <w:szCs w:val="21"/>
          <w:highlight w:val="none"/>
        </w:rPr>
        <w:t>工程立项批准文号：</w:t>
      </w:r>
    </w:p>
    <w:p w14:paraId="2F6C0C74">
      <w:pPr>
        <w:spacing w:line="360" w:lineRule="exact"/>
        <w:rPr>
          <w:rFonts w:hint="eastAsia" w:hAnsi="Courier New"/>
          <w:color w:val="auto"/>
          <w:szCs w:val="21"/>
          <w:highlight w:val="none"/>
        </w:rPr>
      </w:pPr>
      <w:r>
        <w:rPr>
          <w:rFonts w:hint="eastAsia" w:hAnsi="Courier New"/>
          <w:color w:val="auto"/>
          <w:szCs w:val="21"/>
          <w:highlight w:val="none"/>
        </w:rPr>
        <w:t xml:space="preserve">    资金来源：</w:t>
      </w:r>
    </w:p>
    <w:p w14:paraId="3C50EBAD">
      <w:pPr>
        <w:spacing w:line="360" w:lineRule="exact"/>
        <w:rPr>
          <w:rFonts w:hint="eastAsia" w:hAnsi="Courier New"/>
          <w:color w:val="auto"/>
          <w:szCs w:val="21"/>
          <w:highlight w:val="none"/>
        </w:rPr>
      </w:pPr>
      <w:r>
        <w:rPr>
          <w:rFonts w:hint="eastAsia" w:hAnsi="Courier New"/>
          <w:color w:val="auto"/>
          <w:szCs w:val="21"/>
          <w:highlight w:val="none"/>
        </w:rPr>
        <w:t>二、工程承包范围</w:t>
      </w:r>
    </w:p>
    <w:p w14:paraId="171D3CD4">
      <w:pPr>
        <w:spacing w:line="360" w:lineRule="exact"/>
        <w:rPr>
          <w:rFonts w:hint="eastAsia" w:hAnsi="Courier New"/>
          <w:color w:val="auto"/>
          <w:szCs w:val="21"/>
          <w:highlight w:val="none"/>
        </w:rPr>
      </w:pPr>
      <w:r>
        <w:rPr>
          <w:rFonts w:hint="eastAsia" w:hAnsi="Courier New"/>
          <w:color w:val="auto"/>
          <w:szCs w:val="21"/>
          <w:highlight w:val="none"/>
        </w:rPr>
        <w:t xml:space="preserve">    承包范围：</w:t>
      </w:r>
    </w:p>
    <w:p w14:paraId="66F801EB">
      <w:pPr>
        <w:spacing w:line="360" w:lineRule="exact"/>
        <w:rPr>
          <w:rFonts w:hint="eastAsia" w:hAnsi="Courier New"/>
          <w:color w:val="auto"/>
          <w:szCs w:val="21"/>
          <w:highlight w:val="none"/>
        </w:rPr>
      </w:pPr>
      <w:r>
        <w:rPr>
          <w:rFonts w:hint="eastAsia" w:hAnsi="Courier New"/>
          <w:color w:val="auto"/>
          <w:szCs w:val="21"/>
          <w:highlight w:val="none"/>
        </w:rPr>
        <w:t>三、合同工期</w:t>
      </w:r>
    </w:p>
    <w:p w14:paraId="7B5ED29E">
      <w:pPr>
        <w:spacing w:line="360" w:lineRule="exact"/>
        <w:rPr>
          <w:rFonts w:hint="eastAsia" w:hAnsi="Courier New"/>
          <w:color w:val="auto"/>
          <w:szCs w:val="21"/>
          <w:highlight w:val="none"/>
        </w:rPr>
      </w:pPr>
      <w:r>
        <w:rPr>
          <w:rFonts w:hint="eastAsia" w:hAnsi="Courier New"/>
          <w:color w:val="auto"/>
          <w:szCs w:val="21"/>
          <w:highlight w:val="none"/>
        </w:rPr>
        <w:t xml:space="preserve">    开工日期：</w:t>
      </w:r>
      <w:r>
        <w:rPr>
          <w:rFonts w:hint="eastAsia" w:hAnsi="Courier New"/>
          <w:color w:val="auto"/>
          <w:szCs w:val="21"/>
          <w:highlight w:val="none"/>
          <w:u w:val="single"/>
        </w:rPr>
        <w:t xml:space="preserve">以总监理工程师开具并有发包人签认的开工令为准 </w:t>
      </w:r>
      <w:r>
        <w:rPr>
          <w:rFonts w:hint="eastAsia" w:hAnsi="Courier New"/>
          <w:color w:val="auto"/>
          <w:szCs w:val="21"/>
          <w:highlight w:val="none"/>
        </w:rPr>
        <w:t>。</w:t>
      </w:r>
    </w:p>
    <w:p w14:paraId="1EEAE440">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竣工日期：</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23CED47E">
      <w:pPr>
        <w:spacing w:line="360" w:lineRule="exact"/>
        <w:ind w:firstLine="420" w:firstLineChars="200"/>
        <w:rPr>
          <w:rFonts w:hint="eastAsia" w:hAnsi="Courier New"/>
          <w:color w:val="auto"/>
          <w:szCs w:val="21"/>
          <w:highlight w:val="none"/>
        </w:rPr>
      </w:pPr>
      <w:r>
        <w:rPr>
          <w:rFonts w:hint="eastAsia" w:hAnsi="Courier New"/>
          <w:color w:val="auto"/>
          <w:szCs w:val="21"/>
          <w:highlight w:val="none"/>
        </w:rPr>
        <w:t>合同工期总日历天数：</w:t>
      </w:r>
      <w:r>
        <w:rPr>
          <w:rFonts w:hint="eastAsia" w:hAnsi="Courier New"/>
          <w:color w:val="auto"/>
          <w:szCs w:val="21"/>
          <w:highlight w:val="none"/>
          <w:u w:val="single"/>
        </w:rPr>
        <w:t xml:space="preserve">      </w:t>
      </w:r>
      <w:r>
        <w:rPr>
          <w:rFonts w:hint="eastAsia" w:hAnsi="Courier New"/>
          <w:color w:val="auto"/>
          <w:szCs w:val="21"/>
          <w:highlight w:val="none"/>
        </w:rPr>
        <w:t>天。</w:t>
      </w:r>
    </w:p>
    <w:p w14:paraId="66952759">
      <w:pPr>
        <w:spacing w:line="360" w:lineRule="exact"/>
        <w:rPr>
          <w:rFonts w:hint="eastAsia" w:hAnsi="Courier New"/>
          <w:color w:val="auto"/>
          <w:szCs w:val="21"/>
          <w:highlight w:val="none"/>
        </w:rPr>
      </w:pPr>
      <w:r>
        <w:rPr>
          <w:rFonts w:hint="eastAsia" w:hAnsi="Courier New"/>
          <w:color w:val="auto"/>
          <w:szCs w:val="21"/>
          <w:highlight w:val="none"/>
        </w:rPr>
        <w:t>四、质量标准</w:t>
      </w:r>
    </w:p>
    <w:p w14:paraId="113E532A">
      <w:pPr>
        <w:spacing w:line="360" w:lineRule="exact"/>
        <w:ind w:firstLine="315" w:firstLineChars="150"/>
        <w:rPr>
          <w:rFonts w:hint="eastAsia" w:hAnsi="Courier New"/>
          <w:color w:val="auto"/>
          <w:szCs w:val="21"/>
          <w:highlight w:val="none"/>
        </w:rPr>
      </w:pPr>
      <w:r>
        <w:rPr>
          <w:rFonts w:hint="eastAsia" w:hAnsi="Courier New"/>
          <w:color w:val="auto"/>
          <w:szCs w:val="21"/>
          <w:highlight w:val="none"/>
        </w:rPr>
        <w:t xml:space="preserve"> 工程质量标准：</w:t>
      </w:r>
      <w:r>
        <w:rPr>
          <w:rFonts w:hint="eastAsia" w:hAnsi="Courier New"/>
          <w:color w:val="auto"/>
          <w:szCs w:val="21"/>
          <w:highlight w:val="none"/>
          <w:u w:val="single"/>
        </w:rPr>
        <w:t xml:space="preserve">     </w:t>
      </w:r>
      <w:r>
        <w:rPr>
          <w:rFonts w:hint="eastAsia" w:hAnsi="Courier New"/>
          <w:color w:val="auto"/>
          <w:szCs w:val="21"/>
          <w:highlight w:val="none"/>
          <w:u w:val="single"/>
          <w:lang w:val="en-US" w:eastAsia="zh-CN"/>
        </w:rPr>
        <w:t xml:space="preserve">               </w:t>
      </w:r>
      <w:r>
        <w:rPr>
          <w:rFonts w:hint="eastAsia" w:hAnsi="Courier New"/>
          <w:color w:val="auto"/>
          <w:szCs w:val="21"/>
          <w:highlight w:val="none"/>
          <w:u w:val="single"/>
        </w:rPr>
        <w:t xml:space="preserve"> </w:t>
      </w:r>
      <w:r>
        <w:rPr>
          <w:rFonts w:hint="eastAsia" w:hAnsi="Courier New"/>
          <w:color w:val="auto"/>
          <w:szCs w:val="21"/>
          <w:highlight w:val="none"/>
        </w:rPr>
        <w:t>。</w:t>
      </w:r>
    </w:p>
    <w:p w14:paraId="51E29E54">
      <w:pPr>
        <w:spacing w:line="360" w:lineRule="exact"/>
        <w:rPr>
          <w:rFonts w:hint="eastAsia" w:hAnsi="Courier New"/>
          <w:color w:val="auto"/>
          <w:szCs w:val="21"/>
          <w:highlight w:val="none"/>
        </w:rPr>
      </w:pPr>
      <w:r>
        <w:rPr>
          <w:rFonts w:hint="eastAsia" w:hAnsi="Courier New"/>
          <w:color w:val="auto"/>
          <w:szCs w:val="21"/>
          <w:highlight w:val="none"/>
        </w:rPr>
        <w:t>五、合同价款</w:t>
      </w:r>
    </w:p>
    <w:p w14:paraId="28769DA5">
      <w:pPr>
        <w:spacing w:line="360" w:lineRule="exact"/>
        <w:ind w:firstLine="440"/>
        <w:rPr>
          <w:rFonts w:hint="eastAsia" w:hAnsi="Courier New"/>
          <w:color w:val="auto"/>
          <w:szCs w:val="21"/>
          <w:highlight w:val="none"/>
        </w:rPr>
      </w:pPr>
      <w:r>
        <w:rPr>
          <w:rFonts w:hint="eastAsia" w:hAnsi="Courier New"/>
          <w:color w:val="auto"/>
          <w:szCs w:val="21"/>
          <w:highlight w:val="none"/>
        </w:rPr>
        <w:t>金额(人民币大写)：</w:t>
      </w:r>
      <w:r>
        <w:rPr>
          <w:rFonts w:hint="eastAsia" w:hAnsi="Courier New"/>
          <w:color w:val="auto"/>
          <w:szCs w:val="21"/>
          <w:highlight w:val="none"/>
          <w:u w:val="single"/>
        </w:rPr>
        <w:t xml:space="preserve">                  </w:t>
      </w:r>
      <w:r>
        <w:rPr>
          <w:rFonts w:hint="eastAsia" w:hAnsi="Courier New"/>
          <w:color w:val="auto"/>
          <w:szCs w:val="21"/>
          <w:highlight w:val="none"/>
        </w:rPr>
        <w:t>元（人民币） ￥：</w:t>
      </w:r>
      <w:r>
        <w:rPr>
          <w:rFonts w:hint="eastAsia" w:hAnsi="Courier New"/>
          <w:color w:val="auto"/>
          <w:szCs w:val="21"/>
          <w:highlight w:val="none"/>
          <w:u w:val="single"/>
        </w:rPr>
        <w:t xml:space="preserve">              </w:t>
      </w:r>
      <w:r>
        <w:rPr>
          <w:rFonts w:hint="eastAsia" w:hAnsi="Courier New"/>
          <w:color w:val="auto"/>
          <w:szCs w:val="21"/>
          <w:highlight w:val="none"/>
        </w:rPr>
        <w:t>元。</w:t>
      </w:r>
    </w:p>
    <w:p w14:paraId="6D80DEF7">
      <w:pPr>
        <w:spacing w:line="360" w:lineRule="exact"/>
        <w:rPr>
          <w:rFonts w:hint="eastAsia" w:hAnsi="Courier New"/>
          <w:color w:val="auto"/>
          <w:szCs w:val="21"/>
          <w:highlight w:val="none"/>
        </w:rPr>
      </w:pPr>
      <w:r>
        <w:rPr>
          <w:rFonts w:hint="eastAsia" w:hAnsi="Courier New"/>
          <w:color w:val="auto"/>
          <w:szCs w:val="21"/>
          <w:highlight w:val="none"/>
        </w:rPr>
        <w:t>六、组成合同的文件</w:t>
      </w:r>
    </w:p>
    <w:p w14:paraId="6D92F72C">
      <w:pPr>
        <w:spacing w:line="360" w:lineRule="exact"/>
        <w:rPr>
          <w:rFonts w:hint="eastAsia" w:hAnsi="Courier New"/>
          <w:color w:val="auto"/>
          <w:szCs w:val="21"/>
          <w:highlight w:val="none"/>
        </w:rPr>
      </w:pPr>
      <w:r>
        <w:rPr>
          <w:rFonts w:hint="eastAsia" w:hAnsi="Courier New"/>
          <w:color w:val="auto"/>
          <w:szCs w:val="21"/>
          <w:highlight w:val="none"/>
        </w:rPr>
        <w:t xml:space="preserve">    组成本合同的文件包括：</w:t>
      </w:r>
    </w:p>
    <w:p w14:paraId="25015083">
      <w:pPr>
        <w:spacing w:line="360" w:lineRule="exact"/>
        <w:rPr>
          <w:rFonts w:hint="eastAsia" w:hAnsi="Courier New"/>
          <w:color w:val="auto"/>
          <w:szCs w:val="21"/>
          <w:highlight w:val="none"/>
        </w:rPr>
      </w:pPr>
      <w:r>
        <w:rPr>
          <w:rFonts w:hint="eastAsia" w:hAnsi="Courier New"/>
          <w:color w:val="auto"/>
          <w:szCs w:val="21"/>
          <w:highlight w:val="none"/>
        </w:rPr>
        <w:t xml:space="preserve">    1．本合同协议书；</w:t>
      </w:r>
    </w:p>
    <w:p w14:paraId="17F3016F">
      <w:pPr>
        <w:spacing w:line="360" w:lineRule="exact"/>
        <w:rPr>
          <w:rFonts w:hint="eastAsia" w:hAnsi="Courier New"/>
          <w:color w:val="auto"/>
          <w:szCs w:val="21"/>
          <w:highlight w:val="none"/>
        </w:rPr>
      </w:pPr>
      <w:r>
        <w:rPr>
          <w:rFonts w:hint="eastAsia" w:hAnsi="Courier New"/>
          <w:color w:val="auto"/>
          <w:szCs w:val="21"/>
          <w:highlight w:val="none"/>
        </w:rPr>
        <w:t xml:space="preserve">    2．成交通知书；</w:t>
      </w:r>
    </w:p>
    <w:p w14:paraId="3AAC909F">
      <w:pPr>
        <w:spacing w:line="360" w:lineRule="exact"/>
        <w:rPr>
          <w:rFonts w:hint="eastAsia" w:hAnsi="Courier New"/>
          <w:color w:val="auto"/>
          <w:szCs w:val="21"/>
          <w:highlight w:val="none"/>
        </w:rPr>
      </w:pPr>
      <w:r>
        <w:rPr>
          <w:rFonts w:hint="eastAsia" w:hAnsi="Courier New"/>
          <w:color w:val="auto"/>
          <w:szCs w:val="21"/>
          <w:highlight w:val="none"/>
        </w:rPr>
        <w:t xml:space="preserve">    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67A72482">
      <w:pPr>
        <w:spacing w:line="360" w:lineRule="exact"/>
        <w:rPr>
          <w:rFonts w:hint="eastAsia" w:hAnsi="Courier New"/>
          <w:color w:val="auto"/>
          <w:szCs w:val="21"/>
          <w:highlight w:val="none"/>
        </w:rPr>
      </w:pPr>
      <w:r>
        <w:rPr>
          <w:rFonts w:hint="eastAsia" w:hAnsi="Courier New"/>
          <w:color w:val="auto"/>
          <w:szCs w:val="21"/>
          <w:highlight w:val="none"/>
        </w:rPr>
        <w:t xml:space="preserve">    4．本合同专用条款；</w:t>
      </w:r>
    </w:p>
    <w:p w14:paraId="6FBDDEA1">
      <w:pPr>
        <w:spacing w:line="360" w:lineRule="exact"/>
        <w:rPr>
          <w:rFonts w:hint="eastAsia" w:hAnsi="Courier New"/>
          <w:color w:val="auto"/>
          <w:szCs w:val="21"/>
          <w:highlight w:val="none"/>
        </w:rPr>
      </w:pPr>
      <w:r>
        <w:rPr>
          <w:rFonts w:hint="eastAsia" w:hAnsi="Courier New"/>
          <w:color w:val="auto"/>
          <w:szCs w:val="21"/>
          <w:highlight w:val="none"/>
        </w:rPr>
        <w:t xml:space="preserve">    5．本合同通用条款；</w:t>
      </w:r>
    </w:p>
    <w:p w14:paraId="10A5C80A">
      <w:pPr>
        <w:spacing w:line="360" w:lineRule="exact"/>
        <w:rPr>
          <w:rFonts w:hint="eastAsia" w:hAnsi="Courier New"/>
          <w:color w:val="auto"/>
          <w:szCs w:val="21"/>
          <w:highlight w:val="none"/>
        </w:rPr>
      </w:pPr>
      <w:r>
        <w:rPr>
          <w:rFonts w:hint="eastAsia" w:hAnsi="Courier New"/>
          <w:color w:val="auto"/>
          <w:szCs w:val="21"/>
          <w:highlight w:val="none"/>
        </w:rPr>
        <w:t xml:space="preserve">    6．标准、规范及有关技术文件；</w:t>
      </w:r>
    </w:p>
    <w:p w14:paraId="5955B116">
      <w:pPr>
        <w:spacing w:line="360" w:lineRule="exact"/>
        <w:rPr>
          <w:rFonts w:hint="eastAsia" w:hAnsi="Courier New"/>
          <w:color w:val="auto"/>
          <w:szCs w:val="21"/>
          <w:highlight w:val="none"/>
        </w:rPr>
      </w:pPr>
      <w:r>
        <w:rPr>
          <w:rFonts w:hint="eastAsia" w:hAnsi="Courier New"/>
          <w:color w:val="auto"/>
          <w:szCs w:val="21"/>
          <w:highlight w:val="none"/>
        </w:rPr>
        <w:t xml:space="preserve">    7．图纸；</w:t>
      </w:r>
    </w:p>
    <w:p w14:paraId="41362504">
      <w:pPr>
        <w:spacing w:line="360" w:lineRule="exact"/>
        <w:rPr>
          <w:rFonts w:hint="eastAsia" w:hAnsi="Courier New"/>
          <w:color w:val="auto"/>
          <w:szCs w:val="21"/>
          <w:highlight w:val="none"/>
        </w:rPr>
      </w:pPr>
      <w:r>
        <w:rPr>
          <w:rFonts w:hint="eastAsia" w:hAnsi="Courier New"/>
          <w:color w:val="auto"/>
          <w:szCs w:val="21"/>
          <w:highlight w:val="none"/>
        </w:rPr>
        <w:t xml:space="preserve">    8．工程量清单；</w:t>
      </w:r>
    </w:p>
    <w:p w14:paraId="5CD41EB8">
      <w:pPr>
        <w:spacing w:line="360" w:lineRule="exact"/>
        <w:rPr>
          <w:rFonts w:hint="eastAsia" w:hAnsi="Courier New"/>
          <w:color w:val="auto"/>
          <w:szCs w:val="21"/>
          <w:highlight w:val="none"/>
        </w:rPr>
      </w:pPr>
      <w:r>
        <w:rPr>
          <w:rFonts w:hint="eastAsia" w:hAnsi="Courier New"/>
          <w:color w:val="auto"/>
          <w:szCs w:val="21"/>
          <w:highlight w:val="none"/>
        </w:rPr>
        <w:t xml:space="preserve">    9．采购文件(含补充通知和答疑)；</w:t>
      </w:r>
    </w:p>
    <w:p w14:paraId="26A8DA13">
      <w:pPr>
        <w:spacing w:line="360" w:lineRule="exact"/>
        <w:rPr>
          <w:rFonts w:hint="eastAsia" w:hAnsi="Courier New"/>
          <w:color w:val="auto"/>
          <w:szCs w:val="21"/>
          <w:highlight w:val="none"/>
        </w:rPr>
      </w:pPr>
      <w:r>
        <w:rPr>
          <w:rFonts w:hint="eastAsia" w:hAnsi="Courier New"/>
          <w:color w:val="auto"/>
          <w:szCs w:val="21"/>
          <w:highlight w:val="none"/>
        </w:rPr>
        <w:t xml:space="preserve">    10．廉政责任书；</w:t>
      </w:r>
    </w:p>
    <w:p w14:paraId="023CE7D7">
      <w:pPr>
        <w:spacing w:line="360" w:lineRule="exact"/>
        <w:rPr>
          <w:rFonts w:hint="eastAsia" w:hAnsi="Courier New"/>
          <w:color w:val="auto"/>
          <w:szCs w:val="21"/>
          <w:highlight w:val="none"/>
        </w:rPr>
      </w:pPr>
      <w:r>
        <w:rPr>
          <w:rFonts w:hint="eastAsia" w:hAnsi="Courier New"/>
          <w:color w:val="auto"/>
          <w:szCs w:val="21"/>
          <w:highlight w:val="none"/>
        </w:rPr>
        <w:t xml:space="preserve">    11．履约保证金缴纳证明；</w:t>
      </w:r>
    </w:p>
    <w:p w14:paraId="60D12F2F">
      <w:pPr>
        <w:spacing w:line="360" w:lineRule="exact"/>
        <w:rPr>
          <w:rFonts w:hint="eastAsia" w:hAnsi="Courier New"/>
          <w:color w:val="auto"/>
          <w:szCs w:val="21"/>
          <w:highlight w:val="none"/>
        </w:rPr>
      </w:pPr>
      <w:r>
        <w:rPr>
          <w:rFonts w:hint="eastAsia" w:hAnsi="Courier New"/>
          <w:color w:val="auto"/>
          <w:szCs w:val="21"/>
          <w:highlight w:val="none"/>
        </w:rPr>
        <w:t xml:space="preserve">   </w:t>
      </w:r>
    </w:p>
    <w:p w14:paraId="356E80D2">
      <w:pPr>
        <w:spacing w:line="360" w:lineRule="exact"/>
        <w:ind w:firstLine="480"/>
        <w:rPr>
          <w:rFonts w:hint="eastAsia" w:hAnsi="Courier New"/>
          <w:color w:val="auto"/>
          <w:szCs w:val="21"/>
          <w:highlight w:val="none"/>
        </w:rPr>
      </w:pPr>
      <w:r>
        <w:rPr>
          <w:rFonts w:hint="eastAsia" w:hAnsi="Courier New"/>
          <w:color w:val="auto"/>
          <w:szCs w:val="21"/>
          <w:highlight w:val="none"/>
        </w:rPr>
        <w:t>双方有关工程的洽商、变更等书面协议或文件，视为本合同的组成部分。</w:t>
      </w:r>
    </w:p>
    <w:p w14:paraId="4B25D1B8">
      <w:pPr>
        <w:spacing w:line="360" w:lineRule="exact"/>
        <w:rPr>
          <w:rFonts w:hint="eastAsia" w:hAnsi="Courier New"/>
          <w:color w:val="auto"/>
          <w:szCs w:val="21"/>
          <w:highlight w:val="none"/>
        </w:rPr>
      </w:pPr>
      <w:r>
        <w:rPr>
          <w:rFonts w:hint="eastAsia" w:hAnsi="Courier New"/>
          <w:color w:val="auto"/>
          <w:szCs w:val="21"/>
          <w:highlight w:val="none"/>
        </w:rPr>
        <w:t xml:space="preserve">七、本协议书中有关词语含义与采购文件第四章(通用条款)中分别赋予它们的定义相同。                                 </w:t>
      </w:r>
    </w:p>
    <w:p w14:paraId="6F59F6C4">
      <w:pPr>
        <w:spacing w:line="360" w:lineRule="exact"/>
        <w:rPr>
          <w:rFonts w:hint="eastAsia" w:hAnsi="Courier New"/>
          <w:color w:val="auto"/>
          <w:szCs w:val="21"/>
          <w:highlight w:val="none"/>
        </w:rPr>
      </w:pPr>
      <w:r>
        <w:rPr>
          <w:rFonts w:hint="eastAsia" w:hAnsi="Courier New"/>
          <w:color w:val="auto"/>
          <w:szCs w:val="21"/>
          <w:highlight w:val="none"/>
        </w:rPr>
        <w:t>八、承包人向发包人承诺按照合同约定进行施工、竣工并在质量保修期内承担工程质量保修责任。</w:t>
      </w:r>
    </w:p>
    <w:p w14:paraId="70C3FD80">
      <w:pPr>
        <w:spacing w:line="360" w:lineRule="exact"/>
        <w:rPr>
          <w:rFonts w:hint="eastAsia" w:hAnsi="Courier New"/>
          <w:color w:val="auto"/>
          <w:szCs w:val="21"/>
          <w:highlight w:val="none"/>
        </w:rPr>
      </w:pPr>
      <w:r>
        <w:rPr>
          <w:rFonts w:hint="eastAsia" w:hAnsi="Courier New"/>
          <w:color w:val="auto"/>
          <w:szCs w:val="21"/>
          <w:highlight w:val="none"/>
        </w:rPr>
        <w:t>九、发包人向承包人承诺按照合同约定的期限和方式支付合同价款及其他应当支付的款项。</w:t>
      </w:r>
    </w:p>
    <w:p w14:paraId="644F2983">
      <w:pPr>
        <w:spacing w:line="360" w:lineRule="exact"/>
        <w:rPr>
          <w:rFonts w:hint="eastAsia" w:hAnsi="Courier New"/>
          <w:color w:val="auto"/>
          <w:szCs w:val="21"/>
          <w:highlight w:val="none"/>
        </w:rPr>
      </w:pPr>
      <w:r>
        <w:rPr>
          <w:rFonts w:hint="eastAsia" w:hAnsi="Courier New"/>
          <w:color w:val="auto"/>
          <w:szCs w:val="21"/>
          <w:highlight w:val="none"/>
        </w:rPr>
        <w:t>十、合同生效</w:t>
      </w:r>
    </w:p>
    <w:p w14:paraId="06BB5EC9">
      <w:pPr>
        <w:spacing w:line="360" w:lineRule="exact"/>
        <w:rPr>
          <w:rFonts w:hint="eastAsia" w:hAnsi="Courier New"/>
          <w:color w:val="auto"/>
          <w:szCs w:val="21"/>
          <w:highlight w:val="none"/>
        </w:rPr>
      </w:pPr>
      <w:r>
        <w:rPr>
          <w:rFonts w:hint="eastAsia" w:hAnsi="Courier New"/>
          <w:color w:val="auto"/>
          <w:szCs w:val="21"/>
          <w:highlight w:val="none"/>
        </w:rPr>
        <w:t xml:space="preserve">    合同订立时间：</w:t>
      </w:r>
      <w:r>
        <w:rPr>
          <w:rFonts w:hint="eastAsia" w:hAnsi="Courier New"/>
          <w:color w:val="auto"/>
          <w:szCs w:val="21"/>
          <w:highlight w:val="none"/>
          <w:u w:val="single"/>
        </w:rPr>
        <w:t xml:space="preserve">      </w:t>
      </w:r>
      <w:r>
        <w:rPr>
          <w:rFonts w:hint="eastAsia" w:hAnsi="Courier New"/>
          <w:color w:val="auto"/>
          <w:szCs w:val="21"/>
          <w:highlight w:val="none"/>
        </w:rPr>
        <w:t>年</w:t>
      </w:r>
      <w:r>
        <w:rPr>
          <w:rFonts w:hint="eastAsia" w:hAnsi="Courier New"/>
          <w:color w:val="auto"/>
          <w:szCs w:val="21"/>
          <w:highlight w:val="none"/>
          <w:u w:val="single"/>
        </w:rPr>
        <w:t xml:space="preserve">      </w:t>
      </w:r>
      <w:r>
        <w:rPr>
          <w:rFonts w:hint="eastAsia" w:hAnsi="Courier New"/>
          <w:color w:val="auto"/>
          <w:szCs w:val="21"/>
          <w:highlight w:val="none"/>
        </w:rPr>
        <w:t>月</w:t>
      </w:r>
      <w:r>
        <w:rPr>
          <w:rFonts w:hint="eastAsia" w:hAnsi="Courier New"/>
          <w:color w:val="auto"/>
          <w:szCs w:val="21"/>
          <w:highlight w:val="none"/>
          <w:u w:val="single"/>
        </w:rPr>
        <w:t xml:space="preserve">      </w:t>
      </w:r>
      <w:r>
        <w:rPr>
          <w:rFonts w:hint="eastAsia" w:hAnsi="Courier New"/>
          <w:color w:val="auto"/>
          <w:szCs w:val="21"/>
          <w:highlight w:val="none"/>
        </w:rPr>
        <w:t>日。</w:t>
      </w:r>
    </w:p>
    <w:p w14:paraId="38D1A535">
      <w:pPr>
        <w:spacing w:line="360" w:lineRule="exact"/>
        <w:rPr>
          <w:rFonts w:hint="eastAsia" w:hAnsi="Courier New"/>
          <w:color w:val="auto"/>
          <w:szCs w:val="21"/>
          <w:highlight w:val="none"/>
          <w:u w:val="single"/>
        </w:rPr>
      </w:pPr>
      <w:r>
        <w:rPr>
          <w:rFonts w:hint="eastAsia" w:hAnsi="Courier New"/>
          <w:color w:val="auto"/>
          <w:szCs w:val="21"/>
          <w:highlight w:val="none"/>
        </w:rPr>
        <w:t xml:space="preserve">    合同订立地点：</w:t>
      </w:r>
      <w:r>
        <w:rPr>
          <w:rFonts w:hint="eastAsia" w:hAnsi="Courier New"/>
          <w:color w:val="auto"/>
          <w:szCs w:val="21"/>
          <w:highlight w:val="none"/>
          <w:u w:val="single"/>
        </w:rPr>
        <w:t>广西钦州市</w:t>
      </w:r>
      <w:r>
        <w:rPr>
          <w:rFonts w:hint="eastAsia" w:hAnsi="Courier New"/>
          <w:color w:val="auto"/>
          <w:szCs w:val="21"/>
          <w:highlight w:val="none"/>
        </w:rPr>
        <w:t>。</w:t>
      </w:r>
    </w:p>
    <w:p w14:paraId="4FEA7048">
      <w:pPr>
        <w:spacing w:line="360" w:lineRule="exact"/>
        <w:rPr>
          <w:rFonts w:hint="eastAsia" w:hAnsi="Courier New"/>
          <w:color w:val="auto"/>
          <w:szCs w:val="21"/>
          <w:highlight w:val="none"/>
        </w:rPr>
      </w:pPr>
      <w:r>
        <w:rPr>
          <w:rFonts w:hint="eastAsia" w:hAnsi="Courier New"/>
          <w:color w:val="auto"/>
          <w:szCs w:val="21"/>
          <w:highlight w:val="none"/>
        </w:rPr>
        <w:t xml:space="preserve">    本合同双方约定</w:t>
      </w:r>
      <w:r>
        <w:rPr>
          <w:rFonts w:hint="eastAsia" w:hAnsi="Courier New"/>
          <w:color w:val="auto"/>
          <w:szCs w:val="21"/>
          <w:highlight w:val="none"/>
          <w:u w:val="single"/>
        </w:rPr>
        <w:t>双方法定代表人或其授权代理人签字或盖章并加盖单位公章后生效</w:t>
      </w:r>
      <w:r>
        <w:rPr>
          <w:rFonts w:hint="eastAsia" w:hAnsi="Courier New"/>
          <w:color w:val="auto"/>
          <w:szCs w:val="21"/>
          <w:highlight w:val="none"/>
        </w:rPr>
        <w:t>。</w:t>
      </w:r>
    </w:p>
    <w:p w14:paraId="68101A68">
      <w:pPr>
        <w:tabs>
          <w:tab w:val="left" w:pos="5220"/>
        </w:tabs>
        <w:spacing w:line="360" w:lineRule="exact"/>
        <w:ind w:firstLine="470" w:firstLineChars="224"/>
        <w:rPr>
          <w:rFonts w:hint="eastAsia" w:hAnsi="Courier New"/>
          <w:color w:val="auto"/>
          <w:szCs w:val="21"/>
          <w:highlight w:val="none"/>
        </w:rPr>
      </w:pPr>
      <w:r>
        <w:rPr>
          <w:rFonts w:hint="eastAsia" w:hAnsi="Courier New"/>
          <w:color w:val="auto"/>
          <w:szCs w:val="21"/>
          <w:highlight w:val="none"/>
        </w:rPr>
        <w:t>本合同一式</w:t>
      </w:r>
      <w:r>
        <w:rPr>
          <w:rFonts w:hint="eastAsia" w:hAnsi="Courier New"/>
          <w:color w:val="auto"/>
          <w:szCs w:val="21"/>
          <w:highlight w:val="none"/>
          <w:u w:val="single"/>
          <w:lang w:val="en-US" w:eastAsia="zh-CN"/>
        </w:rPr>
        <w:t>八</w:t>
      </w:r>
      <w:r>
        <w:rPr>
          <w:rFonts w:hint="eastAsia" w:hAnsi="Courier New"/>
          <w:color w:val="auto"/>
          <w:szCs w:val="21"/>
          <w:highlight w:val="none"/>
        </w:rPr>
        <w:t>份，正本</w:t>
      </w:r>
      <w:r>
        <w:rPr>
          <w:rFonts w:hint="eastAsia" w:hAnsi="Courier New"/>
          <w:color w:val="auto"/>
          <w:szCs w:val="21"/>
          <w:highlight w:val="none"/>
          <w:u w:val="single"/>
        </w:rPr>
        <w:t>两</w:t>
      </w:r>
      <w:r>
        <w:rPr>
          <w:rFonts w:hint="eastAsia" w:hAnsi="Courier New"/>
          <w:color w:val="auto"/>
          <w:szCs w:val="21"/>
          <w:highlight w:val="none"/>
        </w:rPr>
        <w:t>份、副本</w:t>
      </w:r>
      <w:r>
        <w:rPr>
          <w:rFonts w:hint="eastAsia" w:hAnsi="Courier New"/>
          <w:color w:val="auto"/>
          <w:szCs w:val="21"/>
          <w:highlight w:val="none"/>
          <w:u w:val="single"/>
          <w:lang w:val="en-US" w:eastAsia="zh-CN"/>
        </w:rPr>
        <w:t>陆</w:t>
      </w:r>
      <w:r>
        <w:rPr>
          <w:rFonts w:hint="eastAsia" w:hAnsi="Courier New"/>
          <w:color w:val="auto"/>
          <w:szCs w:val="21"/>
          <w:highlight w:val="none"/>
        </w:rPr>
        <w:t>份。</w:t>
      </w:r>
    </w:p>
    <w:p w14:paraId="0E8D1003">
      <w:pPr>
        <w:pStyle w:val="13"/>
        <w:spacing w:line="360" w:lineRule="exact"/>
        <w:ind w:left="479" w:leftChars="228" w:firstLine="52" w:firstLineChars="25"/>
        <w:rPr>
          <w:rFonts w:hint="eastAsia"/>
          <w:color w:val="auto"/>
          <w:highlight w:val="none"/>
        </w:rPr>
      </w:pPr>
    </w:p>
    <w:p w14:paraId="1314590E">
      <w:pPr>
        <w:pStyle w:val="13"/>
        <w:spacing w:line="360" w:lineRule="exact"/>
        <w:ind w:left="479" w:leftChars="228" w:firstLine="52" w:firstLineChars="25"/>
        <w:rPr>
          <w:rFonts w:hint="eastAsia"/>
          <w:color w:val="auto"/>
          <w:highlight w:val="none"/>
        </w:rPr>
      </w:pPr>
      <w:r>
        <w:rPr>
          <w:rFonts w:hint="eastAsia"/>
          <w:color w:val="auto"/>
          <w:highlight w:val="none"/>
        </w:rPr>
        <w:t>发包人：(公章)                    承包人：(公章)</w:t>
      </w:r>
    </w:p>
    <w:p w14:paraId="66854253">
      <w:pPr>
        <w:pStyle w:val="13"/>
        <w:tabs>
          <w:tab w:val="left" w:pos="4500"/>
        </w:tabs>
        <w:spacing w:line="360" w:lineRule="exact"/>
        <w:ind w:firstLine="540"/>
        <w:rPr>
          <w:rFonts w:hint="eastAsia"/>
          <w:color w:val="auto"/>
          <w:highlight w:val="none"/>
        </w:rPr>
      </w:pPr>
      <w:r>
        <w:rPr>
          <w:rFonts w:hint="eastAsia"/>
          <w:color w:val="auto"/>
          <w:highlight w:val="none"/>
        </w:rPr>
        <w:t>住  所：</w:t>
      </w:r>
      <w:r>
        <w:rPr>
          <w:rFonts w:hint="eastAsia"/>
          <w:color w:val="auto"/>
          <w:highlight w:val="none"/>
        </w:rPr>
        <w:tab/>
      </w:r>
      <w:r>
        <w:rPr>
          <w:rFonts w:hint="eastAsia"/>
          <w:color w:val="auto"/>
          <w:highlight w:val="none"/>
        </w:rPr>
        <w:t xml:space="preserve"> 住  所：</w:t>
      </w:r>
    </w:p>
    <w:p w14:paraId="4723DF50">
      <w:pPr>
        <w:pStyle w:val="13"/>
        <w:tabs>
          <w:tab w:val="left" w:pos="4500"/>
        </w:tabs>
        <w:spacing w:line="360" w:lineRule="exact"/>
        <w:ind w:firstLine="540"/>
        <w:rPr>
          <w:rFonts w:hint="eastAsia"/>
          <w:color w:val="auto"/>
          <w:highlight w:val="none"/>
        </w:rPr>
      </w:pPr>
      <w:r>
        <w:rPr>
          <w:rFonts w:hint="eastAsia"/>
          <w:color w:val="auto"/>
          <w:highlight w:val="none"/>
        </w:rPr>
        <w:t xml:space="preserve">法定代表人： </w:t>
      </w:r>
      <w:r>
        <w:rPr>
          <w:rFonts w:hint="eastAsia"/>
          <w:color w:val="auto"/>
          <w:highlight w:val="none"/>
        </w:rPr>
        <w:tab/>
      </w:r>
      <w:r>
        <w:rPr>
          <w:rFonts w:hint="eastAsia"/>
          <w:color w:val="auto"/>
          <w:highlight w:val="none"/>
        </w:rPr>
        <w:t xml:space="preserve"> 法定代表人：</w:t>
      </w:r>
    </w:p>
    <w:p w14:paraId="7DD689EB">
      <w:pPr>
        <w:pStyle w:val="13"/>
        <w:tabs>
          <w:tab w:val="left" w:pos="4500"/>
        </w:tabs>
        <w:spacing w:line="360" w:lineRule="exact"/>
        <w:ind w:firstLine="540"/>
        <w:rPr>
          <w:rFonts w:hint="eastAsia"/>
          <w:color w:val="auto"/>
          <w:highlight w:val="none"/>
        </w:rPr>
      </w:pPr>
      <w:r>
        <w:rPr>
          <w:rFonts w:hint="eastAsia"/>
          <w:color w:val="auto"/>
          <w:highlight w:val="none"/>
        </w:rPr>
        <w:t xml:space="preserve">委托代理人： </w:t>
      </w:r>
      <w:r>
        <w:rPr>
          <w:rFonts w:hint="eastAsia"/>
          <w:color w:val="auto"/>
          <w:highlight w:val="none"/>
        </w:rPr>
        <w:tab/>
      </w:r>
      <w:r>
        <w:rPr>
          <w:rFonts w:hint="eastAsia"/>
          <w:color w:val="auto"/>
          <w:highlight w:val="none"/>
        </w:rPr>
        <w:t xml:space="preserve"> 委托代理人：</w:t>
      </w:r>
    </w:p>
    <w:p w14:paraId="4636EA4C">
      <w:pPr>
        <w:pStyle w:val="13"/>
        <w:tabs>
          <w:tab w:val="left" w:pos="4500"/>
        </w:tabs>
        <w:spacing w:line="360" w:lineRule="exact"/>
        <w:ind w:firstLine="540"/>
        <w:rPr>
          <w:rFonts w:hint="eastAsia"/>
          <w:color w:val="auto"/>
          <w:highlight w:val="none"/>
        </w:rPr>
      </w:pPr>
      <w:r>
        <w:rPr>
          <w:rFonts w:hint="eastAsia"/>
          <w:color w:val="auto"/>
          <w:highlight w:val="none"/>
        </w:rPr>
        <w:t xml:space="preserve">电  话： </w:t>
      </w:r>
      <w:r>
        <w:rPr>
          <w:rFonts w:hint="eastAsia"/>
          <w:color w:val="auto"/>
          <w:highlight w:val="none"/>
        </w:rPr>
        <w:tab/>
      </w:r>
      <w:r>
        <w:rPr>
          <w:rFonts w:hint="eastAsia"/>
          <w:color w:val="auto"/>
          <w:highlight w:val="none"/>
        </w:rPr>
        <w:t xml:space="preserve"> 电  话：</w:t>
      </w:r>
    </w:p>
    <w:p w14:paraId="7B139AD0">
      <w:pPr>
        <w:pStyle w:val="13"/>
        <w:tabs>
          <w:tab w:val="left" w:pos="4500"/>
        </w:tabs>
        <w:spacing w:line="360" w:lineRule="exact"/>
        <w:ind w:firstLine="540"/>
        <w:rPr>
          <w:rFonts w:hint="eastAsia"/>
          <w:color w:val="auto"/>
          <w:highlight w:val="none"/>
        </w:rPr>
      </w:pPr>
      <w:r>
        <w:rPr>
          <w:rFonts w:hint="eastAsia"/>
          <w:color w:val="auto"/>
          <w:highlight w:val="none"/>
        </w:rPr>
        <w:t xml:space="preserve">传  真： </w:t>
      </w:r>
      <w:r>
        <w:rPr>
          <w:rFonts w:hint="eastAsia"/>
          <w:color w:val="auto"/>
          <w:highlight w:val="none"/>
        </w:rPr>
        <w:tab/>
      </w:r>
      <w:r>
        <w:rPr>
          <w:rFonts w:hint="eastAsia"/>
          <w:color w:val="auto"/>
          <w:highlight w:val="none"/>
        </w:rPr>
        <w:t xml:space="preserve"> 传  真：</w:t>
      </w:r>
    </w:p>
    <w:p w14:paraId="6F2B2DD4">
      <w:pPr>
        <w:pStyle w:val="13"/>
        <w:tabs>
          <w:tab w:val="left" w:pos="4500"/>
        </w:tabs>
        <w:spacing w:line="360" w:lineRule="exact"/>
        <w:ind w:firstLine="540"/>
        <w:rPr>
          <w:rFonts w:hint="eastAsia"/>
          <w:color w:val="auto"/>
          <w:highlight w:val="none"/>
        </w:rPr>
      </w:pPr>
      <w:r>
        <w:rPr>
          <w:rFonts w:hint="eastAsia"/>
          <w:color w:val="auto"/>
          <w:highlight w:val="none"/>
        </w:rPr>
        <w:t xml:space="preserve">开户银行： </w:t>
      </w:r>
      <w:r>
        <w:rPr>
          <w:rFonts w:hint="eastAsia"/>
          <w:color w:val="auto"/>
          <w:highlight w:val="none"/>
        </w:rPr>
        <w:tab/>
      </w:r>
      <w:r>
        <w:rPr>
          <w:rFonts w:hint="eastAsia"/>
          <w:color w:val="auto"/>
          <w:highlight w:val="none"/>
        </w:rPr>
        <w:t xml:space="preserve"> 开户银行：</w:t>
      </w:r>
    </w:p>
    <w:p w14:paraId="46EAE090">
      <w:pPr>
        <w:pStyle w:val="13"/>
        <w:tabs>
          <w:tab w:val="left" w:pos="4500"/>
        </w:tabs>
        <w:spacing w:line="360" w:lineRule="exact"/>
        <w:ind w:firstLine="540"/>
        <w:rPr>
          <w:rFonts w:hint="eastAsia"/>
          <w:color w:val="auto"/>
          <w:highlight w:val="none"/>
        </w:rPr>
      </w:pPr>
      <w:r>
        <w:rPr>
          <w:rFonts w:hint="eastAsia"/>
          <w:color w:val="auto"/>
          <w:highlight w:val="none"/>
        </w:rPr>
        <w:t xml:space="preserve">帐  号： </w:t>
      </w:r>
      <w:r>
        <w:rPr>
          <w:rFonts w:hint="eastAsia"/>
          <w:color w:val="auto"/>
          <w:highlight w:val="none"/>
        </w:rPr>
        <w:tab/>
      </w:r>
      <w:r>
        <w:rPr>
          <w:rFonts w:hint="eastAsia"/>
          <w:color w:val="auto"/>
          <w:highlight w:val="none"/>
        </w:rPr>
        <w:t xml:space="preserve"> 帐  号：</w:t>
      </w:r>
    </w:p>
    <w:p w14:paraId="247FE500">
      <w:pPr>
        <w:pStyle w:val="13"/>
        <w:tabs>
          <w:tab w:val="left" w:pos="4500"/>
        </w:tabs>
        <w:spacing w:line="360" w:lineRule="exact"/>
        <w:ind w:firstLine="540"/>
        <w:rPr>
          <w:rFonts w:hint="eastAsia"/>
          <w:color w:val="auto"/>
          <w:highlight w:val="none"/>
        </w:rPr>
      </w:pPr>
      <w:r>
        <w:rPr>
          <w:rFonts w:hint="eastAsia"/>
          <w:color w:val="auto"/>
          <w:highlight w:val="none"/>
        </w:rPr>
        <w:t xml:space="preserve">邮政编码： </w:t>
      </w:r>
      <w:r>
        <w:rPr>
          <w:rFonts w:hint="eastAsia"/>
          <w:color w:val="auto"/>
          <w:highlight w:val="none"/>
        </w:rPr>
        <w:tab/>
      </w:r>
      <w:r>
        <w:rPr>
          <w:rFonts w:hint="eastAsia"/>
          <w:color w:val="auto"/>
          <w:highlight w:val="none"/>
        </w:rPr>
        <w:t xml:space="preserve"> 邮政编码：</w:t>
      </w:r>
    </w:p>
    <w:p w14:paraId="7C8C0046">
      <w:pPr>
        <w:pStyle w:val="13"/>
        <w:spacing w:line="25" w:lineRule="atLeast"/>
        <w:rPr>
          <w:rFonts w:hint="eastAsia"/>
          <w:color w:val="auto"/>
          <w:highlight w:val="none"/>
        </w:rPr>
      </w:pPr>
    </w:p>
    <w:p w14:paraId="3B496263">
      <w:pPr>
        <w:pStyle w:val="13"/>
        <w:spacing w:line="25" w:lineRule="atLeast"/>
        <w:rPr>
          <w:rFonts w:hint="eastAsia"/>
          <w:color w:val="auto"/>
          <w:highlight w:val="none"/>
        </w:rPr>
      </w:pPr>
    </w:p>
    <w:p w14:paraId="4AE91525">
      <w:pPr>
        <w:pStyle w:val="13"/>
        <w:spacing w:line="25" w:lineRule="atLeast"/>
        <w:rPr>
          <w:rFonts w:hint="eastAsia"/>
          <w:color w:val="auto"/>
          <w:highlight w:val="none"/>
        </w:rPr>
      </w:pPr>
    </w:p>
    <w:p w14:paraId="4890F4C1">
      <w:pPr>
        <w:pStyle w:val="13"/>
        <w:spacing w:line="25" w:lineRule="atLeast"/>
        <w:rPr>
          <w:rFonts w:hint="eastAsia"/>
          <w:color w:val="auto"/>
          <w:highlight w:val="none"/>
        </w:rPr>
      </w:pPr>
    </w:p>
    <w:p w14:paraId="070AD339">
      <w:pPr>
        <w:pStyle w:val="13"/>
        <w:spacing w:line="25" w:lineRule="atLeast"/>
        <w:rPr>
          <w:rFonts w:hint="eastAsia"/>
          <w:color w:val="auto"/>
          <w:highlight w:val="none"/>
        </w:rPr>
      </w:pPr>
    </w:p>
    <w:p w14:paraId="4DDDD408">
      <w:pPr>
        <w:pStyle w:val="13"/>
        <w:spacing w:line="25" w:lineRule="atLeast"/>
        <w:rPr>
          <w:rFonts w:hint="eastAsia"/>
          <w:color w:val="auto"/>
          <w:highlight w:val="none"/>
        </w:rPr>
      </w:pPr>
    </w:p>
    <w:p w14:paraId="47EA762B">
      <w:pPr>
        <w:pStyle w:val="13"/>
        <w:spacing w:line="25" w:lineRule="atLeast"/>
        <w:rPr>
          <w:rFonts w:hint="eastAsia"/>
          <w:color w:val="auto"/>
          <w:highlight w:val="none"/>
        </w:rPr>
      </w:pPr>
    </w:p>
    <w:p w14:paraId="76ECF16C">
      <w:pPr>
        <w:pStyle w:val="13"/>
        <w:spacing w:line="25" w:lineRule="atLeast"/>
        <w:rPr>
          <w:rFonts w:hint="eastAsia"/>
          <w:color w:val="auto"/>
          <w:highlight w:val="none"/>
        </w:rPr>
      </w:pPr>
    </w:p>
    <w:p w14:paraId="76C8D2C7">
      <w:pPr>
        <w:pStyle w:val="13"/>
        <w:spacing w:line="25" w:lineRule="atLeast"/>
        <w:rPr>
          <w:rFonts w:hint="eastAsia"/>
          <w:color w:val="auto"/>
          <w:highlight w:val="none"/>
        </w:rPr>
      </w:pPr>
    </w:p>
    <w:p w14:paraId="4163A4C7">
      <w:pPr>
        <w:pStyle w:val="13"/>
        <w:spacing w:line="25" w:lineRule="atLeast"/>
        <w:rPr>
          <w:rFonts w:hint="eastAsia"/>
          <w:color w:val="auto"/>
          <w:highlight w:val="none"/>
        </w:rPr>
      </w:pPr>
    </w:p>
    <w:p w14:paraId="3AFB730E">
      <w:pPr>
        <w:pStyle w:val="13"/>
        <w:spacing w:line="25" w:lineRule="atLeast"/>
        <w:rPr>
          <w:rFonts w:hint="eastAsia"/>
          <w:color w:val="auto"/>
          <w:highlight w:val="none"/>
        </w:rPr>
      </w:pPr>
    </w:p>
    <w:p w14:paraId="40E4805E">
      <w:pPr>
        <w:pStyle w:val="13"/>
        <w:spacing w:line="25" w:lineRule="atLeast"/>
        <w:rPr>
          <w:rFonts w:hint="eastAsia"/>
          <w:color w:val="auto"/>
          <w:highlight w:val="none"/>
        </w:rPr>
      </w:pPr>
    </w:p>
    <w:p w14:paraId="41F295F5">
      <w:pPr>
        <w:pStyle w:val="13"/>
        <w:spacing w:line="25" w:lineRule="atLeast"/>
        <w:rPr>
          <w:rFonts w:hint="eastAsia"/>
          <w:color w:val="auto"/>
          <w:highlight w:val="none"/>
        </w:rPr>
      </w:pPr>
      <w:r>
        <w:rPr>
          <w:rFonts w:hint="eastAsia"/>
          <w:color w:val="auto"/>
          <w:highlight w:val="none"/>
        </w:rPr>
        <w:br w:type="page"/>
      </w:r>
    </w:p>
    <w:p w14:paraId="0F424912">
      <w:pPr>
        <w:numPr>
          <w:ilvl w:val="0"/>
          <w:numId w:val="7"/>
        </w:numPr>
        <w:adjustRightInd w:val="0"/>
        <w:spacing w:line="312" w:lineRule="atLeast"/>
        <w:jc w:val="center"/>
        <w:textAlignment w:val="baseline"/>
        <w:rPr>
          <w:rFonts w:hint="eastAsia" w:hAnsi="Courier New"/>
          <w:b/>
          <w:bCs/>
          <w:color w:val="auto"/>
          <w:szCs w:val="21"/>
          <w:highlight w:val="none"/>
        </w:rPr>
      </w:pPr>
      <w:r>
        <w:rPr>
          <w:rFonts w:hint="eastAsia" w:hAnsi="Courier New"/>
          <w:b/>
          <w:bCs/>
          <w:color w:val="auto"/>
          <w:szCs w:val="21"/>
          <w:highlight w:val="none"/>
        </w:rPr>
        <w:t>专用条款</w:t>
      </w:r>
    </w:p>
    <w:p w14:paraId="20574328">
      <w:pPr>
        <w:rPr>
          <w:rFonts w:hint="eastAsia" w:hAnsi="Courier New"/>
          <w:b/>
          <w:bCs/>
          <w:color w:val="auto"/>
          <w:szCs w:val="21"/>
          <w:highlight w:val="none"/>
        </w:rPr>
      </w:pPr>
      <w:r>
        <w:rPr>
          <w:rFonts w:hint="eastAsia" w:hAnsi="Courier New"/>
          <w:b/>
          <w:bCs/>
          <w:color w:val="auto"/>
          <w:szCs w:val="21"/>
          <w:highlight w:val="none"/>
        </w:rPr>
        <w:t>一、词语定义及合同文件</w:t>
      </w:r>
    </w:p>
    <w:p w14:paraId="45B1326A">
      <w:pPr>
        <w:pStyle w:val="13"/>
        <w:spacing w:line="360" w:lineRule="exact"/>
        <w:ind w:firstLine="487" w:firstLineChars="232"/>
        <w:rPr>
          <w:rFonts w:hint="eastAsia"/>
          <w:color w:val="auto"/>
          <w:highlight w:val="none"/>
        </w:rPr>
      </w:pPr>
      <w:r>
        <w:rPr>
          <w:rFonts w:hint="eastAsia"/>
          <w:color w:val="auto"/>
          <w:highlight w:val="none"/>
        </w:rPr>
        <w:t>2.合同文件及解释顺序</w:t>
      </w:r>
    </w:p>
    <w:p w14:paraId="12F9F084">
      <w:pPr>
        <w:spacing w:line="360" w:lineRule="exact"/>
        <w:ind w:firstLine="501" w:firstLineChars="239"/>
        <w:rPr>
          <w:rFonts w:hint="eastAsia" w:hAnsi="Courier New"/>
          <w:color w:val="auto"/>
          <w:szCs w:val="21"/>
          <w:highlight w:val="none"/>
        </w:rPr>
      </w:pPr>
      <w:r>
        <w:rPr>
          <w:rFonts w:hint="eastAsia" w:hAnsi="Courier New"/>
          <w:color w:val="auto"/>
          <w:szCs w:val="21"/>
          <w:highlight w:val="none"/>
        </w:rPr>
        <w:t>合同文件组成及解释顺序：</w:t>
      </w:r>
    </w:p>
    <w:p w14:paraId="066D254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(l)本合同协议书；</w:t>
      </w:r>
    </w:p>
    <w:p w14:paraId="63A641E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(2)成交通知书；</w:t>
      </w:r>
    </w:p>
    <w:p w14:paraId="557EDB4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w:t>
      </w:r>
      <w:r>
        <w:rPr>
          <w:rFonts w:hint="eastAsia" w:hAnsi="Courier New"/>
          <w:color w:val="auto"/>
          <w:szCs w:val="21"/>
          <w:highlight w:val="none"/>
          <w:lang w:eastAsia="zh-CN"/>
        </w:rPr>
        <w:t>响应</w:t>
      </w:r>
      <w:r>
        <w:rPr>
          <w:rFonts w:hint="eastAsia" w:hAnsi="Courier New"/>
          <w:color w:val="auto"/>
          <w:szCs w:val="21"/>
          <w:highlight w:val="none"/>
        </w:rPr>
        <w:t>文件及其附件；</w:t>
      </w:r>
    </w:p>
    <w:p w14:paraId="49D41D5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(4)本合同专用条款；</w:t>
      </w:r>
    </w:p>
    <w:p w14:paraId="14BDFDB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(5)本合同通用条款；</w:t>
      </w:r>
    </w:p>
    <w:p w14:paraId="45CEBC2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 采购文件(含补充通知和答疑)；</w:t>
      </w:r>
    </w:p>
    <w:p w14:paraId="19A81E7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(7)标准、规范及有关技术文件；</w:t>
      </w:r>
    </w:p>
    <w:p w14:paraId="4211ED2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(8)图纸；</w:t>
      </w:r>
    </w:p>
    <w:p w14:paraId="1A0BDD3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(9)工程报价单或预算书。</w:t>
      </w:r>
    </w:p>
    <w:p w14:paraId="0CB1F3A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3．语言文字和适用法律、标准及规范</w:t>
      </w:r>
    </w:p>
    <w:p w14:paraId="00BAD423">
      <w:pPr>
        <w:tabs>
          <w:tab w:val="left" w:pos="5220"/>
        </w:tabs>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3.1本合同除使用汉语外，无其它语言文字。</w:t>
      </w:r>
    </w:p>
    <w:p w14:paraId="42B2091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3.2适用法律和法规    </w:t>
      </w:r>
    </w:p>
    <w:p w14:paraId="18EAF3A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需要明示的法律、行政法规：现行的国家法律和行政法规，工程所在地政府的有关法规和规章 。</w:t>
      </w:r>
    </w:p>
    <w:p w14:paraId="27E8C77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3.3适用标准、规范    </w:t>
      </w:r>
    </w:p>
    <w:p w14:paraId="31C00679">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适用标准、规范的名称：现行的国家标准、规范、行业标准、规范等（本条款应于签订合同时由甲乙双方协商后写明具体标准、规范的名称及编号）。</w:t>
      </w:r>
    </w:p>
    <w:p w14:paraId="5F89BB8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发包人提供标准、规范的时间：无 。</w:t>
      </w:r>
    </w:p>
    <w:p w14:paraId="62E4AE87">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国内没有相应标准、规范时的约定：无 。</w:t>
      </w:r>
    </w:p>
    <w:p w14:paraId="4B2794D8">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4．图纸  </w:t>
      </w:r>
    </w:p>
    <w:p w14:paraId="1CD77034">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4.1  发包人向承包人提供图纸日期和套数：合同签定 五 天后提供一式 二 份图纸。</w:t>
      </w:r>
    </w:p>
    <w:p w14:paraId="3D83DF7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发包人对图纸的保密要求：无  。    </w:t>
      </w:r>
    </w:p>
    <w:p w14:paraId="082F675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使用国外图纸的要求及费用承担：无  。</w:t>
      </w:r>
    </w:p>
    <w:p w14:paraId="08BF5CAD">
      <w:pPr>
        <w:spacing w:line="360" w:lineRule="exact"/>
        <w:rPr>
          <w:rFonts w:hint="eastAsia" w:hAnsi="Courier New"/>
          <w:b/>
          <w:bCs/>
          <w:color w:val="auto"/>
          <w:szCs w:val="21"/>
          <w:highlight w:val="none"/>
        </w:rPr>
      </w:pPr>
      <w:r>
        <w:rPr>
          <w:rFonts w:hint="eastAsia" w:hAnsi="Courier New"/>
          <w:b/>
          <w:bCs/>
          <w:color w:val="auto"/>
          <w:szCs w:val="21"/>
          <w:highlight w:val="none"/>
        </w:rPr>
        <w:t>二、双方一般权利和义务</w:t>
      </w:r>
    </w:p>
    <w:p w14:paraId="4D1F3D0E">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5．工程师</w:t>
      </w:r>
    </w:p>
    <w:p w14:paraId="41645C5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5.2监理单位委派的工程师</w:t>
      </w:r>
    </w:p>
    <w:p w14:paraId="17C050F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姓名：           职务：            。</w:t>
      </w:r>
    </w:p>
    <w:p w14:paraId="7643333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发包人委托的职权：按本工程的监理合同中的有关条款 。</w:t>
      </w:r>
    </w:p>
    <w:p w14:paraId="3D4FC123">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需要取得发包人批准才能行使的职权：接本工程的监理合同中的有关条款。</w:t>
      </w:r>
    </w:p>
    <w:p w14:paraId="2335BEE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5.3发包人派驻的工程师</w:t>
      </w:r>
    </w:p>
    <w:p w14:paraId="32DC91E0">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姓名：       职务：       </w:t>
      </w:r>
    </w:p>
    <w:p w14:paraId="2FF39D51">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职权：包发人委派的职权范围。</w:t>
      </w:r>
    </w:p>
    <w:p w14:paraId="150B8EA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5.6不实行监理的，工程师的职权：无 。</w:t>
      </w:r>
    </w:p>
    <w:p w14:paraId="348E634C">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7．项目负责人</w:t>
      </w:r>
    </w:p>
    <w:p w14:paraId="2DE4D7F6">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7.1姓名：       职务：      </w:t>
      </w:r>
    </w:p>
    <w:p w14:paraId="529D5E6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8．发包人工作</w:t>
      </w:r>
    </w:p>
    <w:p w14:paraId="31484CA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8.1  发包人应按约定的时间和要求完成以下工作：</w:t>
      </w:r>
    </w:p>
    <w:p w14:paraId="7C190B95">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(1)施工场地具备施工条件的要求及完成的时间：  于开工前七天。</w:t>
      </w:r>
    </w:p>
    <w:p w14:paraId="18EE69E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*(2)将施工所需的水、电和电讯线路接至施工场地的时间、地点和供应要求：由承包人在竞标报价中自行考虑。若供电部门的原因造成停电，承包人必须自行解决施工用电，费用自理。</w:t>
      </w:r>
    </w:p>
    <w:p w14:paraId="694FC9D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(3)施工场地与公共道路的通道开通时间和要求：  已开通   。</w:t>
      </w:r>
    </w:p>
    <w:p w14:paraId="218115CB">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*(4)工程地质和地下管线资料的提供时间：采购时已提供，由承包人现场勘测，费用自理 。</w:t>
      </w:r>
    </w:p>
    <w:p w14:paraId="6912091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(5)由发包人办理的施工所需证件、批件的名称和完成时间：  由发包人负责办理 。</w:t>
      </w:r>
    </w:p>
    <w:p w14:paraId="2DBB05ED">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(6)水准点与座标控制点交验要求：于开工前七日内现场交验，双方做好签认工作 。</w:t>
      </w:r>
    </w:p>
    <w:p w14:paraId="61E13BFF">
      <w:pPr>
        <w:spacing w:line="360" w:lineRule="exact"/>
        <w:ind w:firstLine="516" w:firstLineChars="246"/>
        <w:rPr>
          <w:rFonts w:hint="eastAsia" w:hAnsi="Courier New"/>
          <w:color w:val="auto"/>
          <w:szCs w:val="21"/>
          <w:highlight w:val="none"/>
        </w:rPr>
      </w:pPr>
      <w:r>
        <w:rPr>
          <w:rFonts w:hint="eastAsia" w:hAnsi="Courier New"/>
          <w:color w:val="auto"/>
          <w:szCs w:val="21"/>
          <w:highlight w:val="none"/>
        </w:rPr>
        <w:t xml:space="preserve"> (7)图纸会审和设计交底时间：于开工前七天 。  </w:t>
      </w:r>
    </w:p>
    <w:p w14:paraId="3C320A6A">
      <w:pPr>
        <w:spacing w:line="360" w:lineRule="exact"/>
        <w:ind w:firstLine="516" w:firstLineChars="246"/>
        <w:rPr>
          <w:rFonts w:hint="eastAsia" w:hAnsi="宋体"/>
          <w:b/>
          <w:bCs/>
          <w:color w:val="auto"/>
          <w:szCs w:val="21"/>
          <w:highlight w:val="none"/>
          <w:u w:val="single"/>
        </w:rPr>
      </w:pPr>
      <w:r>
        <w:rPr>
          <w:rFonts w:hint="eastAsia" w:hAnsi="Courier New"/>
          <w:color w:val="auto"/>
          <w:szCs w:val="21"/>
          <w:highlight w:val="none"/>
        </w:rPr>
        <w:t>*(8)协调处理施工场地周围地下管线和邻近建筑物、构筑物(含文物保护建筑</w:t>
      </w:r>
      <w:r>
        <w:rPr>
          <w:rFonts w:hint="eastAsia" w:hAnsi="宋体"/>
          <w:b/>
          <w:bCs/>
          <w:color w:val="auto"/>
          <w:szCs w:val="21"/>
          <w:highlight w:val="none"/>
        </w:rPr>
        <w:t>)、古树名木的保护工作：</w:t>
      </w:r>
      <w:r>
        <w:rPr>
          <w:rFonts w:hint="eastAsia" w:hAnsi="宋体"/>
          <w:b/>
          <w:bCs/>
          <w:color w:val="auto"/>
          <w:szCs w:val="21"/>
          <w:highlight w:val="none"/>
          <w:u w:val="single"/>
        </w:rPr>
        <w:t xml:space="preserve">  由发包人协调，相应费用由承包人承担 </w:t>
      </w:r>
      <w:r>
        <w:rPr>
          <w:rFonts w:hint="eastAsia" w:hAnsi="宋体"/>
          <w:b/>
          <w:bCs/>
          <w:color w:val="auto"/>
          <w:szCs w:val="21"/>
          <w:highlight w:val="none"/>
        </w:rPr>
        <w:t xml:space="preserve"> 。</w:t>
      </w:r>
    </w:p>
    <w:p w14:paraId="28393DCB">
      <w:pPr>
        <w:spacing w:line="360" w:lineRule="exact"/>
        <w:ind w:firstLine="516" w:firstLineChars="246"/>
        <w:rPr>
          <w:rFonts w:hint="eastAsia" w:hAnsi="宋体"/>
          <w:color w:val="auto"/>
          <w:szCs w:val="21"/>
          <w:highlight w:val="none"/>
        </w:rPr>
      </w:pPr>
      <w:r>
        <w:rPr>
          <w:rFonts w:hint="eastAsia" w:hAnsi="宋体"/>
          <w:color w:val="auto"/>
          <w:szCs w:val="21"/>
          <w:highlight w:val="none"/>
        </w:rPr>
        <w:t>(9)双方约定发包人应做的其他工作：</w:t>
      </w:r>
      <w:r>
        <w:rPr>
          <w:rFonts w:hint="eastAsia" w:hAnsi="宋体"/>
          <w:color w:val="auto"/>
          <w:szCs w:val="21"/>
          <w:highlight w:val="none"/>
          <w:u w:val="single"/>
        </w:rPr>
        <w:t xml:space="preserve">无 </w:t>
      </w:r>
      <w:r>
        <w:rPr>
          <w:rFonts w:hint="eastAsia" w:hAnsi="宋体"/>
          <w:color w:val="auto"/>
          <w:szCs w:val="21"/>
          <w:highlight w:val="none"/>
        </w:rPr>
        <w:t>。</w:t>
      </w:r>
    </w:p>
    <w:p w14:paraId="71B6EC6F">
      <w:pPr>
        <w:spacing w:line="360" w:lineRule="exact"/>
        <w:ind w:firstLine="516" w:firstLineChars="246"/>
        <w:jc w:val="left"/>
        <w:rPr>
          <w:rFonts w:hint="eastAsia" w:hAnsi="宋体"/>
          <w:color w:val="auto"/>
          <w:szCs w:val="21"/>
          <w:highlight w:val="none"/>
          <w:u w:val="single"/>
        </w:rPr>
      </w:pPr>
      <w:r>
        <w:rPr>
          <w:rFonts w:hint="eastAsia" w:hAnsi="宋体"/>
          <w:color w:val="auto"/>
          <w:szCs w:val="21"/>
          <w:highlight w:val="none"/>
        </w:rPr>
        <w:t xml:space="preserve"> 8.2发包人委托承包人办理的工作：</w:t>
      </w:r>
      <w:r>
        <w:rPr>
          <w:rFonts w:hint="eastAsia" w:hAnsi="宋体"/>
          <w:color w:val="auto"/>
          <w:szCs w:val="21"/>
          <w:highlight w:val="none"/>
          <w:u w:val="single"/>
        </w:rPr>
        <w:t xml:space="preserve">                                    </w:t>
      </w:r>
      <w:r>
        <w:rPr>
          <w:rFonts w:hint="eastAsia" w:hAnsi="宋体"/>
          <w:color w:val="auto"/>
          <w:szCs w:val="21"/>
          <w:highlight w:val="none"/>
        </w:rPr>
        <w:t>。</w:t>
      </w:r>
    </w:p>
    <w:p w14:paraId="20316BDA">
      <w:pPr>
        <w:spacing w:line="360" w:lineRule="exact"/>
        <w:ind w:firstLine="519" w:firstLineChars="246"/>
        <w:rPr>
          <w:rFonts w:hint="eastAsia" w:hAnsi="宋体"/>
          <w:color w:val="auto"/>
          <w:szCs w:val="21"/>
          <w:highlight w:val="none"/>
        </w:rPr>
      </w:pPr>
      <w:r>
        <w:rPr>
          <w:rFonts w:hint="eastAsia" w:hAnsi="宋体"/>
          <w:b/>
          <w:color w:val="auto"/>
          <w:szCs w:val="21"/>
          <w:highlight w:val="none"/>
        </w:rPr>
        <w:t xml:space="preserve"> 9．承包人工作                       </w:t>
      </w:r>
      <w:r>
        <w:rPr>
          <w:rFonts w:hint="eastAsia" w:hAnsi="宋体"/>
          <w:color w:val="auto"/>
          <w:szCs w:val="21"/>
          <w:highlight w:val="none"/>
        </w:rPr>
        <w:t xml:space="preserve"> </w:t>
      </w:r>
    </w:p>
    <w:p w14:paraId="3F8E86BC">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9.1承包人应按约定时间和要求，完成以下工作：</w:t>
      </w:r>
    </w:p>
    <w:p w14:paraId="2C32F555">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(1)需由设计资质等级和业务范围允许的承包人完成的设计文件提交时间：</w:t>
      </w:r>
      <w:r>
        <w:rPr>
          <w:rFonts w:hint="eastAsia" w:hAnsi="宋体"/>
          <w:color w:val="auto"/>
          <w:szCs w:val="21"/>
          <w:highlight w:val="none"/>
          <w:u w:val="single"/>
        </w:rPr>
        <w:t xml:space="preserve">  待定 </w:t>
      </w:r>
      <w:r>
        <w:rPr>
          <w:rFonts w:hint="eastAsia" w:hAnsi="宋体"/>
          <w:color w:val="auto"/>
          <w:szCs w:val="21"/>
          <w:highlight w:val="none"/>
        </w:rPr>
        <w:t>。</w:t>
      </w:r>
    </w:p>
    <w:p w14:paraId="5EE55652">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(2)应提供计划、报表的名称及完成时间：</w:t>
      </w:r>
      <w:r>
        <w:rPr>
          <w:rFonts w:hint="eastAsia" w:hAnsi="宋体"/>
          <w:color w:val="auto"/>
          <w:szCs w:val="21"/>
          <w:highlight w:val="none"/>
          <w:u w:val="single"/>
        </w:rPr>
        <w:t xml:space="preserve">  每月二十五日向监理、发包人提供当月工程进度报表以及下月进度计划各一式两份 </w:t>
      </w:r>
      <w:r>
        <w:rPr>
          <w:rFonts w:hint="eastAsia" w:hAnsi="宋体"/>
          <w:color w:val="auto"/>
          <w:szCs w:val="21"/>
          <w:highlight w:val="none"/>
        </w:rPr>
        <w:t>。</w:t>
      </w:r>
    </w:p>
    <w:p w14:paraId="40E19D96">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u w:val="none"/>
        </w:rPr>
        <w:t>*</w:t>
      </w:r>
      <w:r>
        <w:rPr>
          <w:rFonts w:hint="eastAsia" w:hAnsi="宋体"/>
          <w:b/>
          <w:color w:val="auto"/>
          <w:szCs w:val="21"/>
          <w:highlight w:val="none"/>
        </w:rPr>
        <w:t>(3)承担施工安全保卫工作及非夜间施工照明的责任和要求：</w:t>
      </w:r>
      <w:r>
        <w:rPr>
          <w:rFonts w:hint="eastAsia" w:hAnsi="宋体"/>
          <w:b/>
          <w:color w:val="auto"/>
          <w:szCs w:val="21"/>
          <w:highlight w:val="none"/>
          <w:u w:val="single"/>
        </w:rPr>
        <w:t xml:space="preserve">承包人应采取一切合理的的预防措施，防止人员伤亡、财产损失事故，费用由承包人承担 </w:t>
      </w:r>
      <w:r>
        <w:rPr>
          <w:rFonts w:hint="eastAsia" w:hAnsi="宋体"/>
          <w:b/>
          <w:color w:val="auto"/>
          <w:szCs w:val="21"/>
          <w:highlight w:val="none"/>
        </w:rPr>
        <w:t>。</w:t>
      </w:r>
    </w:p>
    <w:p w14:paraId="7E869F60">
      <w:pPr>
        <w:spacing w:line="360" w:lineRule="exact"/>
        <w:ind w:firstLine="516" w:firstLineChars="246"/>
        <w:rPr>
          <w:rFonts w:hint="eastAsia" w:hAnsi="宋体"/>
          <w:b/>
          <w:color w:val="auto"/>
          <w:szCs w:val="21"/>
          <w:highlight w:val="none"/>
        </w:rPr>
      </w:pPr>
      <w:r>
        <w:rPr>
          <w:rFonts w:hint="eastAsia" w:hAnsi="宋体"/>
          <w:color w:val="auto"/>
          <w:szCs w:val="21"/>
          <w:highlight w:val="none"/>
        </w:rPr>
        <w:t xml:space="preserve"> (4)向发包人提供的办公和生活房屋及设施的要求：</w:t>
      </w:r>
      <w:r>
        <w:rPr>
          <w:rFonts w:hint="eastAsia" w:hAnsi="宋体"/>
          <w:b/>
          <w:color w:val="auto"/>
          <w:szCs w:val="21"/>
          <w:highlight w:val="none"/>
        </w:rPr>
        <w:t>（由双方协商确定）。</w:t>
      </w:r>
    </w:p>
    <w:p w14:paraId="6631059B">
      <w:pPr>
        <w:spacing w:line="360" w:lineRule="exact"/>
        <w:ind w:firstLine="519" w:firstLineChars="246"/>
        <w:rPr>
          <w:rFonts w:hint="eastAsia" w:hAnsi="宋体"/>
          <w:b/>
          <w:color w:val="auto"/>
          <w:szCs w:val="21"/>
          <w:highlight w:val="none"/>
          <w:u w:val="single"/>
        </w:rPr>
      </w:pPr>
      <w:r>
        <w:rPr>
          <w:rFonts w:hint="eastAsia" w:hAnsi="宋体"/>
          <w:b/>
          <w:color w:val="auto"/>
          <w:szCs w:val="21"/>
          <w:highlight w:val="none"/>
        </w:rPr>
        <w:t>*(5)需承包人办理的有关施工场地交通、环卫和施工噪音管理等手续：</w:t>
      </w:r>
      <w:r>
        <w:rPr>
          <w:rFonts w:hint="eastAsia" w:hAnsi="宋体"/>
          <w:b/>
          <w:color w:val="auto"/>
          <w:szCs w:val="21"/>
          <w:highlight w:val="none"/>
          <w:u w:val="single"/>
        </w:rPr>
        <w:t xml:space="preserve">因施工需要，经发包人批准，由承包人办理和负责费用 </w:t>
      </w:r>
      <w:r>
        <w:rPr>
          <w:rFonts w:hint="eastAsia" w:hAnsi="宋体"/>
          <w:b/>
          <w:color w:val="auto"/>
          <w:szCs w:val="21"/>
          <w:highlight w:val="none"/>
        </w:rPr>
        <w:t>。</w:t>
      </w:r>
    </w:p>
    <w:p w14:paraId="3940E5E1">
      <w:pPr>
        <w:spacing w:line="360" w:lineRule="exact"/>
        <w:ind w:firstLine="516" w:firstLineChars="246"/>
        <w:rPr>
          <w:rFonts w:hint="eastAsia" w:hAnsi="宋体"/>
          <w:color w:val="auto"/>
          <w:szCs w:val="21"/>
          <w:highlight w:val="none"/>
          <w:u w:val="single"/>
        </w:rPr>
      </w:pPr>
      <w:r>
        <w:rPr>
          <w:rFonts w:hint="eastAsia" w:hAnsi="宋体"/>
          <w:color w:val="auto"/>
          <w:szCs w:val="21"/>
          <w:highlight w:val="none"/>
        </w:rPr>
        <w:t>(6)已完工程成品保护的特殊要求及费用承担：</w:t>
      </w:r>
      <w:r>
        <w:rPr>
          <w:rFonts w:hint="eastAsia" w:hAnsi="宋体"/>
          <w:color w:val="auto"/>
          <w:szCs w:val="21"/>
          <w:highlight w:val="none"/>
          <w:u w:val="single"/>
        </w:rPr>
        <w:t xml:space="preserve">按通用条款第9.1（6）条执行 </w:t>
      </w:r>
      <w:r>
        <w:rPr>
          <w:rFonts w:hint="eastAsia" w:hAnsi="宋体"/>
          <w:color w:val="auto"/>
          <w:szCs w:val="21"/>
          <w:highlight w:val="none"/>
        </w:rPr>
        <w:t>。</w:t>
      </w:r>
    </w:p>
    <w:p w14:paraId="797A9B2C">
      <w:pPr>
        <w:spacing w:line="360" w:lineRule="exact"/>
        <w:ind w:firstLine="516" w:firstLineChars="246"/>
        <w:rPr>
          <w:rFonts w:hint="eastAsia" w:hAnsi="宋体"/>
          <w:b/>
          <w:color w:val="auto"/>
          <w:szCs w:val="21"/>
          <w:highlight w:val="none"/>
          <w:u w:val="single"/>
        </w:rPr>
      </w:pPr>
      <w:r>
        <w:rPr>
          <w:rFonts w:hint="eastAsia" w:hAnsi="宋体"/>
          <w:color w:val="auto"/>
          <w:szCs w:val="21"/>
          <w:highlight w:val="none"/>
        </w:rPr>
        <w:t xml:space="preserve"> </w:t>
      </w:r>
      <w:r>
        <w:rPr>
          <w:rFonts w:hint="eastAsia" w:hAnsi="宋体"/>
          <w:b/>
          <w:color w:val="auto"/>
          <w:szCs w:val="21"/>
          <w:highlight w:val="none"/>
        </w:rPr>
        <w:t>*(7)施工场地周围地下管线和邻近建筑物、构筑物(含文物保护建筑)、古树名木的保护要求及费用承担：</w:t>
      </w:r>
      <w:r>
        <w:rPr>
          <w:rFonts w:hint="eastAsia" w:hAnsi="宋体"/>
          <w:b/>
          <w:color w:val="auto"/>
          <w:szCs w:val="21"/>
          <w:highlight w:val="none"/>
          <w:u w:val="single"/>
        </w:rPr>
        <w:t xml:space="preserve">承包人施工时应探明并负责保护且承担费用，施工时如损坏地下管线、邻近建筑物、构筑物，所发生费用由承包人承担 </w:t>
      </w:r>
      <w:r>
        <w:rPr>
          <w:rFonts w:hint="eastAsia" w:hAnsi="宋体"/>
          <w:b/>
          <w:color w:val="auto"/>
          <w:szCs w:val="21"/>
          <w:highlight w:val="none"/>
        </w:rPr>
        <w:t>。</w:t>
      </w:r>
    </w:p>
    <w:p w14:paraId="0CB665EF">
      <w:pPr>
        <w:spacing w:line="360" w:lineRule="exact"/>
        <w:ind w:firstLine="519" w:firstLineChars="246"/>
        <w:rPr>
          <w:rFonts w:hint="eastAsia" w:hAnsi="宋体"/>
          <w:b/>
          <w:color w:val="auto"/>
          <w:szCs w:val="21"/>
          <w:highlight w:val="none"/>
        </w:rPr>
      </w:pPr>
      <w:r>
        <w:rPr>
          <w:rFonts w:hint="eastAsia" w:hAnsi="宋体"/>
          <w:b/>
          <w:color w:val="auto"/>
          <w:szCs w:val="21"/>
          <w:highlight w:val="none"/>
        </w:rPr>
        <w:t xml:space="preserve"> *(8)施工场地清洁卫生的要求：</w:t>
      </w:r>
      <w:r>
        <w:rPr>
          <w:rFonts w:hint="eastAsia" w:hAnsi="宋体"/>
          <w:b/>
          <w:color w:val="auto"/>
          <w:szCs w:val="21"/>
          <w:highlight w:val="none"/>
          <w:u w:val="single"/>
        </w:rPr>
        <w:t>由于施工造成的环境污染，其责任和费用均由承包人承担</w:t>
      </w:r>
      <w:r>
        <w:rPr>
          <w:rFonts w:hint="eastAsia" w:hAnsi="宋体"/>
          <w:b/>
          <w:color w:val="auto"/>
          <w:szCs w:val="21"/>
          <w:highlight w:val="none"/>
        </w:rPr>
        <w:t>。</w:t>
      </w:r>
    </w:p>
    <w:p w14:paraId="6BDD1C05">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(9)双方约定承包人应做的其他工作：</w:t>
      </w:r>
    </w:p>
    <w:p w14:paraId="2193898D">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1)配合发包人做好安全文明宣传、领导检查宣传等工作，相关费用由承包人承担。</w:t>
      </w:r>
    </w:p>
    <w:p w14:paraId="36589791">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2)承包人生活设施及施工场地，应自费配备消防设备，防止火灾发生。</w:t>
      </w:r>
    </w:p>
    <w:p w14:paraId="0A06F577">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3)承包人的临时用地(含项目部驻地等)租用费(含拆迁补偿)、临时用地的环保、恢复、临时用地的青苗补偿及地面附着物拆除等费用均由承包人负责，以上费用在竞标报价中综合考虑。</w:t>
      </w:r>
    </w:p>
    <w:p w14:paraId="398837D2">
      <w:pPr>
        <w:spacing w:line="360" w:lineRule="exact"/>
        <w:ind w:firstLine="711" w:firstLineChars="339"/>
        <w:rPr>
          <w:rFonts w:hint="eastAsia" w:hAnsi="宋体"/>
          <w:color w:val="auto"/>
          <w:szCs w:val="21"/>
          <w:highlight w:val="none"/>
        </w:rPr>
      </w:pPr>
      <w:r>
        <w:rPr>
          <w:rFonts w:hint="eastAsia" w:hAnsi="宋体"/>
          <w:color w:val="auto"/>
          <w:szCs w:val="21"/>
          <w:highlight w:val="none"/>
        </w:rPr>
        <w:t>4)取土场及弃土场由承包人自行解决，但不得违反相关管理规定，并承担相关费用。</w:t>
      </w:r>
    </w:p>
    <w:p w14:paraId="623CEA8F">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5)经过城市道路的施工车辆，必须按交警、城管、运输等部门相关规定执行。由于施工车辆造成的道路、环境等污染，其责任和费用均由承包人承担。</w:t>
      </w:r>
    </w:p>
    <w:p w14:paraId="1D27CE54">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6)承包人负责合同实施期间其合同段内临时交通道路(含场内外连接公共交通道路)和交通设施的修建、维修、养护和交通管理工作，并承担一切费用。    </w:t>
      </w:r>
    </w:p>
    <w:p w14:paraId="6F16D1CC">
      <w:pPr>
        <w:spacing w:line="360" w:lineRule="exact"/>
        <w:ind w:firstLine="516" w:firstLineChars="246"/>
        <w:rPr>
          <w:rFonts w:hint="eastAsia" w:hAnsi="宋体"/>
          <w:color w:val="auto"/>
          <w:szCs w:val="21"/>
          <w:highlight w:val="none"/>
        </w:rPr>
      </w:pPr>
      <w:r>
        <w:rPr>
          <w:rFonts w:hint="eastAsia" w:hAnsi="宋体"/>
          <w:color w:val="auto"/>
          <w:szCs w:val="21"/>
          <w:highlight w:val="none"/>
        </w:rPr>
        <w:t xml:space="preserve">  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6F681B43">
      <w:pPr>
        <w:spacing w:line="360" w:lineRule="exact"/>
        <w:rPr>
          <w:rFonts w:hint="eastAsia" w:hAnsi="宋体"/>
          <w:b/>
          <w:bCs/>
          <w:color w:val="auto"/>
          <w:szCs w:val="21"/>
          <w:highlight w:val="none"/>
        </w:rPr>
      </w:pPr>
      <w:r>
        <w:rPr>
          <w:rFonts w:hint="eastAsia" w:hAnsi="宋体"/>
          <w:b/>
          <w:bCs/>
          <w:color w:val="auto"/>
          <w:szCs w:val="21"/>
          <w:highlight w:val="none"/>
        </w:rPr>
        <w:t>三、施工组织设计和工期</w:t>
      </w:r>
    </w:p>
    <w:p w14:paraId="361956E8">
      <w:pPr>
        <w:spacing w:line="360" w:lineRule="exact"/>
        <w:ind w:firstLine="352" w:firstLineChars="167"/>
        <w:rPr>
          <w:rFonts w:hint="eastAsia" w:hAnsi="宋体"/>
          <w:b/>
          <w:bCs/>
          <w:color w:val="auto"/>
          <w:szCs w:val="21"/>
          <w:highlight w:val="none"/>
        </w:rPr>
      </w:pPr>
      <w:r>
        <w:rPr>
          <w:rFonts w:hint="eastAsia" w:hAnsi="宋体"/>
          <w:b/>
          <w:bCs/>
          <w:color w:val="auto"/>
          <w:szCs w:val="21"/>
          <w:highlight w:val="none"/>
        </w:rPr>
        <w:t xml:space="preserve">  10．进度计划</w:t>
      </w:r>
    </w:p>
    <w:p w14:paraId="7D362E5D">
      <w:pPr>
        <w:spacing w:line="360" w:lineRule="exact"/>
        <w:ind w:firstLine="367" w:firstLineChars="175"/>
        <w:rPr>
          <w:rFonts w:hint="eastAsia" w:hAnsi="宋体"/>
          <w:color w:val="auto"/>
          <w:szCs w:val="21"/>
          <w:highlight w:val="none"/>
        </w:rPr>
      </w:pPr>
      <w:r>
        <w:rPr>
          <w:rFonts w:hint="eastAsia" w:hAnsi="宋体"/>
          <w:color w:val="auto"/>
          <w:szCs w:val="21"/>
          <w:highlight w:val="none"/>
        </w:rPr>
        <w:t xml:space="preserve">  10.1承包人提供施工组织设计(施工方案)和进度计划的时间</w:t>
      </w:r>
      <w:r>
        <w:rPr>
          <w:rFonts w:hint="eastAsia" w:hAnsi="宋体"/>
          <w:color w:val="auto"/>
          <w:szCs w:val="21"/>
          <w:highlight w:val="none"/>
          <w:u w:val="single"/>
        </w:rPr>
        <w:t xml:space="preserve">：于开工前七日内 </w:t>
      </w:r>
      <w:r>
        <w:rPr>
          <w:rFonts w:hint="eastAsia" w:hAnsi="宋体"/>
          <w:color w:val="auto"/>
          <w:szCs w:val="21"/>
          <w:highlight w:val="none"/>
        </w:rPr>
        <w:t>。</w:t>
      </w:r>
    </w:p>
    <w:p w14:paraId="4DB38A89">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工程师确认的时间：</w:t>
      </w:r>
      <w:r>
        <w:rPr>
          <w:rFonts w:hint="eastAsia" w:hAnsi="宋体"/>
          <w:color w:val="auto"/>
          <w:szCs w:val="21"/>
          <w:highlight w:val="none"/>
          <w:u w:val="single"/>
        </w:rPr>
        <w:t>收到后五日内予以批复</w:t>
      </w:r>
      <w:r>
        <w:rPr>
          <w:rFonts w:hint="eastAsia" w:hAnsi="宋体"/>
          <w:color w:val="auto"/>
          <w:szCs w:val="21"/>
          <w:highlight w:val="none"/>
        </w:rPr>
        <w:t>。</w:t>
      </w:r>
    </w:p>
    <w:p w14:paraId="79BEABDE">
      <w:pPr>
        <w:spacing w:line="360" w:lineRule="exact"/>
        <w:ind w:firstLine="636" w:firstLineChars="303"/>
        <w:rPr>
          <w:rFonts w:hint="eastAsia" w:hAnsi="宋体"/>
          <w:color w:val="auto"/>
          <w:szCs w:val="21"/>
          <w:highlight w:val="none"/>
        </w:rPr>
      </w:pPr>
      <w:r>
        <w:rPr>
          <w:rFonts w:hint="eastAsia" w:hAnsi="宋体"/>
          <w:color w:val="auto"/>
          <w:szCs w:val="21"/>
          <w:highlight w:val="none"/>
        </w:rPr>
        <w:t>10.2群体工程中有关进度计划的要求：</w:t>
      </w:r>
      <w:r>
        <w:rPr>
          <w:rFonts w:hint="eastAsia" w:hAnsi="宋体"/>
          <w:color w:val="auto"/>
          <w:szCs w:val="21"/>
          <w:highlight w:val="none"/>
          <w:u w:val="single"/>
        </w:rPr>
        <w:t xml:space="preserve">                         </w:t>
      </w:r>
      <w:r>
        <w:rPr>
          <w:rFonts w:hint="eastAsia" w:hAnsi="宋体"/>
          <w:color w:val="auto"/>
          <w:szCs w:val="21"/>
          <w:highlight w:val="none"/>
        </w:rPr>
        <w:t>。</w:t>
      </w:r>
    </w:p>
    <w:p w14:paraId="11E23B55">
      <w:pPr>
        <w:spacing w:line="360" w:lineRule="exact"/>
        <w:ind w:firstLine="580" w:firstLineChars="275"/>
        <w:rPr>
          <w:rFonts w:hint="eastAsia" w:hAnsi="宋体"/>
          <w:b/>
          <w:color w:val="auto"/>
          <w:szCs w:val="21"/>
          <w:highlight w:val="none"/>
        </w:rPr>
      </w:pPr>
      <w:r>
        <w:rPr>
          <w:rFonts w:hint="eastAsia" w:hAnsi="宋体"/>
          <w:b/>
          <w:color w:val="auto"/>
          <w:szCs w:val="21"/>
          <w:highlight w:val="none"/>
        </w:rPr>
        <w:t>13．工期延误</w:t>
      </w:r>
    </w:p>
    <w:p w14:paraId="1B5F9A15">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13.1对以下原因造成工期延误，经工程师确认，工期相应顺延，按通用条款第十三条执行。</w:t>
      </w:r>
    </w:p>
    <w:p w14:paraId="6345BD7C">
      <w:pPr>
        <w:spacing w:line="360" w:lineRule="exact"/>
        <w:ind w:firstLine="441" w:firstLineChars="210"/>
        <w:rPr>
          <w:rFonts w:hint="eastAsia" w:hAnsi="宋体"/>
          <w:color w:val="auto"/>
          <w:szCs w:val="21"/>
          <w:highlight w:val="none"/>
          <w:u w:val="single"/>
        </w:rPr>
      </w:pPr>
      <w:r>
        <w:rPr>
          <w:rFonts w:hint="eastAsia" w:hAnsi="宋体"/>
          <w:color w:val="auto"/>
          <w:szCs w:val="21"/>
          <w:highlight w:val="none"/>
        </w:rPr>
        <w:t xml:space="preserve">  13.1.1  双方约定工期顺延的其他情况：</w:t>
      </w:r>
      <w:r>
        <w:rPr>
          <w:rFonts w:hint="eastAsia" w:hAnsi="宋体"/>
          <w:color w:val="auto"/>
          <w:szCs w:val="21"/>
          <w:highlight w:val="none"/>
          <w:u w:val="single"/>
        </w:rPr>
        <w:t xml:space="preserve">  不可抗力的原因  </w:t>
      </w:r>
      <w:r>
        <w:rPr>
          <w:rFonts w:hint="eastAsia" w:hAnsi="宋体"/>
          <w:color w:val="auto"/>
          <w:szCs w:val="21"/>
          <w:highlight w:val="none"/>
        </w:rPr>
        <w:t>。</w:t>
      </w:r>
    </w:p>
    <w:p w14:paraId="30764630">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13.2非上述原因，承包人不能按合同约定的时间竣工，承包人应承担违约责任。应向发包人支付误期赔偿费(每天赔偿金额为合同价款的万分之</w:t>
      </w:r>
      <w:r>
        <w:rPr>
          <w:rFonts w:hint="eastAsia" w:hAnsi="宋体"/>
          <w:color w:val="auto"/>
          <w:szCs w:val="21"/>
          <w:highlight w:val="none"/>
          <w:u w:val="single"/>
        </w:rPr>
        <w:t xml:space="preserve">  四  </w:t>
      </w:r>
      <w:r>
        <w:rPr>
          <w:rFonts w:hint="eastAsia" w:hAnsi="宋体"/>
          <w:color w:val="auto"/>
          <w:szCs w:val="21"/>
          <w:highlight w:val="none"/>
        </w:rPr>
        <w:t>)，误期时间从规定竣工日期起直到全部工程或相应部分工程竣工验收各方签章日期之间的天数(扣除发包人批准顺延的工期)，其极限为合同价的</w:t>
      </w:r>
      <w:r>
        <w:rPr>
          <w:rFonts w:hint="eastAsia" w:hAnsi="宋体"/>
          <w:color w:val="auto"/>
          <w:szCs w:val="21"/>
          <w:highlight w:val="none"/>
          <w:u w:val="single"/>
        </w:rPr>
        <w:t xml:space="preserve">5% </w:t>
      </w:r>
      <w:r>
        <w:rPr>
          <w:rFonts w:hint="eastAsia" w:hAnsi="宋体"/>
          <w:color w:val="auto"/>
          <w:szCs w:val="21"/>
          <w:highlight w:val="none"/>
        </w:rPr>
        <w:t xml:space="preserve"> 。发包人可从应向承包人支付的任何金额中扣除此项赔偿款或其他方式收回此款，此赔偿款的支付并不能解除承包人应完成工程的责任或合同规定的其他责任。</w:t>
      </w:r>
    </w:p>
    <w:p w14:paraId="37E9BD68">
      <w:pPr>
        <w:spacing w:line="360" w:lineRule="exact"/>
        <w:rPr>
          <w:rFonts w:hint="eastAsia" w:hAnsi="宋体"/>
          <w:color w:val="auto"/>
          <w:szCs w:val="21"/>
          <w:highlight w:val="none"/>
        </w:rPr>
      </w:pPr>
      <w:r>
        <w:rPr>
          <w:rFonts w:hint="eastAsia" w:hAnsi="宋体"/>
          <w:color w:val="auto"/>
          <w:szCs w:val="21"/>
          <w:highlight w:val="none"/>
        </w:rPr>
        <w:t xml:space="preserve">    13.3  因工程量变化和设计变更的工期予以顺延，即工期相应变化，质量要求不变。</w:t>
      </w:r>
    </w:p>
    <w:p w14:paraId="6A6DB8C9">
      <w:pPr>
        <w:spacing w:line="360" w:lineRule="exact"/>
        <w:rPr>
          <w:rFonts w:hint="eastAsia" w:hAnsi="宋体"/>
          <w:color w:val="auto"/>
          <w:szCs w:val="21"/>
          <w:highlight w:val="none"/>
        </w:rPr>
      </w:pPr>
      <w:r>
        <w:rPr>
          <w:rFonts w:hint="eastAsia" w:hAnsi="宋体"/>
          <w:color w:val="auto"/>
          <w:szCs w:val="21"/>
          <w:highlight w:val="none"/>
        </w:rPr>
        <w:t xml:space="preserve">    13.4承包人必须按照合同工期或发包人同意顺延的工期竣工。</w:t>
      </w:r>
    </w:p>
    <w:p w14:paraId="0CD366E0">
      <w:pPr>
        <w:spacing w:line="360" w:lineRule="exact"/>
        <w:rPr>
          <w:rFonts w:hint="eastAsia" w:hAnsi="宋体"/>
          <w:b/>
          <w:color w:val="auto"/>
          <w:szCs w:val="21"/>
          <w:highlight w:val="none"/>
        </w:rPr>
      </w:pPr>
      <w:r>
        <w:rPr>
          <w:rFonts w:hint="eastAsia" w:hAnsi="宋体"/>
          <w:b/>
          <w:color w:val="auto"/>
          <w:szCs w:val="21"/>
          <w:highlight w:val="none"/>
        </w:rPr>
        <w:t>四、质量与验收</w:t>
      </w:r>
    </w:p>
    <w:p w14:paraId="50F9A5D4">
      <w:pPr>
        <w:spacing w:line="360" w:lineRule="exact"/>
        <w:rPr>
          <w:rFonts w:hint="eastAsia" w:hAnsi="宋体"/>
          <w:color w:val="auto"/>
          <w:szCs w:val="21"/>
          <w:highlight w:val="none"/>
        </w:rPr>
      </w:pPr>
      <w:r>
        <w:rPr>
          <w:rFonts w:hint="eastAsia" w:hAnsi="宋体"/>
          <w:color w:val="auto"/>
          <w:szCs w:val="21"/>
          <w:highlight w:val="none"/>
        </w:rPr>
        <w:t xml:space="preserve">    15．工程质量</w:t>
      </w:r>
    </w:p>
    <w:p w14:paraId="026DCE6F">
      <w:pPr>
        <w:spacing w:line="360" w:lineRule="exact"/>
        <w:rPr>
          <w:rFonts w:hint="eastAsia" w:hAnsi="宋体"/>
          <w:color w:val="auto"/>
          <w:szCs w:val="21"/>
          <w:highlight w:val="none"/>
          <w:u w:val="single"/>
        </w:rPr>
      </w:pPr>
      <w:r>
        <w:rPr>
          <w:rFonts w:hint="eastAsia" w:hAnsi="宋体"/>
          <w:color w:val="auto"/>
          <w:szCs w:val="21"/>
          <w:highlight w:val="none"/>
        </w:rPr>
        <w:t xml:space="preserve">    15.1发包人对工程质量的要求：</w:t>
      </w:r>
      <w:r>
        <w:rPr>
          <w:rFonts w:hint="eastAsia" w:hAnsi="宋体"/>
          <w:b/>
          <w:bCs/>
          <w:color w:val="auto"/>
          <w:szCs w:val="21"/>
          <w:highlight w:val="none"/>
          <w:u w:val="single"/>
        </w:rPr>
        <w:t xml:space="preserve">合格 </w:t>
      </w:r>
      <w:r>
        <w:rPr>
          <w:rFonts w:hint="eastAsia" w:hAnsi="宋体"/>
          <w:b/>
          <w:bCs/>
          <w:color w:val="auto"/>
          <w:szCs w:val="21"/>
          <w:highlight w:val="none"/>
        </w:rPr>
        <w:t>。</w:t>
      </w:r>
    </w:p>
    <w:p w14:paraId="29FFC00A">
      <w:pPr>
        <w:spacing w:line="360" w:lineRule="exact"/>
        <w:rPr>
          <w:rFonts w:hint="eastAsia" w:hAnsi="宋体"/>
          <w:color w:val="auto"/>
          <w:szCs w:val="21"/>
          <w:highlight w:val="none"/>
        </w:rPr>
      </w:pPr>
      <w:r>
        <w:rPr>
          <w:rFonts w:hint="eastAsia" w:hAnsi="宋体"/>
          <w:color w:val="auto"/>
          <w:szCs w:val="21"/>
          <w:highlight w:val="none"/>
        </w:rPr>
        <w:t xml:space="preserve">    15.2双方对工程质量有争议时，由</w:t>
      </w:r>
      <w:r>
        <w:rPr>
          <w:rFonts w:hint="eastAsia" w:hAnsi="宋体"/>
          <w:color w:val="auto"/>
          <w:szCs w:val="21"/>
          <w:highlight w:val="none"/>
          <w:u w:val="single"/>
        </w:rPr>
        <w:t>钦州市钦北区建设工程质量安全监督站</w:t>
      </w:r>
      <w:r>
        <w:rPr>
          <w:rFonts w:hint="eastAsia" w:hAnsi="宋体"/>
          <w:color w:val="auto"/>
          <w:szCs w:val="21"/>
          <w:highlight w:val="none"/>
        </w:rPr>
        <w:t>仲裁。</w:t>
      </w:r>
    </w:p>
    <w:p w14:paraId="5F5F0B2D">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17．隐蔽工程和中间验收</w:t>
      </w:r>
    </w:p>
    <w:p w14:paraId="15A95BA7">
      <w:pPr>
        <w:spacing w:line="360" w:lineRule="exact"/>
        <w:rPr>
          <w:rFonts w:hint="eastAsia" w:hAnsi="宋体"/>
          <w:color w:val="auto"/>
          <w:szCs w:val="21"/>
          <w:highlight w:val="none"/>
          <w:u w:val="single"/>
        </w:rPr>
      </w:pPr>
      <w:r>
        <w:rPr>
          <w:rFonts w:hint="eastAsia" w:hAnsi="宋体"/>
          <w:color w:val="auto"/>
          <w:szCs w:val="21"/>
          <w:highlight w:val="none"/>
        </w:rPr>
        <w:t xml:space="preserve">    17.1双方约定中间验收部位：</w:t>
      </w:r>
      <w:r>
        <w:rPr>
          <w:rFonts w:hint="eastAsia" w:hAnsi="宋体"/>
          <w:color w:val="auto"/>
          <w:szCs w:val="21"/>
          <w:highlight w:val="none"/>
          <w:u w:val="single"/>
        </w:rPr>
        <w:t>待定</w:t>
      </w:r>
      <w:r>
        <w:rPr>
          <w:rFonts w:hint="eastAsia" w:hAnsi="宋体"/>
          <w:color w:val="auto"/>
          <w:szCs w:val="21"/>
          <w:highlight w:val="none"/>
        </w:rPr>
        <w:t>。</w:t>
      </w:r>
    </w:p>
    <w:p w14:paraId="09B1960E">
      <w:pPr>
        <w:spacing w:line="360" w:lineRule="exact"/>
        <w:ind w:firstLine="105" w:firstLineChars="50"/>
        <w:rPr>
          <w:rFonts w:hint="eastAsia" w:hAnsi="宋体"/>
          <w:b/>
          <w:color w:val="auto"/>
          <w:szCs w:val="21"/>
          <w:highlight w:val="none"/>
        </w:rPr>
      </w:pPr>
      <w:r>
        <w:rPr>
          <w:rFonts w:hint="eastAsia" w:hAnsi="宋体"/>
          <w:b/>
          <w:color w:val="auto"/>
          <w:szCs w:val="21"/>
          <w:highlight w:val="none"/>
        </w:rPr>
        <w:t xml:space="preserve">  * 17.2工程隐蔽或中间验收前十二小时以书面形式通知发包人和监理工程师验收的内容、时间、地点，承包人准备验收记录单(最好是印制的表格)由双方签证。验收合格，承包人可进行隐蔽和继续施工；验收不合格，双方商订时限内修改后按上述程序重新验收。</w:t>
      </w:r>
    </w:p>
    <w:p w14:paraId="0CF8B1FA">
      <w:pPr>
        <w:spacing w:line="360" w:lineRule="exact"/>
        <w:rPr>
          <w:rFonts w:hint="eastAsia" w:hAnsi="宋体"/>
          <w:b/>
          <w:color w:val="auto"/>
          <w:szCs w:val="21"/>
          <w:highlight w:val="none"/>
        </w:rPr>
      </w:pPr>
      <w:r>
        <w:rPr>
          <w:rFonts w:hint="eastAsia" w:hAnsi="宋体"/>
          <w:b/>
          <w:color w:val="auto"/>
          <w:szCs w:val="21"/>
          <w:highlight w:val="none"/>
        </w:rPr>
        <w:t xml:space="preserve">    *17.3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12F9B612">
      <w:pPr>
        <w:spacing w:line="360" w:lineRule="exact"/>
        <w:rPr>
          <w:rFonts w:hint="eastAsia" w:hAnsi="宋体"/>
          <w:b/>
          <w:color w:val="auto"/>
          <w:szCs w:val="21"/>
          <w:highlight w:val="none"/>
        </w:rPr>
      </w:pPr>
      <w:r>
        <w:rPr>
          <w:rFonts w:hint="eastAsia" w:hAnsi="宋体"/>
          <w:b/>
          <w:color w:val="auto"/>
          <w:szCs w:val="21"/>
          <w:highlight w:val="none"/>
        </w:rPr>
        <w:t>五、合同价款与支付</w:t>
      </w:r>
    </w:p>
    <w:p w14:paraId="6600952B">
      <w:pPr>
        <w:spacing w:line="360" w:lineRule="exact"/>
        <w:rPr>
          <w:rFonts w:hint="eastAsia" w:hAnsi="宋体"/>
          <w:b/>
          <w:color w:val="auto"/>
          <w:szCs w:val="21"/>
          <w:highlight w:val="none"/>
        </w:rPr>
      </w:pPr>
      <w:r>
        <w:rPr>
          <w:rFonts w:hint="eastAsia" w:hAnsi="宋体"/>
          <w:b/>
          <w:color w:val="auto"/>
          <w:szCs w:val="21"/>
          <w:highlight w:val="none"/>
        </w:rPr>
        <w:t xml:space="preserve">    23．合同价款及调整</w:t>
      </w:r>
    </w:p>
    <w:p w14:paraId="544DEBC7">
      <w:pPr>
        <w:keepNext/>
        <w:keepLines/>
        <w:spacing w:line="360" w:lineRule="auto"/>
        <w:outlineLvl w:val="3"/>
        <w:rPr>
          <w:rFonts w:ascii="宋体" w:hAnsi="宋体" w:eastAsia="宋体" w:cs="宋体"/>
          <w:b/>
          <w:bCs/>
          <w:color w:val="auto"/>
          <w:sz w:val="21"/>
          <w:szCs w:val="21"/>
          <w:lang w:eastAsia="zh-CN"/>
        </w:rPr>
      </w:pPr>
      <w:r>
        <w:rPr>
          <w:rFonts w:hint="eastAsia" w:hAnsi="宋体"/>
          <w:b/>
          <w:color w:val="auto"/>
          <w:szCs w:val="21"/>
          <w:highlight w:val="none"/>
        </w:rPr>
        <w:t xml:space="preserve">  </w:t>
      </w:r>
      <w:bookmarkStart w:id="70" w:name="_Toc229305397"/>
      <w:r>
        <w:rPr>
          <w:rFonts w:hint="eastAsia" w:hAnsi="宋体"/>
          <w:b/>
          <w:color w:val="auto"/>
          <w:szCs w:val="21"/>
          <w:highlight w:val="none"/>
          <w:lang w:val="en-US" w:eastAsia="zh-CN"/>
        </w:rPr>
        <w:t xml:space="preserve">  23.1</w:t>
      </w:r>
      <w:r>
        <w:rPr>
          <w:rFonts w:hint="eastAsia" w:ascii="宋体" w:hAnsi="宋体" w:eastAsia="宋体" w:cs="宋体"/>
          <w:b/>
          <w:bCs/>
          <w:color w:val="auto"/>
          <w:sz w:val="21"/>
          <w:szCs w:val="21"/>
          <w:lang w:eastAsia="zh-CN"/>
        </w:rPr>
        <w:t>价格调整</w:t>
      </w:r>
      <w:bookmarkEnd w:id="70"/>
    </w:p>
    <w:p w14:paraId="02C09896">
      <w:pPr>
        <w:keepNext/>
        <w:keepLines/>
        <w:spacing w:line="360" w:lineRule="auto"/>
        <w:ind w:firstLine="422" w:firstLineChars="200"/>
        <w:outlineLvl w:val="3"/>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 xml:space="preserve">物价波动引起的价格调整  </w:t>
      </w:r>
    </w:p>
    <w:p w14:paraId="0ACC4427">
      <w:pPr>
        <w:spacing w:line="360" w:lineRule="auto"/>
        <w:ind w:firstLine="420" w:firstLineChars="20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□本项目不因为物价波动及调差政策原因引起合同价格变动而调整。</w:t>
      </w:r>
    </w:p>
    <w:p w14:paraId="0A2C12B5">
      <w:pPr>
        <w:spacing w:line="360" w:lineRule="auto"/>
        <w:ind w:right="248" w:firstLine="48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☑本项目由于物价波动原因引起合同价格变动时，对其价格按下列方式进行调整。</w:t>
      </w:r>
    </w:p>
    <w:p w14:paraId="425E9501">
      <w:pPr>
        <w:spacing w:line="360" w:lineRule="exact"/>
        <w:ind w:firstLine="350" w:firstLineChars="167"/>
        <w:rPr>
          <w:rFonts w:hint="eastAsia" w:hAnsi="宋体"/>
          <w:b/>
          <w:color w:val="auto"/>
          <w:szCs w:val="21"/>
          <w:highlight w:val="none"/>
          <w:u w:val="single"/>
        </w:rPr>
      </w:pPr>
      <w:r>
        <w:rPr>
          <w:rFonts w:hint="eastAsia" w:ascii="宋体" w:hAnsi="宋体" w:eastAsia="宋体" w:cs="宋体"/>
          <w:color w:val="auto"/>
          <w:sz w:val="21"/>
          <w:szCs w:val="21"/>
          <w:highlight w:val="none"/>
          <w:lang w:eastAsia="zh-CN"/>
        </w:rPr>
        <w:t>工程施工中，主要原材料单价浮动在±</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%范围内时（含本身），按竞标人在竞标报价时的综合单价结算；如果竞标人在施工中主要原材料单价浮动超过±</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%范围时，超出部分按实际调整，但按照施工合同规定进行审计结算，结算价如超出下达项目资金的建安费，则按下达项目资金建安</w:t>
      </w:r>
      <w:r>
        <w:rPr>
          <w:rFonts w:hint="eastAsia" w:ascii="宋体" w:hAnsi="宋体" w:eastAsia="宋体" w:cs="宋体"/>
          <w:color w:val="auto"/>
          <w:sz w:val="21"/>
          <w:szCs w:val="21"/>
          <w:highlight w:val="none"/>
          <w:lang w:val="en-US" w:eastAsia="zh-CN"/>
        </w:rPr>
        <w:t>费支付，超出部分由施工单位承担。</w:t>
      </w:r>
    </w:p>
    <w:p w14:paraId="3E8C55D4">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25．工程量确认：</w:t>
      </w:r>
    </w:p>
    <w:p w14:paraId="68C12743">
      <w:pPr>
        <w:spacing w:line="360" w:lineRule="exact"/>
        <w:ind w:firstLine="457" w:firstLineChars="218"/>
        <w:rPr>
          <w:rFonts w:hint="eastAsia" w:hAnsi="宋体"/>
          <w:color w:val="auto"/>
          <w:szCs w:val="21"/>
          <w:highlight w:val="none"/>
          <w:u w:val="single"/>
        </w:rPr>
      </w:pPr>
      <w:r>
        <w:rPr>
          <w:rFonts w:hint="eastAsia" w:hAnsi="宋体"/>
          <w:color w:val="auto"/>
          <w:szCs w:val="21"/>
          <w:highlight w:val="none"/>
        </w:rPr>
        <w:t>25.1  承包人向工程师提交已完工程量报告的时间：</w:t>
      </w:r>
      <w:r>
        <w:rPr>
          <w:rFonts w:hint="eastAsia" w:hAnsi="宋体"/>
          <w:color w:val="auto"/>
          <w:szCs w:val="21"/>
          <w:highlight w:val="none"/>
          <w:u w:val="single"/>
        </w:rPr>
        <w:t xml:space="preserve">  每月二十五日前 </w:t>
      </w:r>
      <w:r>
        <w:rPr>
          <w:rFonts w:hint="eastAsia" w:hAnsi="宋体"/>
          <w:color w:val="auto"/>
          <w:szCs w:val="21"/>
          <w:highlight w:val="none"/>
        </w:rPr>
        <w:t>。</w:t>
      </w:r>
    </w:p>
    <w:p w14:paraId="5D497C06">
      <w:pPr>
        <w:spacing w:line="360" w:lineRule="exact"/>
        <w:ind w:firstLine="487" w:firstLineChars="232"/>
        <w:rPr>
          <w:rFonts w:hint="eastAsia" w:hAnsi="宋体"/>
          <w:color w:val="auto"/>
          <w:szCs w:val="21"/>
          <w:highlight w:val="none"/>
        </w:rPr>
      </w:pPr>
      <w:r>
        <w:rPr>
          <w:rFonts w:hint="eastAsia" w:hAnsi="宋体"/>
          <w:color w:val="auto"/>
          <w:szCs w:val="21"/>
          <w:highlight w:val="none"/>
        </w:rPr>
        <w:t>25.1.1  工程量清单所列的工程量，不能作为承包人按合同履行其责任依据，实际施工中发生的工程量增加或减少并不影响承包人履行合同的责任，工程结算以完成的实际工程量为准。</w:t>
      </w:r>
    </w:p>
    <w:p w14:paraId="3A6C1195">
      <w:pPr>
        <w:spacing w:line="360" w:lineRule="exact"/>
        <w:ind w:firstLine="306" w:firstLineChars="146"/>
        <w:rPr>
          <w:rFonts w:hint="eastAsia" w:hAnsi="宋体"/>
          <w:color w:val="auto"/>
          <w:szCs w:val="21"/>
          <w:highlight w:val="none"/>
        </w:rPr>
      </w:pPr>
      <w:r>
        <w:rPr>
          <w:rFonts w:hint="eastAsia" w:hAnsi="宋体"/>
          <w:color w:val="auto"/>
          <w:szCs w:val="21"/>
          <w:highlight w:val="none"/>
        </w:rPr>
        <w:t xml:space="preserve">  25.2  除另有规定外，工程师应按照合同通过计量来核实确定已完成的工程量和价值，承包人应得到该价值扣除保留金后的价款。当工程师要对已完工的工程量进行计量时，应适时地通知承包人参加。</w:t>
      </w:r>
    </w:p>
    <w:p w14:paraId="7EB4BC2F">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25.3计量方法</w:t>
      </w:r>
    </w:p>
    <w:p w14:paraId="742C4CBC">
      <w:pPr>
        <w:spacing w:line="360" w:lineRule="exact"/>
        <w:rPr>
          <w:rFonts w:hint="eastAsia" w:hAnsi="宋体"/>
          <w:color w:val="auto"/>
          <w:szCs w:val="21"/>
          <w:highlight w:val="none"/>
        </w:rPr>
      </w:pPr>
      <w:r>
        <w:rPr>
          <w:rFonts w:hint="eastAsia" w:hAnsi="宋体"/>
          <w:color w:val="auto"/>
          <w:szCs w:val="21"/>
          <w:highlight w:val="none"/>
        </w:rPr>
        <w:t xml:space="preserve">    工程的计量均以国家标准《建设工程工程量清单计价规范》、(GB50500-2013)通用安装工程工程量计算规范》GB 50856-2013、《建设工程工程量清单计价规范GB50500-2013广西壮族自治区实施细则》计算的净值为准，如有不明之处，应以监理工程师或造价管理部门指定的计量方法为准。</w:t>
      </w:r>
    </w:p>
    <w:p w14:paraId="72B6AB73">
      <w:pPr>
        <w:spacing w:line="360" w:lineRule="exact"/>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w:t>
      </w:r>
      <w:r>
        <w:rPr>
          <w:rFonts w:hint="eastAsia" w:hAnsi="宋体"/>
          <w:color w:val="auto"/>
          <w:szCs w:val="21"/>
          <w:highlight w:val="none"/>
        </w:rPr>
        <w:t>25.4计量单位</w:t>
      </w:r>
    </w:p>
    <w:p w14:paraId="46AED5E5">
      <w:pPr>
        <w:spacing w:line="360" w:lineRule="exact"/>
        <w:ind w:firstLine="546" w:firstLineChars="260"/>
        <w:rPr>
          <w:rFonts w:hint="eastAsia" w:hAnsi="宋体"/>
          <w:color w:val="auto"/>
          <w:szCs w:val="21"/>
          <w:highlight w:val="none"/>
        </w:rPr>
      </w:pPr>
      <w:r>
        <w:rPr>
          <w:rFonts w:hint="eastAsia" w:hAnsi="宋体"/>
          <w:color w:val="auto"/>
          <w:szCs w:val="21"/>
          <w:highlight w:val="none"/>
        </w:rPr>
        <w:t>除了合同另有规定外，所有计量单位均应符合本工程的工程量清单。</w:t>
      </w:r>
    </w:p>
    <w:p w14:paraId="4D1E37EA">
      <w:pPr>
        <w:spacing w:line="360" w:lineRule="exact"/>
        <w:ind w:firstLine="316" w:firstLineChars="150"/>
        <w:rPr>
          <w:rFonts w:hint="eastAsia" w:hAnsi="宋体"/>
          <w:b/>
          <w:color w:val="auto"/>
          <w:szCs w:val="21"/>
          <w:highlight w:val="none"/>
        </w:rPr>
      </w:pPr>
      <w:r>
        <w:rPr>
          <w:rFonts w:hint="eastAsia" w:hAnsi="宋体"/>
          <w:b/>
          <w:color w:val="auto"/>
          <w:szCs w:val="21"/>
          <w:highlight w:val="none"/>
        </w:rPr>
        <w:t>*26．工程进度款支付方式：银行转账 。</w:t>
      </w:r>
    </w:p>
    <w:p w14:paraId="2E38A3F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工程进度款支付方式：银行转账 。</w:t>
      </w:r>
    </w:p>
    <w:p w14:paraId="05AAE1B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进度款的支付率：按工程进度请款付款。</w:t>
      </w:r>
    </w:p>
    <w:p w14:paraId="769A8ED3">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预付款支付比例或金额：合同价款的</w:t>
      </w:r>
      <w:r>
        <w:rPr>
          <w:rFonts w:hint="eastAsia" w:hAnsi="宋体"/>
          <w:b/>
          <w:color w:val="auto"/>
          <w:szCs w:val="21"/>
          <w:highlight w:val="none"/>
          <w:u w:val="single"/>
          <w:lang w:val="en-US" w:eastAsia="zh-CN"/>
        </w:rPr>
        <w:t xml:space="preserve">   </w:t>
      </w:r>
      <w:r>
        <w:rPr>
          <w:rFonts w:hint="eastAsia" w:hAnsi="宋体"/>
          <w:b/>
          <w:color w:val="auto"/>
          <w:szCs w:val="21"/>
          <w:highlight w:val="none"/>
        </w:rPr>
        <w:t>%。</w:t>
      </w:r>
    </w:p>
    <w:p w14:paraId="5F979F24">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预付款支付期限：签订合同</w:t>
      </w:r>
      <w:r>
        <w:rPr>
          <w:rFonts w:hint="eastAsia" w:hAnsi="宋体"/>
          <w:b/>
          <w:color w:val="auto"/>
          <w:szCs w:val="21"/>
          <w:highlight w:val="none"/>
          <w:u w:val="single"/>
          <w:lang w:val="en-US" w:eastAsia="zh-CN"/>
        </w:rPr>
        <w:t>15</w:t>
      </w:r>
      <w:r>
        <w:rPr>
          <w:rFonts w:hint="eastAsia" w:hAnsi="宋体"/>
          <w:b/>
          <w:color w:val="auto"/>
          <w:szCs w:val="21"/>
          <w:highlight w:val="none"/>
        </w:rPr>
        <w:t>个工作日内支付。</w:t>
      </w:r>
    </w:p>
    <w:p w14:paraId="62A61A31">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outlineLvl w:val="9"/>
        <w:rPr>
          <w:rFonts w:hint="eastAsia" w:hAnsi="宋体"/>
          <w:b/>
          <w:color w:val="auto"/>
          <w:szCs w:val="21"/>
          <w:highlight w:val="none"/>
        </w:rPr>
      </w:pPr>
      <w:r>
        <w:rPr>
          <w:rFonts w:hint="eastAsia" w:hAnsi="宋体"/>
          <w:b/>
          <w:color w:val="auto"/>
          <w:szCs w:val="21"/>
          <w:highlight w:val="none"/>
        </w:rPr>
        <w:t>预付款扣回的方式：</w:t>
      </w:r>
      <w:r>
        <w:rPr>
          <w:rFonts w:hint="eastAsia" w:hAnsi="宋体"/>
          <w:b/>
          <w:color w:val="auto"/>
          <w:szCs w:val="21"/>
          <w:highlight w:val="none"/>
          <w:u w:val="single"/>
          <w:lang w:val="en-US" w:eastAsia="zh-CN"/>
        </w:rPr>
        <w:t xml:space="preserve">    /     </w:t>
      </w:r>
      <w:r>
        <w:rPr>
          <w:rFonts w:hint="eastAsia" w:hAnsi="宋体"/>
          <w:b/>
          <w:color w:val="auto"/>
          <w:szCs w:val="21"/>
          <w:highlight w:val="none"/>
        </w:rPr>
        <w:t>。</w:t>
      </w:r>
    </w:p>
    <w:p w14:paraId="621CFDDA">
      <w:pPr>
        <w:spacing w:line="360" w:lineRule="exact"/>
        <w:rPr>
          <w:rFonts w:hint="eastAsia" w:hAnsi="宋体"/>
          <w:b/>
          <w:color w:val="auto"/>
          <w:szCs w:val="21"/>
          <w:highlight w:val="none"/>
        </w:rPr>
      </w:pPr>
      <w:r>
        <w:rPr>
          <w:rFonts w:hint="eastAsia" w:hAnsi="宋体"/>
          <w:b/>
          <w:color w:val="auto"/>
          <w:szCs w:val="21"/>
          <w:highlight w:val="none"/>
        </w:rPr>
        <w:t>六、材料设备供应</w:t>
      </w:r>
    </w:p>
    <w:p w14:paraId="65DE6E98">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28．承包人采购材料设备</w:t>
      </w:r>
    </w:p>
    <w:p w14:paraId="39D8E4E6">
      <w:pPr>
        <w:spacing w:line="360" w:lineRule="exact"/>
        <w:ind w:firstLine="277" w:firstLineChars="132"/>
        <w:rPr>
          <w:rFonts w:hint="eastAsia" w:hAnsi="宋体"/>
          <w:color w:val="auto"/>
          <w:szCs w:val="21"/>
          <w:highlight w:val="none"/>
        </w:rPr>
      </w:pPr>
      <w:r>
        <w:rPr>
          <w:rFonts w:hint="eastAsia" w:hAnsi="宋体"/>
          <w:color w:val="auto"/>
          <w:szCs w:val="21"/>
          <w:highlight w:val="none"/>
        </w:rPr>
        <w:t xml:space="preserve">  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4EAAA707">
      <w:pPr>
        <w:spacing w:line="360" w:lineRule="exact"/>
        <w:rPr>
          <w:rFonts w:hint="eastAsia" w:hAnsi="宋体"/>
          <w:b/>
          <w:color w:val="auto"/>
          <w:szCs w:val="21"/>
          <w:highlight w:val="none"/>
        </w:rPr>
      </w:pPr>
      <w:r>
        <w:rPr>
          <w:rFonts w:hint="eastAsia" w:hAnsi="宋体"/>
          <w:b/>
          <w:color w:val="auto"/>
          <w:szCs w:val="21"/>
          <w:highlight w:val="none"/>
        </w:rPr>
        <w:t>七、工程变更</w:t>
      </w:r>
    </w:p>
    <w:p w14:paraId="0466132D">
      <w:pPr>
        <w:spacing w:line="360" w:lineRule="exact"/>
        <w:ind w:firstLine="293" w:firstLineChars="139"/>
        <w:rPr>
          <w:rFonts w:hint="eastAsia" w:hAnsi="宋体"/>
          <w:b/>
          <w:color w:val="auto"/>
          <w:szCs w:val="21"/>
          <w:highlight w:val="none"/>
        </w:rPr>
      </w:pPr>
      <w:r>
        <w:rPr>
          <w:rFonts w:hint="eastAsia" w:hAnsi="宋体"/>
          <w:b/>
          <w:color w:val="auto"/>
          <w:szCs w:val="21"/>
          <w:highlight w:val="none"/>
        </w:rPr>
        <w:t xml:space="preserve">  29．工程设计变更</w:t>
      </w:r>
    </w:p>
    <w:p w14:paraId="52940A96">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*29.1.1设计变更和工程签证，按政策规定办理。属不可抗力(自然灾害、突发事件等)造成变更的，按特事特办原则予以办理。</w:t>
      </w:r>
    </w:p>
    <w:p w14:paraId="47E2F16E">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*29.1.2工程设计变更和签证工程发生后十个工作日内，由建设单位将有关变更文件、签证单审批件、工程联系单、预算书等工程资料送同级财政部门备案，并作为进度款支付、事后抽查和工程结算的主要依据。</w:t>
      </w:r>
    </w:p>
    <w:p w14:paraId="388C5279">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*29.1.3建设单位在实施项目过程中，若发生单价变动，由建设单位、监理单位或财政部门投资评审中心与施工单位共同商定并签字确认。</w:t>
      </w:r>
    </w:p>
    <w:p w14:paraId="110AF702">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*29.1.4建设单位在工程设计变更和工程签证过程中必须认真负责、实事求是，不得弄虚作假，凡因上述问题所造成的损失，相应等额扣除建设单位项目管理费或其他财政拨款。</w:t>
      </w:r>
    </w:p>
    <w:p w14:paraId="29FFA80F">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29.1.5承包人应当在合同规定的调整情况发生后十四天内，将调整原因，调整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4C55EA98">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29.1.6当合同规定的调整合同价款的调整情况发生后，承包人未在规定时间内通知发包人，或者未在规定时间内提出调整报告，发包人可以根据有关资料，决定是否调整和调整的金额，并书面通知承包人。</w:t>
      </w:r>
    </w:p>
    <w:p w14:paraId="3279939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*31变更价款的确定按专用条款第二十三条执行。</w:t>
      </w:r>
    </w:p>
    <w:p w14:paraId="3CCED8CA">
      <w:pPr>
        <w:spacing w:line="360" w:lineRule="exact"/>
        <w:rPr>
          <w:rFonts w:hint="eastAsia" w:hAnsi="宋体"/>
          <w:b/>
          <w:color w:val="auto"/>
          <w:szCs w:val="21"/>
          <w:highlight w:val="none"/>
        </w:rPr>
      </w:pPr>
      <w:r>
        <w:rPr>
          <w:rFonts w:hint="eastAsia" w:hAnsi="宋体"/>
          <w:b/>
          <w:color w:val="auto"/>
          <w:szCs w:val="21"/>
          <w:highlight w:val="none"/>
        </w:rPr>
        <w:t>八、竣工验收与结算</w:t>
      </w:r>
    </w:p>
    <w:p w14:paraId="280A5F95">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32．竣工验收</w:t>
      </w:r>
    </w:p>
    <w:p w14:paraId="351E0954">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32.1承包人提供竣工图的约定：竣工验收正式通过后五天(工程造价在500万元以下含500万元)、十天(工程造价在500万元至1000万元之间含1000万元)、十五天(工程造价在1000万元以上)，提供竣工图的数量分别为二套、四套、六套。</w:t>
      </w:r>
    </w:p>
    <w:p w14:paraId="72762FCB">
      <w:pPr>
        <w:spacing w:line="360" w:lineRule="exact"/>
        <w:ind w:firstLine="249" w:firstLineChars="118"/>
        <w:rPr>
          <w:rFonts w:hint="eastAsia" w:hAnsi="宋体"/>
          <w:color w:val="auto"/>
          <w:szCs w:val="21"/>
          <w:highlight w:val="none"/>
          <w:u w:val="single"/>
        </w:rPr>
      </w:pPr>
      <w:r>
        <w:rPr>
          <w:rFonts w:hint="eastAsia" w:hAnsi="宋体"/>
          <w:b/>
          <w:color w:val="auto"/>
          <w:szCs w:val="21"/>
          <w:highlight w:val="none"/>
        </w:rPr>
        <w:t xml:space="preserve">  32.6中间交工工程的范围和竣工时间：</w:t>
      </w:r>
      <w:r>
        <w:rPr>
          <w:rFonts w:hint="eastAsia" w:hAnsi="宋体"/>
          <w:b/>
          <w:color w:val="auto"/>
          <w:szCs w:val="21"/>
          <w:highlight w:val="none"/>
          <w:u w:val="single"/>
        </w:rPr>
        <w:t xml:space="preserve">                        </w:t>
      </w:r>
      <w:r>
        <w:rPr>
          <w:rFonts w:hint="eastAsia" w:hAnsi="宋体"/>
          <w:b/>
          <w:color w:val="auto"/>
          <w:szCs w:val="21"/>
          <w:highlight w:val="none"/>
        </w:rPr>
        <w:t xml:space="preserve">  </w:t>
      </w:r>
    </w:p>
    <w:p w14:paraId="5F95BC39">
      <w:pPr>
        <w:spacing w:line="360" w:lineRule="exact"/>
        <w:ind w:firstLine="170" w:firstLineChars="81"/>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33．竣工结算</w:t>
      </w:r>
    </w:p>
    <w:p w14:paraId="7BBF1093">
      <w:pPr>
        <w:spacing w:line="360" w:lineRule="exact"/>
        <w:ind w:firstLine="352" w:firstLineChars="167"/>
        <w:rPr>
          <w:rFonts w:hint="eastAsia" w:hAnsi="宋体"/>
          <w:b/>
          <w:color w:val="auto"/>
          <w:szCs w:val="21"/>
          <w:highlight w:val="none"/>
        </w:rPr>
      </w:pPr>
      <w:r>
        <w:rPr>
          <w:rFonts w:hint="eastAsia" w:hAnsi="宋体"/>
          <w:b/>
          <w:color w:val="auto"/>
          <w:szCs w:val="21"/>
          <w:highlight w:val="none"/>
        </w:rPr>
        <w:t>（1）工程完工后 60 天内承包人必须向监理单位、发包人提交工程竣工资料；经审核，若竣工资料需要修改的，承包人在接到发包人通知20天内完成修改再报送。工程验收合格后，承包人必须在30天内提供5套完整的竣工资料提交给发包人。工程完工后至提交5套完整的竣工资料的时间按110天计，超过时间要求的，工程结算时每滞后或拖延一天按合同价款万分之四的违约赔偿费，其限额为成交价的5％。</w:t>
      </w:r>
    </w:p>
    <w:p w14:paraId="495AFB65">
      <w:pPr>
        <w:spacing w:line="360" w:lineRule="exact"/>
        <w:ind w:firstLine="398" w:firstLineChars="189"/>
        <w:rPr>
          <w:rFonts w:hint="eastAsia" w:hAnsi="宋体"/>
          <w:b/>
          <w:color w:val="auto"/>
          <w:szCs w:val="21"/>
          <w:highlight w:val="none"/>
        </w:rPr>
      </w:pPr>
      <w:r>
        <w:rPr>
          <w:rFonts w:hint="eastAsia" w:hAnsi="宋体"/>
          <w:b/>
          <w:color w:val="auto"/>
          <w:szCs w:val="21"/>
          <w:highlight w:val="none"/>
        </w:rPr>
        <w:t>（2）发包人竣工结算报告审查时间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580"/>
      </w:tblGrid>
      <w:tr w14:paraId="33F8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51C0D188">
            <w:pPr>
              <w:spacing w:line="360" w:lineRule="exact"/>
              <w:jc w:val="center"/>
              <w:rPr>
                <w:rFonts w:hint="eastAsia" w:hAnsi="宋体"/>
                <w:b/>
                <w:color w:val="auto"/>
                <w:szCs w:val="21"/>
                <w:highlight w:val="none"/>
              </w:rPr>
            </w:pPr>
          </w:p>
        </w:tc>
        <w:tc>
          <w:tcPr>
            <w:tcW w:w="2340" w:type="dxa"/>
            <w:noWrap w:val="0"/>
            <w:vAlign w:val="center"/>
          </w:tcPr>
          <w:p w14:paraId="1322877C">
            <w:pPr>
              <w:spacing w:line="360" w:lineRule="exact"/>
              <w:jc w:val="center"/>
              <w:rPr>
                <w:rFonts w:hint="eastAsia" w:hAnsi="宋体"/>
                <w:b/>
                <w:color w:val="auto"/>
                <w:szCs w:val="21"/>
                <w:highlight w:val="none"/>
              </w:rPr>
            </w:pPr>
            <w:r>
              <w:rPr>
                <w:rFonts w:hint="eastAsia" w:hAnsi="宋体"/>
                <w:color w:val="auto"/>
                <w:szCs w:val="21"/>
                <w:highlight w:val="none"/>
              </w:rPr>
              <w:t>工程竣工结算报告金额</w:t>
            </w:r>
          </w:p>
        </w:tc>
        <w:tc>
          <w:tcPr>
            <w:tcW w:w="5580" w:type="dxa"/>
            <w:noWrap w:val="0"/>
            <w:vAlign w:val="center"/>
          </w:tcPr>
          <w:p w14:paraId="418F9603">
            <w:pPr>
              <w:spacing w:line="360" w:lineRule="exact"/>
              <w:jc w:val="center"/>
              <w:rPr>
                <w:rFonts w:hint="eastAsia" w:hAnsi="宋体"/>
                <w:b/>
                <w:color w:val="auto"/>
                <w:szCs w:val="21"/>
                <w:highlight w:val="none"/>
              </w:rPr>
            </w:pPr>
            <w:r>
              <w:rPr>
                <w:rFonts w:hint="eastAsia" w:hAnsi="宋体"/>
                <w:color w:val="auto"/>
                <w:szCs w:val="21"/>
                <w:highlight w:val="none"/>
              </w:rPr>
              <w:t>发包人审查时间</w:t>
            </w:r>
          </w:p>
        </w:tc>
      </w:tr>
      <w:tr w14:paraId="16A9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0D293FB9">
            <w:pPr>
              <w:spacing w:line="360" w:lineRule="exact"/>
              <w:jc w:val="center"/>
              <w:rPr>
                <w:rFonts w:hint="eastAsia" w:hAnsi="宋体"/>
                <w:b/>
                <w:color w:val="auto"/>
                <w:szCs w:val="21"/>
                <w:highlight w:val="none"/>
              </w:rPr>
            </w:pPr>
            <w:r>
              <w:rPr>
                <w:rFonts w:hint="eastAsia" w:hAnsi="宋体"/>
                <w:b/>
                <w:color w:val="auto"/>
                <w:szCs w:val="21"/>
                <w:highlight w:val="none"/>
              </w:rPr>
              <w:t>1</w:t>
            </w:r>
          </w:p>
        </w:tc>
        <w:tc>
          <w:tcPr>
            <w:tcW w:w="2340" w:type="dxa"/>
            <w:noWrap w:val="0"/>
            <w:vAlign w:val="center"/>
          </w:tcPr>
          <w:p w14:paraId="1696FDC6">
            <w:pPr>
              <w:spacing w:line="360" w:lineRule="exact"/>
              <w:rPr>
                <w:rFonts w:hint="eastAsia" w:hAnsi="宋体"/>
                <w:b/>
                <w:color w:val="auto"/>
                <w:szCs w:val="21"/>
                <w:highlight w:val="none"/>
              </w:rPr>
            </w:pPr>
            <w:r>
              <w:rPr>
                <w:rFonts w:hint="eastAsia" w:hAnsi="宋体"/>
                <w:color w:val="auto"/>
                <w:szCs w:val="21"/>
                <w:highlight w:val="none"/>
              </w:rPr>
              <w:t>500万元以下</w:t>
            </w:r>
          </w:p>
        </w:tc>
        <w:tc>
          <w:tcPr>
            <w:tcW w:w="5580" w:type="dxa"/>
            <w:noWrap w:val="0"/>
            <w:vAlign w:val="center"/>
          </w:tcPr>
          <w:p w14:paraId="62C6416F">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从接到竣工结算报告和完整的竣工结算资料之日起20天</w:t>
            </w:r>
          </w:p>
        </w:tc>
      </w:tr>
      <w:tr w14:paraId="25A5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466B81A7">
            <w:pPr>
              <w:spacing w:line="360" w:lineRule="exact"/>
              <w:jc w:val="center"/>
              <w:rPr>
                <w:rFonts w:hint="eastAsia" w:hAnsi="宋体"/>
                <w:b/>
                <w:color w:val="auto"/>
                <w:szCs w:val="21"/>
                <w:highlight w:val="none"/>
              </w:rPr>
            </w:pPr>
            <w:r>
              <w:rPr>
                <w:rFonts w:hint="eastAsia" w:hAnsi="宋体"/>
                <w:b/>
                <w:color w:val="auto"/>
                <w:szCs w:val="21"/>
                <w:highlight w:val="none"/>
              </w:rPr>
              <w:t>2</w:t>
            </w:r>
          </w:p>
        </w:tc>
        <w:tc>
          <w:tcPr>
            <w:tcW w:w="2340" w:type="dxa"/>
            <w:noWrap w:val="0"/>
            <w:vAlign w:val="center"/>
          </w:tcPr>
          <w:p w14:paraId="4BFA6276">
            <w:pPr>
              <w:spacing w:line="360" w:lineRule="exact"/>
              <w:jc w:val="center"/>
              <w:rPr>
                <w:rFonts w:hint="eastAsia" w:hAnsi="宋体"/>
                <w:b/>
                <w:color w:val="auto"/>
                <w:szCs w:val="21"/>
                <w:highlight w:val="none"/>
              </w:rPr>
            </w:pPr>
            <w:r>
              <w:rPr>
                <w:rFonts w:hint="eastAsia" w:hAnsi="宋体"/>
                <w:color w:val="auto"/>
                <w:szCs w:val="21"/>
                <w:highlight w:val="none"/>
              </w:rPr>
              <w:t>500万元一2000万元</w:t>
            </w:r>
          </w:p>
        </w:tc>
        <w:tc>
          <w:tcPr>
            <w:tcW w:w="5580" w:type="dxa"/>
            <w:noWrap w:val="0"/>
            <w:vAlign w:val="center"/>
          </w:tcPr>
          <w:p w14:paraId="31CA0082">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从接到竣工结算报告和完整的竣工结算资料之日起30天</w:t>
            </w:r>
          </w:p>
        </w:tc>
      </w:tr>
      <w:tr w14:paraId="3C77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553394E3">
            <w:pPr>
              <w:spacing w:line="360" w:lineRule="exact"/>
              <w:jc w:val="center"/>
              <w:rPr>
                <w:rFonts w:hint="eastAsia" w:hAnsi="宋体"/>
                <w:b/>
                <w:color w:val="auto"/>
                <w:szCs w:val="21"/>
                <w:highlight w:val="none"/>
              </w:rPr>
            </w:pPr>
            <w:r>
              <w:rPr>
                <w:rFonts w:hint="eastAsia" w:hAnsi="宋体"/>
                <w:b/>
                <w:color w:val="auto"/>
                <w:szCs w:val="21"/>
                <w:highlight w:val="none"/>
              </w:rPr>
              <w:t>3</w:t>
            </w:r>
          </w:p>
        </w:tc>
        <w:tc>
          <w:tcPr>
            <w:tcW w:w="2340" w:type="dxa"/>
            <w:noWrap w:val="0"/>
            <w:vAlign w:val="center"/>
          </w:tcPr>
          <w:p w14:paraId="0FB4DBA8">
            <w:pPr>
              <w:spacing w:line="360" w:lineRule="exact"/>
              <w:jc w:val="center"/>
              <w:rPr>
                <w:rFonts w:hint="eastAsia" w:hAnsi="宋体"/>
                <w:b/>
                <w:color w:val="auto"/>
                <w:szCs w:val="21"/>
                <w:highlight w:val="none"/>
              </w:rPr>
            </w:pPr>
            <w:r>
              <w:rPr>
                <w:rFonts w:hint="eastAsia" w:hAnsi="宋体"/>
                <w:color w:val="auto"/>
                <w:szCs w:val="21"/>
                <w:highlight w:val="none"/>
              </w:rPr>
              <w:t>2000万元一5000万元</w:t>
            </w:r>
          </w:p>
        </w:tc>
        <w:tc>
          <w:tcPr>
            <w:tcW w:w="5580" w:type="dxa"/>
            <w:noWrap w:val="0"/>
            <w:vAlign w:val="center"/>
          </w:tcPr>
          <w:p w14:paraId="6336333A">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从接到竣工结算报告和完整的竣工结算资料之日起45天</w:t>
            </w:r>
          </w:p>
        </w:tc>
      </w:tr>
      <w:tr w14:paraId="2719A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48" w:type="dxa"/>
            <w:noWrap w:val="0"/>
            <w:vAlign w:val="center"/>
          </w:tcPr>
          <w:p w14:paraId="7B70577E">
            <w:pPr>
              <w:spacing w:line="360" w:lineRule="exact"/>
              <w:jc w:val="center"/>
              <w:rPr>
                <w:rFonts w:hint="eastAsia" w:hAnsi="宋体"/>
                <w:b/>
                <w:color w:val="auto"/>
                <w:szCs w:val="21"/>
                <w:highlight w:val="none"/>
              </w:rPr>
            </w:pPr>
            <w:r>
              <w:rPr>
                <w:rFonts w:hint="eastAsia" w:hAnsi="宋体"/>
                <w:b/>
                <w:color w:val="auto"/>
                <w:szCs w:val="21"/>
                <w:highlight w:val="none"/>
              </w:rPr>
              <w:t>4</w:t>
            </w:r>
          </w:p>
        </w:tc>
        <w:tc>
          <w:tcPr>
            <w:tcW w:w="2340" w:type="dxa"/>
            <w:noWrap w:val="0"/>
            <w:vAlign w:val="center"/>
          </w:tcPr>
          <w:p w14:paraId="0D5AC61C">
            <w:pPr>
              <w:spacing w:line="360" w:lineRule="exact"/>
              <w:rPr>
                <w:rFonts w:hint="eastAsia" w:hAnsi="宋体"/>
                <w:b/>
                <w:color w:val="auto"/>
                <w:szCs w:val="21"/>
                <w:highlight w:val="none"/>
              </w:rPr>
            </w:pPr>
            <w:r>
              <w:rPr>
                <w:rFonts w:hint="eastAsia" w:hAnsi="宋体"/>
                <w:color w:val="auto"/>
                <w:szCs w:val="21"/>
                <w:highlight w:val="none"/>
              </w:rPr>
              <w:t>5000万元以上</w:t>
            </w:r>
          </w:p>
        </w:tc>
        <w:tc>
          <w:tcPr>
            <w:tcW w:w="5580" w:type="dxa"/>
            <w:noWrap w:val="0"/>
            <w:vAlign w:val="center"/>
          </w:tcPr>
          <w:p w14:paraId="0569CF4F">
            <w:pPr>
              <w:spacing w:line="360" w:lineRule="exact"/>
              <w:jc w:val="center"/>
              <w:rPr>
                <w:rFonts w:hint="eastAsia" w:hAnsi="宋体"/>
                <w:b/>
                <w:color w:val="auto"/>
                <w:szCs w:val="21"/>
                <w:highlight w:val="none"/>
              </w:rPr>
            </w:pPr>
            <w:r>
              <w:rPr>
                <w:rFonts w:hint="eastAsia" w:hAnsi="宋体"/>
                <w:color w:val="auto"/>
                <w:szCs w:val="21"/>
                <w:highlight w:val="none"/>
              </w:rPr>
              <w:t>从接到竣工结算报告和完整的竣工结算资料之日起60天</w:t>
            </w:r>
          </w:p>
        </w:tc>
      </w:tr>
    </w:tbl>
    <w:p w14:paraId="44B8336C">
      <w:pPr>
        <w:spacing w:line="360" w:lineRule="exact"/>
        <w:rPr>
          <w:rFonts w:hint="eastAsia" w:hAnsi="宋体"/>
          <w:b/>
          <w:color w:val="auto"/>
          <w:szCs w:val="21"/>
          <w:highlight w:val="none"/>
        </w:rPr>
      </w:pPr>
    </w:p>
    <w:p w14:paraId="32AE4270">
      <w:pPr>
        <w:spacing w:line="360" w:lineRule="exact"/>
        <w:ind w:firstLine="420" w:firstLineChars="20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因承包人提供的结算资料不完整而需要补充或承包人不按时对账耽误时间时，审查时间应相应顺延。工程竣工结算报告经发包人核对无误后，送钦北区财政局审定，最终审定时间根据实际审查时间顺延。</w:t>
      </w:r>
    </w:p>
    <w:p w14:paraId="76706815">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其余按通用条款第33.1、33.5、33.6条执行。</w:t>
      </w:r>
    </w:p>
    <w:p w14:paraId="4FFCA7E2">
      <w:pPr>
        <w:spacing w:line="360" w:lineRule="exact"/>
        <w:rPr>
          <w:rFonts w:hint="eastAsia" w:hAnsi="宋体"/>
          <w:b/>
          <w:color w:val="auto"/>
          <w:szCs w:val="21"/>
          <w:highlight w:val="none"/>
        </w:rPr>
      </w:pPr>
      <w:r>
        <w:rPr>
          <w:rFonts w:hint="eastAsia" w:hAnsi="宋体"/>
          <w:b/>
          <w:color w:val="auto"/>
          <w:szCs w:val="21"/>
          <w:highlight w:val="none"/>
        </w:rPr>
        <w:t>九、违约、索赔和争议</w:t>
      </w:r>
    </w:p>
    <w:p w14:paraId="06B1C467">
      <w:pPr>
        <w:spacing w:line="360" w:lineRule="exact"/>
        <w:ind w:firstLine="472" w:firstLineChars="224"/>
        <w:rPr>
          <w:rFonts w:hint="eastAsia" w:hAnsi="宋体"/>
          <w:b/>
          <w:color w:val="auto"/>
          <w:szCs w:val="21"/>
          <w:highlight w:val="none"/>
        </w:rPr>
      </w:pPr>
      <w:r>
        <w:rPr>
          <w:rFonts w:hint="eastAsia" w:hAnsi="宋体"/>
          <w:b/>
          <w:color w:val="auto"/>
          <w:szCs w:val="21"/>
          <w:highlight w:val="none"/>
        </w:rPr>
        <w:t xml:space="preserve">  35．违约</w:t>
      </w:r>
    </w:p>
    <w:p w14:paraId="018EEFCD">
      <w:pPr>
        <w:spacing w:line="360" w:lineRule="exact"/>
        <w:ind w:firstLine="504" w:firstLineChars="239"/>
        <w:rPr>
          <w:rFonts w:hint="eastAsia" w:hAnsi="宋体"/>
          <w:b/>
          <w:color w:val="auto"/>
          <w:szCs w:val="21"/>
          <w:highlight w:val="none"/>
        </w:rPr>
      </w:pPr>
      <w:r>
        <w:rPr>
          <w:rFonts w:hint="eastAsia" w:hAnsi="宋体"/>
          <w:b/>
          <w:color w:val="auto"/>
          <w:szCs w:val="21"/>
          <w:highlight w:val="none"/>
        </w:rPr>
        <w:t xml:space="preserve">  35.1本合同中关于发包人违约的具体责任如下：</w:t>
      </w:r>
    </w:p>
    <w:p w14:paraId="6589532E">
      <w:pPr>
        <w:spacing w:line="360" w:lineRule="exact"/>
        <w:ind w:firstLine="428" w:firstLineChars="203"/>
        <w:rPr>
          <w:rFonts w:hint="eastAsia" w:hAnsi="宋体"/>
          <w:b/>
          <w:color w:val="auto"/>
          <w:szCs w:val="21"/>
          <w:highlight w:val="none"/>
          <w:u w:val="single"/>
        </w:rPr>
      </w:pPr>
      <w:r>
        <w:rPr>
          <w:rFonts w:hint="eastAsia" w:hAnsi="宋体"/>
          <w:b/>
          <w:color w:val="auto"/>
          <w:szCs w:val="21"/>
          <w:highlight w:val="none"/>
        </w:rPr>
        <w:t xml:space="preserve">  *本合同通用条款第24条约定发包人违约应承担的违约责任：</w:t>
      </w:r>
      <w:r>
        <w:rPr>
          <w:rFonts w:hint="eastAsia" w:hAnsi="宋体"/>
          <w:b/>
          <w:color w:val="auto"/>
          <w:szCs w:val="21"/>
          <w:highlight w:val="none"/>
          <w:u w:val="single"/>
        </w:rPr>
        <w:t xml:space="preserve">  无  </w:t>
      </w:r>
      <w:r>
        <w:rPr>
          <w:rFonts w:hint="eastAsia" w:hAnsi="宋体"/>
          <w:b/>
          <w:color w:val="auto"/>
          <w:szCs w:val="21"/>
          <w:highlight w:val="none"/>
        </w:rPr>
        <w:t>。</w:t>
      </w:r>
    </w:p>
    <w:p w14:paraId="525CD7B3">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*本合同通用条款第26.4款约定发包人违约应承担的违约责任：</w:t>
      </w:r>
      <w:r>
        <w:rPr>
          <w:rFonts w:hint="eastAsia" w:hAnsi="宋体"/>
          <w:b/>
          <w:color w:val="auto"/>
          <w:szCs w:val="21"/>
          <w:highlight w:val="none"/>
          <w:u w:val="single"/>
        </w:rPr>
        <w:t xml:space="preserve">承包人与发包人签订延期付款协议，延期付款协议须经财政部门认可 </w:t>
      </w:r>
      <w:r>
        <w:rPr>
          <w:rFonts w:hint="eastAsia" w:hAnsi="宋体"/>
          <w:b/>
          <w:color w:val="auto"/>
          <w:szCs w:val="21"/>
          <w:highlight w:val="none"/>
        </w:rPr>
        <w:t>。</w:t>
      </w:r>
    </w:p>
    <w:p w14:paraId="68406550">
      <w:pPr>
        <w:spacing w:line="360" w:lineRule="exact"/>
        <w:ind w:firstLine="533" w:firstLineChars="253"/>
        <w:rPr>
          <w:rFonts w:hint="eastAsia" w:hAnsi="宋体"/>
          <w:color w:val="auto"/>
          <w:szCs w:val="21"/>
          <w:highlight w:val="none"/>
          <w:u w:val="single"/>
        </w:rPr>
      </w:pPr>
      <w:r>
        <w:rPr>
          <w:rFonts w:hint="eastAsia" w:hAnsi="宋体"/>
          <w:b/>
          <w:bCs/>
          <w:color w:val="auto"/>
          <w:szCs w:val="21"/>
          <w:highlight w:val="none"/>
        </w:rPr>
        <w:t>双方约定的发包人其他违约责任</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w:t>
      </w:r>
    </w:p>
    <w:p w14:paraId="7AC184DE">
      <w:pPr>
        <w:spacing w:line="360" w:lineRule="exact"/>
        <w:ind w:firstLine="336" w:firstLineChars="160"/>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35.2本合同中关于承包人违约的具体责任如下：</w:t>
      </w:r>
    </w:p>
    <w:p w14:paraId="0A100021">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*35.2.1本合同通用条款第14.2款约定承包人违约应承担的违约责任：承包人每延误一天，按合同价款万分之四的违约赔偿费，其限额为成交价的5％。延误天数按本专用条款第13.3条计算。</w:t>
      </w:r>
    </w:p>
    <w:p w14:paraId="1FE05134">
      <w:pPr>
        <w:spacing w:line="360" w:lineRule="exact"/>
        <w:ind w:firstLine="382" w:firstLineChars="181"/>
        <w:rPr>
          <w:rFonts w:hint="eastAsia" w:hAnsi="宋体"/>
          <w:b/>
          <w:color w:val="auto"/>
          <w:szCs w:val="21"/>
          <w:highlight w:val="none"/>
        </w:rPr>
      </w:pPr>
      <w:r>
        <w:rPr>
          <w:rFonts w:hint="eastAsia" w:hAnsi="宋体"/>
          <w:b/>
          <w:color w:val="auto"/>
          <w:szCs w:val="21"/>
          <w:highlight w:val="none"/>
        </w:rPr>
        <w:t xml:space="preserve"> *35.2.2承包人未按本合同通用条款第15.1条内容完成：承包人无条件返工处理，修复至工程质量要求并承担相关费用，并在发包人规定的时间内完成返工，否则，发包人有权扣罚该分项工程10％的工程款作为处罚。</w:t>
      </w:r>
    </w:p>
    <w:p w14:paraId="43049D99">
      <w:pPr>
        <w:spacing w:line="360" w:lineRule="exact"/>
        <w:ind w:firstLine="352" w:firstLineChars="167"/>
        <w:rPr>
          <w:rFonts w:hint="eastAsia" w:hAnsi="宋体"/>
          <w:color w:val="auto"/>
          <w:szCs w:val="21"/>
          <w:highlight w:val="none"/>
          <w:u w:val="single"/>
        </w:rPr>
      </w:pPr>
      <w:r>
        <w:rPr>
          <w:rFonts w:hint="eastAsia" w:hAnsi="宋体"/>
          <w:b/>
          <w:bCs/>
          <w:color w:val="auto"/>
          <w:szCs w:val="21"/>
          <w:highlight w:val="none"/>
        </w:rPr>
        <w:t xml:space="preserve"> 双方约定的承包人其他违约责任：</w:t>
      </w:r>
      <w:r>
        <w:rPr>
          <w:rFonts w:hint="eastAsia" w:hAnsi="宋体"/>
          <w:color w:val="auto"/>
          <w:szCs w:val="21"/>
          <w:highlight w:val="none"/>
          <w:u w:val="single"/>
        </w:rPr>
        <w:t xml:space="preserve">                             </w:t>
      </w:r>
      <w:r>
        <w:rPr>
          <w:rFonts w:hint="eastAsia" w:hAnsi="宋体"/>
          <w:color w:val="auto"/>
          <w:szCs w:val="21"/>
          <w:highlight w:val="none"/>
        </w:rPr>
        <w:t>。</w:t>
      </w:r>
    </w:p>
    <w:p w14:paraId="5BCE7A69">
      <w:pPr>
        <w:spacing w:line="360" w:lineRule="exact"/>
        <w:ind w:firstLine="260" w:firstLineChars="124"/>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35.2.3承包人如违反了以下情况之一者，发包人有权解除合同，并没收其全部履约保证金。</w:t>
      </w:r>
    </w:p>
    <w:p w14:paraId="2FA171A9">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1)承包人无正当理由不按开工通知的要求及时进点组织施工和不按签订协议书时商定的进度计划有效地开展施工准备，造成工期延误。</w:t>
      </w:r>
    </w:p>
    <w:p w14:paraId="08632AB3">
      <w:pPr>
        <w:spacing w:line="360" w:lineRule="exact"/>
        <w:ind w:firstLine="278" w:firstLineChars="132"/>
        <w:rPr>
          <w:rFonts w:hint="eastAsia" w:hAnsi="宋体"/>
          <w:b/>
          <w:color w:val="auto"/>
          <w:szCs w:val="21"/>
          <w:highlight w:val="none"/>
        </w:rPr>
      </w:pPr>
      <w:r>
        <w:rPr>
          <w:rFonts w:hint="eastAsia" w:hAnsi="宋体"/>
          <w:b/>
          <w:color w:val="auto"/>
          <w:szCs w:val="21"/>
          <w:highlight w:val="none"/>
        </w:rPr>
        <w:t xml:space="preserve">  2)承包人违反第38.1条规定私自将合同或合同的任何部分或任何权利转让给其他人，或私自将工程或工程的一部分分包出去。</w:t>
      </w:r>
    </w:p>
    <w:p w14:paraId="09FC1524">
      <w:pPr>
        <w:spacing w:line="360" w:lineRule="exact"/>
        <w:ind w:firstLine="308" w:firstLineChars="146"/>
        <w:rPr>
          <w:rFonts w:hint="eastAsia" w:hAnsi="宋体"/>
          <w:b/>
          <w:color w:val="auto"/>
          <w:szCs w:val="21"/>
          <w:highlight w:val="none"/>
        </w:rPr>
      </w:pPr>
      <w:r>
        <w:rPr>
          <w:rFonts w:hint="eastAsia" w:hAnsi="宋体"/>
          <w:b/>
          <w:color w:val="auto"/>
          <w:szCs w:val="21"/>
          <w:highlight w:val="none"/>
        </w:rPr>
        <w:t xml:space="preserve">  3)未经监理人批准，承包人私自将已按竞标书承诺进入工地的工程设备、施工设备、临时工程或材料撤离工地。</w:t>
      </w:r>
    </w:p>
    <w:p w14:paraId="2847E4C8">
      <w:pPr>
        <w:spacing w:line="360" w:lineRule="exact"/>
        <w:ind w:firstLine="232" w:firstLineChars="110"/>
        <w:rPr>
          <w:rFonts w:hint="eastAsia" w:hAnsi="宋体"/>
          <w:b/>
          <w:color w:val="auto"/>
          <w:szCs w:val="21"/>
          <w:highlight w:val="none"/>
        </w:rPr>
      </w:pPr>
      <w:r>
        <w:rPr>
          <w:rFonts w:hint="eastAsia" w:hAnsi="宋体"/>
          <w:b/>
          <w:color w:val="auto"/>
          <w:szCs w:val="21"/>
          <w:highlight w:val="none"/>
        </w:rPr>
        <w:t xml:space="preserve">  4)由于承包人原因拒绝按合同进度计划及时完成合同规定的工程，而又未采取有效措施赶上进度，造成工期延误。</w:t>
      </w:r>
    </w:p>
    <w:p w14:paraId="64C4EA30">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 xml:space="preserve">  5)承包人否认合同有效或拒绝履行合同规定的承包人义务，或由于法律、财务等原因导致承包人无法继续履行或实质上已停止履行合同的义务。</w:t>
      </w:r>
    </w:p>
    <w:p w14:paraId="54E04717">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35.2.4承包人在保修期内拒绝按通用条款第34.1条的规定进行修复，或经监理人检验认为修复质量不合格而承包人拒绝再进行修补的，发包人将扣除承包人全部质量保修金。</w:t>
      </w:r>
    </w:p>
    <w:p w14:paraId="2978A674">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35.2.5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入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33061491">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1)承包人必须按照</w:t>
      </w:r>
      <w:r>
        <w:rPr>
          <w:rFonts w:hint="eastAsia" w:hAnsi="宋体"/>
          <w:b/>
          <w:color w:val="auto"/>
          <w:szCs w:val="21"/>
          <w:highlight w:val="none"/>
          <w:lang w:eastAsia="zh-CN"/>
        </w:rPr>
        <w:t>响应文件</w:t>
      </w:r>
      <w:r>
        <w:rPr>
          <w:rFonts w:hint="eastAsia" w:hAnsi="宋体"/>
          <w:b/>
          <w:color w:val="auto"/>
          <w:szCs w:val="21"/>
          <w:highlight w:val="none"/>
        </w:rPr>
        <w:t>的承诺派出符合和满足工程建设要求的项目管理人员。承包人未经发包人批准擅自调换工程管理人员或因管理人员不称职，发包人要求调换而未及时调换的，视为承包人违约，必须向发包人交纳处罚金，处罚标准为：项目负责人1.5万元／人·次(人民币，下同)；总工程师1万元／人·次；专业工程师0.5万元／人·次。</w:t>
      </w:r>
    </w:p>
    <w:p w14:paraId="3DD30FB2">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2)发包人有权检查承包人的人员到岗情况，如发现未经发包人同意或正当理由，项目负责人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4FE6B0CD">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3)未经监理工程师审查批准，施工期内自行调走主要施工机械，经发现不及时调回的，视为承包人违约，发包人有权处违约金为履约保证金金额的10％一50％(视情节严重而定)。</w:t>
      </w:r>
    </w:p>
    <w:p w14:paraId="6167C111">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35.2.6承包人有违反其他规定的，按规定给予处罚。</w:t>
      </w:r>
    </w:p>
    <w:p w14:paraId="70DF58DA">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37．争议</w:t>
      </w:r>
    </w:p>
    <w:p w14:paraId="19E664B6">
      <w:pPr>
        <w:spacing w:line="360" w:lineRule="exact"/>
        <w:ind w:firstLine="321" w:firstLineChars="153"/>
        <w:rPr>
          <w:rFonts w:hint="eastAsia" w:hAnsi="宋体"/>
          <w:color w:val="auto"/>
          <w:szCs w:val="21"/>
          <w:highlight w:val="none"/>
        </w:rPr>
      </w:pPr>
      <w:r>
        <w:rPr>
          <w:rFonts w:hint="eastAsia" w:hAnsi="宋体"/>
          <w:color w:val="auto"/>
          <w:szCs w:val="21"/>
          <w:highlight w:val="none"/>
        </w:rPr>
        <w:t xml:space="preserve">  37.1双方约定，在履行合同过程中产生争议时：</w:t>
      </w:r>
    </w:p>
    <w:p w14:paraId="396F13BA">
      <w:pPr>
        <w:spacing w:line="360" w:lineRule="exact"/>
        <w:ind w:firstLine="291" w:firstLineChars="139"/>
        <w:rPr>
          <w:rFonts w:hint="eastAsia" w:hAnsi="宋体"/>
          <w:color w:val="auto"/>
          <w:szCs w:val="21"/>
          <w:highlight w:val="none"/>
        </w:rPr>
      </w:pPr>
      <w:r>
        <w:rPr>
          <w:rFonts w:hint="eastAsia" w:hAnsi="宋体"/>
          <w:color w:val="auto"/>
          <w:szCs w:val="21"/>
          <w:highlight w:val="none"/>
        </w:rPr>
        <w:t xml:space="preserve">  (1)由</w:t>
      </w:r>
      <w:r>
        <w:rPr>
          <w:rFonts w:hint="eastAsia" w:hAnsi="宋体"/>
          <w:color w:val="auto"/>
          <w:szCs w:val="21"/>
          <w:highlight w:val="none"/>
          <w:u w:val="single"/>
        </w:rPr>
        <w:t>双方协商</w:t>
      </w:r>
      <w:r>
        <w:rPr>
          <w:rFonts w:hint="eastAsia" w:hAnsi="宋体"/>
          <w:color w:val="auto"/>
          <w:szCs w:val="21"/>
          <w:highlight w:val="none"/>
        </w:rPr>
        <w:t>调解；</w:t>
      </w:r>
    </w:p>
    <w:p w14:paraId="2EEFE9BA">
      <w:pPr>
        <w:spacing w:line="360" w:lineRule="exact"/>
        <w:ind w:firstLine="247" w:firstLineChars="118"/>
        <w:rPr>
          <w:rFonts w:hint="eastAsia" w:hAnsi="宋体" w:eastAsia="宋体"/>
          <w:color w:val="auto"/>
          <w:szCs w:val="21"/>
          <w:highlight w:val="none"/>
          <w:lang w:eastAsia="zh-CN"/>
        </w:rPr>
      </w:pPr>
      <w:r>
        <w:rPr>
          <w:rFonts w:hint="eastAsia" w:hAnsi="宋体"/>
          <w:color w:val="auto"/>
          <w:szCs w:val="21"/>
          <w:highlight w:val="none"/>
        </w:rPr>
        <w:t xml:space="preserve">  (2)向</w:t>
      </w:r>
      <w:r>
        <w:rPr>
          <w:rFonts w:hint="eastAsia" w:hAnsi="宋体"/>
          <w:color w:val="auto"/>
          <w:szCs w:val="21"/>
          <w:highlight w:val="none"/>
          <w:u w:val="single"/>
        </w:rPr>
        <w:t>钦州市钦北区仲裁委员会</w:t>
      </w:r>
      <w:r>
        <w:rPr>
          <w:rFonts w:hint="eastAsia" w:hAnsi="宋体"/>
          <w:color w:val="auto"/>
          <w:szCs w:val="21"/>
          <w:highlight w:val="none"/>
        </w:rPr>
        <w:t>提起仲裁。</w:t>
      </w:r>
    </w:p>
    <w:p w14:paraId="5FDBBEAA">
      <w:pPr>
        <w:spacing w:line="360" w:lineRule="exact"/>
        <w:ind w:firstLine="249" w:firstLineChars="118"/>
        <w:rPr>
          <w:rFonts w:hint="eastAsia" w:hAnsi="宋体"/>
          <w:b/>
          <w:color w:val="auto"/>
          <w:szCs w:val="21"/>
          <w:highlight w:val="none"/>
        </w:rPr>
      </w:pPr>
      <w:r>
        <w:rPr>
          <w:rFonts w:hint="eastAsia" w:hAnsi="宋体"/>
          <w:b/>
          <w:color w:val="auto"/>
          <w:szCs w:val="21"/>
          <w:highlight w:val="none"/>
        </w:rPr>
        <w:t>十、其他</w:t>
      </w:r>
    </w:p>
    <w:p w14:paraId="7EDADAB4">
      <w:pPr>
        <w:spacing w:line="360" w:lineRule="exact"/>
        <w:ind w:firstLine="323" w:firstLineChars="153"/>
        <w:rPr>
          <w:rFonts w:hint="eastAsia" w:hAnsi="宋体"/>
          <w:b/>
          <w:color w:val="auto"/>
          <w:szCs w:val="21"/>
          <w:highlight w:val="none"/>
        </w:rPr>
      </w:pPr>
      <w:r>
        <w:rPr>
          <w:rFonts w:hint="eastAsia" w:hAnsi="宋体"/>
          <w:b/>
          <w:color w:val="auto"/>
          <w:szCs w:val="21"/>
          <w:highlight w:val="none"/>
        </w:rPr>
        <w:t xml:space="preserve">  38．工程分包</w:t>
      </w:r>
    </w:p>
    <w:p w14:paraId="630C6199">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38.1本工程不允许分包。</w:t>
      </w:r>
    </w:p>
    <w:p w14:paraId="76BA9AA0">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38.2承包人有以下情况之一者，发包人有权解除合同，并视情况扣除其履约保证金。</w:t>
      </w:r>
    </w:p>
    <w:p w14:paraId="35E791A0">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38.2.1个人承包工程，包括本单位及外单位人员承包，发包人不承认其个人拥有任何资质等级及经营许可资格。没收全部履约保证金。</w:t>
      </w:r>
    </w:p>
    <w:p w14:paraId="7B359509">
      <w:pPr>
        <w:spacing w:line="360" w:lineRule="exact"/>
        <w:ind w:firstLine="501" w:firstLineChars="239"/>
        <w:rPr>
          <w:rFonts w:hint="eastAsia" w:hAnsi="宋体"/>
          <w:color w:val="auto"/>
          <w:szCs w:val="21"/>
          <w:highlight w:val="none"/>
        </w:rPr>
      </w:pPr>
      <w:r>
        <w:rPr>
          <w:rFonts w:hint="eastAsia" w:hAnsi="宋体"/>
          <w:color w:val="auto"/>
          <w:szCs w:val="21"/>
          <w:highlight w:val="none"/>
        </w:rPr>
        <w:t>38.2.2几个人联合承包工程，就地组织暗分包队伍，不具备完成本工程的技术、机械能力，被发包人判定为没有能力履行的承包人。没收全部履约保证金。</w:t>
      </w:r>
    </w:p>
    <w:p w14:paraId="0A09C15A">
      <w:pPr>
        <w:spacing w:line="360" w:lineRule="exact"/>
        <w:ind w:right="-168" w:rightChars="-80" w:firstLine="336" w:firstLineChars="160"/>
        <w:rPr>
          <w:rFonts w:hint="eastAsia" w:hAnsi="宋体"/>
          <w:color w:val="auto"/>
          <w:szCs w:val="21"/>
          <w:highlight w:val="none"/>
        </w:rPr>
      </w:pPr>
      <w:r>
        <w:rPr>
          <w:rFonts w:hint="eastAsia" w:hAnsi="宋体"/>
          <w:color w:val="auto"/>
          <w:szCs w:val="21"/>
          <w:highlight w:val="none"/>
        </w:rPr>
        <w:t xml:space="preserve">  38.2.3就地转包全部的工程，以谋取高额转让费、管理费的承包人。没收全部履约保证金。</w:t>
      </w:r>
    </w:p>
    <w:p w14:paraId="6EF9F5EC">
      <w:pPr>
        <w:spacing w:line="360" w:lineRule="exact"/>
        <w:ind w:firstLine="336" w:firstLineChars="160"/>
        <w:rPr>
          <w:rFonts w:hint="eastAsia" w:hAnsi="宋体"/>
          <w:color w:val="auto"/>
          <w:szCs w:val="21"/>
          <w:highlight w:val="none"/>
        </w:rPr>
      </w:pPr>
      <w:r>
        <w:rPr>
          <w:rFonts w:hint="eastAsia" w:hAnsi="宋体"/>
          <w:color w:val="auto"/>
          <w:szCs w:val="21"/>
          <w:highlight w:val="none"/>
        </w:rPr>
        <w:t xml:space="preserve">  38.2.4承包人有部分分包现象(其中包括冒充承包人下属单位的挂钩单位，凭口头协议参与施工的分包人及其他暗分包个体户)，一经发现核实，发包人将采取驱逐该暗分包人措施，并对承包人处予违约处罚金，违约处罚金金额为履约保证金金额的5％～20％(视情节严重而定)。</w:t>
      </w:r>
    </w:p>
    <w:p w14:paraId="63A8FDC5">
      <w:pPr>
        <w:spacing w:line="360" w:lineRule="exact"/>
        <w:ind w:firstLine="443" w:firstLineChars="210"/>
        <w:rPr>
          <w:rFonts w:hint="eastAsia" w:hAnsi="宋体"/>
          <w:b/>
          <w:color w:val="auto"/>
          <w:szCs w:val="21"/>
          <w:highlight w:val="none"/>
        </w:rPr>
      </w:pPr>
      <w:r>
        <w:rPr>
          <w:rFonts w:hint="eastAsia" w:hAnsi="宋体"/>
          <w:b/>
          <w:color w:val="auto"/>
          <w:szCs w:val="21"/>
          <w:highlight w:val="none"/>
        </w:rPr>
        <w:t xml:space="preserve">  39．不可抗力    </w:t>
      </w:r>
    </w:p>
    <w:p w14:paraId="12AB3402">
      <w:pPr>
        <w:spacing w:line="360" w:lineRule="exact"/>
        <w:ind w:firstLine="426" w:firstLineChars="203"/>
        <w:rPr>
          <w:rFonts w:hint="eastAsia" w:hAnsi="宋体"/>
          <w:color w:val="auto"/>
          <w:szCs w:val="21"/>
          <w:highlight w:val="none"/>
        </w:rPr>
      </w:pPr>
      <w:r>
        <w:rPr>
          <w:rFonts w:hint="eastAsia" w:hAnsi="宋体"/>
          <w:color w:val="auto"/>
          <w:szCs w:val="21"/>
          <w:highlight w:val="none"/>
        </w:rPr>
        <w:t xml:space="preserve">  39.1  双方关于不可抗力的约定：以有关部门发布的文告或文件为准。</w:t>
      </w:r>
    </w:p>
    <w:p w14:paraId="1F7B5AE1">
      <w:pPr>
        <w:spacing w:line="360" w:lineRule="exact"/>
        <w:ind w:firstLine="411" w:firstLineChars="196"/>
        <w:rPr>
          <w:rFonts w:hint="eastAsia" w:hAnsi="宋体"/>
          <w:color w:val="auto"/>
          <w:szCs w:val="21"/>
          <w:highlight w:val="none"/>
        </w:rPr>
      </w:pPr>
      <w:r>
        <w:rPr>
          <w:rFonts w:hint="eastAsia" w:hAnsi="宋体"/>
          <w:color w:val="auto"/>
          <w:szCs w:val="21"/>
          <w:highlight w:val="none"/>
        </w:rPr>
        <w:t xml:space="preserve"> </w:t>
      </w:r>
      <w:r>
        <w:rPr>
          <w:rFonts w:hint="eastAsia" w:hAnsi="宋体"/>
          <w:b/>
          <w:bCs/>
          <w:color w:val="auto"/>
          <w:szCs w:val="21"/>
          <w:highlight w:val="none"/>
        </w:rPr>
        <w:t xml:space="preserve"> 40．保险</w:t>
      </w:r>
    </w:p>
    <w:p w14:paraId="27E89F11">
      <w:pPr>
        <w:spacing w:line="360" w:lineRule="exact"/>
        <w:ind w:firstLine="441" w:firstLineChars="210"/>
        <w:rPr>
          <w:rFonts w:hint="eastAsia" w:hAnsi="宋体"/>
          <w:color w:val="auto"/>
          <w:szCs w:val="21"/>
          <w:highlight w:val="none"/>
        </w:rPr>
      </w:pPr>
      <w:r>
        <w:rPr>
          <w:rFonts w:hint="eastAsia" w:hAnsi="宋体"/>
          <w:color w:val="auto"/>
          <w:szCs w:val="21"/>
          <w:highlight w:val="none"/>
        </w:rPr>
        <w:t xml:space="preserve">  40.1本工程双方约定投保内容如下：</w:t>
      </w:r>
    </w:p>
    <w:p w14:paraId="4C067AB4">
      <w:pPr>
        <w:spacing w:line="360" w:lineRule="exact"/>
        <w:ind w:firstLine="470" w:firstLineChars="224"/>
        <w:rPr>
          <w:rFonts w:hint="eastAsia" w:hAnsi="宋体"/>
          <w:color w:val="auto"/>
          <w:szCs w:val="21"/>
          <w:highlight w:val="none"/>
        </w:rPr>
      </w:pPr>
      <w:r>
        <w:rPr>
          <w:rFonts w:hint="eastAsia" w:hAnsi="宋体"/>
          <w:color w:val="auto"/>
          <w:szCs w:val="21"/>
          <w:highlight w:val="none"/>
        </w:rPr>
        <w:t xml:space="preserve">  (1)发包人投保内容：自行负责办理。</w:t>
      </w:r>
    </w:p>
    <w:p w14:paraId="183FCE86">
      <w:pPr>
        <w:spacing w:line="360" w:lineRule="exact"/>
        <w:ind w:firstLine="531" w:firstLineChars="253"/>
        <w:rPr>
          <w:rFonts w:hint="eastAsia" w:hAnsi="宋体"/>
          <w:color w:val="auto"/>
          <w:szCs w:val="21"/>
          <w:highlight w:val="none"/>
        </w:rPr>
      </w:pPr>
      <w:r>
        <w:rPr>
          <w:rFonts w:hint="eastAsia" w:hAnsi="宋体"/>
          <w:color w:val="auto"/>
          <w:szCs w:val="21"/>
          <w:highlight w:val="none"/>
        </w:rPr>
        <w:t xml:space="preserve">  发包人委托承包人办理的保险事项：</w:t>
      </w:r>
      <w:r>
        <w:rPr>
          <w:rFonts w:hint="eastAsia" w:hAnsi="宋体"/>
          <w:color w:val="auto"/>
          <w:szCs w:val="21"/>
          <w:highlight w:val="none"/>
          <w:u w:val="single"/>
        </w:rPr>
        <w:t xml:space="preserve">无 </w:t>
      </w:r>
      <w:r>
        <w:rPr>
          <w:rFonts w:hint="eastAsia" w:hAnsi="宋体"/>
          <w:color w:val="auto"/>
          <w:szCs w:val="21"/>
          <w:highlight w:val="none"/>
        </w:rPr>
        <w:t xml:space="preserve"> 。</w:t>
      </w:r>
    </w:p>
    <w:p w14:paraId="1F4BD8E7">
      <w:pPr>
        <w:spacing w:line="360" w:lineRule="exact"/>
        <w:ind w:firstLine="636" w:firstLineChars="303"/>
        <w:rPr>
          <w:rFonts w:hint="eastAsia" w:hAnsi="宋体"/>
          <w:color w:val="auto"/>
          <w:szCs w:val="21"/>
          <w:highlight w:val="none"/>
        </w:rPr>
      </w:pPr>
      <w:r>
        <w:rPr>
          <w:rFonts w:hint="eastAsia" w:hAnsi="宋体"/>
          <w:color w:val="auto"/>
          <w:szCs w:val="21"/>
          <w:highlight w:val="none"/>
        </w:rPr>
        <w:t>(2)承包人投保内容：</w:t>
      </w:r>
    </w:p>
    <w:p w14:paraId="339DD169">
      <w:pPr>
        <w:spacing w:line="360" w:lineRule="exact"/>
        <w:ind w:firstLine="350" w:firstLineChars="167"/>
        <w:rPr>
          <w:rFonts w:hint="eastAsia" w:hAnsi="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*承包人必须为施工现场从事施工的所有作业人员和管理人员办理意外伤害保险，并支付保险费。                             </w:t>
      </w:r>
    </w:p>
    <w:p w14:paraId="091F2DCF">
      <w:pPr>
        <w:spacing w:line="360" w:lineRule="exact"/>
        <w:ind w:firstLine="369" w:firstLineChars="175"/>
        <w:rPr>
          <w:rFonts w:hint="eastAsia" w:hAnsi="宋体"/>
          <w:b/>
          <w:color w:val="auto"/>
          <w:szCs w:val="21"/>
          <w:highlight w:val="none"/>
        </w:rPr>
      </w:pPr>
      <w:r>
        <w:rPr>
          <w:rFonts w:hint="eastAsia" w:hAnsi="宋体"/>
          <w:b/>
          <w:color w:val="auto"/>
          <w:szCs w:val="21"/>
          <w:highlight w:val="none"/>
        </w:rPr>
        <w:t xml:space="preserve"> 41．担保</w:t>
      </w:r>
    </w:p>
    <w:p w14:paraId="4464B590">
      <w:pPr>
        <w:spacing w:line="360" w:lineRule="exact"/>
        <w:rPr>
          <w:rFonts w:hint="eastAsia" w:hAnsi="宋体"/>
          <w:color w:val="auto"/>
          <w:szCs w:val="21"/>
          <w:highlight w:val="none"/>
          <w:u w:val="single"/>
        </w:rPr>
      </w:pPr>
      <w:r>
        <w:rPr>
          <w:rFonts w:hint="eastAsia" w:hAnsi="宋体"/>
          <w:color w:val="auto"/>
          <w:szCs w:val="21"/>
          <w:highlight w:val="none"/>
        </w:rPr>
        <w:t xml:space="preserve">     41.1  本工程双方约定担保事项如下：</w:t>
      </w:r>
      <w:r>
        <w:rPr>
          <w:rFonts w:hint="eastAsia" w:hAnsi="宋体"/>
          <w:color w:val="auto"/>
          <w:szCs w:val="21"/>
          <w:highlight w:val="none"/>
          <w:u w:val="single"/>
        </w:rPr>
        <w:t xml:space="preserve">                              </w:t>
      </w:r>
      <w:r>
        <w:rPr>
          <w:rFonts w:hint="eastAsia" w:hAnsi="宋体"/>
          <w:color w:val="auto"/>
          <w:szCs w:val="21"/>
          <w:highlight w:val="none"/>
        </w:rPr>
        <w:t>。</w:t>
      </w:r>
    </w:p>
    <w:p w14:paraId="18AAA960">
      <w:pPr>
        <w:spacing w:line="360" w:lineRule="exact"/>
        <w:rPr>
          <w:rFonts w:hint="eastAsia" w:hAnsi="宋体"/>
          <w:color w:val="auto"/>
          <w:szCs w:val="21"/>
          <w:highlight w:val="none"/>
        </w:rPr>
      </w:pPr>
      <w:r>
        <w:rPr>
          <w:rFonts w:hint="eastAsia" w:hAnsi="宋体"/>
          <w:color w:val="auto"/>
          <w:szCs w:val="21"/>
          <w:highlight w:val="none"/>
        </w:rPr>
        <w:t xml:space="preserve">     41.2双方约定的其他担保事项：</w:t>
      </w:r>
    </w:p>
    <w:p w14:paraId="5C5E3BD4">
      <w:pPr>
        <w:spacing w:line="360" w:lineRule="exact"/>
        <w:ind w:firstLine="201" w:firstLineChars="96"/>
        <w:rPr>
          <w:rFonts w:hint="eastAsia" w:hAnsi="宋体"/>
          <w:color w:val="auto"/>
          <w:szCs w:val="21"/>
          <w:highlight w:val="none"/>
        </w:rPr>
      </w:pPr>
      <w:r>
        <w:rPr>
          <w:rFonts w:hint="eastAsia" w:hAnsi="宋体"/>
          <w:color w:val="auto"/>
          <w:szCs w:val="21"/>
          <w:highlight w:val="none"/>
        </w:rPr>
        <w:t xml:space="preserve">    (1)双方约定的其他担保事项：</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03ACD607">
      <w:pPr>
        <w:spacing w:line="360" w:lineRule="exact"/>
        <w:ind w:firstLine="548"/>
        <w:rPr>
          <w:rFonts w:hint="eastAsia" w:hAnsi="宋体"/>
          <w:color w:val="auto"/>
          <w:szCs w:val="21"/>
          <w:highlight w:val="none"/>
        </w:rPr>
      </w:pPr>
      <w:r>
        <w:rPr>
          <w:rFonts w:hint="eastAsia" w:hAnsi="宋体"/>
          <w:color w:val="auto"/>
          <w:szCs w:val="21"/>
          <w:highlight w:val="none"/>
        </w:rPr>
        <w:t>(2)履约保证金：</w:t>
      </w:r>
      <w:r>
        <w:rPr>
          <w:rFonts w:hint="eastAsia" w:hAnsi="宋体"/>
          <w:color w:val="auto"/>
          <w:szCs w:val="21"/>
          <w:highlight w:val="none"/>
          <w:u w:val="single"/>
          <w:lang w:val="en-US" w:eastAsia="zh-CN"/>
        </w:rPr>
        <w:t xml:space="preserve">                     </w:t>
      </w:r>
      <w:r>
        <w:rPr>
          <w:rFonts w:hint="eastAsia" w:hAnsi="宋体"/>
          <w:color w:val="auto"/>
          <w:szCs w:val="21"/>
          <w:highlight w:val="none"/>
        </w:rPr>
        <w:t>。</w:t>
      </w:r>
    </w:p>
    <w:p w14:paraId="131A2EF1">
      <w:pPr>
        <w:spacing w:line="360" w:lineRule="exact"/>
        <w:ind w:firstLine="592"/>
        <w:rPr>
          <w:rFonts w:hint="eastAsia" w:hAnsi="宋体"/>
          <w:color w:val="auto"/>
          <w:szCs w:val="21"/>
          <w:highlight w:val="none"/>
          <w:u w:val="single"/>
        </w:rPr>
      </w:pPr>
      <w:r>
        <w:rPr>
          <w:rFonts w:hint="eastAsia" w:hAnsi="宋体"/>
          <w:color w:val="auto"/>
          <w:szCs w:val="21"/>
          <w:highlight w:val="none"/>
        </w:rPr>
        <w:t>(3)农民工工资保证金：</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w:t>
      </w:r>
    </w:p>
    <w:p w14:paraId="348447C4">
      <w:pPr>
        <w:spacing w:line="360" w:lineRule="exact"/>
        <w:ind w:firstLine="202" w:firstLineChars="96"/>
        <w:rPr>
          <w:rFonts w:hint="eastAsia" w:hAnsi="宋体"/>
          <w:color w:val="auto"/>
          <w:szCs w:val="21"/>
          <w:highlight w:val="none"/>
        </w:rPr>
      </w:pPr>
      <w:r>
        <w:rPr>
          <w:rFonts w:hint="eastAsia" w:hAnsi="宋体"/>
          <w:b/>
          <w:bCs/>
          <w:color w:val="auto"/>
          <w:szCs w:val="21"/>
          <w:highlight w:val="none"/>
        </w:rPr>
        <w:t xml:space="preserve">   46．合同份数</w:t>
      </w:r>
    </w:p>
    <w:p w14:paraId="1B0BF717">
      <w:pPr>
        <w:spacing w:line="360" w:lineRule="exact"/>
        <w:ind w:firstLine="231" w:firstLineChars="110"/>
        <w:rPr>
          <w:rFonts w:hint="eastAsia" w:hAnsi="宋体"/>
          <w:color w:val="auto"/>
          <w:szCs w:val="21"/>
          <w:highlight w:val="none"/>
          <w:u w:val="single"/>
        </w:rPr>
      </w:pPr>
      <w:r>
        <w:rPr>
          <w:rFonts w:hint="eastAsia" w:hAnsi="宋体"/>
          <w:color w:val="auto"/>
          <w:szCs w:val="21"/>
          <w:highlight w:val="none"/>
        </w:rPr>
        <w:t xml:space="preserve">   46.1双方约定合同正副本份数：</w:t>
      </w:r>
      <w:r>
        <w:rPr>
          <w:rFonts w:hint="eastAsia" w:hAnsi="宋体"/>
          <w:color w:val="auto"/>
          <w:szCs w:val="21"/>
          <w:highlight w:val="none"/>
          <w:u w:val="single"/>
        </w:rPr>
        <w:t xml:space="preserve">两份正本，陆份副本 </w:t>
      </w:r>
      <w:r>
        <w:rPr>
          <w:rFonts w:hint="eastAsia" w:hAnsi="宋体"/>
          <w:color w:val="auto"/>
          <w:szCs w:val="21"/>
          <w:highlight w:val="none"/>
        </w:rPr>
        <w:t>。</w:t>
      </w:r>
    </w:p>
    <w:p w14:paraId="1E0CBDD2">
      <w:pPr>
        <w:spacing w:line="360" w:lineRule="exact"/>
        <w:ind w:firstLine="217" w:firstLineChars="103"/>
        <w:rPr>
          <w:rFonts w:hint="eastAsia" w:hAnsi="宋体"/>
          <w:b/>
          <w:color w:val="auto"/>
          <w:szCs w:val="21"/>
          <w:highlight w:val="none"/>
        </w:rPr>
      </w:pPr>
      <w:r>
        <w:rPr>
          <w:rFonts w:hint="eastAsia" w:hAnsi="宋体"/>
          <w:b/>
          <w:color w:val="auto"/>
          <w:szCs w:val="21"/>
          <w:highlight w:val="none"/>
        </w:rPr>
        <w:t xml:space="preserve">   47．补充条款</w:t>
      </w:r>
    </w:p>
    <w:p w14:paraId="51CA81B6">
      <w:pPr>
        <w:spacing w:line="360" w:lineRule="exact"/>
        <w:ind w:firstLine="247" w:firstLineChars="118"/>
        <w:rPr>
          <w:rFonts w:hint="eastAsia" w:hAnsi="宋体"/>
          <w:color w:val="auto"/>
          <w:szCs w:val="21"/>
          <w:highlight w:val="none"/>
        </w:rPr>
      </w:pPr>
      <w:r>
        <w:rPr>
          <w:rFonts w:hint="eastAsia" w:hAnsi="宋体"/>
          <w:color w:val="auto"/>
          <w:szCs w:val="21"/>
          <w:highlight w:val="none"/>
        </w:rPr>
        <w:t xml:space="preserve">   47.1承包人有以下情况之一者，将视为违约，发包人有权采取以下措施处理，并视情节轻重处予违约处罚金。</w:t>
      </w:r>
    </w:p>
    <w:p w14:paraId="1588C558">
      <w:pPr>
        <w:spacing w:line="360" w:lineRule="exact"/>
        <w:rPr>
          <w:rFonts w:hint="eastAsia" w:hAnsi="宋体"/>
          <w:color w:val="auto"/>
          <w:szCs w:val="21"/>
          <w:highlight w:val="none"/>
        </w:rPr>
      </w:pPr>
      <w:r>
        <w:rPr>
          <w:rFonts w:hint="eastAsia" w:hAnsi="宋体"/>
          <w:color w:val="auto"/>
          <w:szCs w:val="21"/>
          <w:highlight w:val="none"/>
        </w:rPr>
        <w:t xml:space="preserve">     47.1.1合同签订之日起十五日内，承包人无法按合同规定及</w:t>
      </w:r>
      <w:r>
        <w:rPr>
          <w:rFonts w:hint="eastAsia" w:hAnsi="宋体"/>
          <w:color w:val="auto"/>
          <w:szCs w:val="21"/>
          <w:highlight w:val="none"/>
          <w:lang w:eastAsia="zh-CN"/>
        </w:rPr>
        <w:t>响应文件</w:t>
      </w:r>
      <w:r>
        <w:rPr>
          <w:rFonts w:hint="eastAsia" w:hAnsi="宋体"/>
          <w:color w:val="auto"/>
          <w:szCs w:val="21"/>
          <w:highlight w:val="none"/>
        </w:rPr>
        <w:t>的承诺进场经监理工程师认可的全部人员和机械时，视为违约，发包人有权解除合同，没收其全部履约保证金，发包人有权另行发包工程。</w:t>
      </w:r>
    </w:p>
    <w:p w14:paraId="297F260D">
      <w:pPr>
        <w:spacing w:line="360" w:lineRule="exact"/>
        <w:rPr>
          <w:rFonts w:hint="eastAsia" w:hAnsi="宋体"/>
          <w:color w:val="auto"/>
          <w:szCs w:val="21"/>
          <w:highlight w:val="none"/>
        </w:rPr>
      </w:pPr>
      <w:r>
        <w:rPr>
          <w:rFonts w:hint="eastAsia" w:hAnsi="宋体"/>
          <w:color w:val="auto"/>
          <w:szCs w:val="21"/>
          <w:highlight w:val="none"/>
        </w:rPr>
        <w:t xml:space="preserve">    47.1.2主要机械的数量、型号，应与合同相符，若监理工程师认为合同规定的进场机械不能满足施工进度要求，有权指令承包人增加机械投入，承包人不得拒绝。</w:t>
      </w:r>
    </w:p>
    <w:p w14:paraId="2E5B26FC">
      <w:pPr>
        <w:spacing w:line="360" w:lineRule="exact"/>
        <w:rPr>
          <w:rFonts w:hint="eastAsia" w:hAnsi="宋体"/>
          <w:color w:val="auto"/>
          <w:szCs w:val="21"/>
          <w:highlight w:val="none"/>
        </w:rPr>
      </w:pPr>
      <w:r>
        <w:rPr>
          <w:rFonts w:hint="eastAsia" w:hAnsi="宋体"/>
          <w:color w:val="auto"/>
          <w:szCs w:val="21"/>
          <w:highlight w:val="none"/>
        </w:rPr>
        <w:t xml:space="preserve">    47.1．5所有以上违约处罚金金额均在承包人的履约保证金(包括银行利息)及计量支付款内扣除，监理工程师预先下发统一格式含有违约处罚意向的指令，如承包人不及时采取措施纠正，则在指令下达后十五天下发违约处罚通知书(不再陈述违约处罚理由)。承包人履约保证金被扣罚后，发包人从承包人最近一次计量支付时扣相应金额补足履约保证金。</w:t>
      </w:r>
    </w:p>
    <w:p w14:paraId="11DEB3EE">
      <w:pPr>
        <w:spacing w:line="360" w:lineRule="exact"/>
        <w:rPr>
          <w:rFonts w:hint="eastAsia" w:hAnsi="宋体"/>
          <w:color w:val="auto"/>
          <w:szCs w:val="21"/>
          <w:highlight w:val="none"/>
        </w:rPr>
      </w:pPr>
      <w:r>
        <w:rPr>
          <w:rFonts w:hint="eastAsia" w:hAnsi="宋体"/>
          <w:color w:val="auto"/>
          <w:szCs w:val="21"/>
          <w:highlight w:val="none"/>
        </w:rPr>
        <w:t xml:space="preserve">    47.1.6承包人在合同期内，完成合同规定的全部工程，且质量合格，竣工验收后十五天内可申请返还全部或部分违约处罚金(不包括利息)。</w:t>
      </w:r>
    </w:p>
    <w:p w14:paraId="3A5B0483">
      <w:pPr>
        <w:spacing w:line="360" w:lineRule="exact"/>
        <w:rPr>
          <w:rFonts w:hint="eastAsia" w:hAnsi="宋体"/>
          <w:color w:val="auto"/>
          <w:szCs w:val="21"/>
          <w:highlight w:val="none"/>
        </w:rPr>
      </w:pPr>
      <w:r>
        <w:rPr>
          <w:rFonts w:hint="eastAsia" w:hAnsi="宋体"/>
          <w:color w:val="auto"/>
          <w:szCs w:val="21"/>
          <w:highlight w:val="none"/>
        </w:rPr>
        <w:t xml:space="preserve">    47.2工程款的使用</w:t>
      </w:r>
    </w:p>
    <w:p w14:paraId="0A6C3C41">
      <w:pPr>
        <w:spacing w:line="360" w:lineRule="exact"/>
        <w:rPr>
          <w:rFonts w:hint="eastAsia" w:hAnsi="宋体"/>
          <w:color w:val="auto"/>
          <w:szCs w:val="21"/>
          <w:highlight w:val="none"/>
        </w:rPr>
      </w:pPr>
      <w:r>
        <w:rPr>
          <w:rFonts w:hint="eastAsia" w:hAnsi="宋体"/>
          <w:color w:val="auto"/>
          <w:szCs w:val="21"/>
          <w:highlight w:val="none"/>
        </w:rPr>
        <w:t xml:space="preserve">  47.2.1本工程资金属地方财政、业主贷款等，承包人在施工期间必须保证资金的专项使用，不得挪作他用，并自觉接受业主和银行的监督，否则将视为承包人违约。</w:t>
      </w:r>
    </w:p>
    <w:p w14:paraId="015A6BFE">
      <w:pPr>
        <w:spacing w:line="360" w:lineRule="exact"/>
        <w:rPr>
          <w:rFonts w:hint="eastAsia" w:hAnsi="宋体"/>
          <w:color w:val="auto"/>
          <w:szCs w:val="21"/>
          <w:highlight w:val="none"/>
        </w:rPr>
      </w:pPr>
      <w:r>
        <w:rPr>
          <w:rFonts w:hint="eastAsia" w:hAnsi="宋体"/>
          <w:color w:val="auto"/>
          <w:szCs w:val="21"/>
          <w:highlight w:val="none"/>
        </w:rPr>
        <w:t xml:space="preserve">    47.2.2承包人(项目部)账户必须在业主指定的银行开户，否则业主将不支付任何工程款。</w:t>
      </w:r>
    </w:p>
    <w:p w14:paraId="06333709">
      <w:pPr>
        <w:spacing w:line="360" w:lineRule="exact"/>
        <w:rPr>
          <w:rFonts w:hint="eastAsia" w:hAnsi="宋体"/>
          <w:color w:val="auto"/>
          <w:szCs w:val="21"/>
          <w:highlight w:val="none"/>
        </w:rPr>
      </w:pPr>
      <w:r>
        <w:rPr>
          <w:rFonts w:hint="eastAsia" w:hAnsi="宋体"/>
          <w:color w:val="auto"/>
          <w:szCs w:val="21"/>
          <w:highlight w:val="none"/>
        </w:rPr>
        <w:t xml:space="preserve">    47.2.3承包人对外支付其他工程款，必须按以下规定报批，违者将视情节轻重，给予罚(等额)款、没收履约保证金、终止合同等。</w:t>
      </w:r>
    </w:p>
    <w:p w14:paraId="0794E20B">
      <w:pPr>
        <w:spacing w:line="360" w:lineRule="exact"/>
        <w:rPr>
          <w:rFonts w:hint="eastAsia" w:hAnsi="宋体"/>
          <w:color w:val="auto"/>
          <w:szCs w:val="21"/>
          <w:highlight w:val="none"/>
        </w:rPr>
      </w:pPr>
      <w:r>
        <w:rPr>
          <w:rFonts w:hint="eastAsia" w:hAnsi="宋体"/>
          <w:color w:val="auto"/>
          <w:szCs w:val="21"/>
          <w:highlight w:val="none"/>
        </w:rPr>
        <w:t xml:space="preserve">    47.2.4承包人购买用于本工程的各种材料，施工机械设备、配件等，凡是每次支付的货款金额在贰万元以上，壹拾万元以下者，须附购货发票或购(订)货合同、协议。</w:t>
      </w:r>
    </w:p>
    <w:p w14:paraId="2C0C62AD">
      <w:pPr>
        <w:spacing w:line="360" w:lineRule="exact"/>
        <w:rPr>
          <w:rFonts w:hint="eastAsia" w:hAnsi="宋体"/>
          <w:color w:val="auto"/>
          <w:szCs w:val="21"/>
          <w:highlight w:val="none"/>
        </w:rPr>
      </w:pPr>
      <w:r>
        <w:rPr>
          <w:rFonts w:hint="eastAsia" w:hAnsi="宋体"/>
          <w:color w:val="auto"/>
          <w:szCs w:val="21"/>
          <w:highlight w:val="none"/>
        </w:rPr>
        <w:t xml:space="preserve">    47.2.5对外支付额≥10万元人民币的，必须报经业主批准，承包人的开户银行才给予受理。</w:t>
      </w:r>
    </w:p>
    <w:p w14:paraId="2D3596B9">
      <w:pPr>
        <w:spacing w:line="360" w:lineRule="exact"/>
        <w:rPr>
          <w:rFonts w:hint="eastAsia" w:hAnsi="宋体"/>
          <w:color w:val="auto"/>
          <w:szCs w:val="21"/>
          <w:highlight w:val="none"/>
        </w:rPr>
      </w:pPr>
      <w:r>
        <w:rPr>
          <w:rFonts w:hint="eastAsia" w:hAnsi="宋体"/>
          <w:color w:val="auto"/>
          <w:szCs w:val="21"/>
          <w:highlight w:val="none"/>
        </w:rPr>
        <w:t xml:space="preserve">    47.3  凡进入本工程工作的妇女应持有计生证，否则不准安排工作，禁止使用童工。</w:t>
      </w:r>
    </w:p>
    <w:p w14:paraId="318556C2">
      <w:pPr>
        <w:spacing w:line="360" w:lineRule="exact"/>
        <w:rPr>
          <w:rFonts w:hint="eastAsia" w:hAnsi="宋体"/>
          <w:color w:val="auto"/>
          <w:szCs w:val="21"/>
          <w:highlight w:val="none"/>
        </w:rPr>
      </w:pPr>
      <w:r>
        <w:rPr>
          <w:rFonts w:hint="eastAsia" w:hAnsi="宋体"/>
          <w:color w:val="auto"/>
          <w:szCs w:val="21"/>
          <w:highlight w:val="none"/>
        </w:rPr>
        <w:t xml:space="preserve">  47.4本工程合同价款已包含安全防护、文明施工措施费      元。使用要求：专款专用，具体按《广西壮族自治区</w:t>
      </w:r>
      <w:r>
        <w:rPr>
          <w:rFonts w:hint="eastAsia" w:hAnsi="宋体"/>
          <w:color w:val="auto"/>
          <w:szCs w:val="21"/>
          <w:highlight w:val="none"/>
          <w:lang w:eastAsia="zh-CN"/>
        </w:rPr>
        <w:t xml:space="preserve">市政公用工程 </w:t>
      </w:r>
      <w:r>
        <w:rPr>
          <w:rFonts w:hint="eastAsia" w:hAnsi="宋体"/>
          <w:color w:val="auto"/>
          <w:szCs w:val="21"/>
          <w:highlight w:val="none"/>
        </w:rPr>
        <w:t>安全防护、文明施工措施费及使用管理细则》(桂建质安[2006]22号文)要求执行。</w:t>
      </w:r>
    </w:p>
    <w:p w14:paraId="7E5AF05A">
      <w:pPr>
        <w:spacing w:line="360" w:lineRule="exact"/>
        <w:rPr>
          <w:rFonts w:hint="eastAsia" w:hAnsi="宋体"/>
          <w:color w:val="auto"/>
          <w:szCs w:val="21"/>
          <w:highlight w:val="none"/>
        </w:rPr>
      </w:pPr>
    </w:p>
    <w:p w14:paraId="0F4C9271">
      <w:pPr>
        <w:spacing w:line="360" w:lineRule="exact"/>
        <w:rPr>
          <w:rFonts w:hint="eastAsia" w:hAnsi="宋体"/>
          <w:color w:val="auto"/>
          <w:szCs w:val="21"/>
          <w:highlight w:val="none"/>
        </w:rPr>
      </w:pPr>
    </w:p>
    <w:p w14:paraId="0F60AD64">
      <w:pPr>
        <w:spacing w:line="360" w:lineRule="exact"/>
        <w:rPr>
          <w:rFonts w:hint="eastAsia" w:hAnsi="宋体"/>
          <w:color w:val="auto"/>
          <w:szCs w:val="21"/>
          <w:highlight w:val="none"/>
        </w:rPr>
      </w:pPr>
    </w:p>
    <w:p w14:paraId="50D0FA13">
      <w:pPr>
        <w:spacing w:line="360" w:lineRule="exact"/>
        <w:rPr>
          <w:rFonts w:hint="eastAsia" w:hAnsi="宋体"/>
          <w:color w:val="auto"/>
          <w:szCs w:val="21"/>
          <w:highlight w:val="none"/>
        </w:rPr>
      </w:pPr>
    </w:p>
    <w:p w14:paraId="38BB3AFC">
      <w:pPr>
        <w:spacing w:line="360" w:lineRule="exact"/>
        <w:rPr>
          <w:rFonts w:hint="eastAsia" w:hAnsi="宋体"/>
          <w:color w:val="auto"/>
          <w:szCs w:val="21"/>
          <w:highlight w:val="none"/>
        </w:rPr>
      </w:pPr>
    </w:p>
    <w:p w14:paraId="7DBD243B">
      <w:pPr>
        <w:spacing w:line="360" w:lineRule="exact"/>
        <w:rPr>
          <w:rFonts w:hint="eastAsia" w:hAnsi="宋体"/>
          <w:color w:val="auto"/>
          <w:szCs w:val="21"/>
          <w:highlight w:val="none"/>
        </w:rPr>
      </w:pPr>
    </w:p>
    <w:p w14:paraId="3B7A4E92">
      <w:pPr>
        <w:spacing w:line="360" w:lineRule="exact"/>
        <w:rPr>
          <w:rFonts w:hint="eastAsia" w:hAnsi="宋体"/>
          <w:color w:val="auto"/>
          <w:szCs w:val="21"/>
          <w:highlight w:val="none"/>
        </w:rPr>
      </w:pPr>
    </w:p>
    <w:p w14:paraId="2687D27E">
      <w:pPr>
        <w:spacing w:line="360" w:lineRule="exact"/>
        <w:rPr>
          <w:rFonts w:hint="eastAsia" w:hAnsi="宋体"/>
          <w:color w:val="auto"/>
          <w:szCs w:val="21"/>
          <w:highlight w:val="none"/>
        </w:rPr>
      </w:pPr>
    </w:p>
    <w:p w14:paraId="5459786C">
      <w:pPr>
        <w:spacing w:line="360" w:lineRule="exact"/>
        <w:rPr>
          <w:rFonts w:hint="eastAsia" w:hAnsi="宋体"/>
          <w:color w:val="auto"/>
          <w:szCs w:val="21"/>
          <w:highlight w:val="none"/>
        </w:rPr>
      </w:pPr>
    </w:p>
    <w:p w14:paraId="2D8D508B">
      <w:pPr>
        <w:rPr>
          <w:rFonts w:hint="eastAsia" w:hAnsi="宋体"/>
          <w:b/>
          <w:color w:val="auto"/>
          <w:szCs w:val="21"/>
          <w:highlight w:val="none"/>
        </w:rPr>
      </w:pPr>
      <w:r>
        <w:rPr>
          <w:rFonts w:hint="eastAsia" w:hAnsi="宋体"/>
          <w:b/>
          <w:color w:val="auto"/>
          <w:szCs w:val="21"/>
          <w:highlight w:val="none"/>
        </w:rPr>
        <w:br w:type="page"/>
      </w:r>
    </w:p>
    <w:p w14:paraId="12F41516">
      <w:pPr>
        <w:spacing w:line="360" w:lineRule="exact"/>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1</w:t>
      </w:r>
      <w:r>
        <w:rPr>
          <w:rFonts w:hint="eastAsia" w:hAnsi="宋体"/>
          <w:b/>
          <w:color w:val="auto"/>
          <w:szCs w:val="21"/>
          <w:highlight w:val="none"/>
        </w:rPr>
        <w:t>：工程质量保修书</w:t>
      </w:r>
    </w:p>
    <w:p w14:paraId="57E1200A">
      <w:pPr>
        <w:spacing w:line="360" w:lineRule="exact"/>
        <w:rPr>
          <w:rFonts w:hint="eastAsia" w:hAnsi="宋体"/>
          <w:color w:val="auto"/>
          <w:szCs w:val="21"/>
          <w:highlight w:val="none"/>
        </w:rPr>
      </w:pPr>
    </w:p>
    <w:p w14:paraId="24221C76">
      <w:pPr>
        <w:spacing w:line="360" w:lineRule="exact"/>
        <w:rPr>
          <w:rFonts w:hint="eastAsia" w:hAnsi="宋体"/>
          <w:color w:val="auto"/>
          <w:szCs w:val="21"/>
          <w:highlight w:val="none"/>
        </w:rPr>
      </w:pPr>
      <w:r>
        <w:rPr>
          <w:rFonts w:hint="eastAsia" w:hAnsi="宋体"/>
          <w:color w:val="auto"/>
          <w:szCs w:val="21"/>
          <w:highlight w:val="none"/>
        </w:rPr>
        <w:t xml:space="preserve">发包人(全称)：    </w:t>
      </w:r>
    </w:p>
    <w:p w14:paraId="23B380EA">
      <w:pPr>
        <w:spacing w:line="360" w:lineRule="exact"/>
        <w:rPr>
          <w:rFonts w:hint="eastAsia" w:hAnsi="宋体"/>
          <w:color w:val="auto"/>
          <w:szCs w:val="21"/>
          <w:highlight w:val="none"/>
        </w:rPr>
      </w:pPr>
      <w:r>
        <w:rPr>
          <w:rFonts w:hint="eastAsia" w:hAnsi="宋体"/>
          <w:color w:val="auto"/>
          <w:szCs w:val="21"/>
          <w:highlight w:val="none"/>
        </w:rPr>
        <w:t>承包人(全称)：</w:t>
      </w:r>
    </w:p>
    <w:p w14:paraId="48072E6E">
      <w:pPr>
        <w:spacing w:line="360" w:lineRule="exact"/>
        <w:rPr>
          <w:rFonts w:hint="eastAsia" w:hAnsi="宋体"/>
          <w:color w:val="auto"/>
          <w:szCs w:val="21"/>
          <w:highlight w:val="none"/>
        </w:rPr>
      </w:pPr>
      <w:r>
        <w:rPr>
          <w:rFonts w:hint="eastAsia" w:hAnsi="宋体"/>
          <w:color w:val="auto"/>
          <w:szCs w:val="21"/>
          <w:highlight w:val="none"/>
        </w:rPr>
        <w:t xml:space="preserve">   为保证</w:t>
      </w:r>
      <w:r>
        <w:rPr>
          <w:rFonts w:hint="eastAsia" w:hAnsi="宋体"/>
          <w:color w:val="auto"/>
          <w:szCs w:val="21"/>
          <w:highlight w:val="none"/>
          <w:u w:val="single"/>
        </w:rPr>
        <w:t xml:space="preserve">             </w:t>
      </w:r>
      <w:r>
        <w:rPr>
          <w:rFonts w:hint="eastAsia" w:hAnsi="宋体"/>
          <w:color w:val="auto"/>
          <w:szCs w:val="21"/>
          <w:highlight w:val="none"/>
        </w:rPr>
        <w:t>(工程名称)在合理使用期限内正常使用，发包人和承包人协商一致签订工程质量保修书。承包人在质量保修期内按照有关管理规定及双方约定承担工程质量保修责任。</w:t>
      </w:r>
    </w:p>
    <w:p w14:paraId="7AC63EF9">
      <w:pPr>
        <w:spacing w:line="360" w:lineRule="exact"/>
        <w:rPr>
          <w:rFonts w:hint="eastAsia" w:hAnsi="宋体"/>
          <w:b/>
          <w:color w:val="auto"/>
          <w:szCs w:val="21"/>
          <w:highlight w:val="none"/>
        </w:rPr>
      </w:pPr>
      <w:r>
        <w:rPr>
          <w:rFonts w:hint="eastAsia" w:hAnsi="宋体"/>
          <w:b/>
          <w:color w:val="auto"/>
          <w:szCs w:val="21"/>
          <w:highlight w:val="none"/>
        </w:rPr>
        <w:t>一、工程质量保修范围和内容</w:t>
      </w:r>
    </w:p>
    <w:p w14:paraId="44AE14BC">
      <w:pPr>
        <w:spacing w:line="360" w:lineRule="exact"/>
        <w:ind w:firstLine="420"/>
        <w:rPr>
          <w:rFonts w:hint="eastAsia" w:hAnsi="宋体"/>
          <w:color w:val="auto"/>
          <w:szCs w:val="21"/>
          <w:highlight w:val="none"/>
        </w:rPr>
      </w:pPr>
      <w:r>
        <w:rPr>
          <w:rFonts w:hint="eastAsia" w:hAnsi="宋体"/>
          <w:color w:val="auto"/>
          <w:szCs w:val="21"/>
          <w:highlight w:val="none"/>
        </w:rPr>
        <w:t>质量保修范围包括合同及施工图纸所包括的工程。具体质量保修内容双方约定如下：</w:t>
      </w:r>
    </w:p>
    <w:p w14:paraId="17A65DA7">
      <w:pPr>
        <w:spacing w:line="360" w:lineRule="exact"/>
        <w:rPr>
          <w:rFonts w:hint="eastAsia" w:hAnsi="宋体"/>
          <w:color w:val="auto"/>
          <w:szCs w:val="21"/>
          <w:highlight w:val="none"/>
        </w:rPr>
      </w:pPr>
      <w:r>
        <w:rPr>
          <w:rFonts w:hint="eastAsia" w:hAnsi="宋体"/>
          <w:b/>
          <w:bCs/>
          <w:color w:val="auto"/>
          <w:szCs w:val="21"/>
          <w:highlight w:val="none"/>
        </w:rPr>
        <w:t>*二、质量保修期</w:t>
      </w:r>
    </w:p>
    <w:p w14:paraId="75DF6738">
      <w:pPr>
        <w:spacing w:line="360" w:lineRule="exact"/>
        <w:ind w:firstLine="315" w:firstLineChars="150"/>
        <w:rPr>
          <w:rFonts w:hint="eastAsia" w:hAnsi="宋体"/>
          <w:color w:val="auto"/>
          <w:szCs w:val="21"/>
          <w:highlight w:val="none"/>
        </w:rPr>
      </w:pPr>
      <w:r>
        <w:rPr>
          <w:rFonts w:hint="eastAsia" w:hAnsi="宋体"/>
          <w:color w:val="auto"/>
          <w:szCs w:val="21"/>
          <w:highlight w:val="none"/>
        </w:rPr>
        <w:t>1．双方根据《建设工程质量管理条例》及有关规定，约定本工程的质量保修期如下：</w:t>
      </w:r>
    </w:p>
    <w:p w14:paraId="351C6B37">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(1)桥梁工程为</w:t>
      </w:r>
      <w:r>
        <w:rPr>
          <w:rFonts w:hint="eastAsia" w:hAnsi="宋体"/>
          <w:color w:val="auto"/>
          <w:szCs w:val="21"/>
          <w:highlight w:val="none"/>
          <w:u w:val="single"/>
        </w:rPr>
        <w:t xml:space="preserve">  1   </w:t>
      </w:r>
      <w:r>
        <w:rPr>
          <w:rFonts w:hint="eastAsia" w:hAnsi="宋体"/>
          <w:color w:val="auto"/>
          <w:szCs w:val="21"/>
          <w:highlight w:val="none"/>
        </w:rPr>
        <w:t xml:space="preserve">年；            </w:t>
      </w:r>
    </w:p>
    <w:p w14:paraId="1039F1F2">
      <w:pPr>
        <w:spacing w:line="360" w:lineRule="exact"/>
        <w:ind w:firstLine="315" w:firstLineChars="150"/>
        <w:rPr>
          <w:rFonts w:hint="eastAsia" w:hAnsi="宋体"/>
          <w:color w:val="auto"/>
          <w:szCs w:val="21"/>
          <w:highlight w:val="none"/>
        </w:rPr>
      </w:pPr>
      <w:r>
        <w:rPr>
          <w:rFonts w:hint="eastAsia" w:hAnsi="宋体"/>
          <w:color w:val="auto"/>
          <w:szCs w:val="21"/>
          <w:highlight w:val="none"/>
        </w:rPr>
        <w:t>(2)道路工程为</w:t>
      </w:r>
      <w:r>
        <w:rPr>
          <w:rFonts w:hint="eastAsia" w:hAnsi="宋体"/>
          <w:color w:val="auto"/>
          <w:szCs w:val="21"/>
          <w:highlight w:val="none"/>
          <w:u w:val="single"/>
        </w:rPr>
        <w:t xml:space="preserve">   1  </w:t>
      </w:r>
      <w:r>
        <w:rPr>
          <w:rFonts w:hint="eastAsia" w:hAnsi="宋体"/>
          <w:color w:val="auto"/>
          <w:szCs w:val="21"/>
          <w:highlight w:val="none"/>
        </w:rPr>
        <w:t>年；</w:t>
      </w:r>
    </w:p>
    <w:p w14:paraId="5C3DBAF1">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(3)地基处理工程为</w:t>
      </w:r>
      <w:r>
        <w:rPr>
          <w:rFonts w:hint="eastAsia" w:hAnsi="宋体"/>
          <w:color w:val="auto"/>
          <w:szCs w:val="21"/>
          <w:highlight w:val="none"/>
          <w:u w:val="single"/>
        </w:rPr>
        <w:t xml:space="preserve">   1  </w:t>
      </w:r>
      <w:r>
        <w:rPr>
          <w:rFonts w:hint="eastAsia" w:hAnsi="宋体"/>
          <w:color w:val="auto"/>
          <w:szCs w:val="21"/>
          <w:highlight w:val="none"/>
        </w:rPr>
        <w:t>年；</w:t>
      </w:r>
    </w:p>
    <w:p w14:paraId="6745A8D4">
      <w:pPr>
        <w:spacing w:line="360" w:lineRule="exact"/>
        <w:ind w:firstLine="210" w:firstLineChars="100"/>
        <w:rPr>
          <w:rFonts w:hint="eastAsia" w:hAnsi="宋体"/>
          <w:color w:val="auto"/>
          <w:szCs w:val="21"/>
          <w:highlight w:val="none"/>
        </w:rPr>
      </w:pPr>
      <w:r>
        <w:rPr>
          <w:rFonts w:hint="eastAsia" w:hAnsi="宋体"/>
          <w:color w:val="auto"/>
          <w:szCs w:val="21"/>
          <w:highlight w:val="none"/>
        </w:rPr>
        <w:t xml:space="preserve"> (4)排水(雨水)工程为</w:t>
      </w:r>
      <w:r>
        <w:rPr>
          <w:rFonts w:hint="eastAsia" w:hAnsi="宋体"/>
          <w:color w:val="auto"/>
          <w:szCs w:val="21"/>
          <w:highlight w:val="none"/>
          <w:u w:val="single"/>
        </w:rPr>
        <w:t xml:space="preserve">   1  </w:t>
      </w:r>
      <w:r>
        <w:rPr>
          <w:rFonts w:hint="eastAsia" w:hAnsi="宋体"/>
          <w:color w:val="auto"/>
          <w:szCs w:val="21"/>
          <w:highlight w:val="none"/>
        </w:rPr>
        <w:t>年；</w:t>
      </w:r>
    </w:p>
    <w:p w14:paraId="44C53B66">
      <w:pPr>
        <w:spacing w:line="360" w:lineRule="exact"/>
        <w:rPr>
          <w:rFonts w:hint="eastAsia" w:hAnsi="宋体"/>
          <w:color w:val="auto"/>
          <w:szCs w:val="21"/>
          <w:highlight w:val="none"/>
          <w:u w:val="single"/>
        </w:rPr>
      </w:pPr>
      <w:r>
        <w:rPr>
          <w:rFonts w:hint="eastAsia" w:hAnsi="宋体"/>
          <w:color w:val="auto"/>
          <w:szCs w:val="21"/>
          <w:highlight w:val="none"/>
        </w:rPr>
        <w:t xml:space="preserve">   (5)绿化工程为</w:t>
      </w:r>
      <w:r>
        <w:rPr>
          <w:rFonts w:hint="eastAsia" w:hAnsi="宋体"/>
          <w:color w:val="auto"/>
          <w:szCs w:val="21"/>
          <w:highlight w:val="none"/>
          <w:u w:val="single"/>
        </w:rPr>
        <w:t xml:space="preserve">工程竣工综合验收合格后 12 个月 </w:t>
      </w:r>
      <w:r>
        <w:rPr>
          <w:rFonts w:hint="eastAsia" w:hAnsi="宋体"/>
          <w:color w:val="auto"/>
          <w:szCs w:val="21"/>
          <w:highlight w:val="none"/>
        </w:rPr>
        <w:t>；</w:t>
      </w:r>
    </w:p>
    <w:p w14:paraId="3813D43D">
      <w:pPr>
        <w:spacing w:line="360" w:lineRule="exact"/>
        <w:rPr>
          <w:rFonts w:hint="eastAsia" w:hAnsi="宋体"/>
          <w:color w:val="auto"/>
          <w:szCs w:val="21"/>
          <w:highlight w:val="none"/>
        </w:rPr>
      </w:pPr>
      <w:r>
        <w:rPr>
          <w:rFonts w:hint="eastAsia" w:hAnsi="宋体"/>
          <w:color w:val="auto"/>
          <w:szCs w:val="21"/>
          <w:highlight w:val="none"/>
        </w:rPr>
        <w:t xml:space="preserve">   (6)其他附属工程为</w:t>
      </w:r>
      <w:r>
        <w:rPr>
          <w:rFonts w:hint="eastAsia" w:hAnsi="宋体"/>
          <w:color w:val="auto"/>
          <w:szCs w:val="21"/>
          <w:highlight w:val="none"/>
          <w:u w:val="single"/>
        </w:rPr>
        <w:t xml:space="preserve">  1   </w:t>
      </w:r>
      <w:r>
        <w:rPr>
          <w:rFonts w:hint="eastAsia" w:hAnsi="宋体"/>
          <w:color w:val="auto"/>
          <w:szCs w:val="21"/>
          <w:highlight w:val="none"/>
        </w:rPr>
        <w:t>年。</w:t>
      </w:r>
    </w:p>
    <w:p w14:paraId="3ABE2EE0">
      <w:pPr>
        <w:spacing w:line="360" w:lineRule="exact"/>
        <w:ind w:firstLine="67" w:firstLineChars="32"/>
        <w:rPr>
          <w:rFonts w:hint="eastAsia" w:hAnsi="宋体"/>
          <w:color w:val="auto"/>
          <w:szCs w:val="21"/>
          <w:highlight w:val="none"/>
        </w:rPr>
      </w:pPr>
      <w:r>
        <w:rPr>
          <w:rFonts w:hint="eastAsia" w:hAnsi="宋体"/>
          <w:color w:val="auto"/>
          <w:szCs w:val="21"/>
          <w:highlight w:val="none"/>
        </w:rPr>
        <w:t xml:space="preserve">   2．质量保修期自本合同工程签发的工程竣工验收合格交工证书中写明的竣工日期起计算。</w:t>
      </w:r>
      <w:r>
        <w:rPr>
          <w:rFonts w:hint="eastAsia" w:hAnsi="宋体"/>
          <w:b/>
          <w:bCs/>
          <w:color w:val="auto"/>
          <w:szCs w:val="21"/>
          <w:highlight w:val="none"/>
        </w:rPr>
        <w:t>分单项竣工验收的工程，按单项工程分别计算质量保修期。</w:t>
      </w:r>
    </w:p>
    <w:p w14:paraId="2FE3AA2F">
      <w:pPr>
        <w:spacing w:line="360" w:lineRule="exact"/>
        <w:rPr>
          <w:rFonts w:hint="eastAsia" w:hAnsi="宋体"/>
          <w:color w:val="auto"/>
          <w:szCs w:val="21"/>
          <w:highlight w:val="none"/>
        </w:rPr>
      </w:pPr>
      <w:r>
        <w:rPr>
          <w:rFonts w:hint="eastAsia" w:hAnsi="宋体"/>
          <w:color w:val="auto"/>
          <w:szCs w:val="21"/>
          <w:highlight w:val="none"/>
        </w:rPr>
        <w:t xml:space="preserve">   3．其他约定：</w:t>
      </w:r>
    </w:p>
    <w:p w14:paraId="210F7540">
      <w:pPr>
        <w:spacing w:line="360" w:lineRule="exact"/>
        <w:rPr>
          <w:rFonts w:hint="eastAsia" w:hAnsi="宋体"/>
          <w:b/>
          <w:color w:val="auto"/>
          <w:szCs w:val="21"/>
          <w:highlight w:val="none"/>
        </w:rPr>
      </w:pPr>
      <w:r>
        <w:rPr>
          <w:rFonts w:hint="eastAsia" w:hAnsi="宋体"/>
          <w:b/>
          <w:color w:val="auto"/>
          <w:szCs w:val="21"/>
          <w:highlight w:val="none"/>
        </w:rPr>
        <w:t>三、质量保修保质责任</w:t>
      </w:r>
    </w:p>
    <w:p w14:paraId="41396826">
      <w:pPr>
        <w:spacing w:line="360" w:lineRule="exact"/>
        <w:rPr>
          <w:rFonts w:hint="eastAsia" w:hAnsi="宋体"/>
          <w:color w:val="auto"/>
          <w:szCs w:val="21"/>
          <w:highlight w:val="none"/>
        </w:rPr>
      </w:pPr>
      <w:r>
        <w:rPr>
          <w:rFonts w:hint="eastAsia" w:hAnsi="宋体"/>
          <w:color w:val="auto"/>
          <w:szCs w:val="21"/>
          <w:highlight w:val="none"/>
        </w:rPr>
        <w:t xml:space="preserve">   1．质量保修期自工程竣工验收合格之日起计算。</w:t>
      </w:r>
    </w:p>
    <w:p w14:paraId="43E9A1EE">
      <w:pPr>
        <w:spacing w:line="360" w:lineRule="exact"/>
        <w:rPr>
          <w:rFonts w:hint="eastAsia" w:hAnsi="宋体"/>
          <w:color w:val="auto"/>
          <w:szCs w:val="21"/>
          <w:highlight w:val="none"/>
        </w:rPr>
      </w:pPr>
      <w:r>
        <w:rPr>
          <w:rFonts w:hint="eastAsia" w:hAnsi="宋体"/>
          <w:color w:val="auto"/>
          <w:szCs w:val="21"/>
          <w:highlight w:val="none"/>
        </w:rPr>
        <w:t xml:space="preserve">   2．质量保修责任</w:t>
      </w:r>
    </w:p>
    <w:p w14:paraId="7B7F8A41">
      <w:pPr>
        <w:spacing w:line="360" w:lineRule="exact"/>
        <w:rPr>
          <w:rFonts w:hint="eastAsia" w:hAnsi="宋体"/>
          <w:color w:val="auto"/>
          <w:szCs w:val="21"/>
          <w:highlight w:val="none"/>
        </w:rPr>
      </w:pPr>
      <w:r>
        <w:rPr>
          <w:rFonts w:hint="eastAsia" w:hAnsi="宋体"/>
          <w:color w:val="auto"/>
          <w:szCs w:val="21"/>
          <w:highlight w:val="none"/>
        </w:rPr>
        <w:t xml:space="preserve">   2.1属于保修范围、内容的项目，承包人应当在接到保修通知之日起七日内派人保修。承包人不在约定期限内派人保修的，发包人可以委托他人修理，修理费用由承包人承担。</w:t>
      </w:r>
    </w:p>
    <w:p w14:paraId="7B694BC5">
      <w:pPr>
        <w:spacing w:line="360" w:lineRule="exact"/>
        <w:rPr>
          <w:rFonts w:hint="eastAsia" w:hAnsi="宋体"/>
          <w:color w:val="auto"/>
          <w:szCs w:val="21"/>
          <w:highlight w:val="none"/>
        </w:rPr>
      </w:pPr>
      <w:r>
        <w:rPr>
          <w:rFonts w:hint="eastAsia" w:hAnsi="宋体"/>
          <w:color w:val="auto"/>
          <w:szCs w:val="21"/>
          <w:highlight w:val="none"/>
        </w:rPr>
        <w:t xml:space="preserve">   2.2发生紧急抢修事故的，承包人在接到事故通知后，应当立即到达事故现场抢修。</w:t>
      </w:r>
    </w:p>
    <w:p w14:paraId="51CC848D">
      <w:pPr>
        <w:spacing w:line="360" w:lineRule="exact"/>
        <w:rPr>
          <w:rFonts w:hint="eastAsia" w:hAnsi="宋体"/>
          <w:color w:val="auto"/>
          <w:szCs w:val="21"/>
          <w:highlight w:val="none"/>
        </w:rPr>
      </w:pPr>
      <w:r>
        <w:rPr>
          <w:rFonts w:hint="eastAsia" w:hAnsi="宋体"/>
          <w:color w:val="auto"/>
          <w:szCs w:val="21"/>
          <w:highlight w:val="none"/>
        </w:rPr>
        <w:t xml:space="preserve">   2.3对于涉及结构安全的质量问题，应当按照有关的规定，立即向当地建设行政主管部门报告，采取安全防范措施；由原设计单位或者具有相应资质等级的设计单位提出保修方案，承包人实施保修。</w:t>
      </w:r>
    </w:p>
    <w:p w14:paraId="4517FE4B">
      <w:pPr>
        <w:spacing w:line="360" w:lineRule="exact"/>
        <w:rPr>
          <w:rFonts w:hint="eastAsia" w:hAnsi="宋体"/>
          <w:color w:val="auto"/>
          <w:szCs w:val="21"/>
          <w:highlight w:val="none"/>
        </w:rPr>
      </w:pPr>
      <w:r>
        <w:rPr>
          <w:rFonts w:hint="eastAsia" w:hAnsi="宋体"/>
          <w:color w:val="auto"/>
          <w:szCs w:val="21"/>
          <w:highlight w:val="none"/>
        </w:rPr>
        <w:t xml:space="preserve">   2.4质量保修完成后，由发包人组织验收。</w:t>
      </w:r>
    </w:p>
    <w:p w14:paraId="70B37F12">
      <w:pPr>
        <w:spacing w:line="360" w:lineRule="exact"/>
        <w:rPr>
          <w:rFonts w:hint="eastAsia" w:hAnsi="宋体"/>
          <w:b/>
          <w:color w:val="auto"/>
          <w:szCs w:val="21"/>
          <w:highlight w:val="none"/>
        </w:rPr>
      </w:pPr>
      <w:r>
        <w:rPr>
          <w:rFonts w:hint="eastAsia" w:hAnsi="宋体"/>
          <w:b/>
          <w:color w:val="auto"/>
          <w:szCs w:val="21"/>
          <w:highlight w:val="none"/>
        </w:rPr>
        <w:t xml:space="preserve">   *3．保修费用</w:t>
      </w:r>
    </w:p>
    <w:p w14:paraId="20587F06">
      <w:pPr>
        <w:spacing w:line="360" w:lineRule="exact"/>
        <w:rPr>
          <w:rFonts w:hint="eastAsia" w:hAnsi="宋体"/>
          <w:color w:val="auto"/>
          <w:szCs w:val="21"/>
          <w:highlight w:val="none"/>
        </w:rPr>
      </w:pPr>
      <w:r>
        <w:rPr>
          <w:rFonts w:hint="eastAsia" w:hAnsi="宋体"/>
          <w:color w:val="auto"/>
          <w:szCs w:val="21"/>
          <w:highlight w:val="none"/>
        </w:rPr>
        <w:t xml:space="preserve">   保修费用由造成质量缺陷的责任方承担。</w:t>
      </w:r>
    </w:p>
    <w:p w14:paraId="038C3694">
      <w:pPr>
        <w:spacing w:line="360" w:lineRule="exact"/>
        <w:rPr>
          <w:rFonts w:hint="eastAsia" w:hAnsi="宋体"/>
          <w:b/>
          <w:color w:val="auto"/>
          <w:szCs w:val="21"/>
          <w:highlight w:val="none"/>
        </w:rPr>
      </w:pPr>
      <w:r>
        <w:rPr>
          <w:rFonts w:hint="eastAsia" w:hAnsi="宋体"/>
          <w:b/>
          <w:color w:val="auto"/>
          <w:szCs w:val="21"/>
          <w:highlight w:val="none"/>
        </w:rPr>
        <w:t>*四、质量保修金的支付</w:t>
      </w:r>
    </w:p>
    <w:p w14:paraId="7E2A7919">
      <w:pPr>
        <w:spacing w:line="360" w:lineRule="exact"/>
        <w:rPr>
          <w:rFonts w:hint="eastAsia" w:hAnsi="宋体"/>
          <w:b/>
          <w:color w:val="auto"/>
          <w:szCs w:val="21"/>
          <w:highlight w:val="none"/>
        </w:rPr>
      </w:pPr>
      <w:r>
        <w:rPr>
          <w:rFonts w:hint="eastAsia" w:hAnsi="宋体"/>
          <w:b/>
          <w:color w:val="auto"/>
          <w:szCs w:val="21"/>
          <w:highlight w:val="none"/>
        </w:rPr>
        <w:t xml:space="preserve">    本工程约定的工程质量保修金为施工结算价的</w:t>
      </w:r>
      <w:r>
        <w:rPr>
          <w:rFonts w:hint="eastAsia" w:hAnsi="宋体"/>
          <w:b/>
          <w:color w:val="auto"/>
          <w:szCs w:val="21"/>
          <w:highlight w:val="none"/>
          <w:u w:val="single"/>
        </w:rPr>
        <w:t xml:space="preserve"> </w:t>
      </w:r>
      <w:r>
        <w:rPr>
          <w:rFonts w:hint="eastAsia" w:hAnsi="宋体"/>
          <w:b/>
          <w:color w:val="auto"/>
          <w:szCs w:val="21"/>
          <w:highlight w:val="none"/>
          <w:u w:val="single"/>
          <w:lang w:val="en-US" w:eastAsia="zh-CN"/>
        </w:rPr>
        <w:t>3</w:t>
      </w:r>
      <w:r>
        <w:rPr>
          <w:rFonts w:hint="eastAsia" w:hAnsi="宋体"/>
          <w:b/>
          <w:color w:val="auto"/>
          <w:szCs w:val="21"/>
          <w:highlight w:val="none"/>
          <w:u w:val="single"/>
        </w:rPr>
        <w:t xml:space="preserve"> </w:t>
      </w:r>
      <w:r>
        <w:rPr>
          <w:rFonts w:hint="eastAsia" w:hAnsi="宋体"/>
          <w:b/>
          <w:color w:val="auto"/>
          <w:szCs w:val="21"/>
          <w:highlight w:val="none"/>
        </w:rPr>
        <w:t>％，质量保修金不计利息。</w:t>
      </w:r>
    </w:p>
    <w:p w14:paraId="460000A2">
      <w:pPr>
        <w:spacing w:line="360" w:lineRule="exact"/>
        <w:rPr>
          <w:rFonts w:hint="eastAsia" w:hAnsi="宋体"/>
          <w:b/>
          <w:color w:val="auto"/>
          <w:szCs w:val="21"/>
          <w:highlight w:val="none"/>
        </w:rPr>
      </w:pPr>
      <w:r>
        <w:rPr>
          <w:rFonts w:hint="eastAsia" w:hAnsi="宋体"/>
          <w:b/>
          <w:color w:val="auto"/>
          <w:szCs w:val="21"/>
          <w:highlight w:val="none"/>
        </w:rPr>
        <w:t xml:space="preserve"> 五、质量保修金的返还</w:t>
      </w:r>
    </w:p>
    <w:p w14:paraId="577057D8">
      <w:pPr>
        <w:spacing w:line="360" w:lineRule="exact"/>
        <w:ind w:firstLine="435"/>
        <w:rPr>
          <w:rFonts w:hint="eastAsia" w:hAnsi="宋体"/>
          <w:color w:val="auto"/>
          <w:szCs w:val="21"/>
          <w:highlight w:val="none"/>
        </w:rPr>
      </w:pPr>
      <w:r>
        <w:rPr>
          <w:rFonts w:hint="eastAsia" w:hAnsi="宋体"/>
          <w:color w:val="auto"/>
          <w:szCs w:val="21"/>
          <w:highlight w:val="none"/>
        </w:rPr>
        <w:t>发包人在应付款中扣出，在工程竣工保修期满后，14日内将质量保修金(不计利息)余额退回承包人。在保修期内承包人应按保修内容进行保修，若承包人接到发包人保修通知书在七天内未派人进行修理的，发包人则安排其它公司修理，在保修期内发生的修理费用由承包人负责或由发包人从保修金中扣除。</w:t>
      </w:r>
    </w:p>
    <w:p w14:paraId="47F00EAF">
      <w:pPr>
        <w:spacing w:line="360" w:lineRule="exact"/>
        <w:rPr>
          <w:rFonts w:hint="eastAsia" w:hAnsi="宋体"/>
          <w:b/>
          <w:color w:val="auto"/>
          <w:szCs w:val="21"/>
          <w:highlight w:val="none"/>
        </w:rPr>
      </w:pPr>
      <w:r>
        <w:rPr>
          <w:rFonts w:hint="eastAsia" w:hAnsi="宋体"/>
          <w:b/>
          <w:color w:val="auto"/>
          <w:szCs w:val="21"/>
          <w:highlight w:val="none"/>
        </w:rPr>
        <w:t>六、其他</w:t>
      </w:r>
    </w:p>
    <w:p w14:paraId="6FBA04D9">
      <w:pPr>
        <w:spacing w:line="360" w:lineRule="exact"/>
        <w:ind w:firstLine="396" w:firstLineChars="189"/>
        <w:rPr>
          <w:rFonts w:hint="eastAsia" w:hAnsi="宋体"/>
          <w:color w:val="auto"/>
          <w:szCs w:val="21"/>
          <w:highlight w:val="none"/>
          <w:u w:val="single"/>
        </w:rPr>
      </w:pPr>
      <w:r>
        <w:rPr>
          <w:rFonts w:hint="eastAsia" w:hAnsi="宋体"/>
          <w:color w:val="auto"/>
          <w:szCs w:val="21"/>
          <w:highlight w:val="none"/>
        </w:rPr>
        <w:t>双方约定的其他工程质量保修事项：</w:t>
      </w:r>
      <w:r>
        <w:rPr>
          <w:rFonts w:hint="eastAsia" w:hAnsi="宋体"/>
          <w:color w:val="auto"/>
          <w:szCs w:val="21"/>
          <w:highlight w:val="none"/>
          <w:u w:val="single"/>
        </w:rPr>
        <w:t xml:space="preserve">                                            </w:t>
      </w:r>
      <w:r>
        <w:rPr>
          <w:rFonts w:hint="eastAsia" w:hAnsi="宋体"/>
          <w:color w:val="auto"/>
          <w:szCs w:val="21"/>
          <w:highlight w:val="none"/>
        </w:rPr>
        <w:t>。</w:t>
      </w:r>
    </w:p>
    <w:p w14:paraId="5F647458">
      <w:pPr>
        <w:spacing w:line="360" w:lineRule="exact"/>
        <w:ind w:firstLine="396" w:firstLineChars="189"/>
        <w:rPr>
          <w:rFonts w:hint="eastAsia" w:hAnsi="宋体"/>
          <w:color w:val="auto"/>
          <w:szCs w:val="21"/>
          <w:highlight w:val="none"/>
        </w:rPr>
      </w:pPr>
      <w:r>
        <w:rPr>
          <w:rFonts w:hint="eastAsia" w:hAnsi="宋体"/>
          <w:color w:val="auto"/>
          <w:szCs w:val="21"/>
          <w:highlight w:val="none"/>
        </w:rPr>
        <w:t>本工程质量保修书作为施工合同附件，由施工合同发包人和承包人双方共同签署。</w:t>
      </w:r>
    </w:p>
    <w:p w14:paraId="55F5F160">
      <w:pPr>
        <w:spacing w:line="360" w:lineRule="exact"/>
        <w:rPr>
          <w:rFonts w:hint="eastAsia" w:hAnsi="宋体"/>
          <w:color w:val="auto"/>
          <w:szCs w:val="21"/>
          <w:highlight w:val="none"/>
        </w:rPr>
      </w:pPr>
      <w:r>
        <w:rPr>
          <w:rFonts w:hint="eastAsia" w:hAnsi="宋体"/>
          <w:color w:val="auto"/>
          <w:szCs w:val="21"/>
          <w:highlight w:val="none"/>
        </w:rPr>
        <w:t>发包人(公章)：                         承包人(公章)：</w:t>
      </w:r>
    </w:p>
    <w:p w14:paraId="173D102A">
      <w:pPr>
        <w:spacing w:line="360" w:lineRule="exact"/>
        <w:rPr>
          <w:rFonts w:hint="eastAsia" w:hAnsi="宋体"/>
          <w:color w:val="auto"/>
          <w:szCs w:val="21"/>
          <w:highlight w:val="none"/>
        </w:rPr>
      </w:pPr>
      <w:r>
        <w:rPr>
          <w:rFonts w:hint="eastAsia" w:hAnsi="宋体"/>
          <w:color w:val="auto"/>
          <w:szCs w:val="21"/>
          <w:highlight w:val="none"/>
        </w:rPr>
        <w:t>法定代表人(签字)：                     法定代表人(签字)：</w:t>
      </w:r>
    </w:p>
    <w:p w14:paraId="6E519CAF">
      <w:pPr>
        <w:spacing w:line="360" w:lineRule="exact"/>
        <w:rPr>
          <w:rFonts w:hint="eastAsia" w:hAnsi="宋体"/>
          <w:b/>
          <w:color w:val="auto"/>
          <w:szCs w:val="21"/>
          <w:highlight w:val="none"/>
        </w:rPr>
      </w:pPr>
      <w:r>
        <w:rPr>
          <w:rFonts w:hint="eastAsia" w:hAnsi="宋体"/>
          <w:color w:val="auto"/>
          <w:szCs w:val="21"/>
          <w:highlight w:val="none"/>
        </w:rPr>
        <w:t>委托代理人(签字)：                     委托代理人(签字)：</w:t>
      </w:r>
    </w:p>
    <w:p w14:paraId="2952DE53">
      <w:pPr>
        <w:spacing w:line="360" w:lineRule="exact"/>
        <w:rPr>
          <w:rFonts w:hAnsi="宋体"/>
          <w:color w:val="auto"/>
          <w:szCs w:val="21"/>
          <w:highlight w:val="none"/>
        </w:rPr>
      </w:pPr>
      <w:r>
        <w:rPr>
          <w:rFonts w:hint="eastAsia" w:hAnsi="宋体"/>
          <w:color w:val="auto"/>
          <w:szCs w:val="21"/>
          <w:highlight w:val="none"/>
        </w:rPr>
        <w:t xml:space="preserve">年  月    日                           年  月    日  </w:t>
      </w:r>
    </w:p>
    <w:p w14:paraId="68E682CE">
      <w:pPr>
        <w:spacing w:line="360" w:lineRule="exact"/>
        <w:ind w:firstLine="2310" w:firstLineChars="1100"/>
        <w:rPr>
          <w:rFonts w:hint="eastAsia" w:hAnsi="宋体"/>
          <w:b/>
          <w:color w:val="auto"/>
          <w:szCs w:val="21"/>
          <w:highlight w:val="none"/>
        </w:rPr>
      </w:pPr>
      <w:r>
        <w:rPr>
          <w:rFonts w:hAnsi="宋体"/>
          <w:color w:val="auto"/>
          <w:szCs w:val="21"/>
          <w:highlight w:val="none"/>
        </w:rPr>
        <w:br w:type="page"/>
      </w:r>
    </w:p>
    <w:p w14:paraId="5579748F">
      <w:pPr>
        <w:rPr>
          <w:rFonts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2</w:t>
      </w:r>
      <w:r>
        <w:rPr>
          <w:rFonts w:hint="eastAsia" w:hAnsi="宋体"/>
          <w:b/>
          <w:color w:val="auto"/>
          <w:szCs w:val="21"/>
          <w:highlight w:val="none"/>
        </w:rPr>
        <w:t xml:space="preserve">  廉政合同</w:t>
      </w:r>
    </w:p>
    <w:p w14:paraId="67EECD0B">
      <w:pPr>
        <w:spacing w:line="380" w:lineRule="exact"/>
        <w:jc w:val="center"/>
        <w:rPr>
          <w:rFonts w:hint="eastAsia" w:hAnsi="宋体"/>
          <w:b/>
          <w:bCs/>
          <w:color w:val="auto"/>
          <w:szCs w:val="21"/>
          <w:highlight w:val="none"/>
        </w:rPr>
      </w:pPr>
      <w:r>
        <w:rPr>
          <w:rFonts w:hint="eastAsia" w:ascii="Arial" w:hAnsi="Arial" w:cs="Arial"/>
          <w:b/>
          <w:bCs/>
          <w:color w:val="auto"/>
          <w:szCs w:val="21"/>
          <w:highlight w:val="none"/>
        </w:rPr>
        <w:t>廉政合同</w:t>
      </w:r>
    </w:p>
    <w:p w14:paraId="7D817832">
      <w:pPr>
        <w:spacing w:line="380" w:lineRule="exact"/>
        <w:rPr>
          <w:rFonts w:hint="eastAsia" w:hAnsi="宋体"/>
          <w:color w:val="auto"/>
          <w:szCs w:val="21"/>
          <w:highlight w:val="none"/>
        </w:rPr>
      </w:pPr>
      <w:r>
        <w:rPr>
          <w:rFonts w:hint="eastAsia" w:hAnsi="宋体"/>
          <w:color w:val="auto"/>
          <w:szCs w:val="21"/>
          <w:highlight w:val="none"/>
        </w:rPr>
        <w:t xml:space="preserve">    根据国家有关工程建设、廉政建设的规定，为做好工程建设中的党风廉政建设，保证工程建设高效优质，保证建设资金的安全和有效使用以及投资效益，建设工程的项目法人</w:t>
      </w:r>
      <w:r>
        <w:rPr>
          <w:rFonts w:hint="eastAsia" w:hAnsi="宋体"/>
          <w:color w:val="auto"/>
          <w:szCs w:val="21"/>
          <w:highlight w:val="none"/>
          <w:u w:val="single"/>
        </w:rPr>
        <w:t>（全称）</w:t>
      </w:r>
      <w:r>
        <w:rPr>
          <w:rFonts w:hint="eastAsia" w:hAnsi="宋体"/>
          <w:color w:val="auto"/>
          <w:szCs w:val="21"/>
          <w:highlight w:val="none"/>
        </w:rPr>
        <w:t>（以下简称“甲方”）与施工单位</w:t>
      </w:r>
      <w:r>
        <w:rPr>
          <w:rFonts w:hint="eastAsia" w:hAnsi="宋体"/>
          <w:color w:val="auto"/>
          <w:szCs w:val="21"/>
          <w:highlight w:val="none"/>
          <w:u w:val="single"/>
        </w:rPr>
        <w:t>（全称）</w:t>
      </w:r>
      <w:r>
        <w:rPr>
          <w:rFonts w:hint="eastAsia" w:hAnsi="宋体"/>
          <w:color w:val="auto"/>
          <w:szCs w:val="21"/>
          <w:highlight w:val="none"/>
        </w:rPr>
        <w:t>（以下简称“乙方”），特订立如下合同。</w:t>
      </w:r>
    </w:p>
    <w:p w14:paraId="76ABE512">
      <w:pPr>
        <w:spacing w:line="380" w:lineRule="exact"/>
        <w:rPr>
          <w:rFonts w:hint="eastAsia" w:ascii="楷体_GB2312" w:hAnsi="宋体"/>
          <w:b/>
          <w:color w:val="auto"/>
          <w:szCs w:val="21"/>
          <w:highlight w:val="none"/>
        </w:rPr>
      </w:pPr>
      <w:r>
        <w:rPr>
          <w:rFonts w:hint="eastAsia" w:hAnsi="宋体"/>
          <w:b/>
          <w:color w:val="auto"/>
          <w:szCs w:val="21"/>
          <w:highlight w:val="none"/>
        </w:rPr>
        <w:t xml:space="preserve">   </w:t>
      </w:r>
      <w:r>
        <w:rPr>
          <w:rFonts w:hint="eastAsia" w:ascii="楷体_GB2312" w:hAnsi="宋体"/>
          <w:b/>
          <w:color w:val="auto"/>
          <w:szCs w:val="21"/>
          <w:highlight w:val="none"/>
        </w:rPr>
        <w:t xml:space="preserve"> 1.甲乙双方的权利和义务</w:t>
      </w:r>
    </w:p>
    <w:p w14:paraId="0E98088F">
      <w:pPr>
        <w:spacing w:line="380" w:lineRule="exact"/>
        <w:ind w:firstLine="210" w:firstLineChars="100"/>
        <w:rPr>
          <w:rFonts w:hint="eastAsia" w:hAnsi="宋体"/>
          <w:color w:val="auto"/>
          <w:szCs w:val="21"/>
          <w:highlight w:val="none"/>
        </w:rPr>
      </w:pPr>
      <w:r>
        <w:rPr>
          <w:rFonts w:hint="eastAsia" w:hAnsi="宋体"/>
          <w:color w:val="auto"/>
          <w:szCs w:val="21"/>
          <w:highlight w:val="none"/>
        </w:rPr>
        <w:t>（1）严格遵守党和国家的有关法律法规及中纪委监察部的有关规定。</w:t>
      </w:r>
    </w:p>
    <w:p w14:paraId="3D8C92C6">
      <w:pPr>
        <w:spacing w:line="380" w:lineRule="exact"/>
        <w:ind w:firstLine="210" w:firstLineChars="100"/>
        <w:rPr>
          <w:rFonts w:hint="eastAsia" w:hAnsi="宋体"/>
          <w:color w:val="auto"/>
          <w:szCs w:val="21"/>
          <w:highlight w:val="none"/>
        </w:rPr>
      </w:pPr>
      <w:r>
        <w:rPr>
          <w:rFonts w:hint="eastAsia" w:hAnsi="宋体"/>
          <w:color w:val="auto"/>
          <w:szCs w:val="21"/>
          <w:highlight w:val="none"/>
        </w:rPr>
        <w:t>（2）严格执行</w:t>
      </w:r>
      <w:r>
        <w:rPr>
          <w:rFonts w:hint="eastAsia" w:hAnsi="宋体"/>
          <w:color w:val="auto"/>
          <w:szCs w:val="21"/>
          <w:highlight w:val="none"/>
          <w:u w:val="single"/>
        </w:rPr>
        <w:t>（项目名称）</w:t>
      </w:r>
      <w:r>
        <w:rPr>
          <w:rFonts w:hint="eastAsia" w:hAnsi="宋体"/>
          <w:color w:val="auto"/>
          <w:szCs w:val="21"/>
          <w:highlight w:val="none"/>
        </w:rPr>
        <w:t>工程的合同文件，自觉按合同办事。</w:t>
      </w:r>
    </w:p>
    <w:p w14:paraId="6D5C9719">
      <w:pPr>
        <w:spacing w:line="380" w:lineRule="exact"/>
        <w:ind w:firstLine="210" w:firstLineChars="100"/>
        <w:rPr>
          <w:rFonts w:hint="eastAsia" w:hAnsi="宋体"/>
          <w:color w:val="auto"/>
          <w:szCs w:val="21"/>
          <w:highlight w:val="none"/>
        </w:rPr>
      </w:pPr>
      <w:r>
        <w:rPr>
          <w:rFonts w:hint="eastAsia" w:hAnsi="宋体"/>
          <w:color w:val="auto"/>
          <w:szCs w:val="21"/>
          <w:highlight w:val="none"/>
        </w:rPr>
        <w:t>（3）双方的业务活动坚持公开、公正、诚信、透明的原则（法律认定的商业秘密和合同文件另有规定除外），不得损害国家和集体利益，违反工程建设管理规章制度。</w:t>
      </w:r>
    </w:p>
    <w:p w14:paraId="13F1DCCE">
      <w:pPr>
        <w:spacing w:line="380" w:lineRule="exact"/>
        <w:ind w:firstLine="210" w:firstLineChars="100"/>
        <w:rPr>
          <w:rFonts w:hint="eastAsia" w:hAnsi="宋体"/>
          <w:color w:val="auto"/>
          <w:szCs w:val="21"/>
          <w:highlight w:val="none"/>
        </w:rPr>
      </w:pPr>
      <w:r>
        <w:rPr>
          <w:rFonts w:hint="eastAsia" w:hAnsi="宋体"/>
          <w:color w:val="auto"/>
          <w:szCs w:val="21"/>
          <w:highlight w:val="none"/>
        </w:rPr>
        <w:t>（4）建立健全廉政制度，开展廉政教育，设立廉政告示牌，公布举报电话，监督并认真查处违法违纪行为。</w:t>
      </w:r>
    </w:p>
    <w:p w14:paraId="0A2B44AE">
      <w:pPr>
        <w:spacing w:line="380" w:lineRule="exact"/>
        <w:ind w:firstLine="85" w:firstLineChars="50"/>
        <w:jc w:val="distribute"/>
        <w:rPr>
          <w:rFonts w:hint="eastAsia" w:hAnsi="宋体"/>
          <w:color w:val="auto"/>
          <w:spacing w:val="-20"/>
          <w:szCs w:val="21"/>
          <w:highlight w:val="none"/>
        </w:rPr>
      </w:pPr>
      <w:r>
        <w:rPr>
          <w:rFonts w:hint="eastAsia" w:hAnsi="宋体"/>
          <w:color w:val="auto"/>
          <w:spacing w:val="-20"/>
          <w:szCs w:val="21"/>
          <w:highlight w:val="none"/>
        </w:rPr>
        <w:t xml:space="preserve">  （5）发现对方在业务活动中有违反廉政规定的行为，有及时提醒对方纠正的权利和义务。</w:t>
      </w:r>
    </w:p>
    <w:p w14:paraId="21DFC5D5">
      <w:pPr>
        <w:spacing w:line="380" w:lineRule="exact"/>
        <w:ind w:firstLine="210" w:firstLineChars="100"/>
        <w:rPr>
          <w:rFonts w:hint="eastAsia" w:hAnsi="宋体"/>
          <w:color w:val="auto"/>
          <w:spacing w:val="-20"/>
          <w:szCs w:val="21"/>
          <w:highlight w:val="none"/>
        </w:rPr>
      </w:pPr>
      <w:r>
        <w:rPr>
          <w:rFonts w:hint="eastAsia" w:hAnsi="宋体"/>
          <w:color w:val="auto"/>
          <w:szCs w:val="21"/>
          <w:highlight w:val="none"/>
        </w:rPr>
        <w:t>（6）发现对方严重违反本合同义务条款的行为，有向其上级有关部门举报、建议给予处理并要求告知处理结果的权利。</w:t>
      </w:r>
    </w:p>
    <w:p w14:paraId="323D9373">
      <w:pPr>
        <w:spacing w:line="380" w:lineRule="exact"/>
        <w:rPr>
          <w:rFonts w:hint="eastAsia" w:ascii="楷体_GB2312" w:hAnsi="宋体"/>
          <w:b/>
          <w:color w:val="auto"/>
          <w:szCs w:val="21"/>
          <w:highlight w:val="none"/>
        </w:rPr>
      </w:pPr>
      <w:r>
        <w:rPr>
          <w:rFonts w:hint="eastAsia" w:hAnsi="宋体"/>
          <w:color w:val="auto"/>
          <w:szCs w:val="21"/>
          <w:highlight w:val="none"/>
        </w:rPr>
        <w:t xml:space="preserve">    2</w:t>
      </w:r>
      <w:r>
        <w:rPr>
          <w:rFonts w:hint="eastAsia" w:ascii="楷体_GB2312" w:hAnsi="宋体"/>
          <w:b/>
          <w:color w:val="auto"/>
          <w:szCs w:val="21"/>
          <w:highlight w:val="none"/>
        </w:rPr>
        <w:t>.甲方的义务</w:t>
      </w:r>
    </w:p>
    <w:p w14:paraId="4F4EEBD4">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（1）甲方及其工作人员不得索要或接受乙方的礼金、有价证券和贵重物品，不得在乙方报销任何应由甲方或甲方工作人员个人支付的费用等。</w:t>
      </w:r>
    </w:p>
    <w:p w14:paraId="1AFACC65">
      <w:pPr>
        <w:spacing w:line="380" w:lineRule="exact"/>
        <w:rPr>
          <w:rFonts w:hint="eastAsia" w:hAnsi="宋体"/>
          <w:color w:val="auto"/>
          <w:szCs w:val="21"/>
          <w:highlight w:val="none"/>
        </w:rPr>
      </w:pPr>
      <w:r>
        <w:rPr>
          <w:rFonts w:hint="eastAsia" w:hAnsi="宋体"/>
          <w:color w:val="auto"/>
          <w:szCs w:val="21"/>
          <w:highlight w:val="none"/>
        </w:rPr>
        <w:t xml:space="preserve">    （2）甲方工作人员不得参加乙方安排的超标准宴请和娱乐活动；不得接受乙方提供的通讯工具、交通工具和高档办公用品等。</w:t>
      </w:r>
    </w:p>
    <w:p w14:paraId="5F138281">
      <w:pPr>
        <w:spacing w:line="380" w:lineRule="exact"/>
        <w:rPr>
          <w:rFonts w:hint="eastAsia" w:hAnsi="宋体"/>
          <w:color w:val="auto"/>
          <w:szCs w:val="21"/>
          <w:highlight w:val="none"/>
        </w:rPr>
      </w:pPr>
      <w:r>
        <w:rPr>
          <w:rFonts w:hint="eastAsia" w:hAnsi="宋体"/>
          <w:color w:val="auto"/>
          <w:szCs w:val="21"/>
          <w:highlight w:val="none"/>
        </w:rPr>
        <w:t xml:space="preserve">    （3）甲方及其工作人员不得要求或者接受乙方为其住房装修、婚丧嫁娶活动、配偶子女的工作安排以及出国出境、旅游等提供方便等。</w:t>
      </w:r>
    </w:p>
    <w:p w14:paraId="1CE8E9FD">
      <w:pPr>
        <w:spacing w:line="380" w:lineRule="exact"/>
        <w:rPr>
          <w:rFonts w:hint="eastAsia" w:hAnsi="宋体"/>
          <w:color w:val="auto"/>
          <w:szCs w:val="21"/>
          <w:highlight w:val="none"/>
        </w:rPr>
      </w:pPr>
      <w:r>
        <w:rPr>
          <w:rFonts w:hint="eastAsia" w:hAnsi="宋体"/>
          <w:color w:val="auto"/>
          <w:szCs w:val="21"/>
          <w:highlight w:val="none"/>
        </w:rPr>
        <w:t xml:space="preserve">    （4）甲方工作人及其配偶、子女不得从事与甲方工程有关的材料设备供应、工程分包、劳务等经济活动等。</w:t>
      </w:r>
    </w:p>
    <w:p w14:paraId="0CD925C1">
      <w:pPr>
        <w:spacing w:line="380" w:lineRule="exact"/>
        <w:rPr>
          <w:rFonts w:hint="eastAsia" w:hAnsi="宋体"/>
          <w:color w:val="auto"/>
          <w:szCs w:val="21"/>
          <w:highlight w:val="none"/>
        </w:rPr>
      </w:pPr>
      <w:r>
        <w:rPr>
          <w:rFonts w:hint="eastAsia" w:hAnsi="宋体"/>
          <w:color w:val="auto"/>
          <w:szCs w:val="21"/>
          <w:highlight w:val="none"/>
        </w:rPr>
        <w:t xml:space="preserve">    （5）甲方及其工作人员不得以任何理由向乙方推荐分包单位或推销材料，不得要求乙方购买合同规定外的材料和设备。</w:t>
      </w:r>
    </w:p>
    <w:p w14:paraId="462E4981">
      <w:pPr>
        <w:spacing w:line="380" w:lineRule="exact"/>
        <w:rPr>
          <w:rFonts w:hint="eastAsia" w:hAnsi="宋体"/>
          <w:color w:val="auto"/>
          <w:szCs w:val="21"/>
          <w:highlight w:val="none"/>
        </w:rPr>
      </w:pPr>
      <w:r>
        <w:rPr>
          <w:rFonts w:hint="eastAsia" w:hAnsi="宋体"/>
          <w:color w:val="auto"/>
          <w:szCs w:val="21"/>
          <w:highlight w:val="none"/>
        </w:rPr>
        <w:t xml:space="preserve">    （6）甲方工作人员要秉公办事，不准营私舞弊，不准利用职权从事各种个人有偿中介活动和安排个人施工队伍。</w:t>
      </w:r>
    </w:p>
    <w:p w14:paraId="0A25D2C3">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3.乙方义务</w:t>
      </w:r>
    </w:p>
    <w:p w14:paraId="3046559E">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（1）乙方不得以任何理由向甲方及其工作人员行贿或馈赠礼金、有价证券、贵重礼品。</w:t>
      </w:r>
    </w:p>
    <w:p w14:paraId="1C194F3A">
      <w:pPr>
        <w:spacing w:line="380" w:lineRule="exact"/>
        <w:ind w:firstLine="420"/>
        <w:jc w:val="distribute"/>
        <w:rPr>
          <w:rFonts w:hint="eastAsia" w:hAnsi="宋体"/>
          <w:color w:val="auto"/>
          <w:spacing w:val="-20"/>
          <w:szCs w:val="21"/>
          <w:highlight w:val="none"/>
        </w:rPr>
      </w:pPr>
      <w:r>
        <w:rPr>
          <w:rFonts w:hint="eastAsia" w:hAnsi="宋体"/>
          <w:color w:val="auto"/>
          <w:spacing w:val="-20"/>
          <w:szCs w:val="21"/>
          <w:highlight w:val="none"/>
        </w:rPr>
        <w:t>（2）乙方不得以任何名义为甲方及其工作人员报销应由甲方单位或个人支付的任何费用。</w:t>
      </w:r>
    </w:p>
    <w:p w14:paraId="38131386">
      <w:pPr>
        <w:spacing w:line="380" w:lineRule="exact"/>
        <w:jc w:val="distribute"/>
        <w:rPr>
          <w:rFonts w:hint="eastAsia" w:hAnsi="宋体"/>
          <w:color w:val="auto"/>
          <w:spacing w:val="-20"/>
          <w:szCs w:val="21"/>
          <w:highlight w:val="none"/>
        </w:rPr>
      </w:pPr>
      <w:r>
        <w:rPr>
          <w:rFonts w:hint="eastAsia" w:hAnsi="宋体"/>
          <w:color w:val="auto"/>
          <w:spacing w:val="-20"/>
          <w:szCs w:val="21"/>
          <w:highlight w:val="none"/>
        </w:rPr>
        <w:t xml:space="preserve">      （3）乙方不得以任何理由安排甲方工作人员参加超标准宴请及娱乐活动。</w:t>
      </w:r>
    </w:p>
    <w:p w14:paraId="55950DD0">
      <w:pPr>
        <w:spacing w:line="38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w:t>
      </w:r>
      <w:r>
        <w:rPr>
          <w:rFonts w:hint="eastAsia" w:hAnsi="宋体"/>
          <w:color w:val="auto"/>
          <w:szCs w:val="21"/>
          <w:highlight w:val="none"/>
        </w:rPr>
        <w:t>（4）乙方不得为甲方单位和个人购置或提供通讯工具、交通工具和高档办公用品等。</w:t>
      </w:r>
    </w:p>
    <w:p w14:paraId="534AFE23">
      <w:pPr>
        <w:spacing w:line="380" w:lineRule="exact"/>
        <w:rPr>
          <w:rFonts w:hint="eastAsia" w:ascii="楷体_GB2312" w:hAnsi="宋体"/>
          <w:b/>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 xml:space="preserve"> 4.违约责任</w:t>
      </w:r>
    </w:p>
    <w:p w14:paraId="4CE0E7E8">
      <w:pPr>
        <w:spacing w:line="380" w:lineRule="exact"/>
        <w:rPr>
          <w:rFonts w:hint="eastAsia" w:hAnsi="宋体"/>
          <w:color w:val="auto"/>
          <w:szCs w:val="21"/>
          <w:highlight w:val="none"/>
        </w:rPr>
      </w:pPr>
      <w:r>
        <w:rPr>
          <w:rFonts w:hint="eastAsia" w:hAnsi="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14:paraId="3B216A9C">
      <w:pPr>
        <w:spacing w:line="380" w:lineRule="exact"/>
        <w:rPr>
          <w:rFonts w:hint="eastAsia" w:hAnsi="宋体"/>
          <w:color w:val="auto"/>
          <w:szCs w:val="21"/>
          <w:highlight w:val="none"/>
        </w:rPr>
      </w:pPr>
      <w:r>
        <w:rPr>
          <w:rFonts w:hint="eastAsia" w:hAnsi="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4024C9A1">
      <w:pPr>
        <w:spacing w:line="380" w:lineRule="exact"/>
        <w:rPr>
          <w:rFonts w:hint="eastAsia" w:hAnsi="宋体"/>
          <w:color w:val="auto"/>
          <w:szCs w:val="21"/>
          <w:highlight w:val="none"/>
        </w:rPr>
      </w:pPr>
      <w:r>
        <w:rPr>
          <w:rFonts w:hint="eastAsia" w:hAnsi="宋体"/>
          <w:color w:val="auto"/>
          <w:szCs w:val="21"/>
          <w:highlight w:val="none"/>
        </w:rPr>
        <w:t xml:space="preserve">    </w:t>
      </w:r>
      <w:r>
        <w:rPr>
          <w:rFonts w:hint="eastAsia" w:ascii="楷体_GB2312" w:hAnsi="宋体"/>
          <w:b/>
          <w:color w:val="auto"/>
          <w:szCs w:val="21"/>
          <w:highlight w:val="none"/>
        </w:rPr>
        <w:t>5.双方约定</w:t>
      </w:r>
      <w:r>
        <w:rPr>
          <w:rFonts w:hint="eastAsia" w:hAnsi="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51BE99C4">
      <w:pPr>
        <w:spacing w:line="380" w:lineRule="exact"/>
        <w:rPr>
          <w:rFonts w:hint="eastAsia" w:hAnsi="宋体"/>
          <w:color w:val="auto"/>
          <w:szCs w:val="21"/>
          <w:highlight w:val="none"/>
        </w:rPr>
      </w:pPr>
      <w:r>
        <w:rPr>
          <w:rFonts w:hint="eastAsia" w:hAnsi="宋体"/>
          <w:color w:val="auto"/>
          <w:szCs w:val="21"/>
          <w:highlight w:val="none"/>
        </w:rPr>
        <w:t xml:space="preserve">    6.本合同有效期为甲乙双签署之日起至该工程项目竣工验收后止。</w:t>
      </w:r>
    </w:p>
    <w:p w14:paraId="67B57921">
      <w:pPr>
        <w:spacing w:line="380" w:lineRule="exact"/>
        <w:rPr>
          <w:rFonts w:hint="eastAsia" w:hAnsi="宋体"/>
          <w:color w:val="auto"/>
          <w:szCs w:val="21"/>
          <w:highlight w:val="none"/>
        </w:rPr>
      </w:pPr>
      <w:r>
        <w:rPr>
          <w:rFonts w:hint="eastAsia" w:hAnsi="宋体"/>
          <w:color w:val="auto"/>
          <w:szCs w:val="21"/>
          <w:highlight w:val="none"/>
        </w:rPr>
        <w:t xml:space="preserve">    7.本合同作为</w:t>
      </w:r>
      <w:r>
        <w:rPr>
          <w:rFonts w:hint="eastAsia" w:hAnsi="宋体"/>
          <w:color w:val="auto"/>
          <w:szCs w:val="21"/>
          <w:highlight w:val="none"/>
          <w:u w:val="single"/>
        </w:rPr>
        <w:t>（项目名称）</w:t>
      </w:r>
      <w:r>
        <w:rPr>
          <w:rFonts w:hint="eastAsia" w:hAnsi="宋体"/>
          <w:color w:val="auto"/>
          <w:szCs w:val="21"/>
          <w:highlight w:val="none"/>
        </w:rPr>
        <w:t>工程施工合同的附件，与工程施工合同具有同等的法律效力，经合同双方签署立即生效。</w:t>
      </w:r>
    </w:p>
    <w:p w14:paraId="7B8C7B02">
      <w:pPr>
        <w:spacing w:line="380" w:lineRule="exact"/>
        <w:rPr>
          <w:rFonts w:hint="eastAsia" w:hAnsi="宋体"/>
          <w:color w:val="auto"/>
          <w:szCs w:val="21"/>
          <w:highlight w:val="none"/>
        </w:rPr>
      </w:pPr>
      <w:r>
        <w:rPr>
          <w:rFonts w:hint="eastAsia" w:hAnsi="宋体"/>
          <w:color w:val="auto"/>
          <w:szCs w:val="21"/>
          <w:highlight w:val="none"/>
        </w:rPr>
        <w:t xml:space="preserve">    8.本合同一式四份，由甲乙双方各执一份，送交甲乙双方的监督单位各一份。</w:t>
      </w:r>
    </w:p>
    <w:p w14:paraId="3375873D">
      <w:pPr>
        <w:spacing w:line="380" w:lineRule="exact"/>
        <w:ind w:firstLine="315" w:firstLineChars="150"/>
        <w:rPr>
          <w:rFonts w:hint="eastAsia" w:hAnsi="宋体"/>
          <w:color w:val="auto"/>
          <w:szCs w:val="21"/>
          <w:highlight w:val="none"/>
        </w:rPr>
      </w:pPr>
    </w:p>
    <w:p w14:paraId="5FC96E6B">
      <w:pPr>
        <w:spacing w:line="380" w:lineRule="exact"/>
        <w:ind w:firstLine="315" w:firstLineChars="150"/>
        <w:rPr>
          <w:rFonts w:hint="eastAsia" w:hAnsi="宋体"/>
          <w:color w:val="auto"/>
          <w:szCs w:val="21"/>
          <w:highlight w:val="none"/>
        </w:rPr>
      </w:pPr>
    </w:p>
    <w:p w14:paraId="6F3D7502">
      <w:pPr>
        <w:spacing w:line="380" w:lineRule="exact"/>
        <w:ind w:firstLine="315" w:firstLineChars="150"/>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79EA7988">
      <w:pPr>
        <w:spacing w:line="380" w:lineRule="exact"/>
        <w:ind w:firstLine="315" w:firstLineChars="150"/>
        <w:rPr>
          <w:rFonts w:hint="eastAsia" w:hAnsi="宋体"/>
          <w:color w:val="auto"/>
          <w:szCs w:val="21"/>
          <w:highlight w:val="none"/>
        </w:rPr>
      </w:pPr>
      <w:r>
        <w:rPr>
          <w:rFonts w:hint="eastAsia" w:hAnsi="宋体"/>
          <w:color w:val="auto"/>
          <w:szCs w:val="21"/>
          <w:highlight w:val="none"/>
        </w:rPr>
        <w:t>法定代表人(签字)：                     法定代表人(签字)：</w:t>
      </w:r>
    </w:p>
    <w:p w14:paraId="4127CB54">
      <w:pPr>
        <w:spacing w:line="380" w:lineRule="exact"/>
        <w:ind w:firstLine="315" w:firstLineChars="150"/>
        <w:rPr>
          <w:rFonts w:hint="eastAsia" w:hAnsi="宋体"/>
          <w:color w:val="auto"/>
          <w:szCs w:val="21"/>
          <w:highlight w:val="none"/>
        </w:rPr>
      </w:pPr>
      <w:r>
        <w:rPr>
          <w:rFonts w:hint="eastAsia" w:hAnsi="宋体"/>
          <w:color w:val="auto"/>
          <w:szCs w:val="21"/>
          <w:highlight w:val="none"/>
        </w:rPr>
        <w:t>委托代理人(签字)：                     委托代理人(签字)：</w:t>
      </w:r>
    </w:p>
    <w:p w14:paraId="3CADA884">
      <w:pPr>
        <w:spacing w:line="380" w:lineRule="exact"/>
        <w:ind w:firstLine="315" w:firstLineChars="150"/>
        <w:rPr>
          <w:rFonts w:hint="eastAsia" w:hAnsi="宋体"/>
          <w:color w:val="auto"/>
          <w:szCs w:val="21"/>
          <w:highlight w:val="none"/>
        </w:rPr>
      </w:pPr>
      <w:r>
        <w:rPr>
          <w:rFonts w:hint="eastAsia" w:hAnsi="宋体"/>
          <w:color w:val="auto"/>
          <w:szCs w:val="21"/>
          <w:highlight w:val="none"/>
        </w:rPr>
        <w:t>地         址：                        地         址：</w:t>
      </w:r>
    </w:p>
    <w:p w14:paraId="1A0B4EE1">
      <w:pPr>
        <w:spacing w:line="380" w:lineRule="exact"/>
        <w:ind w:firstLine="315" w:firstLineChars="150"/>
        <w:rPr>
          <w:rFonts w:hint="eastAsia" w:hAnsi="宋体"/>
          <w:color w:val="auto"/>
          <w:szCs w:val="21"/>
          <w:highlight w:val="none"/>
        </w:rPr>
      </w:pPr>
      <w:r>
        <w:rPr>
          <w:rFonts w:hint="eastAsia" w:hAnsi="宋体"/>
          <w:color w:val="auto"/>
          <w:szCs w:val="21"/>
          <w:highlight w:val="none"/>
        </w:rPr>
        <w:t>电         话：                        电         话：</w:t>
      </w:r>
    </w:p>
    <w:p w14:paraId="3CF6EFD5">
      <w:pPr>
        <w:spacing w:line="380" w:lineRule="exact"/>
        <w:ind w:firstLine="315" w:firstLineChars="150"/>
        <w:rPr>
          <w:rFonts w:hint="eastAsia" w:hAnsi="宋体"/>
          <w:color w:val="auto"/>
          <w:szCs w:val="21"/>
          <w:highlight w:val="none"/>
        </w:rPr>
      </w:pPr>
      <w:r>
        <w:rPr>
          <w:rFonts w:hint="eastAsia" w:hAnsi="宋体"/>
          <w:color w:val="auto"/>
          <w:szCs w:val="21"/>
          <w:highlight w:val="none"/>
        </w:rPr>
        <w:t>日         期：                        日         期：</w:t>
      </w:r>
    </w:p>
    <w:p w14:paraId="2553050E">
      <w:pPr>
        <w:spacing w:line="360" w:lineRule="auto"/>
        <w:rPr>
          <w:rFonts w:hint="eastAsia" w:hAnsi="宋体"/>
          <w:color w:val="auto"/>
          <w:szCs w:val="21"/>
          <w:highlight w:val="none"/>
        </w:rPr>
      </w:pPr>
    </w:p>
    <w:p w14:paraId="780A97B5">
      <w:pPr>
        <w:spacing w:line="360" w:lineRule="auto"/>
        <w:rPr>
          <w:rFonts w:hint="eastAsia" w:hAnsi="宋体"/>
          <w:color w:val="auto"/>
          <w:szCs w:val="21"/>
          <w:highlight w:val="none"/>
        </w:rPr>
      </w:pPr>
    </w:p>
    <w:p w14:paraId="07A39C55">
      <w:pPr>
        <w:spacing w:line="360" w:lineRule="auto"/>
        <w:rPr>
          <w:rFonts w:hint="eastAsia" w:hAnsi="宋体"/>
          <w:color w:val="auto"/>
          <w:szCs w:val="21"/>
          <w:highlight w:val="none"/>
        </w:rPr>
      </w:pPr>
    </w:p>
    <w:p w14:paraId="208E72AA">
      <w:pPr>
        <w:spacing w:line="360" w:lineRule="auto"/>
        <w:rPr>
          <w:rFonts w:hint="eastAsia" w:hAnsi="宋体"/>
          <w:color w:val="auto"/>
          <w:szCs w:val="21"/>
          <w:highlight w:val="none"/>
        </w:rPr>
      </w:pPr>
    </w:p>
    <w:p w14:paraId="549F1B80">
      <w:pPr>
        <w:spacing w:line="360" w:lineRule="auto"/>
        <w:rPr>
          <w:rFonts w:hint="eastAsia" w:hAnsi="宋体"/>
          <w:color w:val="auto"/>
          <w:szCs w:val="21"/>
          <w:highlight w:val="none"/>
        </w:rPr>
      </w:pPr>
    </w:p>
    <w:p w14:paraId="1411C850">
      <w:pPr>
        <w:spacing w:line="360" w:lineRule="auto"/>
        <w:rPr>
          <w:rFonts w:hint="eastAsia" w:hAnsi="宋体"/>
          <w:color w:val="auto"/>
          <w:szCs w:val="21"/>
          <w:highlight w:val="none"/>
        </w:rPr>
      </w:pPr>
    </w:p>
    <w:p w14:paraId="2E5494E0">
      <w:pPr>
        <w:spacing w:line="360" w:lineRule="auto"/>
        <w:rPr>
          <w:rFonts w:hint="eastAsia" w:hAnsi="宋体"/>
          <w:color w:val="auto"/>
          <w:szCs w:val="21"/>
          <w:highlight w:val="none"/>
        </w:rPr>
      </w:pPr>
    </w:p>
    <w:p w14:paraId="452906D1">
      <w:pPr>
        <w:spacing w:line="360" w:lineRule="auto"/>
        <w:rPr>
          <w:rFonts w:hint="eastAsia" w:hAnsi="宋体"/>
          <w:color w:val="auto"/>
          <w:szCs w:val="21"/>
          <w:highlight w:val="none"/>
        </w:rPr>
      </w:pPr>
    </w:p>
    <w:p w14:paraId="07695443">
      <w:pPr>
        <w:spacing w:line="360" w:lineRule="auto"/>
        <w:rPr>
          <w:rFonts w:hint="eastAsia" w:hAnsi="宋体"/>
          <w:color w:val="auto"/>
          <w:szCs w:val="21"/>
          <w:highlight w:val="none"/>
        </w:rPr>
      </w:pPr>
    </w:p>
    <w:p w14:paraId="36BA5D8A">
      <w:pPr>
        <w:spacing w:line="360" w:lineRule="auto"/>
        <w:rPr>
          <w:rFonts w:hint="eastAsia" w:hAnsi="宋体"/>
          <w:color w:val="auto"/>
          <w:szCs w:val="21"/>
          <w:highlight w:val="none"/>
        </w:rPr>
      </w:pPr>
    </w:p>
    <w:p w14:paraId="243C32D2">
      <w:pPr>
        <w:spacing w:line="360" w:lineRule="auto"/>
        <w:rPr>
          <w:rFonts w:hint="eastAsia" w:hAnsi="宋体"/>
          <w:color w:val="auto"/>
          <w:szCs w:val="21"/>
          <w:highlight w:val="none"/>
        </w:rPr>
      </w:pPr>
    </w:p>
    <w:p w14:paraId="25A8DE4F">
      <w:pPr>
        <w:spacing w:line="360" w:lineRule="auto"/>
        <w:rPr>
          <w:rFonts w:hint="eastAsia" w:hAnsi="宋体"/>
          <w:color w:val="auto"/>
          <w:szCs w:val="21"/>
          <w:highlight w:val="none"/>
        </w:rPr>
      </w:pPr>
    </w:p>
    <w:p w14:paraId="30A3D319">
      <w:pPr>
        <w:spacing w:line="360" w:lineRule="auto"/>
        <w:rPr>
          <w:rFonts w:hint="eastAsia" w:hAnsi="宋体"/>
          <w:color w:val="auto"/>
          <w:szCs w:val="21"/>
          <w:highlight w:val="none"/>
        </w:rPr>
      </w:pPr>
    </w:p>
    <w:p w14:paraId="2C181D61">
      <w:pPr>
        <w:spacing w:line="360" w:lineRule="auto"/>
        <w:rPr>
          <w:rFonts w:hint="eastAsia" w:hAnsi="宋体"/>
          <w:color w:val="auto"/>
          <w:szCs w:val="21"/>
          <w:highlight w:val="none"/>
        </w:rPr>
      </w:pPr>
    </w:p>
    <w:p w14:paraId="3CB7E5AE">
      <w:pPr>
        <w:rPr>
          <w:rFonts w:hint="eastAsia" w:hAnsi="宋体"/>
          <w:b/>
          <w:color w:val="auto"/>
          <w:szCs w:val="21"/>
          <w:highlight w:val="none"/>
        </w:rPr>
      </w:pPr>
    </w:p>
    <w:p w14:paraId="735D50E5">
      <w:pPr>
        <w:rPr>
          <w:rFonts w:ascii="黑体" w:eastAsia="黑体"/>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3</w:t>
      </w:r>
      <w:r>
        <w:rPr>
          <w:rFonts w:hint="eastAsia" w:hAnsi="宋体"/>
          <w:b/>
          <w:color w:val="auto"/>
          <w:szCs w:val="21"/>
          <w:highlight w:val="none"/>
        </w:rPr>
        <w:t xml:space="preserve">   安全生产合同</w:t>
      </w:r>
    </w:p>
    <w:p w14:paraId="38632FB6">
      <w:pPr>
        <w:spacing w:line="400" w:lineRule="exact"/>
        <w:jc w:val="center"/>
        <w:rPr>
          <w:rFonts w:hint="eastAsia" w:hAnsi="宋体"/>
          <w:b/>
          <w:bCs/>
          <w:color w:val="auto"/>
          <w:szCs w:val="21"/>
          <w:highlight w:val="none"/>
        </w:rPr>
      </w:pPr>
      <w:r>
        <w:rPr>
          <w:rFonts w:hint="eastAsia" w:ascii="Arial" w:hAnsi="Arial" w:cs="Arial"/>
          <w:b/>
          <w:bCs/>
          <w:color w:val="auto"/>
          <w:szCs w:val="21"/>
          <w:highlight w:val="none"/>
        </w:rPr>
        <w:t>安全生产合同</w:t>
      </w:r>
    </w:p>
    <w:p w14:paraId="23FD898A">
      <w:pPr>
        <w:spacing w:line="400" w:lineRule="exact"/>
        <w:rPr>
          <w:rFonts w:hint="eastAsia" w:hAnsi="宋体"/>
          <w:color w:val="auto"/>
          <w:szCs w:val="21"/>
          <w:highlight w:val="none"/>
        </w:rPr>
      </w:pPr>
      <w:r>
        <w:rPr>
          <w:rFonts w:hint="eastAsia" w:hAnsi="宋体"/>
          <w:color w:val="auto"/>
          <w:szCs w:val="21"/>
          <w:highlight w:val="none"/>
        </w:rPr>
        <w:t xml:space="preserve">    为在</w:t>
      </w:r>
      <w:r>
        <w:rPr>
          <w:rFonts w:hint="eastAsia" w:hAnsi="宋体"/>
          <w:color w:val="auto"/>
          <w:szCs w:val="21"/>
          <w:highlight w:val="none"/>
          <w:u w:val="single"/>
        </w:rPr>
        <w:t xml:space="preserve">                           </w:t>
      </w:r>
      <w:r>
        <w:rPr>
          <w:rFonts w:hint="eastAsia" w:hAnsi="宋体"/>
          <w:color w:val="auto"/>
          <w:szCs w:val="21"/>
          <w:highlight w:val="none"/>
        </w:rPr>
        <w:t>施工合同的实施过程中创造安全、高效的施工环境，切实搞好本项目的安全管理工作，本项目业主</w:t>
      </w:r>
      <w:r>
        <w:rPr>
          <w:rFonts w:hint="eastAsia" w:hAnsi="宋体"/>
          <w:color w:val="auto"/>
          <w:szCs w:val="21"/>
          <w:highlight w:val="none"/>
          <w:u w:val="single"/>
        </w:rPr>
        <w:t xml:space="preserve">                                 </w:t>
      </w:r>
      <w:r>
        <w:rPr>
          <w:rFonts w:hint="eastAsia" w:hAnsi="宋体"/>
          <w:color w:val="auto"/>
          <w:szCs w:val="21"/>
          <w:highlight w:val="none"/>
        </w:rPr>
        <w:t>（以下简称“甲方”）与承包人</w:t>
      </w:r>
      <w:r>
        <w:rPr>
          <w:rFonts w:hint="eastAsia" w:hAnsi="宋体"/>
          <w:color w:val="auto"/>
          <w:szCs w:val="21"/>
          <w:highlight w:val="none"/>
          <w:u w:val="single"/>
        </w:rPr>
        <w:t xml:space="preserve">     （全称）      </w:t>
      </w:r>
      <w:r>
        <w:rPr>
          <w:rFonts w:hint="eastAsia" w:hAnsi="宋体"/>
          <w:color w:val="auto"/>
          <w:szCs w:val="21"/>
          <w:highlight w:val="none"/>
        </w:rPr>
        <w:t>（以下简称“乙方”）特此签订安全生产合同：</w:t>
      </w:r>
    </w:p>
    <w:p w14:paraId="31B71FD4">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一、甲方职责</w:t>
      </w:r>
    </w:p>
    <w:p w14:paraId="269958AE">
      <w:pPr>
        <w:spacing w:line="400" w:lineRule="exact"/>
        <w:jc w:val="distribute"/>
        <w:rPr>
          <w:rFonts w:hint="eastAsia" w:hAnsi="宋体"/>
          <w:color w:val="auto"/>
          <w:spacing w:val="-20"/>
          <w:szCs w:val="21"/>
          <w:highlight w:val="none"/>
        </w:rPr>
      </w:pPr>
      <w:r>
        <w:rPr>
          <w:rFonts w:hint="eastAsia" w:hAnsi="宋体"/>
          <w:color w:val="auto"/>
          <w:szCs w:val="21"/>
          <w:highlight w:val="none"/>
        </w:rPr>
        <w:t xml:space="preserve">   </w:t>
      </w:r>
      <w:r>
        <w:rPr>
          <w:rFonts w:hint="eastAsia" w:hAnsi="宋体"/>
          <w:color w:val="auto"/>
          <w:spacing w:val="-20"/>
          <w:szCs w:val="21"/>
          <w:highlight w:val="none"/>
        </w:rPr>
        <w:t xml:space="preserve"> 1.严格遵守国家有关安全生产的法律法规，认真执行工程承包合同中的有关安全要求。</w:t>
      </w:r>
    </w:p>
    <w:p w14:paraId="7A1EF095">
      <w:pPr>
        <w:spacing w:line="400" w:lineRule="exact"/>
        <w:rPr>
          <w:rFonts w:hint="eastAsia" w:hAnsi="宋体"/>
          <w:color w:val="auto"/>
          <w:szCs w:val="21"/>
          <w:highlight w:val="none"/>
        </w:rPr>
      </w:pPr>
      <w:r>
        <w:rPr>
          <w:rFonts w:hint="eastAsia" w:hAnsi="宋体"/>
          <w:color w:val="auto"/>
          <w:szCs w:val="21"/>
          <w:highlight w:val="none"/>
        </w:rPr>
        <w:t xml:space="preserve">    2.按照“安全第一、预防为主”和坚持“管生产必须管安全”的原则进行安全生产管理，做到生产与安全工作同时计划、布置、检查、总结和评比。</w:t>
      </w:r>
    </w:p>
    <w:p w14:paraId="38D602E7">
      <w:pPr>
        <w:spacing w:line="400" w:lineRule="exact"/>
        <w:rPr>
          <w:rFonts w:hint="eastAsia" w:hAnsi="宋体"/>
          <w:color w:val="auto"/>
          <w:szCs w:val="21"/>
          <w:highlight w:val="none"/>
        </w:rPr>
      </w:pPr>
      <w:r>
        <w:rPr>
          <w:rFonts w:hint="eastAsia" w:hAnsi="宋体"/>
          <w:color w:val="auto"/>
          <w:szCs w:val="21"/>
          <w:highlight w:val="none"/>
        </w:rPr>
        <w:t xml:space="preserve">    3.重要的安全设施必须坚持与主体工程“三同时”的原则，即：同时设计、审批，同时施工，同时验收，投入使用。</w:t>
      </w:r>
    </w:p>
    <w:p w14:paraId="2352EE37">
      <w:pPr>
        <w:spacing w:line="400" w:lineRule="exact"/>
        <w:rPr>
          <w:rFonts w:hint="eastAsia" w:hAnsi="宋体"/>
          <w:color w:val="auto"/>
          <w:szCs w:val="21"/>
          <w:highlight w:val="none"/>
        </w:rPr>
      </w:pPr>
      <w:r>
        <w:rPr>
          <w:rFonts w:hint="eastAsia" w:hAnsi="宋体"/>
          <w:color w:val="auto"/>
          <w:szCs w:val="21"/>
          <w:highlight w:val="none"/>
        </w:rPr>
        <w:t xml:space="preserve">    4.定期召开安全生产调度会，及时传达中央及地方有关安全生产的精神。</w:t>
      </w:r>
    </w:p>
    <w:p w14:paraId="75C83966">
      <w:pPr>
        <w:spacing w:line="400" w:lineRule="exact"/>
        <w:rPr>
          <w:rFonts w:hint="eastAsia" w:hAnsi="宋体"/>
          <w:color w:val="auto"/>
          <w:szCs w:val="21"/>
          <w:highlight w:val="none"/>
        </w:rPr>
      </w:pPr>
      <w:r>
        <w:rPr>
          <w:rFonts w:hint="eastAsia" w:hAnsi="宋体"/>
          <w:color w:val="auto"/>
          <w:szCs w:val="21"/>
          <w:highlight w:val="none"/>
        </w:rPr>
        <w:t xml:space="preserve">    5.组织对乙方施工现场安全生产检查，监督乙方及时处理发现的各种安全隐患。</w:t>
      </w:r>
    </w:p>
    <w:p w14:paraId="7ADBAEC9">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二、乙方职责</w:t>
      </w:r>
    </w:p>
    <w:p w14:paraId="5BF053F2">
      <w:pPr>
        <w:spacing w:line="400" w:lineRule="exact"/>
        <w:rPr>
          <w:rFonts w:hint="eastAsia" w:hAnsi="宋体"/>
          <w:color w:val="auto"/>
          <w:szCs w:val="21"/>
          <w:highlight w:val="none"/>
        </w:rPr>
      </w:pPr>
      <w:r>
        <w:rPr>
          <w:rFonts w:hint="eastAsia" w:hAnsi="宋体"/>
          <w:color w:val="auto"/>
          <w:szCs w:val="21"/>
          <w:highlight w:val="none"/>
        </w:rPr>
        <w:t xml:space="preserve">    1.严格遵守国家有关安全生产的法律法规及</w:t>
      </w:r>
      <w:r>
        <w:rPr>
          <w:rFonts w:hint="eastAsia" w:hAnsi="宋体"/>
          <w:color w:val="auto"/>
          <w:szCs w:val="21"/>
          <w:highlight w:val="none"/>
          <w:lang w:eastAsia="zh-CN"/>
        </w:rPr>
        <w:t xml:space="preserve">市政公用工程 </w:t>
      </w:r>
      <w:r>
        <w:rPr>
          <w:rFonts w:hint="eastAsia" w:hAnsi="宋体"/>
          <w:color w:val="auto"/>
          <w:szCs w:val="21"/>
          <w:highlight w:val="none"/>
        </w:rPr>
        <w:t>有关安全生产的规定，认真执行工程承包合同中的有关安全要求。</w:t>
      </w:r>
    </w:p>
    <w:p w14:paraId="2F9FAA37">
      <w:pPr>
        <w:spacing w:line="400" w:lineRule="exact"/>
        <w:rPr>
          <w:rFonts w:hint="eastAsia" w:hAnsi="宋体"/>
          <w:color w:val="auto"/>
          <w:szCs w:val="21"/>
          <w:highlight w:val="none"/>
        </w:rPr>
      </w:pPr>
      <w:r>
        <w:rPr>
          <w:rFonts w:hint="eastAsia" w:hAnsi="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7F468C2B">
      <w:pPr>
        <w:spacing w:line="400" w:lineRule="exact"/>
        <w:rPr>
          <w:rFonts w:hint="eastAsia" w:hAnsi="宋体"/>
          <w:color w:val="auto"/>
          <w:szCs w:val="21"/>
          <w:highlight w:val="none"/>
        </w:rPr>
      </w:pPr>
      <w:r>
        <w:rPr>
          <w:rFonts w:hint="eastAsia" w:hAnsi="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36041D82">
      <w:pPr>
        <w:spacing w:line="400" w:lineRule="exact"/>
        <w:rPr>
          <w:rFonts w:hint="eastAsia" w:hAnsi="宋体"/>
          <w:color w:val="auto"/>
          <w:szCs w:val="21"/>
          <w:highlight w:val="none"/>
        </w:rPr>
      </w:pPr>
      <w:r>
        <w:rPr>
          <w:rFonts w:hint="eastAsia" w:hAnsi="宋体"/>
          <w:color w:val="auto"/>
          <w:szCs w:val="21"/>
          <w:highlight w:val="none"/>
        </w:rPr>
        <w:t xml:space="preserve">    4.乙方在任何时候都应采取各种合理的预防措施，防止其员工发生任何违法、违禁、暴力或妨碍治安的行为。</w:t>
      </w:r>
    </w:p>
    <w:p w14:paraId="70B8E06F">
      <w:pPr>
        <w:spacing w:line="400" w:lineRule="exact"/>
        <w:rPr>
          <w:rFonts w:hint="eastAsia" w:hAnsi="宋体"/>
          <w:color w:val="auto"/>
          <w:szCs w:val="21"/>
          <w:highlight w:val="none"/>
        </w:rPr>
      </w:pPr>
      <w:r>
        <w:rPr>
          <w:rFonts w:hint="eastAsia" w:hAnsi="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4FA1AA99">
      <w:pPr>
        <w:spacing w:line="400" w:lineRule="exact"/>
        <w:rPr>
          <w:rFonts w:hint="eastAsia" w:hAnsi="宋体"/>
          <w:color w:val="auto"/>
          <w:szCs w:val="21"/>
          <w:highlight w:val="none"/>
        </w:rPr>
      </w:pPr>
      <w:r>
        <w:rPr>
          <w:rFonts w:hint="eastAsia" w:hAnsi="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900E757">
      <w:pPr>
        <w:spacing w:line="400" w:lineRule="exact"/>
        <w:rPr>
          <w:rFonts w:hint="eastAsia" w:hAnsi="宋体"/>
          <w:color w:val="auto"/>
          <w:szCs w:val="21"/>
          <w:highlight w:val="none"/>
        </w:rPr>
      </w:pPr>
      <w:r>
        <w:rPr>
          <w:rFonts w:hint="eastAsia" w:hAnsi="宋体"/>
          <w:color w:val="auto"/>
          <w:szCs w:val="21"/>
          <w:highlight w:val="none"/>
        </w:rPr>
        <w:t xml:space="preserve">    7.操作人员上岗，必须按规定穿戴防护用品。施工负责人和安全检查员应随时检查劳动防护用品的穿戴情况，不按规定穿戴防护用品的人员不得上岗。</w:t>
      </w:r>
    </w:p>
    <w:p w14:paraId="45BD9FBE">
      <w:pPr>
        <w:spacing w:line="400" w:lineRule="exact"/>
        <w:rPr>
          <w:rFonts w:hint="eastAsia" w:hAnsi="宋体"/>
          <w:color w:val="auto"/>
          <w:szCs w:val="21"/>
          <w:highlight w:val="none"/>
        </w:rPr>
      </w:pPr>
      <w:r>
        <w:rPr>
          <w:rFonts w:hint="eastAsia" w:hAnsi="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14:paraId="5116CC59">
      <w:pPr>
        <w:spacing w:line="400" w:lineRule="exact"/>
        <w:rPr>
          <w:rFonts w:hint="eastAsia" w:hAnsi="宋体"/>
          <w:color w:val="auto"/>
          <w:szCs w:val="21"/>
          <w:highlight w:val="none"/>
        </w:rPr>
      </w:pPr>
      <w:r>
        <w:rPr>
          <w:rFonts w:hint="eastAsia" w:hAnsi="宋体"/>
          <w:color w:val="auto"/>
          <w:szCs w:val="21"/>
          <w:highlight w:val="none"/>
        </w:rPr>
        <w:t xml:space="preserve">    9.施工中采用新技术、新工艺、新设备、新材料时，必须制定相应的安全技术措施，施工现场必须具有相关的安全标志牌。</w:t>
      </w:r>
    </w:p>
    <w:p w14:paraId="2BAC28E9">
      <w:pPr>
        <w:spacing w:line="400" w:lineRule="exact"/>
        <w:rPr>
          <w:rFonts w:hint="eastAsia" w:hAnsi="宋体"/>
          <w:color w:val="auto"/>
          <w:szCs w:val="21"/>
          <w:highlight w:val="none"/>
        </w:rPr>
      </w:pPr>
      <w:r>
        <w:rPr>
          <w:rFonts w:hint="eastAsia" w:hAnsi="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57B08844">
      <w:pPr>
        <w:spacing w:line="400" w:lineRule="exact"/>
        <w:rPr>
          <w:rFonts w:hint="eastAsia" w:hAnsi="宋体"/>
          <w:b/>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三、违约责任</w:t>
      </w:r>
    </w:p>
    <w:p w14:paraId="481FD8E3">
      <w:pPr>
        <w:spacing w:line="400" w:lineRule="exact"/>
        <w:rPr>
          <w:rFonts w:hint="eastAsia" w:hAnsi="宋体"/>
          <w:color w:val="auto"/>
          <w:szCs w:val="21"/>
          <w:highlight w:val="none"/>
        </w:rPr>
      </w:pPr>
      <w:r>
        <w:rPr>
          <w:rFonts w:hint="eastAsia" w:hAnsi="宋体"/>
          <w:color w:val="auto"/>
          <w:szCs w:val="21"/>
          <w:highlight w:val="none"/>
        </w:rPr>
        <w:t xml:space="preserve">    如因甲方或乙方违约造成安全事故，将依法追究责任。</w:t>
      </w:r>
    </w:p>
    <w:p w14:paraId="755602DB">
      <w:pPr>
        <w:spacing w:line="400" w:lineRule="exact"/>
        <w:rPr>
          <w:rFonts w:hint="eastAsia" w:hAnsi="宋体"/>
          <w:color w:val="auto"/>
          <w:szCs w:val="21"/>
          <w:highlight w:val="none"/>
        </w:rPr>
      </w:pPr>
      <w:r>
        <w:rPr>
          <w:rFonts w:hint="eastAsia" w:hAnsi="宋体"/>
          <w:color w:val="auto"/>
          <w:szCs w:val="21"/>
          <w:highlight w:val="none"/>
        </w:rPr>
        <w:t xml:space="preserve">    本合同正本一式二份，副本八份，合同双方各执正本一份，副本四份。由双方法定代表人或其授权的代理人签署与加盖公章后生效，全部工程竣工验收后失效。</w:t>
      </w:r>
    </w:p>
    <w:p w14:paraId="76225E17">
      <w:pPr>
        <w:spacing w:line="400" w:lineRule="exact"/>
        <w:rPr>
          <w:rFonts w:hint="eastAsia" w:hAnsi="宋体"/>
          <w:color w:val="auto"/>
          <w:szCs w:val="21"/>
          <w:highlight w:val="none"/>
        </w:rPr>
      </w:pPr>
    </w:p>
    <w:p w14:paraId="42003D66">
      <w:pPr>
        <w:spacing w:line="400" w:lineRule="exact"/>
        <w:rPr>
          <w:rFonts w:hint="eastAsia" w:hAnsi="宋体"/>
          <w:color w:val="auto"/>
          <w:szCs w:val="21"/>
          <w:highlight w:val="none"/>
          <w:u w:val="single"/>
        </w:rPr>
      </w:pPr>
      <w:r>
        <w:rPr>
          <w:rFonts w:hint="eastAsia" w:hAnsi="宋体"/>
          <w:color w:val="auto"/>
          <w:szCs w:val="21"/>
          <w:highlight w:val="none"/>
        </w:rPr>
        <w:t>甲        方：</w:t>
      </w:r>
      <w:r>
        <w:rPr>
          <w:rFonts w:hint="eastAsia" w:hAnsi="宋体"/>
          <w:color w:val="auto"/>
          <w:szCs w:val="21"/>
          <w:highlight w:val="none"/>
          <w:u w:val="single"/>
        </w:rPr>
        <w:t>（单位全称）（盖章）</w:t>
      </w:r>
      <w:r>
        <w:rPr>
          <w:rFonts w:hint="eastAsia" w:hAnsi="宋体"/>
          <w:color w:val="auto"/>
          <w:szCs w:val="21"/>
          <w:highlight w:val="none"/>
        </w:rPr>
        <w:t xml:space="preserve">              乙       方：</w:t>
      </w:r>
      <w:r>
        <w:rPr>
          <w:rFonts w:hint="eastAsia" w:hAnsi="宋体"/>
          <w:color w:val="auto"/>
          <w:szCs w:val="21"/>
          <w:highlight w:val="none"/>
          <w:u w:val="single"/>
        </w:rPr>
        <w:t>（单位全称）（盖章）</w:t>
      </w:r>
    </w:p>
    <w:p w14:paraId="52D6F7B7">
      <w:pPr>
        <w:spacing w:line="400" w:lineRule="exact"/>
        <w:rPr>
          <w:rFonts w:hint="eastAsia" w:hAnsi="宋体"/>
          <w:color w:val="auto"/>
          <w:szCs w:val="21"/>
          <w:highlight w:val="none"/>
        </w:rPr>
      </w:pPr>
      <w:r>
        <w:rPr>
          <w:rFonts w:hint="eastAsia" w:hAnsi="宋体"/>
          <w:color w:val="auto"/>
          <w:szCs w:val="21"/>
          <w:highlight w:val="none"/>
        </w:rPr>
        <w:t>法定代表人(签字)：                              法定代表人(签字)：</w:t>
      </w:r>
    </w:p>
    <w:p w14:paraId="3D797EB3">
      <w:pPr>
        <w:spacing w:line="400" w:lineRule="exact"/>
        <w:rPr>
          <w:rFonts w:hint="eastAsia" w:hAnsi="宋体"/>
          <w:color w:val="auto"/>
          <w:szCs w:val="21"/>
          <w:highlight w:val="none"/>
        </w:rPr>
      </w:pPr>
      <w:r>
        <w:rPr>
          <w:rFonts w:hint="eastAsia" w:hAnsi="宋体"/>
          <w:color w:val="auto"/>
          <w:szCs w:val="21"/>
          <w:highlight w:val="none"/>
        </w:rPr>
        <w:t>委托代理人(签字)：                              委托代理人(签字)：</w:t>
      </w:r>
    </w:p>
    <w:p w14:paraId="17F24D9A">
      <w:pPr>
        <w:spacing w:line="400" w:lineRule="exact"/>
        <w:rPr>
          <w:rFonts w:hint="eastAsia" w:hAnsi="宋体"/>
          <w:color w:val="auto"/>
          <w:szCs w:val="21"/>
          <w:highlight w:val="none"/>
        </w:rPr>
      </w:pPr>
      <w:r>
        <w:rPr>
          <w:rFonts w:hint="eastAsia" w:hAnsi="宋体"/>
          <w:color w:val="auto"/>
          <w:szCs w:val="21"/>
          <w:highlight w:val="none"/>
        </w:rPr>
        <w:t>地         址：                                 地         址：</w:t>
      </w:r>
    </w:p>
    <w:p w14:paraId="352566F3">
      <w:pPr>
        <w:spacing w:line="400" w:lineRule="exact"/>
        <w:rPr>
          <w:rFonts w:hint="eastAsia" w:hAnsi="宋体"/>
          <w:color w:val="auto"/>
          <w:szCs w:val="21"/>
          <w:highlight w:val="none"/>
        </w:rPr>
      </w:pPr>
      <w:r>
        <w:rPr>
          <w:rFonts w:hint="eastAsia" w:hAnsi="宋体"/>
          <w:color w:val="auto"/>
          <w:szCs w:val="21"/>
          <w:highlight w:val="none"/>
        </w:rPr>
        <w:t>电         话：                                 电         话：</w:t>
      </w:r>
    </w:p>
    <w:p w14:paraId="006EAAEA">
      <w:pPr>
        <w:spacing w:line="400" w:lineRule="exact"/>
        <w:rPr>
          <w:rFonts w:hint="eastAsia"/>
          <w:color w:val="auto"/>
          <w:szCs w:val="21"/>
          <w:highlight w:val="none"/>
        </w:rPr>
      </w:pPr>
      <w:r>
        <w:rPr>
          <w:rFonts w:hint="eastAsia" w:hAnsi="宋体"/>
          <w:color w:val="auto"/>
          <w:szCs w:val="21"/>
          <w:highlight w:val="none"/>
        </w:rPr>
        <w:t>日         期：                                 日         期：</w:t>
      </w:r>
      <w:r>
        <w:rPr>
          <w:rFonts w:hAnsi="宋体"/>
          <w:color w:val="auto"/>
          <w:szCs w:val="21"/>
          <w:highlight w:val="none"/>
        </w:rPr>
        <w:t xml:space="preserve">    </w:t>
      </w:r>
    </w:p>
    <w:p w14:paraId="22F95BD3">
      <w:pPr>
        <w:spacing w:line="400" w:lineRule="exact"/>
        <w:rPr>
          <w:rFonts w:hint="eastAsia"/>
          <w:color w:val="auto"/>
          <w:szCs w:val="21"/>
          <w:highlight w:val="none"/>
        </w:rPr>
      </w:pPr>
    </w:p>
    <w:p w14:paraId="0C78FD28">
      <w:pPr>
        <w:rPr>
          <w:rFonts w:hint="eastAsia"/>
          <w:color w:val="auto"/>
          <w:szCs w:val="21"/>
          <w:highlight w:val="none"/>
        </w:rPr>
      </w:pPr>
    </w:p>
    <w:p w14:paraId="381268AB">
      <w:pPr>
        <w:rPr>
          <w:rFonts w:hint="eastAsia"/>
          <w:color w:val="auto"/>
          <w:szCs w:val="21"/>
          <w:highlight w:val="none"/>
        </w:rPr>
      </w:pPr>
    </w:p>
    <w:p w14:paraId="1022CE37">
      <w:pPr>
        <w:rPr>
          <w:rFonts w:hint="eastAsia"/>
          <w:color w:val="auto"/>
          <w:szCs w:val="21"/>
          <w:highlight w:val="none"/>
        </w:rPr>
      </w:pPr>
    </w:p>
    <w:p w14:paraId="2081BEEC">
      <w:pPr>
        <w:rPr>
          <w:rFonts w:hint="eastAsia"/>
          <w:color w:val="auto"/>
          <w:szCs w:val="21"/>
          <w:highlight w:val="none"/>
        </w:rPr>
      </w:pPr>
    </w:p>
    <w:p w14:paraId="5BC67809">
      <w:pPr>
        <w:rPr>
          <w:rFonts w:hint="eastAsia"/>
          <w:color w:val="auto"/>
          <w:szCs w:val="21"/>
          <w:highlight w:val="none"/>
        </w:rPr>
      </w:pPr>
    </w:p>
    <w:p w14:paraId="4C8A3D10">
      <w:pPr>
        <w:rPr>
          <w:rFonts w:hint="eastAsia"/>
          <w:color w:val="auto"/>
          <w:szCs w:val="21"/>
          <w:highlight w:val="none"/>
        </w:rPr>
      </w:pPr>
    </w:p>
    <w:p w14:paraId="77DFD83F">
      <w:pPr>
        <w:rPr>
          <w:rFonts w:hint="eastAsia"/>
          <w:color w:val="auto"/>
          <w:szCs w:val="21"/>
          <w:highlight w:val="none"/>
        </w:rPr>
      </w:pPr>
    </w:p>
    <w:p w14:paraId="3F194AC0">
      <w:pPr>
        <w:rPr>
          <w:rFonts w:hint="eastAsia"/>
          <w:color w:val="auto"/>
          <w:szCs w:val="21"/>
          <w:highlight w:val="none"/>
        </w:rPr>
      </w:pPr>
    </w:p>
    <w:p w14:paraId="4DA9B580">
      <w:pPr>
        <w:rPr>
          <w:rFonts w:hint="eastAsia"/>
          <w:color w:val="auto"/>
          <w:szCs w:val="21"/>
          <w:highlight w:val="none"/>
        </w:rPr>
      </w:pPr>
    </w:p>
    <w:p w14:paraId="50D90A26">
      <w:pPr>
        <w:rPr>
          <w:rFonts w:hint="eastAsia"/>
          <w:color w:val="auto"/>
          <w:szCs w:val="21"/>
          <w:highlight w:val="none"/>
        </w:rPr>
      </w:pPr>
    </w:p>
    <w:p w14:paraId="39C76BC5">
      <w:pPr>
        <w:rPr>
          <w:rFonts w:hint="eastAsia"/>
          <w:color w:val="auto"/>
          <w:szCs w:val="21"/>
          <w:highlight w:val="none"/>
        </w:rPr>
      </w:pPr>
    </w:p>
    <w:p w14:paraId="651C08F1">
      <w:pPr>
        <w:rPr>
          <w:rFonts w:hint="eastAsia"/>
          <w:color w:val="auto"/>
          <w:szCs w:val="21"/>
          <w:highlight w:val="none"/>
        </w:rPr>
      </w:pPr>
    </w:p>
    <w:p w14:paraId="4AA886DC">
      <w:pPr>
        <w:rPr>
          <w:rFonts w:hint="eastAsia"/>
          <w:color w:val="auto"/>
          <w:szCs w:val="21"/>
          <w:highlight w:val="none"/>
        </w:rPr>
      </w:pPr>
    </w:p>
    <w:p w14:paraId="35F8E960">
      <w:pPr>
        <w:rPr>
          <w:rFonts w:hint="eastAsia"/>
          <w:color w:val="auto"/>
          <w:szCs w:val="21"/>
          <w:highlight w:val="none"/>
        </w:rPr>
      </w:pPr>
    </w:p>
    <w:p w14:paraId="4886DBED">
      <w:pPr>
        <w:rPr>
          <w:rFonts w:hint="eastAsia"/>
          <w:color w:val="auto"/>
          <w:szCs w:val="21"/>
          <w:highlight w:val="none"/>
        </w:rPr>
      </w:pPr>
    </w:p>
    <w:p w14:paraId="09A080E1">
      <w:pPr>
        <w:rPr>
          <w:rFonts w:hint="eastAsia"/>
          <w:color w:val="auto"/>
          <w:szCs w:val="21"/>
          <w:highlight w:val="none"/>
        </w:rPr>
      </w:pPr>
    </w:p>
    <w:p w14:paraId="6A55BD7C">
      <w:pPr>
        <w:rPr>
          <w:rFonts w:hint="eastAsia"/>
          <w:color w:val="auto"/>
          <w:szCs w:val="21"/>
          <w:highlight w:val="none"/>
        </w:rPr>
      </w:pPr>
    </w:p>
    <w:p w14:paraId="4AB771C8">
      <w:pPr>
        <w:rPr>
          <w:rFonts w:hint="eastAsia" w:hAnsi="宋体"/>
          <w:b/>
          <w:color w:val="auto"/>
          <w:szCs w:val="21"/>
          <w:highlight w:val="none"/>
        </w:rPr>
      </w:pPr>
      <w:r>
        <w:rPr>
          <w:rFonts w:hint="eastAsia" w:hAnsi="宋体"/>
          <w:b/>
          <w:color w:val="auto"/>
          <w:szCs w:val="21"/>
          <w:highlight w:val="none"/>
        </w:rPr>
        <w:t>附件</w:t>
      </w:r>
      <w:r>
        <w:rPr>
          <w:rFonts w:hint="eastAsia" w:hAnsi="宋体"/>
          <w:b/>
          <w:color w:val="auto"/>
          <w:szCs w:val="21"/>
          <w:highlight w:val="none"/>
          <w:lang w:val="en-US" w:eastAsia="zh-CN"/>
        </w:rPr>
        <w:t>4</w:t>
      </w:r>
      <w:r>
        <w:rPr>
          <w:rFonts w:hint="eastAsia" w:hAnsi="宋体"/>
          <w:b/>
          <w:color w:val="auto"/>
          <w:szCs w:val="21"/>
          <w:highlight w:val="none"/>
        </w:rPr>
        <w:t xml:space="preserve">   项目负责人委托书</w:t>
      </w:r>
    </w:p>
    <w:p w14:paraId="5920ECAE">
      <w:pPr>
        <w:spacing w:line="400" w:lineRule="exact"/>
        <w:rPr>
          <w:rFonts w:hint="eastAsia" w:ascii="隶书" w:eastAsia="隶书"/>
          <w:color w:val="auto"/>
          <w:szCs w:val="21"/>
          <w:highlight w:val="none"/>
        </w:rPr>
      </w:pPr>
    </w:p>
    <w:p w14:paraId="2F7361B1">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（承包人全称）</w:t>
      </w:r>
    </w:p>
    <w:p w14:paraId="3284081E">
      <w:pPr>
        <w:spacing w:line="400" w:lineRule="exact"/>
        <w:jc w:val="center"/>
        <w:rPr>
          <w:rFonts w:hint="eastAsia" w:ascii="黑体" w:hAnsi="宋体" w:eastAsia="黑体"/>
          <w:color w:val="auto"/>
          <w:szCs w:val="21"/>
          <w:highlight w:val="none"/>
          <w:u w:val="single"/>
        </w:rPr>
      </w:pPr>
      <w:r>
        <w:rPr>
          <w:rFonts w:hint="eastAsia" w:ascii="黑体" w:hAnsi="宋体" w:eastAsia="黑体"/>
          <w:color w:val="auto"/>
          <w:szCs w:val="21"/>
          <w:highlight w:val="none"/>
          <w:u w:val="single"/>
        </w:rPr>
        <w:t>（合同工程名称）项目负责人委任书</w:t>
      </w:r>
    </w:p>
    <w:p w14:paraId="6F025F45">
      <w:pPr>
        <w:spacing w:line="400" w:lineRule="exact"/>
        <w:rPr>
          <w:rFonts w:hint="eastAsia" w:hAnsi="宋体"/>
          <w:color w:val="auto"/>
          <w:szCs w:val="21"/>
          <w:highlight w:val="none"/>
        </w:rPr>
      </w:pPr>
    </w:p>
    <w:p w14:paraId="5AC0452E">
      <w:pPr>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（发包人全称</w:t>
      </w:r>
      <w:r>
        <w:rPr>
          <w:rFonts w:hint="eastAsia" w:hAnsi="宋体"/>
          <w:color w:val="auto"/>
          <w:szCs w:val="21"/>
          <w:highlight w:val="none"/>
        </w:rPr>
        <w:t>）</w:t>
      </w:r>
    </w:p>
    <w:p w14:paraId="08FE6E23">
      <w:pPr>
        <w:spacing w:line="360" w:lineRule="auto"/>
        <w:ind w:firstLine="420" w:firstLineChars="200"/>
        <w:rPr>
          <w:rFonts w:hint="eastAsia" w:hAnsi="宋体"/>
          <w:color w:val="auto"/>
          <w:szCs w:val="21"/>
          <w:highlight w:val="none"/>
        </w:rPr>
      </w:pPr>
      <w:r>
        <w:rPr>
          <w:rFonts w:hint="eastAsia" w:hAnsi="宋体"/>
          <w:color w:val="auto"/>
          <w:szCs w:val="21"/>
          <w:highlight w:val="none"/>
          <w:u w:val="single"/>
        </w:rPr>
        <w:t>（承包人全称）</w:t>
      </w:r>
      <w:r>
        <w:rPr>
          <w:rFonts w:hint="eastAsia" w:hAnsi="宋体"/>
          <w:color w:val="auto"/>
          <w:szCs w:val="21"/>
          <w:highlight w:val="none"/>
        </w:rPr>
        <w:t xml:space="preserve"> 法定代表人</w:t>
      </w:r>
      <w:r>
        <w:rPr>
          <w:rFonts w:hint="eastAsia" w:hAnsi="宋体"/>
          <w:color w:val="auto"/>
          <w:szCs w:val="21"/>
          <w:highlight w:val="none"/>
          <w:u w:val="single"/>
        </w:rPr>
        <w:t xml:space="preserve"> （职务、姓名）</w:t>
      </w:r>
      <w:r>
        <w:rPr>
          <w:rFonts w:hint="eastAsia" w:hAnsi="宋体"/>
          <w:color w:val="auto"/>
          <w:szCs w:val="21"/>
          <w:highlight w:val="none"/>
        </w:rPr>
        <w:t xml:space="preserve"> 代表本单位委任 </w:t>
      </w:r>
      <w:r>
        <w:rPr>
          <w:rFonts w:hint="eastAsia" w:hAnsi="宋体"/>
          <w:color w:val="auto"/>
          <w:szCs w:val="21"/>
          <w:highlight w:val="none"/>
          <w:u w:val="single"/>
        </w:rPr>
        <w:t>（职务、姓名）</w:t>
      </w:r>
      <w:r>
        <w:rPr>
          <w:rFonts w:hint="eastAsia" w:hAnsi="宋体"/>
          <w:color w:val="auto"/>
          <w:szCs w:val="21"/>
          <w:highlight w:val="none"/>
        </w:rPr>
        <w:t xml:space="preserve"> 为</w:t>
      </w:r>
      <w:r>
        <w:rPr>
          <w:rFonts w:hint="eastAsia" w:hAnsi="宋体"/>
          <w:color w:val="auto"/>
          <w:szCs w:val="21"/>
          <w:highlight w:val="none"/>
          <w:u w:val="single"/>
        </w:rPr>
        <w:t>（合同工程名称）</w:t>
      </w:r>
      <w:r>
        <w:rPr>
          <w:rFonts w:hint="eastAsia" w:hAnsi="宋体"/>
          <w:color w:val="auto"/>
          <w:szCs w:val="21"/>
          <w:highlight w:val="none"/>
        </w:rPr>
        <w:t>的项目负责人。凡本合同执行中的有关技术、工程进度、现场管理、质量检验、结算与支付等方面工作，由</w:t>
      </w:r>
      <w:r>
        <w:rPr>
          <w:rFonts w:hint="eastAsia" w:hAnsi="宋体"/>
          <w:color w:val="auto"/>
          <w:szCs w:val="21"/>
          <w:highlight w:val="none"/>
          <w:u w:val="single"/>
        </w:rPr>
        <w:t xml:space="preserve"> （姓名） </w:t>
      </w:r>
      <w:r>
        <w:rPr>
          <w:rFonts w:hint="eastAsia" w:hAnsi="宋体"/>
          <w:color w:val="auto"/>
          <w:szCs w:val="21"/>
          <w:highlight w:val="none"/>
        </w:rPr>
        <w:t>代表本单位全面负责。</w:t>
      </w:r>
    </w:p>
    <w:p w14:paraId="02939C73">
      <w:pPr>
        <w:spacing w:line="360" w:lineRule="auto"/>
        <w:rPr>
          <w:rFonts w:hint="eastAsia" w:hAnsi="宋体"/>
          <w:color w:val="auto"/>
          <w:szCs w:val="21"/>
          <w:highlight w:val="none"/>
        </w:rPr>
      </w:pPr>
    </w:p>
    <w:p w14:paraId="4746BBDB">
      <w:pPr>
        <w:spacing w:line="360" w:lineRule="auto"/>
        <w:jc w:val="right"/>
        <w:rPr>
          <w:rFonts w:hint="eastAsia" w:hAnsi="宋体"/>
          <w:color w:val="auto"/>
          <w:szCs w:val="21"/>
          <w:highlight w:val="none"/>
        </w:rPr>
      </w:pPr>
      <w:r>
        <w:rPr>
          <w:rFonts w:hint="eastAsia" w:hAnsi="宋体"/>
          <w:color w:val="auto"/>
          <w:szCs w:val="21"/>
          <w:highlight w:val="none"/>
        </w:rPr>
        <w:t>承包人：</w:t>
      </w:r>
      <w:r>
        <w:rPr>
          <w:rFonts w:hint="eastAsia" w:hAnsi="宋体"/>
          <w:color w:val="auto"/>
          <w:szCs w:val="21"/>
          <w:highlight w:val="none"/>
          <w:u w:val="single"/>
        </w:rPr>
        <w:t xml:space="preserve">            </w:t>
      </w:r>
      <w:r>
        <w:rPr>
          <w:rFonts w:hint="eastAsia" w:hAnsi="宋体"/>
          <w:color w:val="auto"/>
          <w:szCs w:val="21"/>
          <w:highlight w:val="none"/>
        </w:rPr>
        <w:t>（盖单位章）</w:t>
      </w:r>
    </w:p>
    <w:p w14:paraId="320B4937">
      <w:pPr>
        <w:spacing w:line="360" w:lineRule="auto"/>
        <w:jc w:val="right"/>
        <w:rPr>
          <w:rFonts w:hint="eastAsia" w:hAnsi="宋体"/>
          <w:color w:val="auto"/>
          <w:szCs w:val="21"/>
          <w:highlight w:val="none"/>
          <w:u w:val="single"/>
        </w:rPr>
      </w:pPr>
      <w:r>
        <w:rPr>
          <w:rFonts w:hint="eastAsia" w:hAnsi="宋体"/>
          <w:color w:val="auto"/>
          <w:szCs w:val="21"/>
          <w:highlight w:val="none"/>
        </w:rPr>
        <w:t>法定代表人：</w:t>
      </w:r>
      <w:r>
        <w:rPr>
          <w:rFonts w:hint="eastAsia" w:hAnsi="宋体"/>
          <w:color w:val="auto"/>
          <w:szCs w:val="21"/>
          <w:highlight w:val="none"/>
          <w:u w:val="single"/>
        </w:rPr>
        <w:t xml:space="preserve">  （职务） </w:t>
      </w:r>
    </w:p>
    <w:p w14:paraId="21CD4138">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（姓名） </w:t>
      </w:r>
    </w:p>
    <w:p w14:paraId="61E4D09A">
      <w:pPr>
        <w:spacing w:line="360" w:lineRule="auto"/>
        <w:ind w:firstLine="1575" w:firstLineChars="750"/>
        <w:jc w:val="right"/>
        <w:rPr>
          <w:rFonts w:hint="eastAsia" w:hAnsi="宋体"/>
          <w:color w:val="auto"/>
          <w:szCs w:val="21"/>
          <w:highlight w:val="none"/>
          <w:u w:val="single"/>
        </w:rPr>
      </w:pPr>
      <w:r>
        <w:rPr>
          <w:rFonts w:hint="eastAsia" w:hAnsi="宋体"/>
          <w:color w:val="auto"/>
          <w:szCs w:val="21"/>
          <w:highlight w:val="none"/>
          <w:u w:val="single"/>
        </w:rPr>
        <w:t xml:space="preserve">  （签字） </w:t>
      </w:r>
    </w:p>
    <w:p w14:paraId="6EF64406">
      <w:pPr>
        <w:spacing w:line="360" w:lineRule="auto"/>
        <w:rPr>
          <w:rFonts w:hint="eastAsia" w:hAnsi="宋体"/>
          <w:color w:val="auto"/>
          <w:szCs w:val="21"/>
          <w:highlight w:val="none"/>
        </w:rPr>
      </w:pPr>
    </w:p>
    <w:p w14:paraId="3FD1121E">
      <w:pPr>
        <w:spacing w:line="400" w:lineRule="exact"/>
        <w:jc w:val="right"/>
        <w:rPr>
          <w:rFonts w:hint="eastAsia"/>
          <w:color w:val="auto"/>
          <w:szCs w:val="21"/>
          <w:highlight w:val="none"/>
        </w:rPr>
      </w:pPr>
      <w:r>
        <w:rPr>
          <w:rFonts w:hint="eastAsia"/>
          <w:color w:val="auto"/>
          <w:szCs w:val="21"/>
          <w:highlight w:val="none"/>
        </w:rPr>
        <w:t xml:space="preserve">     年    月      日</w:t>
      </w:r>
    </w:p>
    <w:p w14:paraId="7AAB11C2">
      <w:pPr>
        <w:pStyle w:val="13"/>
        <w:spacing w:line="25" w:lineRule="atLeast"/>
        <w:rPr>
          <w:rFonts w:hint="eastAsia" w:hAnsi="宋体"/>
          <w:color w:val="auto"/>
          <w:highlight w:val="none"/>
        </w:rPr>
      </w:pPr>
    </w:p>
    <w:p w14:paraId="556D00B5">
      <w:pPr>
        <w:pStyle w:val="13"/>
        <w:spacing w:line="25" w:lineRule="atLeast"/>
        <w:rPr>
          <w:rFonts w:hint="eastAsia" w:hAnsi="宋体"/>
          <w:color w:val="auto"/>
          <w:highlight w:val="none"/>
        </w:rPr>
      </w:pPr>
    </w:p>
    <w:p w14:paraId="716B3F88">
      <w:pPr>
        <w:pStyle w:val="13"/>
        <w:spacing w:line="25" w:lineRule="atLeast"/>
        <w:rPr>
          <w:rFonts w:hint="eastAsia" w:hAnsi="宋体"/>
          <w:color w:val="auto"/>
          <w:highlight w:val="none"/>
        </w:rPr>
      </w:pPr>
    </w:p>
    <w:p w14:paraId="5D72BBED">
      <w:pPr>
        <w:pStyle w:val="13"/>
        <w:spacing w:line="25" w:lineRule="atLeast"/>
        <w:rPr>
          <w:rFonts w:hint="eastAsia" w:hAnsi="宋体"/>
          <w:color w:val="auto"/>
          <w:highlight w:val="none"/>
        </w:rPr>
      </w:pPr>
    </w:p>
    <w:p w14:paraId="70A3EC08">
      <w:pPr>
        <w:pStyle w:val="13"/>
        <w:spacing w:line="25" w:lineRule="atLeast"/>
        <w:rPr>
          <w:rFonts w:hint="eastAsia" w:hAnsi="宋体"/>
          <w:color w:val="auto"/>
          <w:highlight w:val="none"/>
        </w:rPr>
      </w:pPr>
      <w:r>
        <w:rPr>
          <w:rFonts w:hAnsi="宋体"/>
          <w:color w:val="auto"/>
          <w:highlight w:val="none"/>
        </w:rPr>
        <w:br w:type="page"/>
      </w:r>
    </w:p>
    <w:p w14:paraId="1C72B7CF">
      <w:pPr>
        <w:pStyle w:val="13"/>
        <w:spacing w:line="25" w:lineRule="atLeast"/>
        <w:rPr>
          <w:rFonts w:hint="eastAsia" w:hAnsi="宋体"/>
          <w:color w:val="auto"/>
          <w:highlight w:val="none"/>
        </w:rPr>
      </w:pPr>
    </w:p>
    <w:p w14:paraId="38CA40A6">
      <w:pPr>
        <w:jc w:val="center"/>
        <w:rPr>
          <w:rFonts w:hint="eastAsia" w:hAnsi="宋体"/>
          <w:b/>
          <w:color w:val="auto"/>
          <w:szCs w:val="21"/>
          <w:highlight w:val="none"/>
        </w:rPr>
      </w:pPr>
      <w:r>
        <w:rPr>
          <w:rFonts w:hint="eastAsia" w:hAnsi="宋体"/>
          <w:b/>
          <w:color w:val="auto"/>
          <w:szCs w:val="21"/>
          <w:highlight w:val="none"/>
        </w:rPr>
        <w:t>三、通用条款</w:t>
      </w:r>
    </w:p>
    <w:p w14:paraId="44072F71">
      <w:pPr>
        <w:spacing w:line="25" w:lineRule="atLeast"/>
        <w:rPr>
          <w:rFonts w:hAnsi="宋体"/>
          <w:color w:val="auto"/>
          <w:szCs w:val="21"/>
          <w:highlight w:val="none"/>
        </w:rPr>
      </w:pPr>
    </w:p>
    <w:p w14:paraId="78DA4868">
      <w:pPr>
        <w:spacing w:line="25" w:lineRule="atLeast"/>
        <w:ind w:firstLine="420" w:firstLineChars="200"/>
        <w:rPr>
          <w:rFonts w:hint="eastAsia" w:hAnsi="宋体"/>
          <w:color w:val="auto"/>
          <w:szCs w:val="21"/>
          <w:highlight w:val="none"/>
        </w:rPr>
      </w:pPr>
      <w:r>
        <w:rPr>
          <w:rFonts w:hint="eastAsia" w:hAnsi="宋体"/>
          <w:color w:val="auto"/>
          <w:szCs w:val="21"/>
          <w:highlight w:val="none"/>
        </w:rPr>
        <w:t>采用国家工商行政管理局和建设部颁发的《建设工程施工合同》</w:t>
      </w:r>
      <w:r>
        <w:rPr>
          <w:rFonts w:hAnsi="宋体"/>
          <w:color w:val="auto"/>
          <w:szCs w:val="21"/>
          <w:highlight w:val="none"/>
        </w:rPr>
        <w:t>(GF-</w:t>
      </w:r>
      <w:r>
        <w:rPr>
          <w:rFonts w:hint="eastAsia" w:hAnsi="宋体"/>
          <w:color w:val="auto"/>
          <w:szCs w:val="21"/>
          <w:highlight w:val="none"/>
        </w:rPr>
        <w:t>19</w:t>
      </w:r>
      <w:r>
        <w:rPr>
          <w:rFonts w:hAnsi="宋体"/>
          <w:color w:val="auto"/>
          <w:szCs w:val="21"/>
          <w:highlight w:val="none"/>
        </w:rPr>
        <w:t>9</w:t>
      </w:r>
      <w:r>
        <w:rPr>
          <w:rFonts w:hint="eastAsia" w:hAnsi="宋体"/>
          <w:color w:val="auto"/>
          <w:szCs w:val="21"/>
          <w:highlight w:val="none"/>
        </w:rPr>
        <w:t>9</w:t>
      </w:r>
      <w:r>
        <w:rPr>
          <w:rFonts w:hAnsi="宋体"/>
          <w:color w:val="auto"/>
          <w:szCs w:val="21"/>
          <w:highlight w:val="none"/>
        </w:rPr>
        <w:t>-0201)</w:t>
      </w:r>
      <w:r>
        <w:rPr>
          <w:rFonts w:hint="eastAsia" w:hAnsi="宋体"/>
          <w:color w:val="auto"/>
          <w:szCs w:val="21"/>
          <w:highlight w:val="none"/>
        </w:rPr>
        <w:t>的通用条款。</w:t>
      </w:r>
    </w:p>
    <w:p w14:paraId="020245F8">
      <w:pPr>
        <w:spacing w:line="25" w:lineRule="atLeast"/>
        <w:ind w:firstLine="420" w:firstLineChars="200"/>
        <w:rPr>
          <w:rFonts w:hint="eastAsia" w:hAnsi="宋体"/>
          <w:color w:val="auto"/>
          <w:szCs w:val="21"/>
          <w:highlight w:val="none"/>
        </w:rPr>
      </w:pPr>
    </w:p>
    <w:p w14:paraId="00F5A8D7">
      <w:pPr>
        <w:rPr>
          <w:color w:val="auto"/>
        </w:rPr>
      </w:pPr>
    </w:p>
    <w:p w14:paraId="396804A0">
      <w:pPr>
        <w:rPr>
          <w:rFonts w:hint="eastAsia"/>
          <w:color w:val="auto"/>
        </w:rPr>
      </w:pPr>
    </w:p>
    <w:p w14:paraId="2AF8BF12">
      <w:pPr>
        <w:pStyle w:val="10"/>
        <w:rPr>
          <w:color w:val="auto"/>
          <w:sz w:val="21"/>
          <w:szCs w:val="21"/>
        </w:rPr>
      </w:pPr>
    </w:p>
    <w:p w14:paraId="27F78C2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b/>
          <w:bCs/>
          <w:color w:val="auto"/>
          <w:sz w:val="72"/>
          <w:szCs w:val="72"/>
          <w:highlight w:val="none"/>
        </w:rPr>
      </w:pPr>
      <w:bookmarkStart w:id="71" w:name="_Toc389065255"/>
      <w:bookmarkStart w:id="72" w:name="_Toc296890982"/>
      <w:bookmarkStart w:id="73" w:name="_Toc296503025"/>
      <w:bookmarkStart w:id="74" w:name="_Toc351203480"/>
      <w:bookmarkStart w:id="75" w:name="_Toc373227552"/>
      <w:bookmarkStart w:id="76" w:name="_Toc373478199"/>
      <w:bookmarkStart w:id="77" w:name="_Toc465114850"/>
    </w:p>
    <w:p w14:paraId="367D6F0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黑体" w:hAnsi="黑体" w:eastAsia="黑体"/>
          <w:b/>
          <w:bCs/>
          <w:color w:val="auto"/>
          <w:sz w:val="72"/>
          <w:szCs w:val="72"/>
          <w:highlight w:val="none"/>
        </w:rPr>
      </w:pPr>
    </w:p>
    <w:bookmarkEnd w:id="71"/>
    <w:bookmarkEnd w:id="72"/>
    <w:bookmarkEnd w:id="73"/>
    <w:bookmarkEnd w:id="74"/>
    <w:bookmarkEnd w:id="75"/>
    <w:bookmarkEnd w:id="76"/>
    <w:bookmarkEnd w:id="77"/>
    <w:p w14:paraId="6B17CD89">
      <w:pPr>
        <w:spacing w:line="400" w:lineRule="exact"/>
        <w:ind w:firstLine="1680" w:firstLineChars="800"/>
        <w:jc w:val="both"/>
        <w:rPr>
          <w:color w:val="auto"/>
          <w:sz w:val="21"/>
          <w:szCs w:val="21"/>
        </w:rPr>
      </w:pPr>
    </w:p>
    <w:p w14:paraId="3EE922D1">
      <w:pPr>
        <w:pStyle w:val="10"/>
        <w:rPr>
          <w:color w:val="auto"/>
          <w:sz w:val="21"/>
          <w:szCs w:val="21"/>
        </w:rPr>
      </w:pPr>
    </w:p>
    <w:sectPr>
      <w:headerReference r:id="rId8" w:type="default"/>
      <w:footerReference r:id="rId9" w:type="default"/>
      <w:pgSz w:w="11906" w:h="16838"/>
      <w:pgMar w:top="1440" w:right="1080" w:bottom="1440" w:left="1080" w:header="567" w:footer="567" w:gutter="567"/>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257A473-0932-49B1-A3EC-118DEE393BC4}"/>
  </w:font>
  <w:font w:name="黑体">
    <w:panose1 w:val="02010609060101010101"/>
    <w:charset w:val="86"/>
    <w:family w:val="auto"/>
    <w:pitch w:val="default"/>
    <w:sig w:usb0="800002BF" w:usb1="38CF7CFA" w:usb2="00000016" w:usb3="00000000" w:csb0="00040001" w:csb1="00000000"/>
    <w:embedRegular r:id="rId2" w:fontKey="{25277F24-D7B4-4C07-8CF1-22C6CF86C2A8}"/>
  </w:font>
  <w:font w:name="Courier New">
    <w:panose1 w:val="02070309020205020404"/>
    <w:charset w:val="01"/>
    <w:family w:val="modern"/>
    <w:pitch w:val="default"/>
    <w:sig w:usb0="E0002EFF" w:usb1="C0007843" w:usb2="00000009" w:usb3="00000000" w:csb0="400001FF" w:csb1="FFFF0000"/>
    <w:embedRegular r:id="rId3" w:fontKey="{B5A714BB-313A-417B-8B85-9C1CF6381F7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2B8442C9-E6E9-4F48-9778-490E1B69BAB9}"/>
  </w:font>
  <w:font w:name=".......">
    <w:altName w:val="宋体"/>
    <w:panose1 w:val="00000000000000000000"/>
    <w:charset w:val="86"/>
    <w:family w:val="roman"/>
    <w:pitch w:val="default"/>
    <w:sig w:usb0="00000000" w:usb1="00000000" w:usb2="00000010" w:usb3="00000000" w:csb0="00040000" w:csb1="00000000"/>
    <w:embedRegular r:id="rId5" w:fontKey="{CF4049BB-332C-419B-ABDA-017F736377AC}"/>
  </w:font>
  <w:font w:name="汉仪中宋简">
    <w:altName w:val="宋体"/>
    <w:panose1 w:val="02010609000101010101"/>
    <w:charset w:val="86"/>
    <w:family w:val="modern"/>
    <w:pitch w:val="default"/>
    <w:sig w:usb0="00000000" w:usb1="00000000" w:usb2="00000012" w:usb3="00000000" w:csb0="00040000" w:csb1="00000000"/>
  </w:font>
  <w:font w:name="汉仪字典宋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F7BC58F0-9015-4BA4-9F94-DEFE37F1E8AA}"/>
  </w:font>
  <w:font w:name="Helvetica">
    <w:altName w:val="Arial"/>
    <w:panose1 w:val="020B0504020202030204"/>
    <w:charset w:val="00"/>
    <w:family w:val="swiss"/>
    <w:pitch w:val="default"/>
    <w:sig w:usb0="00000000" w:usb1="00000000" w:usb2="00000000" w:usb3="00000000" w:csb0="00000093" w:csb1="00000000"/>
    <w:embedRegular r:id="rId7" w:fontKey="{124325B3-C183-4D2D-9270-5D4C73B374A7}"/>
  </w:font>
  <w:font w:name="MS Mincho">
    <w:panose1 w:val="02020609040205080304"/>
    <w:charset w:val="80"/>
    <w:family w:val="modern"/>
    <w:pitch w:val="default"/>
    <w:sig w:usb0="E00002FF" w:usb1="6AC7FDFB" w:usb2="00000012" w:usb3="00000000" w:csb0="4002009F" w:csb1="DFD70000"/>
    <w:embedRegular r:id="rId8" w:fontKey="{A7674B80-33F2-4448-AD8A-C621F9965F7D}"/>
  </w:font>
  <w:font w:name="Wingdings 2">
    <w:panose1 w:val="05020102010507070707"/>
    <w:charset w:val="02"/>
    <w:family w:val="auto"/>
    <w:pitch w:val="default"/>
    <w:sig w:usb0="00000000" w:usb1="00000000" w:usb2="00000000" w:usb3="00000000" w:csb0="80000000" w:csb1="00000000"/>
    <w:embedRegular r:id="rId9" w:fontKey="{2AB4ACF5-ABFD-4643-8303-C5E84CC78AC3}"/>
  </w:font>
  <w:font w:name="Cambria">
    <w:panose1 w:val="02040503050406030204"/>
    <w:charset w:val="00"/>
    <w:family w:val="auto"/>
    <w:pitch w:val="default"/>
    <w:sig w:usb0="E00006FF" w:usb1="420024FF" w:usb2="02000000" w:usb3="00000000" w:csb0="2000019F" w:csb1="00000000"/>
    <w:embedRegular r:id="rId10" w:fontKey="{C624DDB7-F140-4265-A774-E0D2A613CE73}"/>
  </w:font>
  <w:font w:name="仿宋">
    <w:panose1 w:val="02010609060101010101"/>
    <w:charset w:val="86"/>
    <w:family w:val="auto"/>
    <w:pitch w:val="default"/>
    <w:sig w:usb0="800002BF" w:usb1="38CF7CFA" w:usb2="00000016" w:usb3="00000000" w:csb0="00040001" w:csb1="00000000"/>
    <w:embedRegular r:id="rId11" w:fontKey="{55505D10-E924-4AB4-AD5F-6F3A5753F3F8}"/>
  </w:font>
  <w:font w:name="楷体_GB2312">
    <w:panose1 w:val="02010609030101010101"/>
    <w:charset w:val="86"/>
    <w:family w:val="modern"/>
    <w:pitch w:val="default"/>
    <w:sig w:usb0="00000001" w:usb1="080E0000" w:usb2="00000000" w:usb3="00000000" w:csb0="00040000" w:csb1="00000000"/>
    <w:embedRegular r:id="rId12" w:fontKey="{05CB9815-6FDF-42C1-917F-6932A652DC34}"/>
  </w:font>
  <w:font w:name="隶书">
    <w:panose1 w:val="02010509060101010101"/>
    <w:charset w:val="86"/>
    <w:family w:val="modern"/>
    <w:pitch w:val="default"/>
    <w:sig w:usb0="00000001" w:usb1="080E0000" w:usb2="00000000" w:usb3="00000000" w:csb0="00040000" w:csb1="00000000"/>
    <w:embedRegular r:id="rId13" w:fontKey="{AB89B2C3-52EF-48E0-8E3A-42768351AF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97225">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F67E4">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EF67E4">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2631E">
    <w:pPr>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601973">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D601973">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763FF">
    <w:pPr>
      <w:spacing w:line="196" w:lineRule="auto"/>
      <w:ind w:left="41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87597">
                          <w:pPr>
                            <w:pStyle w:val="16"/>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DB87597">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4FF4D">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A3245F">
                          <w:pPr>
                            <w:pStyle w:val="1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A3245F">
                    <w:pPr>
                      <w:pStyle w:val="1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F4EB5">
    <w:pPr>
      <w:pStyle w:val="10"/>
      <w:rPr>
        <w:rFonts w:ascii="Times New Roman"/>
        <w:color w:val="auto"/>
        <w:sz w:val="20"/>
      </w:rPr>
    </w:pPr>
  </w:p>
  <w:p w14:paraId="5115D7EC">
    <w:pPr>
      <w:pStyle w:val="17"/>
      <w:rPr>
        <w:rFonts w:hint="default" w:eastAsia="宋体"/>
        <w:sz w:val="13"/>
        <w:szCs w:val="18"/>
        <w:lang w:val="en-US" w:eastAsia="zh-CN"/>
      </w:rPr>
    </w:pPr>
    <w:r>
      <w:rPr>
        <w:rFonts w:hint="eastAsia"/>
        <w:b/>
        <w:bCs/>
        <w:sz w:val="24"/>
        <w:szCs w:val="20"/>
      </w:rPr>
      <w:drawing>
        <wp:inline distT="0" distB="0" distL="114300" distR="114300">
          <wp:extent cx="268605" cy="268605"/>
          <wp:effectExtent l="0" t="0" r="17145" b="17145"/>
          <wp:docPr id="2" name="图片 1" descr="天明——红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天明——红色"/>
                  <pic:cNvPicPr>
                    <a:picLocks noChangeAspect="1"/>
                  </pic:cNvPicPr>
                </pic:nvPicPr>
                <pic:blipFill>
                  <a:blip r:embed="rId1"/>
                  <a:stretch>
                    <a:fillRect/>
                  </a:stretch>
                </pic:blipFill>
                <pic:spPr>
                  <a:xfrm>
                    <a:off x="0" y="0"/>
                    <a:ext cx="268605" cy="268605"/>
                  </a:xfrm>
                  <a:prstGeom prst="rect">
                    <a:avLst/>
                  </a:prstGeom>
                  <a:noFill/>
                  <a:ln>
                    <a:noFill/>
                  </a:ln>
                </pic:spPr>
              </pic:pic>
            </a:graphicData>
          </a:graphic>
        </wp:inline>
      </w:drawing>
    </w:r>
    <w:r>
      <w:rPr>
        <w:rFonts w:hint="eastAsia"/>
        <w:b w:val="0"/>
        <w:bCs w:val="0"/>
        <w:sz w:val="20"/>
        <w:szCs w:val="15"/>
        <w:lang w:val="en-US" w:eastAsia="zh-CN"/>
      </w:rPr>
      <w:t>广西天明建筑咨询有限公司                                      联系电话：</w:t>
    </w:r>
    <w:r>
      <w:rPr>
        <w:rFonts w:hint="eastAsia" w:asciiTheme="minorEastAsia" w:hAnsiTheme="minorEastAsia" w:eastAsiaTheme="minorEastAsia" w:cstheme="minorEastAsia"/>
        <w:color w:val="auto"/>
        <w:sz w:val="20"/>
        <w:szCs w:val="20"/>
        <w:lang w:val="en-US" w:eastAsia="zh-CN"/>
      </w:rPr>
      <w:t>0777-5682186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E4D7">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D8D3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984BBA03"/>
    <w:multiLevelType w:val="singleLevel"/>
    <w:tmpl w:val="984BBA03"/>
    <w:lvl w:ilvl="0" w:tentative="0">
      <w:start w:val="3"/>
      <w:numFmt w:val="chineseCounting"/>
      <w:suff w:val="nothing"/>
      <w:lvlText w:val="%1、"/>
      <w:lvlJc w:val="left"/>
      <w:rPr>
        <w:rFonts w:hint="eastAsia"/>
      </w:rPr>
    </w:lvl>
  </w:abstractNum>
  <w:abstractNum w:abstractNumId="2">
    <w:nsid w:val="1FD6DDE3"/>
    <w:multiLevelType w:val="singleLevel"/>
    <w:tmpl w:val="1FD6DDE3"/>
    <w:lvl w:ilvl="0" w:tentative="0">
      <w:start w:val="2"/>
      <w:numFmt w:val="chineseCounting"/>
      <w:suff w:val="nothing"/>
      <w:lvlText w:val="%1、"/>
      <w:lvlJc w:val="left"/>
      <w:rPr>
        <w:rFonts w:hint="eastAsia"/>
      </w:rPr>
    </w:lvl>
  </w:abstractNum>
  <w:abstractNum w:abstractNumId="3">
    <w:nsid w:val="21A205B0"/>
    <w:multiLevelType w:val="singleLevel"/>
    <w:tmpl w:val="21A205B0"/>
    <w:lvl w:ilvl="0" w:tentative="0">
      <w:start w:val="2"/>
      <w:numFmt w:val="chineseCounting"/>
      <w:suff w:val="space"/>
      <w:lvlText w:val="第%1章"/>
      <w:lvlJc w:val="left"/>
      <w:rPr>
        <w:rFonts w:hint="eastAsia"/>
      </w:rPr>
    </w:lvl>
  </w:abstractNum>
  <w:abstractNum w:abstractNumId="4">
    <w:nsid w:val="42AA97E8"/>
    <w:multiLevelType w:val="singleLevel"/>
    <w:tmpl w:val="42AA97E8"/>
    <w:lvl w:ilvl="0" w:tentative="0">
      <w:start w:val="4"/>
      <w:numFmt w:val="decimal"/>
      <w:suff w:val="nothing"/>
      <w:lvlText w:val="%1、"/>
      <w:lvlJc w:val="left"/>
    </w:lvl>
  </w:abstractNum>
  <w:abstractNum w:abstractNumId="5">
    <w:nsid w:val="57D66720"/>
    <w:multiLevelType w:val="singleLevel"/>
    <w:tmpl w:val="57D66720"/>
    <w:lvl w:ilvl="0" w:tentative="0">
      <w:start w:val="2"/>
      <w:numFmt w:val="chineseCounting"/>
      <w:suff w:val="nothing"/>
      <w:lvlText w:val="%1、"/>
      <w:lvlJc w:val="left"/>
    </w:lvl>
  </w:abstractNum>
  <w:abstractNum w:abstractNumId="6">
    <w:nsid w:val="656D6133"/>
    <w:multiLevelType w:val="multilevel"/>
    <w:tmpl w:val="656D6133"/>
    <w:lvl w:ilvl="0" w:tentative="0">
      <w:start w:val="1"/>
      <w:numFmt w:val="chineseCountingThousand"/>
      <w:suff w:val="nothing"/>
      <w:lvlText w:val="第%1部分"/>
      <w:lvlJc w:val="center"/>
      <w:pPr>
        <w:ind w:left="252" w:firstLine="288"/>
      </w:pPr>
      <w:rPr>
        <w:rFonts w:hint="eastAsia"/>
        <w:sz w:val="21"/>
        <w:szCs w:val="21"/>
      </w:rPr>
    </w:lvl>
    <w:lvl w:ilvl="1" w:tentative="0">
      <w:start w:val="1"/>
      <w:numFmt w:val="chineseCountingThousand"/>
      <w:suff w:val="nothing"/>
      <w:lvlText w:val="%2、"/>
      <w:lvlJc w:val="left"/>
      <w:pPr>
        <w:ind w:left="3" w:firstLine="177"/>
      </w:pPr>
      <w:rPr>
        <w:rFonts w:hint="eastAsia" w:ascii="仿宋_GB2312" w:hAnsi="宋体" w:eastAsia="仿宋_GB2312"/>
        <w:sz w:val="21"/>
        <w:szCs w:val="21"/>
        <w:lang w:val="en-US"/>
      </w:rPr>
    </w:lvl>
    <w:lvl w:ilvl="2" w:tentative="0">
      <w:start w:val="1"/>
      <w:numFmt w:val="chineseCountingThousand"/>
      <w:suff w:val="nothing"/>
      <w:lvlText w:val="(%3)"/>
      <w:lvlJc w:val="left"/>
      <w:pPr>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52" w:firstLine="0"/>
      </w:pPr>
      <w:rPr>
        <w:rFonts w:hint="eastAsia"/>
      </w:rPr>
    </w:lvl>
    <w:lvl w:ilvl="4" w:tentative="0">
      <w:start w:val="1"/>
      <w:numFmt w:val="upperLetter"/>
      <w:suff w:val="nothing"/>
      <w:lvlText w:val="%5、"/>
      <w:lvlJc w:val="left"/>
      <w:pPr>
        <w:ind w:left="252" w:firstLine="0"/>
      </w:pPr>
      <w:rPr>
        <w:rFonts w:hint="eastAsia"/>
      </w:rPr>
    </w:lvl>
    <w:lvl w:ilvl="5" w:tentative="0">
      <w:start w:val="1"/>
      <w:numFmt w:val="none"/>
      <w:pStyle w:val="2"/>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6"/>
  </w:num>
  <w:num w:numId="2">
    <w:abstractNumId w:val="3"/>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zQyM2FiMjM5ODRlOTEzOTgyMzg5N2U4NmVmMWIifQ=="/>
    <w:docVar w:name="KSO_WPS_MARK_KEY" w:val="26adf6ab-9668-45cd-93a9-ee9d664c1c26"/>
  </w:docVars>
  <w:rsids>
    <w:rsidRoot w:val="556F068E"/>
    <w:rsid w:val="00022272"/>
    <w:rsid w:val="00046300"/>
    <w:rsid w:val="00092EAF"/>
    <w:rsid w:val="000A365B"/>
    <w:rsid w:val="000C199D"/>
    <w:rsid w:val="000E03F8"/>
    <w:rsid w:val="001A5BFD"/>
    <w:rsid w:val="001C657D"/>
    <w:rsid w:val="002203C2"/>
    <w:rsid w:val="00222EAA"/>
    <w:rsid w:val="0028721A"/>
    <w:rsid w:val="002C2E79"/>
    <w:rsid w:val="00341A32"/>
    <w:rsid w:val="00344260"/>
    <w:rsid w:val="003479CE"/>
    <w:rsid w:val="00350E8A"/>
    <w:rsid w:val="003566F1"/>
    <w:rsid w:val="00396966"/>
    <w:rsid w:val="003B5B92"/>
    <w:rsid w:val="004302EE"/>
    <w:rsid w:val="00430665"/>
    <w:rsid w:val="00446559"/>
    <w:rsid w:val="004B25EB"/>
    <w:rsid w:val="00511007"/>
    <w:rsid w:val="0055311E"/>
    <w:rsid w:val="005F1692"/>
    <w:rsid w:val="006C03D0"/>
    <w:rsid w:val="006E49D4"/>
    <w:rsid w:val="006F4DB7"/>
    <w:rsid w:val="007051D0"/>
    <w:rsid w:val="0073092E"/>
    <w:rsid w:val="00740C23"/>
    <w:rsid w:val="00753155"/>
    <w:rsid w:val="00762457"/>
    <w:rsid w:val="0079775D"/>
    <w:rsid w:val="007B713C"/>
    <w:rsid w:val="00822614"/>
    <w:rsid w:val="0086498E"/>
    <w:rsid w:val="008A64A8"/>
    <w:rsid w:val="008D11E2"/>
    <w:rsid w:val="008D54D8"/>
    <w:rsid w:val="008E648C"/>
    <w:rsid w:val="008F25AF"/>
    <w:rsid w:val="00922F24"/>
    <w:rsid w:val="00946919"/>
    <w:rsid w:val="009564A4"/>
    <w:rsid w:val="00985A95"/>
    <w:rsid w:val="009A2CCA"/>
    <w:rsid w:val="009B2168"/>
    <w:rsid w:val="009D2098"/>
    <w:rsid w:val="009E6A77"/>
    <w:rsid w:val="00A360B5"/>
    <w:rsid w:val="00A461D0"/>
    <w:rsid w:val="00A51D4B"/>
    <w:rsid w:val="00A74461"/>
    <w:rsid w:val="00A806A3"/>
    <w:rsid w:val="00A974A6"/>
    <w:rsid w:val="00AA6128"/>
    <w:rsid w:val="00AD4031"/>
    <w:rsid w:val="00AF24A3"/>
    <w:rsid w:val="00B27491"/>
    <w:rsid w:val="00B3531B"/>
    <w:rsid w:val="00B57815"/>
    <w:rsid w:val="00BA74DD"/>
    <w:rsid w:val="00BC04D1"/>
    <w:rsid w:val="00BC2F65"/>
    <w:rsid w:val="00C720D9"/>
    <w:rsid w:val="00CD32AF"/>
    <w:rsid w:val="00CE6497"/>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C3BDB"/>
    <w:rsid w:val="01813E16"/>
    <w:rsid w:val="0190392E"/>
    <w:rsid w:val="01A340D1"/>
    <w:rsid w:val="01D152A8"/>
    <w:rsid w:val="01D16F05"/>
    <w:rsid w:val="01D9471B"/>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24FE3"/>
    <w:rsid w:val="04A24CDA"/>
    <w:rsid w:val="04AF1326"/>
    <w:rsid w:val="04FD0E31"/>
    <w:rsid w:val="050637A5"/>
    <w:rsid w:val="054769B3"/>
    <w:rsid w:val="05480B39"/>
    <w:rsid w:val="05571F68"/>
    <w:rsid w:val="05A0262C"/>
    <w:rsid w:val="05F46366"/>
    <w:rsid w:val="061631B2"/>
    <w:rsid w:val="06191E33"/>
    <w:rsid w:val="061C3D5B"/>
    <w:rsid w:val="06352C8D"/>
    <w:rsid w:val="06376F97"/>
    <w:rsid w:val="065A3ABE"/>
    <w:rsid w:val="0682796C"/>
    <w:rsid w:val="06836237"/>
    <w:rsid w:val="06A7419D"/>
    <w:rsid w:val="06E35353"/>
    <w:rsid w:val="07245A59"/>
    <w:rsid w:val="0745028B"/>
    <w:rsid w:val="075A22F1"/>
    <w:rsid w:val="07AD2721"/>
    <w:rsid w:val="07AF6F49"/>
    <w:rsid w:val="07BB664B"/>
    <w:rsid w:val="082006F3"/>
    <w:rsid w:val="083C3003"/>
    <w:rsid w:val="08406DEA"/>
    <w:rsid w:val="086871CD"/>
    <w:rsid w:val="086E336F"/>
    <w:rsid w:val="087B43C8"/>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9C7D1B"/>
    <w:rsid w:val="0ADB0DD6"/>
    <w:rsid w:val="0AF95B2E"/>
    <w:rsid w:val="0AFA3F41"/>
    <w:rsid w:val="0B163B89"/>
    <w:rsid w:val="0B1A6F5A"/>
    <w:rsid w:val="0B311F83"/>
    <w:rsid w:val="0B5934C2"/>
    <w:rsid w:val="0B7023F3"/>
    <w:rsid w:val="0B9665C6"/>
    <w:rsid w:val="0BC2585F"/>
    <w:rsid w:val="0BC4602F"/>
    <w:rsid w:val="0BC50665"/>
    <w:rsid w:val="0C03028C"/>
    <w:rsid w:val="0C5636E2"/>
    <w:rsid w:val="0C770701"/>
    <w:rsid w:val="0C816B43"/>
    <w:rsid w:val="0CB060DE"/>
    <w:rsid w:val="0CB43D56"/>
    <w:rsid w:val="0CBA47E6"/>
    <w:rsid w:val="0CBF41E0"/>
    <w:rsid w:val="0D001946"/>
    <w:rsid w:val="0D006A41"/>
    <w:rsid w:val="0D1A6DAB"/>
    <w:rsid w:val="0D236286"/>
    <w:rsid w:val="0D284A50"/>
    <w:rsid w:val="0D4357F1"/>
    <w:rsid w:val="0D98311E"/>
    <w:rsid w:val="0DB92613"/>
    <w:rsid w:val="0DC3449B"/>
    <w:rsid w:val="0DF13383"/>
    <w:rsid w:val="0E1D31AF"/>
    <w:rsid w:val="0E2E5189"/>
    <w:rsid w:val="0E4531F0"/>
    <w:rsid w:val="0E5114F5"/>
    <w:rsid w:val="0E8A703D"/>
    <w:rsid w:val="0EB12B04"/>
    <w:rsid w:val="0EB8284C"/>
    <w:rsid w:val="0EBF4D9D"/>
    <w:rsid w:val="0F37609A"/>
    <w:rsid w:val="0F5E7FAF"/>
    <w:rsid w:val="0F666CCA"/>
    <w:rsid w:val="0F801C32"/>
    <w:rsid w:val="0FC73BE9"/>
    <w:rsid w:val="0FDD010F"/>
    <w:rsid w:val="0FEC00EE"/>
    <w:rsid w:val="0FEE6836"/>
    <w:rsid w:val="101A1FFE"/>
    <w:rsid w:val="10574280"/>
    <w:rsid w:val="108A2DF9"/>
    <w:rsid w:val="109218D9"/>
    <w:rsid w:val="10A1515D"/>
    <w:rsid w:val="10AB7642"/>
    <w:rsid w:val="10B637C0"/>
    <w:rsid w:val="10EB474A"/>
    <w:rsid w:val="11170ED8"/>
    <w:rsid w:val="11347157"/>
    <w:rsid w:val="11467149"/>
    <w:rsid w:val="114E2AEE"/>
    <w:rsid w:val="115B567E"/>
    <w:rsid w:val="11A823B3"/>
    <w:rsid w:val="11BF6701"/>
    <w:rsid w:val="11C436DA"/>
    <w:rsid w:val="11CC3E60"/>
    <w:rsid w:val="121E0907"/>
    <w:rsid w:val="122C2FBF"/>
    <w:rsid w:val="12417917"/>
    <w:rsid w:val="12423A2C"/>
    <w:rsid w:val="12972A6D"/>
    <w:rsid w:val="12A03046"/>
    <w:rsid w:val="12F16C1F"/>
    <w:rsid w:val="12F50A68"/>
    <w:rsid w:val="137F578F"/>
    <w:rsid w:val="138A5D40"/>
    <w:rsid w:val="13B33EEB"/>
    <w:rsid w:val="13BC12BF"/>
    <w:rsid w:val="13BF768D"/>
    <w:rsid w:val="13CF3AB0"/>
    <w:rsid w:val="13E70AEE"/>
    <w:rsid w:val="14034BB8"/>
    <w:rsid w:val="14236617"/>
    <w:rsid w:val="14405D22"/>
    <w:rsid w:val="1444201F"/>
    <w:rsid w:val="14990D44"/>
    <w:rsid w:val="14BE5716"/>
    <w:rsid w:val="14C34F24"/>
    <w:rsid w:val="14EB19FB"/>
    <w:rsid w:val="14F670A8"/>
    <w:rsid w:val="151F00E8"/>
    <w:rsid w:val="153170A0"/>
    <w:rsid w:val="153C1486"/>
    <w:rsid w:val="1574696E"/>
    <w:rsid w:val="15BD2C4B"/>
    <w:rsid w:val="15C15585"/>
    <w:rsid w:val="15C6474A"/>
    <w:rsid w:val="15D762E2"/>
    <w:rsid w:val="15F46539"/>
    <w:rsid w:val="15F815D5"/>
    <w:rsid w:val="16326427"/>
    <w:rsid w:val="16433642"/>
    <w:rsid w:val="16441BC9"/>
    <w:rsid w:val="164A3658"/>
    <w:rsid w:val="164E4553"/>
    <w:rsid w:val="16621C8D"/>
    <w:rsid w:val="1665243A"/>
    <w:rsid w:val="16950C3B"/>
    <w:rsid w:val="16A13E1C"/>
    <w:rsid w:val="16E77B3D"/>
    <w:rsid w:val="16F23CD8"/>
    <w:rsid w:val="16FA4E2C"/>
    <w:rsid w:val="171C17FB"/>
    <w:rsid w:val="171D46C2"/>
    <w:rsid w:val="171F74F7"/>
    <w:rsid w:val="17593127"/>
    <w:rsid w:val="17607065"/>
    <w:rsid w:val="17863661"/>
    <w:rsid w:val="17A941B6"/>
    <w:rsid w:val="180C7126"/>
    <w:rsid w:val="181C7503"/>
    <w:rsid w:val="18236833"/>
    <w:rsid w:val="18333BE2"/>
    <w:rsid w:val="18664E5B"/>
    <w:rsid w:val="18776039"/>
    <w:rsid w:val="188305B7"/>
    <w:rsid w:val="191C7213"/>
    <w:rsid w:val="19813A83"/>
    <w:rsid w:val="19845EE9"/>
    <w:rsid w:val="199D157A"/>
    <w:rsid w:val="199D5C40"/>
    <w:rsid w:val="19A940E1"/>
    <w:rsid w:val="19BA6784"/>
    <w:rsid w:val="19E80221"/>
    <w:rsid w:val="1A397664"/>
    <w:rsid w:val="1A700B7C"/>
    <w:rsid w:val="1A9C70C5"/>
    <w:rsid w:val="1AB8269D"/>
    <w:rsid w:val="1AE41258"/>
    <w:rsid w:val="1B041DD4"/>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C164185"/>
    <w:rsid w:val="1C262354"/>
    <w:rsid w:val="1C4D58A1"/>
    <w:rsid w:val="1C75643E"/>
    <w:rsid w:val="1C93342E"/>
    <w:rsid w:val="1C986933"/>
    <w:rsid w:val="1CBD2679"/>
    <w:rsid w:val="1CC31008"/>
    <w:rsid w:val="1CCC3CBC"/>
    <w:rsid w:val="1CD566D8"/>
    <w:rsid w:val="1CD974FA"/>
    <w:rsid w:val="1CDF3B2A"/>
    <w:rsid w:val="1CE4752C"/>
    <w:rsid w:val="1CE83302"/>
    <w:rsid w:val="1D167EEA"/>
    <w:rsid w:val="1D2F2D17"/>
    <w:rsid w:val="1D495FAC"/>
    <w:rsid w:val="1D4C4A30"/>
    <w:rsid w:val="1D503E27"/>
    <w:rsid w:val="1D8D58DE"/>
    <w:rsid w:val="1DB2375B"/>
    <w:rsid w:val="1DC05A19"/>
    <w:rsid w:val="1DF71A39"/>
    <w:rsid w:val="1DFB4A45"/>
    <w:rsid w:val="1DFC6FA3"/>
    <w:rsid w:val="1E005F9D"/>
    <w:rsid w:val="1E096100"/>
    <w:rsid w:val="1E1D673B"/>
    <w:rsid w:val="1E231AEA"/>
    <w:rsid w:val="1E5C7AA3"/>
    <w:rsid w:val="1E6426A0"/>
    <w:rsid w:val="1E8500B7"/>
    <w:rsid w:val="1E8D2FC4"/>
    <w:rsid w:val="1ECA5910"/>
    <w:rsid w:val="1F5E1AA4"/>
    <w:rsid w:val="1F655403"/>
    <w:rsid w:val="1F807C45"/>
    <w:rsid w:val="1F86142A"/>
    <w:rsid w:val="1F8D47B9"/>
    <w:rsid w:val="1F8E2E26"/>
    <w:rsid w:val="1F9E53C0"/>
    <w:rsid w:val="1FAB4F33"/>
    <w:rsid w:val="1FE67D3D"/>
    <w:rsid w:val="1FE80522"/>
    <w:rsid w:val="1FE9475C"/>
    <w:rsid w:val="1FFC7D8E"/>
    <w:rsid w:val="20254C0F"/>
    <w:rsid w:val="204E5A2F"/>
    <w:rsid w:val="20664963"/>
    <w:rsid w:val="20A9754C"/>
    <w:rsid w:val="20BA111E"/>
    <w:rsid w:val="20C454B5"/>
    <w:rsid w:val="20FE67E9"/>
    <w:rsid w:val="211713ED"/>
    <w:rsid w:val="21241618"/>
    <w:rsid w:val="21460B4D"/>
    <w:rsid w:val="219B7DE7"/>
    <w:rsid w:val="21BA18CA"/>
    <w:rsid w:val="21C4457A"/>
    <w:rsid w:val="21EC3353"/>
    <w:rsid w:val="21F05D61"/>
    <w:rsid w:val="21F3425F"/>
    <w:rsid w:val="22001A09"/>
    <w:rsid w:val="221E50FA"/>
    <w:rsid w:val="222D1D02"/>
    <w:rsid w:val="227B4DAD"/>
    <w:rsid w:val="22B4097F"/>
    <w:rsid w:val="22B64134"/>
    <w:rsid w:val="22D15291"/>
    <w:rsid w:val="22F22FF9"/>
    <w:rsid w:val="23141D1B"/>
    <w:rsid w:val="231470B2"/>
    <w:rsid w:val="23260413"/>
    <w:rsid w:val="236B31BC"/>
    <w:rsid w:val="236D4D88"/>
    <w:rsid w:val="237B3D5E"/>
    <w:rsid w:val="237D3953"/>
    <w:rsid w:val="23856F77"/>
    <w:rsid w:val="239177CA"/>
    <w:rsid w:val="23CB3857"/>
    <w:rsid w:val="23F35D0C"/>
    <w:rsid w:val="23FA7E69"/>
    <w:rsid w:val="244627A5"/>
    <w:rsid w:val="245323A6"/>
    <w:rsid w:val="2460107D"/>
    <w:rsid w:val="24756BA6"/>
    <w:rsid w:val="24B060A4"/>
    <w:rsid w:val="24B43F14"/>
    <w:rsid w:val="24E309A7"/>
    <w:rsid w:val="24E449CE"/>
    <w:rsid w:val="25116E92"/>
    <w:rsid w:val="2532575D"/>
    <w:rsid w:val="25555D52"/>
    <w:rsid w:val="255D2553"/>
    <w:rsid w:val="2580651A"/>
    <w:rsid w:val="25927C62"/>
    <w:rsid w:val="259A0584"/>
    <w:rsid w:val="25A247E7"/>
    <w:rsid w:val="25A87042"/>
    <w:rsid w:val="25B03EE3"/>
    <w:rsid w:val="25B111B0"/>
    <w:rsid w:val="25B92E0A"/>
    <w:rsid w:val="25BA7C53"/>
    <w:rsid w:val="25BE204F"/>
    <w:rsid w:val="26153106"/>
    <w:rsid w:val="261673CB"/>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433C4E"/>
    <w:rsid w:val="27665E21"/>
    <w:rsid w:val="27736981"/>
    <w:rsid w:val="277C2603"/>
    <w:rsid w:val="278230B3"/>
    <w:rsid w:val="279961FC"/>
    <w:rsid w:val="27AE44D5"/>
    <w:rsid w:val="27D80610"/>
    <w:rsid w:val="280944AF"/>
    <w:rsid w:val="282646EC"/>
    <w:rsid w:val="282C6E8B"/>
    <w:rsid w:val="28662581"/>
    <w:rsid w:val="28687751"/>
    <w:rsid w:val="286B4291"/>
    <w:rsid w:val="289A528E"/>
    <w:rsid w:val="28A8460E"/>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E35AD"/>
    <w:rsid w:val="2A4D76CB"/>
    <w:rsid w:val="2A652BD4"/>
    <w:rsid w:val="2A6C420C"/>
    <w:rsid w:val="2AB26607"/>
    <w:rsid w:val="2ACE4FC6"/>
    <w:rsid w:val="2AD94755"/>
    <w:rsid w:val="2AF77367"/>
    <w:rsid w:val="2B0A326E"/>
    <w:rsid w:val="2B411857"/>
    <w:rsid w:val="2B54148E"/>
    <w:rsid w:val="2B5E61B8"/>
    <w:rsid w:val="2B7118BF"/>
    <w:rsid w:val="2B724E22"/>
    <w:rsid w:val="2B8818D0"/>
    <w:rsid w:val="2B8A1EA0"/>
    <w:rsid w:val="2BE13188"/>
    <w:rsid w:val="2BE713FE"/>
    <w:rsid w:val="2C053476"/>
    <w:rsid w:val="2C113654"/>
    <w:rsid w:val="2C1B212D"/>
    <w:rsid w:val="2C3E2C44"/>
    <w:rsid w:val="2C44674C"/>
    <w:rsid w:val="2C920372"/>
    <w:rsid w:val="2CDD2828"/>
    <w:rsid w:val="2D28535E"/>
    <w:rsid w:val="2D735A67"/>
    <w:rsid w:val="2DBA131A"/>
    <w:rsid w:val="2DBA5AC8"/>
    <w:rsid w:val="2DCB735A"/>
    <w:rsid w:val="2DD462C2"/>
    <w:rsid w:val="2DDD2134"/>
    <w:rsid w:val="2DDD4E5F"/>
    <w:rsid w:val="2DE60BE9"/>
    <w:rsid w:val="2E2668E4"/>
    <w:rsid w:val="2E3B5ECD"/>
    <w:rsid w:val="2E451A7C"/>
    <w:rsid w:val="2ED36202"/>
    <w:rsid w:val="2EE13B2F"/>
    <w:rsid w:val="2EE15691"/>
    <w:rsid w:val="2F1F4FB0"/>
    <w:rsid w:val="2F4A5657"/>
    <w:rsid w:val="2F9C2E37"/>
    <w:rsid w:val="2FB000FC"/>
    <w:rsid w:val="2FC93316"/>
    <w:rsid w:val="2FCC5583"/>
    <w:rsid w:val="2FD61001"/>
    <w:rsid w:val="300852DE"/>
    <w:rsid w:val="30464020"/>
    <w:rsid w:val="306B512F"/>
    <w:rsid w:val="306D5C41"/>
    <w:rsid w:val="30A83EC2"/>
    <w:rsid w:val="30B80D4C"/>
    <w:rsid w:val="30BD2B5F"/>
    <w:rsid w:val="30F84E6F"/>
    <w:rsid w:val="31127E0D"/>
    <w:rsid w:val="3129025F"/>
    <w:rsid w:val="31320998"/>
    <w:rsid w:val="31453C7B"/>
    <w:rsid w:val="314D312F"/>
    <w:rsid w:val="31615C49"/>
    <w:rsid w:val="316D7D22"/>
    <w:rsid w:val="31843543"/>
    <w:rsid w:val="31857990"/>
    <w:rsid w:val="318B126D"/>
    <w:rsid w:val="31A1157A"/>
    <w:rsid w:val="31C25309"/>
    <w:rsid w:val="31D67B45"/>
    <w:rsid w:val="31E35430"/>
    <w:rsid w:val="3210510A"/>
    <w:rsid w:val="322055D3"/>
    <w:rsid w:val="322C2A8A"/>
    <w:rsid w:val="322E1180"/>
    <w:rsid w:val="324D07E6"/>
    <w:rsid w:val="32757B61"/>
    <w:rsid w:val="32822213"/>
    <w:rsid w:val="328F2B5E"/>
    <w:rsid w:val="32981347"/>
    <w:rsid w:val="329F7A2B"/>
    <w:rsid w:val="3311647A"/>
    <w:rsid w:val="3329346A"/>
    <w:rsid w:val="333659DA"/>
    <w:rsid w:val="335553C6"/>
    <w:rsid w:val="3357102E"/>
    <w:rsid w:val="33572FB0"/>
    <w:rsid w:val="33633EB8"/>
    <w:rsid w:val="336D250C"/>
    <w:rsid w:val="33B30672"/>
    <w:rsid w:val="33D579CF"/>
    <w:rsid w:val="33E836FB"/>
    <w:rsid w:val="33F205F7"/>
    <w:rsid w:val="33FF2179"/>
    <w:rsid w:val="345E13BA"/>
    <w:rsid w:val="345E3292"/>
    <w:rsid w:val="34664A0B"/>
    <w:rsid w:val="346E2D0F"/>
    <w:rsid w:val="34AE1E6A"/>
    <w:rsid w:val="350E3B42"/>
    <w:rsid w:val="35125628"/>
    <w:rsid w:val="352100FF"/>
    <w:rsid w:val="352167CF"/>
    <w:rsid w:val="3566212E"/>
    <w:rsid w:val="356B276A"/>
    <w:rsid w:val="358E654C"/>
    <w:rsid w:val="35965B9C"/>
    <w:rsid w:val="359F0A1F"/>
    <w:rsid w:val="35C43240"/>
    <w:rsid w:val="35D42CBE"/>
    <w:rsid w:val="361B198B"/>
    <w:rsid w:val="361B3EDC"/>
    <w:rsid w:val="361F6493"/>
    <w:rsid w:val="365C025C"/>
    <w:rsid w:val="36626692"/>
    <w:rsid w:val="367242E0"/>
    <w:rsid w:val="36897340"/>
    <w:rsid w:val="36D05609"/>
    <w:rsid w:val="36E35E9F"/>
    <w:rsid w:val="36EC24B8"/>
    <w:rsid w:val="36FF2B34"/>
    <w:rsid w:val="3712448B"/>
    <w:rsid w:val="37A34A15"/>
    <w:rsid w:val="37A52ECC"/>
    <w:rsid w:val="37C64260"/>
    <w:rsid w:val="38282D9D"/>
    <w:rsid w:val="38473444"/>
    <w:rsid w:val="38496EE5"/>
    <w:rsid w:val="385308AB"/>
    <w:rsid w:val="38854458"/>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533D48"/>
    <w:rsid w:val="3B5A1A2F"/>
    <w:rsid w:val="3B5B5758"/>
    <w:rsid w:val="3B8D3791"/>
    <w:rsid w:val="3BA27B10"/>
    <w:rsid w:val="3BA92E72"/>
    <w:rsid w:val="3BAA04FF"/>
    <w:rsid w:val="3BAD1686"/>
    <w:rsid w:val="3BAF6081"/>
    <w:rsid w:val="3BBD016F"/>
    <w:rsid w:val="3BE0479C"/>
    <w:rsid w:val="3BEE3761"/>
    <w:rsid w:val="3C0E5061"/>
    <w:rsid w:val="3C9A335A"/>
    <w:rsid w:val="3CAE042B"/>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E6347C"/>
    <w:rsid w:val="402F6781"/>
    <w:rsid w:val="40394958"/>
    <w:rsid w:val="403A1C8F"/>
    <w:rsid w:val="404D5299"/>
    <w:rsid w:val="404E76D3"/>
    <w:rsid w:val="408560B2"/>
    <w:rsid w:val="408F3C3B"/>
    <w:rsid w:val="40AD0BEA"/>
    <w:rsid w:val="40B45FA1"/>
    <w:rsid w:val="40C50789"/>
    <w:rsid w:val="40E2404A"/>
    <w:rsid w:val="40FA0619"/>
    <w:rsid w:val="41141D46"/>
    <w:rsid w:val="41262582"/>
    <w:rsid w:val="41277321"/>
    <w:rsid w:val="415C5513"/>
    <w:rsid w:val="41661CEC"/>
    <w:rsid w:val="417304D2"/>
    <w:rsid w:val="41B67760"/>
    <w:rsid w:val="4200486D"/>
    <w:rsid w:val="42084854"/>
    <w:rsid w:val="420A4AA8"/>
    <w:rsid w:val="423C231C"/>
    <w:rsid w:val="424E5D3B"/>
    <w:rsid w:val="42894103"/>
    <w:rsid w:val="42DA35EB"/>
    <w:rsid w:val="42DC1373"/>
    <w:rsid w:val="42EB5F3F"/>
    <w:rsid w:val="43015AD2"/>
    <w:rsid w:val="433B4FAD"/>
    <w:rsid w:val="43494E83"/>
    <w:rsid w:val="434A1ED7"/>
    <w:rsid w:val="434B5F61"/>
    <w:rsid w:val="439452CD"/>
    <w:rsid w:val="43987C3E"/>
    <w:rsid w:val="43DF168F"/>
    <w:rsid w:val="43F70347"/>
    <w:rsid w:val="44151500"/>
    <w:rsid w:val="44225771"/>
    <w:rsid w:val="442E2C0A"/>
    <w:rsid w:val="443415E8"/>
    <w:rsid w:val="44471AAC"/>
    <w:rsid w:val="4491321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9020E6"/>
    <w:rsid w:val="45EB5B41"/>
    <w:rsid w:val="45FC5122"/>
    <w:rsid w:val="4608625E"/>
    <w:rsid w:val="460E37F4"/>
    <w:rsid w:val="462E28FA"/>
    <w:rsid w:val="463D21F4"/>
    <w:rsid w:val="466225A9"/>
    <w:rsid w:val="46E66176"/>
    <w:rsid w:val="46F618BC"/>
    <w:rsid w:val="47172FCE"/>
    <w:rsid w:val="472D20DA"/>
    <w:rsid w:val="47322751"/>
    <w:rsid w:val="473E0204"/>
    <w:rsid w:val="473E1081"/>
    <w:rsid w:val="475075B1"/>
    <w:rsid w:val="47605FB8"/>
    <w:rsid w:val="477301BF"/>
    <w:rsid w:val="47770F2B"/>
    <w:rsid w:val="47D9109A"/>
    <w:rsid w:val="47DF1EDE"/>
    <w:rsid w:val="47E32A44"/>
    <w:rsid w:val="48001EB1"/>
    <w:rsid w:val="485F067A"/>
    <w:rsid w:val="48A46FB5"/>
    <w:rsid w:val="48C63978"/>
    <w:rsid w:val="48D931CF"/>
    <w:rsid w:val="48DB1A95"/>
    <w:rsid w:val="49095468"/>
    <w:rsid w:val="492B4F94"/>
    <w:rsid w:val="492E6967"/>
    <w:rsid w:val="49A25D9E"/>
    <w:rsid w:val="49A96B07"/>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C073223"/>
    <w:rsid w:val="4C1A464A"/>
    <w:rsid w:val="4C274913"/>
    <w:rsid w:val="4CA14D01"/>
    <w:rsid w:val="4CAC3D23"/>
    <w:rsid w:val="4CBB0999"/>
    <w:rsid w:val="4CCF792C"/>
    <w:rsid w:val="4CED7708"/>
    <w:rsid w:val="4CFB7F38"/>
    <w:rsid w:val="4CFE7AD0"/>
    <w:rsid w:val="4D033455"/>
    <w:rsid w:val="4D10719D"/>
    <w:rsid w:val="4D2211D8"/>
    <w:rsid w:val="4D583F97"/>
    <w:rsid w:val="4DC002E1"/>
    <w:rsid w:val="4DC07059"/>
    <w:rsid w:val="4DD44A19"/>
    <w:rsid w:val="4DE75FC1"/>
    <w:rsid w:val="4E6E58E7"/>
    <w:rsid w:val="4EA551CE"/>
    <w:rsid w:val="4EA57992"/>
    <w:rsid w:val="4EC86811"/>
    <w:rsid w:val="4F112BD8"/>
    <w:rsid w:val="4F2359D6"/>
    <w:rsid w:val="4F27534F"/>
    <w:rsid w:val="4F3A6B04"/>
    <w:rsid w:val="4F6621C1"/>
    <w:rsid w:val="4F69181E"/>
    <w:rsid w:val="4F9A2167"/>
    <w:rsid w:val="4FD0029E"/>
    <w:rsid w:val="4FF0072F"/>
    <w:rsid w:val="501C4EB6"/>
    <w:rsid w:val="50596932"/>
    <w:rsid w:val="50833C49"/>
    <w:rsid w:val="50880633"/>
    <w:rsid w:val="508F5958"/>
    <w:rsid w:val="50A32944"/>
    <w:rsid w:val="50DD469C"/>
    <w:rsid w:val="50E41AF7"/>
    <w:rsid w:val="50EC3EA9"/>
    <w:rsid w:val="50ED0E10"/>
    <w:rsid w:val="513B0119"/>
    <w:rsid w:val="513C7D41"/>
    <w:rsid w:val="515A0C65"/>
    <w:rsid w:val="515E27BB"/>
    <w:rsid w:val="51A45F6D"/>
    <w:rsid w:val="51B907B6"/>
    <w:rsid w:val="51DF0CDF"/>
    <w:rsid w:val="51E30B98"/>
    <w:rsid w:val="51E97071"/>
    <w:rsid w:val="51FD61FC"/>
    <w:rsid w:val="52203D61"/>
    <w:rsid w:val="52386D39"/>
    <w:rsid w:val="523C3645"/>
    <w:rsid w:val="5242431B"/>
    <w:rsid w:val="524877D4"/>
    <w:rsid w:val="524F0DF4"/>
    <w:rsid w:val="52A00B52"/>
    <w:rsid w:val="52A651A9"/>
    <w:rsid w:val="52CB4CC5"/>
    <w:rsid w:val="52D0584F"/>
    <w:rsid w:val="52E23DAC"/>
    <w:rsid w:val="52EB770C"/>
    <w:rsid w:val="52F6441F"/>
    <w:rsid w:val="5309719A"/>
    <w:rsid w:val="53140C09"/>
    <w:rsid w:val="531E1115"/>
    <w:rsid w:val="53311A2E"/>
    <w:rsid w:val="5366484D"/>
    <w:rsid w:val="53731EF1"/>
    <w:rsid w:val="53733493"/>
    <w:rsid w:val="53912B90"/>
    <w:rsid w:val="539C69A6"/>
    <w:rsid w:val="53AC07DC"/>
    <w:rsid w:val="53C41B44"/>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C91168"/>
    <w:rsid w:val="56E15BAE"/>
    <w:rsid w:val="56FA0DF2"/>
    <w:rsid w:val="56FF0F11"/>
    <w:rsid w:val="5714339A"/>
    <w:rsid w:val="5717042A"/>
    <w:rsid w:val="571A1A7B"/>
    <w:rsid w:val="572E4DA3"/>
    <w:rsid w:val="572E781C"/>
    <w:rsid w:val="575952E3"/>
    <w:rsid w:val="57842375"/>
    <w:rsid w:val="57866CAC"/>
    <w:rsid w:val="579B36BD"/>
    <w:rsid w:val="57B2220D"/>
    <w:rsid w:val="57C76DE6"/>
    <w:rsid w:val="57D165DD"/>
    <w:rsid w:val="57D80574"/>
    <w:rsid w:val="580A0E63"/>
    <w:rsid w:val="580E3A4B"/>
    <w:rsid w:val="5814779C"/>
    <w:rsid w:val="584357AA"/>
    <w:rsid w:val="58764BA4"/>
    <w:rsid w:val="588221AB"/>
    <w:rsid w:val="58870496"/>
    <w:rsid w:val="588A1876"/>
    <w:rsid w:val="588D71B2"/>
    <w:rsid w:val="58AC68EF"/>
    <w:rsid w:val="58BE53CF"/>
    <w:rsid w:val="58C007C6"/>
    <w:rsid w:val="58C41915"/>
    <w:rsid w:val="58E407EA"/>
    <w:rsid w:val="590649AC"/>
    <w:rsid w:val="591B616B"/>
    <w:rsid w:val="592D1F6B"/>
    <w:rsid w:val="59304CE8"/>
    <w:rsid w:val="59370159"/>
    <w:rsid w:val="59532C2C"/>
    <w:rsid w:val="5981656F"/>
    <w:rsid w:val="59A06B52"/>
    <w:rsid w:val="59A26243"/>
    <w:rsid w:val="59C76055"/>
    <w:rsid w:val="59E75FD1"/>
    <w:rsid w:val="5A065F4B"/>
    <w:rsid w:val="5A0B1C28"/>
    <w:rsid w:val="5A2255E6"/>
    <w:rsid w:val="5A851E01"/>
    <w:rsid w:val="5AA15ABA"/>
    <w:rsid w:val="5AB06C76"/>
    <w:rsid w:val="5AF63E2E"/>
    <w:rsid w:val="5B1128EC"/>
    <w:rsid w:val="5B29025F"/>
    <w:rsid w:val="5B3143F9"/>
    <w:rsid w:val="5B503CBD"/>
    <w:rsid w:val="5BF21181"/>
    <w:rsid w:val="5BFA46DF"/>
    <w:rsid w:val="5BFD0432"/>
    <w:rsid w:val="5C1974E5"/>
    <w:rsid w:val="5C1C7E80"/>
    <w:rsid w:val="5C4828EE"/>
    <w:rsid w:val="5CA72002"/>
    <w:rsid w:val="5CBD3C20"/>
    <w:rsid w:val="5CE075FF"/>
    <w:rsid w:val="5CE9518C"/>
    <w:rsid w:val="5D2166D8"/>
    <w:rsid w:val="5D272680"/>
    <w:rsid w:val="5D45468E"/>
    <w:rsid w:val="5D6B04DF"/>
    <w:rsid w:val="5D9B1497"/>
    <w:rsid w:val="5DDC51F6"/>
    <w:rsid w:val="5DE3422A"/>
    <w:rsid w:val="5E05130E"/>
    <w:rsid w:val="5E135B29"/>
    <w:rsid w:val="5E466F37"/>
    <w:rsid w:val="5E6A0CC2"/>
    <w:rsid w:val="5E845B3F"/>
    <w:rsid w:val="5E8D1899"/>
    <w:rsid w:val="5ED063E1"/>
    <w:rsid w:val="5EF4213A"/>
    <w:rsid w:val="5EF778DD"/>
    <w:rsid w:val="5F012051"/>
    <w:rsid w:val="5F151A68"/>
    <w:rsid w:val="5F1E594E"/>
    <w:rsid w:val="5F2306D2"/>
    <w:rsid w:val="5F364291"/>
    <w:rsid w:val="5F720D05"/>
    <w:rsid w:val="5FB038A7"/>
    <w:rsid w:val="5FBB2542"/>
    <w:rsid w:val="5FFB489D"/>
    <w:rsid w:val="6014637F"/>
    <w:rsid w:val="60304923"/>
    <w:rsid w:val="60340051"/>
    <w:rsid w:val="60350C06"/>
    <w:rsid w:val="603B74D8"/>
    <w:rsid w:val="60687CAA"/>
    <w:rsid w:val="6074197E"/>
    <w:rsid w:val="60A7279D"/>
    <w:rsid w:val="60C625CB"/>
    <w:rsid w:val="60C71D15"/>
    <w:rsid w:val="61036CD9"/>
    <w:rsid w:val="61097F16"/>
    <w:rsid w:val="612451AE"/>
    <w:rsid w:val="613E3C59"/>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203A10"/>
    <w:rsid w:val="6321699F"/>
    <w:rsid w:val="63360CF0"/>
    <w:rsid w:val="63554E4D"/>
    <w:rsid w:val="63652DBD"/>
    <w:rsid w:val="63687E84"/>
    <w:rsid w:val="637257E9"/>
    <w:rsid w:val="63951967"/>
    <w:rsid w:val="63B50F8C"/>
    <w:rsid w:val="640E61DB"/>
    <w:rsid w:val="641206A9"/>
    <w:rsid w:val="64545838"/>
    <w:rsid w:val="645F02B5"/>
    <w:rsid w:val="64681B01"/>
    <w:rsid w:val="64867FEE"/>
    <w:rsid w:val="649007B3"/>
    <w:rsid w:val="64AE06FA"/>
    <w:rsid w:val="64D401A5"/>
    <w:rsid w:val="65024685"/>
    <w:rsid w:val="650F7139"/>
    <w:rsid w:val="652A7FEB"/>
    <w:rsid w:val="652B00E3"/>
    <w:rsid w:val="65535A5A"/>
    <w:rsid w:val="65880271"/>
    <w:rsid w:val="659D0DEE"/>
    <w:rsid w:val="65A6262A"/>
    <w:rsid w:val="65D219C2"/>
    <w:rsid w:val="65D21E1C"/>
    <w:rsid w:val="65DA54B3"/>
    <w:rsid w:val="65FB4D18"/>
    <w:rsid w:val="660A7073"/>
    <w:rsid w:val="660E3C9E"/>
    <w:rsid w:val="66164CE6"/>
    <w:rsid w:val="66425F55"/>
    <w:rsid w:val="664E5D65"/>
    <w:rsid w:val="665C5C0C"/>
    <w:rsid w:val="66BF254A"/>
    <w:rsid w:val="66EE49DE"/>
    <w:rsid w:val="676F09D5"/>
    <w:rsid w:val="67790849"/>
    <w:rsid w:val="67AA7DCF"/>
    <w:rsid w:val="67B34464"/>
    <w:rsid w:val="67BD22B9"/>
    <w:rsid w:val="67FE1162"/>
    <w:rsid w:val="681B0E12"/>
    <w:rsid w:val="688F28E2"/>
    <w:rsid w:val="68A11DD7"/>
    <w:rsid w:val="68A51FB8"/>
    <w:rsid w:val="68DB53E7"/>
    <w:rsid w:val="68EA3016"/>
    <w:rsid w:val="68EB7ABC"/>
    <w:rsid w:val="69062705"/>
    <w:rsid w:val="691B0B6B"/>
    <w:rsid w:val="69782CD3"/>
    <w:rsid w:val="697F5EFC"/>
    <w:rsid w:val="698A7439"/>
    <w:rsid w:val="69936875"/>
    <w:rsid w:val="69964E32"/>
    <w:rsid w:val="69AE114D"/>
    <w:rsid w:val="69DC7E67"/>
    <w:rsid w:val="69E80350"/>
    <w:rsid w:val="69EF047B"/>
    <w:rsid w:val="6A1D56B2"/>
    <w:rsid w:val="6A2B6FC3"/>
    <w:rsid w:val="6A3A339B"/>
    <w:rsid w:val="6A3A5E65"/>
    <w:rsid w:val="6A6F1C4C"/>
    <w:rsid w:val="6A7202DC"/>
    <w:rsid w:val="6AA74E35"/>
    <w:rsid w:val="6AC6225B"/>
    <w:rsid w:val="6B505BBB"/>
    <w:rsid w:val="6B6333A7"/>
    <w:rsid w:val="6BCA5C39"/>
    <w:rsid w:val="6BE27CF9"/>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C68B9"/>
    <w:rsid w:val="6CD66EDA"/>
    <w:rsid w:val="6D146CD3"/>
    <w:rsid w:val="6D1566D6"/>
    <w:rsid w:val="6D1C589C"/>
    <w:rsid w:val="6D5502AA"/>
    <w:rsid w:val="6DA31776"/>
    <w:rsid w:val="6DA45FD5"/>
    <w:rsid w:val="6DA65016"/>
    <w:rsid w:val="6DCB15BA"/>
    <w:rsid w:val="6DEF5697"/>
    <w:rsid w:val="6E290AC9"/>
    <w:rsid w:val="6E2E4332"/>
    <w:rsid w:val="6E366026"/>
    <w:rsid w:val="6E3C157B"/>
    <w:rsid w:val="6E4628B1"/>
    <w:rsid w:val="6E6903A5"/>
    <w:rsid w:val="6E9905B2"/>
    <w:rsid w:val="6EB87125"/>
    <w:rsid w:val="6EBB6069"/>
    <w:rsid w:val="6EC11D71"/>
    <w:rsid w:val="6EC647CC"/>
    <w:rsid w:val="6EEB4982"/>
    <w:rsid w:val="6F1222C5"/>
    <w:rsid w:val="6F161214"/>
    <w:rsid w:val="6F317DD0"/>
    <w:rsid w:val="6F322D6E"/>
    <w:rsid w:val="6F3A0D2D"/>
    <w:rsid w:val="6F710F7D"/>
    <w:rsid w:val="6F757BA3"/>
    <w:rsid w:val="6F794E16"/>
    <w:rsid w:val="6F8E0F7C"/>
    <w:rsid w:val="6FAF019B"/>
    <w:rsid w:val="6FB202FC"/>
    <w:rsid w:val="6FBA5851"/>
    <w:rsid w:val="6FD431BC"/>
    <w:rsid w:val="6FD64D8A"/>
    <w:rsid w:val="709649ED"/>
    <w:rsid w:val="70A84AD3"/>
    <w:rsid w:val="70AE3508"/>
    <w:rsid w:val="70B351A6"/>
    <w:rsid w:val="70BF773C"/>
    <w:rsid w:val="70C41831"/>
    <w:rsid w:val="70E94F37"/>
    <w:rsid w:val="7117334E"/>
    <w:rsid w:val="711F7F62"/>
    <w:rsid w:val="712719C8"/>
    <w:rsid w:val="71336359"/>
    <w:rsid w:val="71492755"/>
    <w:rsid w:val="714B63FF"/>
    <w:rsid w:val="717A4EBB"/>
    <w:rsid w:val="71A121E2"/>
    <w:rsid w:val="71AA47BF"/>
    <w:rsid w:val="71CD5454"/>
    <w:rsid w:val="71D5629F"/>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2A0D"/>
    <w:rsid w:val="731F3B82"/>
    <w:rsid w:val="73411A38"/>
    <w:rsid w:val="734D21A1"/>
    <w:rsid w:val="73836ECE"/>
    <w:rsid w:val="73C67500"/>
    <w:rsid w:val="73C864B5"/>
    <w:rsid w:val="73DE7E71"/>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F2017E"/>
    <w:rsid w:val="77FA423A"/>
    <w:rsid w:val="78005019"/>
    <w:rsid w:val="78092CC0"/>
    <w:rsid w:val="780C2435"/>
    <w:rsid w:val="782A0B51"/>
    <w:rsid w:val="78353363"/>
    <w:rsid w:val="783A31FE"/>
    <w:rsid w:val="783F6D77"/>
    <w:rsid w:val="78486CF0"/>
    <w:rsid w:val="78534919"/>
    <w:rsid w:val="785663DA"/>
    <w:rsid w:val="78584462"/>
    <w:rsid w:val="7895462E"/>
    <w:rsid w:val="78D631FC"/>
    <w:rsid w:val="78FC2FBF"/>
    <w:rsid w:val="78FD5501"/>
    <w:rsid w:val="791467F0"/>
    <w:rsid w:val="79430114"/>
    <w:rsid w:val="79430A37"/>
    <w:rsid w:val="795E7C16"/>
    <w:rsid w:val="795F01E3"/>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94AC1"/>
    <w:rsid w:val="7AC977F9"/>
    <w:rsid w:val="7AE11572"/>
    <w:rsid w:val="7AE31524"/>
    <w:rsid w:val="7AE70BEB"/>
    <w:rsid w:val="7B057C25"/>
    <w:rsid w:val="7B4C6C66"/>
    <w:rsid w:val="7B5C332E"/>
    <w:rsid w:val="7B904C22"/>
    <w:rsid w:val="7B9E18EF"/>
    <w:rsid w:val="7BB9672E"/>
    <w:rsid w:val="7C0968F5"/>
    <w:rsid w:val="7C1235AA"/>
    <w:rsid w:val="7C160893"/>
    <w:rsid w:val="7C5622FF"/>
    <w:rsid w:val="7C571497"/>
    <w:rsid w:val="7CB95588"/>
    <w:rsid w:val="7CBA56FF"/>
    <w:rsid w:val="7CE64D15"/>
    <w:rsid w:val="7CF732D1"/>
    <w:rsid w:val="7D131D7B"/>
    <w:rsid w:val="7D1E10B2"/>
    <w:rsid w:val="7D3D5EFF"/>
    <w:rsid w:val="7D3D7820"/>
    <w:rsid w:val="7D435739"/>
    <w:rsid w:val="7D93221A"/>
    <w:rsid w:val="7DA977AA"/>
    <w:rsid w:val="7DAC0454"/>
    <w:rsid w:val="7DED2A89"/>
    <w:rsid w:val="7DFA3D48"/>
    <w:rsid w:val="7E980733"/>
    <w:rsid w:val="7E9B4DC3"/>
    <w:rsid w:val="7EC57197"/>
    <w:rsid w:val="7EFB4248"/>
    <w:rsid w:val="7EFD7DC7"/>
    <w:rsid w:val="7F274E2A"/>
    <w:rsid w:val="7F2C2F55"/>
    <w:rsid w:val="7F45439F"/>
    <w:rsid w:val="7F4A4D43"/>
    <w:rsid w:val="7F545830"/>
    <w:rsid w:val="7F590F20"/>
    <w:rsid w:val="7F8F3F40"/>
    <w:rsid w:val="7FA62478"/>
    <w:rsid w:val="7FB2257F"/>
    <w:rsid w:val="7FE92E70"/>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nhideWhenUsed="0" w:uiPriority="0" w:semiHidden="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rFonts w:ascii="Times New Roman" w:hAnsi="Times New Roman" w:eastAsia="宋体"/>
      <w:b/>
      <w:bCs/>
      <w:kern w:val="44"/>
      <w:sz w:val="28"/>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24" w:lineRule="auto"/>
      <w:outlineLvl w:val="2"/>
    </w:pPr>
    <w:rPr>
      <w:rFonts w:ascii="宋体" w:hAnsi="宋体"/>
      <w:b/>
      <w:bCs/>
      <w:kern w:val="0"/>
      <w:sz w:val="24"/>
      <w:szCs w:val="32"/>
    </w:rPr>
  </w:style>
  <w:style w:type="paragraph" w:styleId="6">
    <w:name w:val="heading 4"/>
    <w:basedOn w:val="1"/>
    <w:next w:val="1"/>
    <w:unhideWhenUsed/>
    <w:qFormat/>
    <w:uiPriority w:val="0"/>
    <w:pPr>
      <w:spacing w:before="35"/>
      <w:ind w:left="142"/>
      <w:jc w:val="center"/>
      <w:outlineLvl w:val="3"/>
    </w:pPr>
    <w:rPr>
      <w:rFonts w:ascii="宋体" w:hAnsi="宋体" w:cs="宋体"/>
      <w:b/>
      <w:bCs/>
      <w:sz w:val="32"/>
      <w:szCs w:val="32"/>
      <w:lang w:val="zh-CN" w:bidi="zh-CN"/>
    </w:rPr>
  </w:style>
  <w:style w:type="paragraph" w:styleId="2">
    <w:name w:val="heading 6"/>
    <w:basedOn w:val="1"/>
    <w:next w:val="1"/>
    <w:qFormat/>
    <w:uiPriority w:val="0"/>
    <w:pPr>
      <w:keepNext/>
      <w:keepLines/>
      <w:numPr>
        <w:ilvl w:val="5"/>
        <w:numId w:val="1"/>
      </w:numPr>
      <w:adjustRightInd w:val="0"/>
      <w:spacing w:before="240" w:after="64" w:line="320" w:lineRule="atLeast"/>
      <w:jc w:val="left"/>
      <w:textAlignment w:val="baseline"/>
      <w:outlineLvl w:val="5"/>
    </w:pPr>
    <w:rPr>
      <w:rFonts w:ascii="Arial" w:hAnsi="Arial" w:eastAsia="黑体"/>
      <w:b/>
      <w:bCs/>
      <w:kern w:val="0"/>
      <w:sz w:val="24"/>
    </w:rPr>
  </w:style>
  <w:style w:type="paragraph" w:styleId="7">
    <w:name w:val="heading 7"/>
    <w:basedOn w:val="1"/>
    <w:next w:val="1"/>
    <w:unhideWhenUsed/>
    <w:qFormat/>
    <w:uiPriority w:val="0"/>
    <w:pPr>
      <w:ind w:left="448"/>
      <w:outlineLvl w:val="6"/>
    </w:pPr>
    <w:rPr>
      <w:rFonts w:ascii="宋体" w:hAnsi="宋体" w:cs="宋体"/>
      <w:sz w:val="24"/>
      <w:lang w:val="zh-CN" w:bidi="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0"/>
    <w:pPr>
      <w:ind w:firstLine="420" w:firstLineChars="200"/>
    </w:pPr>
  </w:style>
  <w:style w:type="paragraph" w:styleId="9">
    <w:name w:val="annotation text"/>
    <w:basedOn w:val="1"/>
    <w:link w:val="41"/>
    <w:qFormat/>
    <w:uiPriority w:val="0"/>
    <w:pPr>
      <w:jc w:val="left"/>
    </w:pPr>
  </w:style>
  <w:style w:type="paragraph" w:styleId="10">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unhideWhenUsed/>
    <w:qFormat/>
    <w:uiPriority w:val="0"/>
    <w:pPr>
      <w:snapToGrid w:val="0"/>
    </w:pPr>
    <w:rPr>
      <w:rFonts w:ascii="Arial" w:hAnsi="Arial"/>
    </w:rPr>
  </w:style>
  <w:style w:type="paragraph" w:styleId="13">
    <w:name w:val="Plain Text"/>
    <w:basedOn w:val="1"/>
    <w:next w:val="6"/>
    <w:qFormat/>
    <w:uiPriority w:val="0"/>
    <w:rPr>
      <w:rFonts w:ascii="宋体" w:hAnsi="Courier New" w:cs="Courier New"/>
      <w:szCs w:val="21"/>
    </w:rPr>
  </w:style>
  <w:style w:type="paragraph" w:styleId="14">
    <w:name w:val="Date"/>
    <w:basedOn w:val="1"/>
    <w:next w:val="1"/>
    <w:qFormat/>
    <w:uiPriority w:val="0"/>
    <w:pPr>
      <w:ind w:left="100" w:leftChars="2500"/>
    </w:pPr>
    <w:rPr>
      <w:rFonts w:ascii="宋体" w:hAnsi="Courier New"/>
      <w:bCs/>
      <w:sz w:val="24"/>
    </w:rPr>
  </w:style>
  <w:style w:type="paragraph" w:styleId="15">
    <w:name w:val="Balloon Text"/>
    <w:basedOn w:val="1"/>
    <w:link w:val="4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Body Text Indent 3"/>
    <w:basedOn w:val="1"/>
    <w:qFormat/>
    <w:uiPriority w:val="0"/>
    <w:pPr>
      <w:spacing w:after="120"/>
      <w:ind w:left="420" w:leftChars="200"/>
    </w:pPr>
    <w:rPr>
      <w:sz w:val="16"/>
      <w:szCs w:val="16"/>
    </w:rPr>
  </w:style>
  <w:style w:type="paragraph" w:styleId="2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index 1"/>
    <w:basedOn w:val="1"/>
    <w:next w:val="1"/>
    <w:qFormat/>
    <w:uiPriority w:val="0"/>
    <w:rPr>
      <w:lang w:eastAsia="en-US"/>
    </w:rPr>
  </w:style>
  <w:style w:type="paragraph" w:styleId="24">
    <w:name w:val="annotation subject"/>
    <w:basedOn w:val="9"/>
    <w:next w:val="9"/>
    <w:link w:val="42"/>
    <w:qFormat/>
    <w:uiPriority w:val="0"/>
    <w:rPr>
      <w:b/>
      <w:bCs/>
    </w:rPr>
  </w:style>
  <w:style w:type="paragraph" w:styleId="25">
    <w:name w:val="Body Text First Indent"/>
    <w:basedOn w:val="10"/>
    <w:next w:val="1"/>
    <w:qFormat/>
    <w:uiPriority w:val="0"/>
    <w:pPr>
      <w:ind w:firstLine="420" w:firstLineChars="100"/>
    </w:pPr>
    <w:rPr>
      <w:rFonts w:ascii="Times New Roman"/>
      <w:sz w:val="21"/>
      <w:szCs w:val="24"/>
    </w:rPr>
  </w:style>
  <w:style w:type="paragraph" w:styleId="26">
    <w:name w:val="Body Text First Indent 2"/>
    <w:basedOn w:val="11"/>
    <w:next w:val="1"/>
    <w:qFormat/>
    <w:uiPriority w:val="0"/>
    <w:pPr>
      <w:spacing w:line="360" w:lineRule="auto"/>
      <w:ind w:firstLine="420" w:firstLineChars="200"/>
    </w:pPr>
    <w:rPr>
      <w:sz w:val="24"/>
      <w:szCs w:val="24"/>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basedOn w:val="29"/>
    <w:unhideWhenUsed/>
    <w:qFormat/>
    <w:uiPriority w:val="99"/>
    <w:rPr>
      <w:color w:val="0000FF"/>
      <w:u w:val="single"/>
    </w:rPr>
  </w:style>
  <w:style w:type="character" w:styleId="32">
    <w:name w:val="annotation reference"/>
    <w:qFormat/>
    <w:uiPriority w:val="0"/>
    <w:rPr>
      <w:sz w:val="21"/>
      <w:szCs w:val="21"/>
    </w:rPr>
  </w:style>
  <w:style w:type="character" w:styleId="33">
    <w:name w:val="HTML Sample"/>
    <w:basedOn w:val="29"/>
    <w:qFormat/>
    <w:uiPriority w:val="0"/>
    <w:rPr>
      <w:rFonts w:ascii="Courier New" w:hAnsi="Courier New"/>
    </w:rPr>
  </w:style>
  <w:style w:type="paragraph" w:customStyle="1" w:styleId="34">
    <w:name w:val="_Style 3"/>
    <w:basedOn w:val="1"/>
    <w:next w:val="1"/>
    <w:qFormat/>
    <w:uiPriority w:val="99"/>
    <w:pPr>
      <w:spacing w:line="360" w:lineRule="auto"/>
      <w:ind w:firstLine="420"/>
    </w:pPr>
    <w:rPr>
      <w:rFonts w:ascii="Calibri" w:hAnsi="Calibri"/>
      <w:sz w:val="24"/>
      <w:szCs w:val="22"/>
    </w:rPr>
  </w:style>
  <w:style w:type="paragraph" w:customStyle="1" w:styleId="35">
    <w:name w:val="表格文字"/>
    <w:basedOn w:val="36"/>
    <w:qFormat/>
    <w:uiPriority w:val="99"/>
    <w:pPr>
      <w:spacing w:before="25" w:after="25"/>
      <w:jc w:val="left"/>
    </w:pPr>
    <w:rPr>
      <w:bCs/>
      <w:spacing w:val="10"/>
      <w:kern w:val="0"/>
      <w:sz w:val="24"/>
    </w:rPr>
  </w:style>
  <w:style w:type="paragraph" w:customStyle="1" w:styleId="36">
    <w:name w:val="正文_0"/>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Default"/>
    <w:qFormat/>
    <w:uiPriority w:val="0"/>
    <w:pPr>
      <w:widowControl w:val="0"/>
      <w:autoSpaceDE w:val="0"/>
      <w:autoSpaceDN w:val="0"/>
      <w:adjustRightInd w:val="0"/>
    </w:pPr>
    <w:rPr>
      <w:rFonts w:ascii="......." w:hAnsi="......." w:eastAsia="......." w:cs="......."/>
      <w:color w:val="000000"/>
      <w:sz w:val="21"/>
      <w:szCs w:val="24"/>
      <w:lang w:val="en-US" w:eastAsia="zh-CN" w:bidi="ar-SA"/>
    </w:rPr>
  </w:style>
  <w:style w:type="paragraph" w:styleId="38">
    <w:name w:val="List Paragraph"/>
    <w:basedOn w:val="1"/>
    <w:qFormat/>
    <w:uiPriority w:val="34"/>
    <w:pPr>
      <w:ind w:firstLine="420" w:firstLineChars="200"/>
    </w:pPr>
  </w:style>
  <w:style w:type="paragraph" w:customStyle="1" w:styleId="39">
    <w:name w:val="Plain Text1"/>
    <w:basedOn w:val="1"/>
    <w:qFormat/>
    <w:uiPriority w:val="0"/>
    <w:rPr>
      <w:rFonts w:ascii="宋体" w:hAnsi="Courier New" w:cs="Courier New"/>
      <w:szCs w:val="21"/>
    </w:rPr>
  </w:style>
  <w:style w:type="paragraph" w:customStyle="1" w:styleId="40">
    <w:name w:val="Table Paragraph"/>
    <w:basedOn w:val="1"/>
    <w:qFormat/>
    <w:uiPriority w:val="1"/>
    <w:rPr>
      <w:rFonts w:ascii="宋体" w:hAnsi="宋体" w:cs="宋体"/>
      <w:lang w:val="zh-CN" w:bidi="zh-CN"/>
    </w:rPr>
  </w:style>
  <w:style w:type="character" w:customStyle="1" w:styleId="41">
    <w:name w:val="批注文字 Char"/>
    <w:basedOn w:val="29"/>
    <w:link w:val="9"/>
    <w:qFormat/>
    <w:uiPriority w:val="0"/>
    <w:rPr>
      <w:kern w:val="2"/>
      <w:sz w:val="21"/>
      <w:szCs w:val="24"/>
    </w:rPr>
  </w:style>
  <w:style w:type="character" w:customStyle="1" w:styleId="42">
    <w:name w:val="批注主题 Char"/>
    <w:basedOn w:val="41"/>
    <w:link w:val="24"/>
    <w:qFormat/>
    <w:uiPriority w:val="0"/>
    <w:rPr>
      <w:b/>
      <w:bCs/>
      <w:kern w:val="2"/>
      <w:sz w:val="21"/>
      <w:szCs w:val="24"/>
    </w:rPr>
  </w:style>
  <w:style w:type="character" w:customStyle="1" w:styleId="43">
    <w:name w:val="批注框文本 Char"/>
    <w:basedOn w:val="29"/>
    <w:link w:val="15"/>
    <w:qFormat/>
    <w:uiPriority w:val="0"/>
    <w:rPr>
      <w:kern w:val="2"/>
      <w:sz w:val="18"/>
      <w:szCs w:val="18"/>
    </w:rPr>
  </w:style>
  <w:style w:type="paragraph" w:customStyle="1" w:styleId="44">
    <w:name w:val="纯文本1"/>
    <w:basedOn w:val="1"/>
    <w:qFormat/>
    <w:uiPriority w:val="0"/>
    <w:pPr>
      <w:suppressAutoHyphens/>
    </w:pPr>
    <w:rPr>
      <w:rFonts w:ascii="宋体" w:hAnsi="宋体" w:cs="Courier New"/>
      <w:szCs w:val="21"/>
      <w:lang w:eastAsia="ar-SA"/>
    </w:rPr>
  </w:style>
  <w:style w:type="paragraph" w:customStyle="1" w:styleId="4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6">
    <w:name w:val="textcontents"/>
    <w:basedOn w:val="29"/>
    <w:qFormat/>
    <w:uiPriority w:val="0"/>
  </w:style>
  <w:style w:type="paragraph" w:customStyle="1" w:styleId="47">
    <w:name w:val="正文2"/>
    <w:basedOn w:val="1"/>
    <w:qFormat/>
    <w:uiPriority w:val="0"/>
    <w:pPr>
      <w:adjustRightInd w:val="0"/>
      <w:spacing w:before="156" w:line="360" w:lineRule="auto"/>
      <w:ind w:firstLine="510" w:firstLineChars="200"/>
    </w:pPr>
    <w:rPr>
      <w:kern w:val="0"/>
      <w:sz w:val="24"/>
      <w:szCs w:val="20"/>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 w:type="table" w:customStyle="1" w:styleId="49">
    <w:name w:val="Table Normal"/>
    <w:semiHidden/>
    <w:unhideWhenUsed/>
    <w:qFormat/>
    <w:uiPriority w:val="0"/>
    <w:tblPr>
      <w:tblCellMar>
        <w:top w:w="0" w:type="dxa"/>
        <w:left w:w="0" w:type="dxa"/>
        <w:bottom w:w="0" w:type="dxa"/>
        <w:right w:w="0" w:type="dxa"/>
      </w:tblCellMar>
    </w:tblPr>
  </w:style>
  <w:style w:type="paragraph" w:customStyle="1" w:styleId="50">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正文文本_0"/>
    <w:basedOn w:val="50"/>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2">
    <w:name w:val="Normal_1"/>
    <w:qFormat/>
    <w:uiPriority w:val="0"/>
    <w:rPr>
      <w:rFonts w:ascii="Times New Roman" w:hAnsi="Times New Roman" w:eastAsia="Times New Roman" w:cs="Times New Roman"/>
      <w:sz w:val="24"/>
      <w:szCs w:val="24"/>
    </w:rPr>
  </w:style>
  <w:style w:type="paragraph" w:customStyle="1" w:styleId="53">
    <w:name w:val="Body text|1_2"/>
    <w:basedOn w:val="5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4">
    <w:name w:val="Other|1_2"/>
    <w:basedOn w:val="50"/>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55">
    <w:name w:val="标题 2_1"/>
    <w:basedOn w:val="50"/>
    <w:next w:val="50"/>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6">
    <w:name w:val="标题 3_2"/>
    <w:basedOn w:val="50"/>
    <w:next w:val="50"/>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57">
    <w:name w:val="标题 2_0"/>
    <w:basedOn w:val="58"/>
    <w:next w:val="58"/>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正文_2"/>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59">
    <w:name w:val="标题 3_1"/>
    <w:basedOn w:val="58"/>
    <w:next w:val="58"/>
    <w:qFormat/>
    <w:uiPriority w:val="0"/>
    <w:pPr>
      <w:keepNext/>
      <w:keepLines/>
      <w:spacing w:before="240" w:beforeLines="0" w:after="120" w:afterLines="0" w:line="240" w:lineRule="auto"/>
      <w:outlineLvl w:val="2"/>
    </w:pPr>
    <w:rPr>
      <w:rFonts w:ascii="Times New Roman" w:hAnsi="Times New Roman" w:eastAsia="宋体"/>
      <w:b/>
      <w:color w:val="auto"/>
      <w:sz w:val="32"/>
      <w:szCs w:val="20"/>
      <w:lang w:bidi="ar-SA"/>
    </w:rPr>
  </w:style>
  <w:style w:type="paragraph" w:customStyle="1" w:styleId="60">
    <w:name w:val="Body text|1_1"/>
    <w:basedOn w:val="5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1">
    <w:name w:val="Body text|2_0"/>
    <w:basedOn w:val="58"/>
    <w:qFormat/>
    <w:uiPriority w:val="0"/>
    <w:pPr>
      <w:spacing w:after="30"/>
      <w:ind w:firstLine="420"/>
    </w:pPr>
    <w:rPr>
      <w:rFonts w:eastAsia="宋体"/>
      <w:color w:val="auto"/>
      <w:sz w:val="20"/>
      <w:szCs w:val="20"/>
      <w:lang w:bidi="ar-SA"/>
    </w:rPr>
  </w:style>
  <w:style w:type="paragraph" w:customStyle="1" w:styleId="62">
    <w:name w:val="Other|1_1"/>
    <w:basedOn w:val="58"/>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3">
    <w:name w:val="正文_2_0"/>
    <w:basedOn w:val="58"/>
    <w:qFormat/>
    <w:uiPriority w:val="0"/>
    <w:rPr>
      <w:rFonts w:eastAsia="宋体"/>
      <w:lang w:eastAsia="zh-CN" w:bidi="ar-SA"/>
    </w:rPr>
  </w:style>
  <w:style w:type="character" w:customStyle="1" w:styleId="64">
    <w:name w:val="10"/>
    <w:qFormat/>
    <w:uiPriority w:val="0"/>
    <w:rPr>
      <w:rFonts w:hint="default" w:ascii="Times New Roman" w:hAnsi="Times New Roman" w:eastAsia="Times New Roman" w:cs="Times New Roman"/>
      <w:lang w:eastAsia="en-US" w:bidi="en-US"/>
    </w:rPr>
  </w:style>
  <w:style w:type="paragraph" w:customStyle="1" w:styleId="65">
    <w:name w:val="正文_3"/>
    <w:basedOn w:val="58"/>
    <w:qFormat/>
    <w:uiPriority w:val="0"/>
    <w:rPr>
      <w:rFonts w:eastAsia="宋体"/>
      <w:lang w:eastAsia="zh-CN" w:bidi="ar-SA"/>
    </w:rPr>
  </w:style>
  <w:style w:type="paragraph" w:customStyle="1" w:styleId="66">
    <w:name w:val="样式 样式16 + 首行缩进:  2 字符"/>
    <w:basedOn w:val="1"/>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7">
    <w:name w:val="正文小标题"/>
    <w:basedOn w:val="3"/>
    <w:qFormat/>
    <w:uiPriority w:val="0"/>
    <w:pPr>
      <w:keepLines/>
      <w:pageBreakBefore w:val="0"/>
      <w:numPr>
        <w:ilvl w:val="0"/>
        <w:numId w:val="0"/>
      </w:numPr>
      <w:spacing w:before="340" w:line="420" w:lineRule="exact"/>
      <w:jc w:val="both"/>
    </w:pPr>
    <w:rPr>
      <w:rFonts w:ascii="Calibri" w:hAnsi="宋体" w:eastAsia="微软雅黑"/>
      <w:b w:val="0"/>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65</Pages>
  <Words>25011</Words>
  <Characters>26840</Characters>
  <Lines>51</Lines>
  <Paragraphs>59</Paragraphs>
  <TotalTime>38</TotalTime>
  <ScaleCrop>false</ScaleCrop>
  <LinksUpToDate>false</LinksUpToDate>
  <CharactersWithSpaces>27892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飞飞</cp:lastModifiedBy>
  <cp:lastPrinted>2024-09-20T00:54:00Z</cp:lastPrinted>
  <dcterms:modified xsi:type="dcterms:W3CDTF">2025-04-07T08:04:51Z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F759AD8609A54849885A4259DBFCA1A3_13</vt:lpwstr>
  </property>
  <property fmtid="{D5CDD505-2E9C-101B-9397-08002B2CF9AE}" pid="4" name="KSOTemplateDocerSaveRecord">
    <vt:lpwstr>eyJoZGlkIjoiNTExZjFmMDBlMTQ3N2FkNDdhOTAwYTEyYjRlMGEyMmIiLCJ1c2VySWQiOiI1Njc0NTE2NzYifQ==</vt:lpwstr>
  </property>
</Properties>
</file>