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1BC7E1">
      <w:pPr>
        <w:spacing w:line="360" w:lineRule="auto"/>
        <w:jc w:val="center"/>
        <w:rPr>
          <w:rFonts w:ascii="仿宋_GB2312" w:hAnsi="宋体" w:eastAsia="仿宋_GB2312"/>
          <w:b/>
          <w:color w:val="auto"/>
          <w:sz w:val="32"/>
          <w:szCs w:val="32"/>
          <w:highlight w:val="none"/>
        </w:rPr>
      </w:pPr>
      <w:r>
        <w:rPr>
          <w:rFonts w:hint="eastAsia" w:ascii="华文新魏" w:hAnsi="宋体" w:eastAsia="华文新魏" w:cs="Times New Roman"/>
          <w:color w:val="auto"/>
          <w:sz w:val="72"/>
          <w:szCs w:val="72"/>
          <w:highlight w:val="none"/>
          <w:lang w:eastAsia="zh-CN"/>
        </w:rPr>
        <w:drawing>
          <wp:inline distT="0" distB="0" distL="114300" distR="114300">
            <wp:extent cx="8602345" cy="6080760"/>
            <wp:effectExtent l="0" t="0" r="15240" b="8255"/>
            <wp:docPr id="5" name="图片 5" descr="20250512164727794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0250512164727794_0001"/>
                    <pic:cNvPicPr>
                      <a:picLocks noChangeAspect="1"/>
                    </pic:cNvPicPr>
                  </pic:nvPicPr>
                  <pic:blipFill>
                    <a:blip r:embed="rId10"/>
                    <a:stretch>
                      <a:fillRect/>
                    </a:stretch>
                  </pic:blipFill>
                  <pic:spPr>
                    <a:xfrm rot="16200000">
                      <a:off x="0" y="0"/>
                      <a:ext cx="8602345" cy="6080760"/>
                    </a:xfrm>
                    <a:prstGeom prst="rect">
                      <a:avLst/>
                    </a:prstGeom>
                  </pic:spPr>
                </pic:pic>
              </a:graphicData>
            </a:graphic>
          </wp:inline>
        </w:drawing>
      </w:r>
    </w:p>
    <w:p w14:paraId="456C2283">
      <w:pPr>
        <w:spacing w:line="360" w:lineRule="auto"/>
        <w:jc w:val="center"/>
        <w:rPr>
          <w:rFonts w:hint="eastAsia" w:ascii="宋体" w:hAnsi="宋体"/>
          <w:b/>
          <w:color w:val="auto"/>
          <w:sz w:val="44"/>
          <w:szCs w:val="44"/>
          <w:highlight w:val="none"/>
        </w:rPr>
      </w:pPr>
      <w:r>
        <w:rPr>
          <w:rFonts w:hint="eastAsia" w:ascii="宋体" w:hAnsi="宋体"/>
          <w:b/>
          <w:color w:val="auto"/>
          <w:sz w:val="44"/>
          <w:szCs w:val="44"/>
          <w:highlight w:val="none"/>
        </w:rPr>
        <w:br w:type="page"/>
      </w:r>
      <w:r>
        <w:rPr>
          <w:rFonts w:hint="eastAsia" w:ascii="宋体" w:hAnsi="宋体"/>
          <w:b/>
          <w:color w:val="auto"/>
          <w:sz w:val="44"/>
          <w:szCs w:val="44"/>
          <w:highlight w:val="none"/>
        </w:rPr>
        <w:t>目  录</w:t>
      </w:r>
    </w:p>
    <w:p w14:paraId="75C4138C">
      <w:pPr>
        <w:spacing w:line="400" w:lineRule="exact"/>
        <w:jc w:val="center"/>
        <w:rPr>
          <w:rFonts w:hint="eastAsia" w:ascii="宋体" w:hAnsi="宋体"/>
          <w:b/>
          <w:color w:val="auto"/>
          <w:sz w:val="44"/>
          <w:szCs w:val="44"/>
          <w:highlight w:val="none"/>
        </w:rPr>
      </w:pPr>
    </w:p>
    <w:p w14:paraId="32967DA4">
      <w:pPr>
        <w:pStyle w:val="22"/>
        <w:keepNext w:val="0"/>
        <w:keepLines w:val="0"/>
        <w:pageBreakBefore w:val="0"/>
        <w:widowControl w:val="0"/>
        <w:tabs>
          <w:tab w:val="right" w:leader="dot" w:pos="8879"/>
        </w:tabs>
        <w:kinsoku/>
        <w:wordWrap/>
        <w:overflowPunct/>
        <w:topLinePunct w:val="0"/>
        <w:autoSpaceDE/>
        <w:autoSpaceDN/>
        <w:bidi w:val="0"/>
        <w:adjustRightInd/>
        <w:snapToGrid/>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fldChar w:fldCharType="begin"/>
      </w:r>
      <w:r>
        <w:rPr>
          <w:rFonts w:hint="eastAsia" w:ascii="宋体" w:hAnsi="宋体" w:eastAsia="宋体" w:cs="宋体"/>
          <w:b/>
          <w:color w:val="auto"/>
          <w:sz w:val="21"/>
          <w:szCs w:val="21"/>
          <w:highlight w:val="none"/>
        </w:rPr>
        <w:instrText xml:space="preserve"> TOC \o "1-3" \h \z \u </w:instrText>
      </w:r>
      <w:r>
        <w:rPr>
          <w:rFonts w:hint="eastAsia" w:ascii="宋体" w:hAnsi="宋体" w:eastAsia="宋体" w:cs="宋体"/>
          <w:b/>
          <w:color w:val="auto"/>
          <w:sz w:val="21"/>
          <w:szCs w:val="21"/>
          <w:highlight w:val="none"/>
        </w:rPr>
        <w:fldChar w:fldCharType="separate"/>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_Toc9985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第一章 竞争性磋商公告</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_Toc9985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16064C9">
      <w:pPr>
        <w:pStyle w:val="22"/>
        <w:keepNext w:val="0"/>
        <w:keepLines w:val="0"/>
        <w:pageBreakBefore w:val="0"/>
        <w:widowControl w:val="0"/>
        <w:tabs>
          <w:tab w:val="right" w:leader="dot" w:pos="8879"/>
        </w:tabs>
        <w:kinsoku/>
        <w:wordWrap/>
        <w:overflowPunct/>
        <w:topLinePunct w:val="0"/>
        <w:autoSpaceDE/>
        <w:autoSpaceDN/>
        <w:bidi w:val="0"/>
        <w:adjustRightInd/>
        <w:snapToGrid/>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_Toc27136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第二章 采购需求</w:t>
      </w:r>
      <w:bookmarkStart w:id="237" w:name="_GoBack"/>
      <w:bookmarkEnd w:id="237"/>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_Toc27136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87D3170">
      <w:pPr>
        <w:pStyle w:val="22"/>
        <w:keepNext w:val="0"/>
        <w:keepLines w:val="0"/>
        <w:pageBreakBefore w:val="0"/>
        <w:widowControl w:val="0"/>
        <w:tabs>
          <w:tab w:val="right" w:leader="dot" w:pos="8879"/>
        </w:tabs>
        <w:kinsoku/>
        <w:wordWrap/>
        <w:overflowPunct/>
        <w:topLinePunct w:val="0"/>
        <w:autoSpaceDE/>
        <w:autoSpaceDN/>
        <w:bidi w:val="0"/>
        <w:adjustRightInd/>
        <w:snapToGrid/>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_Toc11900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val="0"/>
          <w:color w:val="auto"/>
          <w:sz w:val="21"/>
          <w:szCs w:val="21"/>
          <w:highlight w:val="none"/>
        </w:rPr>
        <w:t>第三章 供应商须知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_Toc11900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62116AC">
      <w:pPr>
        <w:pStyle w:val="24"/>
        <w:keepNext w:val="0"/>
        <w:keepLines w:val="0"/>
        <w:pageBreakBefore w:val="0"/>
        <w:widowControl w:val="0"/>
        <w:tabs>
          <w:tab w:val="right" w:leader="dot" w:pos="8879"/>
          <w:tab w:val="clear" w:pos="8296"/>
        </w:tabs>
        <w:kinsoku/>
        <w:wordWrap/>
        <w:overflowPunct/>
        <w:topLinePunct w:val="0"/>
        <w:autoSpaceDE/>
        <w:autoSpaceDN/>
        <w:bidi w:val="0"/>
        <w:adjustRightInd/>
        <w:snapToGrid/>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_Toc31477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eastAsia="zh-CN"/>
        </w:rPr>
        <w:t xml:space="preserve">第一节 </w:t>
      </w:r>
      <w:r>
        <w:rPr>
          <w:rFonts w:hint="eastAsia" w:ascii="宋体" w:hAnsi="宋体" w:eastAsia="宋体" w:cs="宋体"/>
          <w:color w:val="auto"/>
          <w:sz w:val="21"/>
          <w:szCs w:val="21"/>
          <w:highlight w:val="none"/>
        </w:rPr>
        <w:t>供应商须知前附表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_Toc31477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1FA1D30">
      <w:pPr>
        <w:pStyle w:val="24"/>
        <w:keepNext w:val="0"/>
        <w:keepLines w:val="0"/>
        <w:pageBreakBefore w:val="0"/>
        <w:widowControl w:val="0"/>
        <w:tabs>
          <w:tab w:val="right" w:leader="dot" w:pos="8879"/>
          <w:tab w:val="clear" w:pos="8296"/>
        </w:tabs>
        <w:kinsoku/>
        <w:wordWrap/>
        <w:overflowPunct/>
        <w:topLinePunct w:val="0"/>
        <w:autoSpaceDE/>
        <w:autoSpaceDN/>
        <w:bidi w:val="0"/>
        <w:adjustRightInd/>
        <w:snapToGrid/>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_Toc20996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第二节 供应商须知正文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_Toc20996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0AB7B67">
      <w:pPr>
        <w:pStyle w:val="15"/>
        <w:keepNext w:val="0"/>
        <w:keepLines w:val="0"/>
        <w:pageBreakBefore w:val="0"/>
        <w:widowControl w:val="0"/>
        <w:tabs>
          <w:tab w:val="right" w:leader="dot" w:pos="8879"/>
        </w:tabs>
        <w:kinsoku/>
        <w:wordWrap/>
        <w:overflowPunct/>
        <w:topLinePunct w:val="0"/>
        <w:autoSpaceDE/>
        <w:autoSpaceDN/>
        <w:bidi w:val="0"/>
        <w:adjustRightInd/>
        <w:snapToGrid/>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_Toc25941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一、总则</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_Toc25941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01912DF">
      <w:pPr>
        <w:pStyle w:val="15"/>
        <w:keepNext w:val="0"/>
        <w:keepLines w:val="0"/>
        <w:pageBreakBefore w:val="0"/>
        <w:widowControl w:val="0"/>
        <w:tabs>
          <w:tab w:val="right" w:leader="dot" w:pos="8879"/>
        </w:tabs>
        <w:kinsoku/>
        <w:wordWrap/>
        <w:overflowPunct/>
        <w:topLinePunct w:val="0"/>
        <w:autoSpaceDE/>
        <w:autoSpaceDN/>
        <w:bidi w:val="0"/>
        <w:adjustRightInd/>
        <w:snapToGrid/>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_Toc14355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val="0"/>
          <w:color w:val="auto"/>
          <w:sz w:val="21"/>
          <w:szCs w:val="21"/>
          <w:highlight w:val="none"/>
        </w:rPr>
        <w:t>二、磋商文件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_Toc14355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CEA2478">
      <w:pPr>
        <w:pStyle w:val="15"/>
        <w:keepNext w:val="0"/>
        <w:keepLines w:val="0"/>
        <w:pageBreakBefore w:val="0"/>
        <w:widowControl w:val="0"/>
        <w:tabs>
          <w:tab w:val="right" w:leader="dot" w:pos="8879"/>
        </w:tabs>
        <w:kinsoku/>
        <w:wordWrap/>
        <w:overflowPunct/>
        <w:topLinePunct w:val="0"/>
        <w:autoSpaceDE/>
        <w:autoSpaceDN/>
        <w:bidi w:val="0"/>
        <w:adjustRightInd/>
        <w:snapToGrid/>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_Toc22327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val="0"/>
          <w:color w:val="auto"/>
          <w:sz w:val="21"/>
          <w:szCs w:val="21"/>
          <w:highlight w:val="none"/>
        </w:rPr>
        <w:t>三、响应文件的编制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_Toc22327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B29B047">
      <w:pPr>
        <w:pStyle w:val="15"/>
        <w:keepNext w:val="0"/>
        <w:keepLines w:val="0"/>
        <w:pageBreakBefore w:val="0"/>
        <w:widowControl w:val="0"/>
        <w:tabs>
          <w:tab w:val="right" w:leader="dot" w:pos="8879"/>
        </w:tabs>
        <w:kinsoku/>
        <w:wordWrap/>
        <w:overflowPunct/>
        <w:topLinePunct w:val="0"/>
        <w:autoSpaceDE/>
        <w:autoSpaceDN/>
        <w:bidi w:val="0"/>
        <w:adjustRightInd/>
        <w:snapToGrid/>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_Toc15200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val="0"/>
          <w:color w:val="auto"/>
          <w:sz w:val="21"/>
          <w:szCs w:val="21"/>
          <w:highlight w:val="none"/>
        </w:rPr>
        <w:t>四、评审及磋商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_Toc15200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F23F521">
      <w:pPr>
        <w:pStyle w:val="15"/>
        <w:keepNext w:val="0"/>
        <w:keepLines w:val="0"/>
        <w:pageBreakBefore w:val="0"/>
        <w:widowControl w:val="0"/>
        <w:tabs>
          <w:tab w:val="right" w:leader="dot" w:pos="8879"/>
        </w:tabs>
        <w:kinsoku/>
        <w:wordWrap/>
        <w:overflowPunct/>
        <w:topLinePunct w:val="0"/>
        <w:autoSpaceDE/>
        <w:autoSpaceDN/>
        <w:bidi w:val="0"/>
        <w:adjustRightInd/>
        <w:snapToGrid/>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_Toc29460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val="0"/>
          <w:color w:val="auto"/>
          <w:sz w:val="21"/>
          <w:szCs w:val="21"/>
          <w:highlight w:val="none"/>
        </w:rPr>
        <w:t>五、成交及合同</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_Toc29460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185D561">
      <w:pPr>
        <w:pStyle w:val="15"/>
        <w:keepNext w:val="0"/>
        <w:keepLines w:val="0"/>
        <w:pageBreakBefore w:val="0"/>
        <w:widowControl w:val="0"/>
        <w:tabs>
          <w:tab w:val="right" w:leader="dot" w:pos="8879"/>
        </w:tabs>
        <w:kinsoku/>
        <w:wordWrap/>
        <w:overflowPunct/>
        <w:topLinePunct w:val="0"/>
        <w:autoSpaceDE/>
        <w:autoSpaceDN/>
        <w:bidi w:val="0"/>
        <w:adjustRightInd/>
        <w:snapToGrid/>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_Toc25755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六、验收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_Toc25755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760BFAA">
      <w:pPr>
        <w:pStyle w:val="15"/>
        <w:keepNext w:val="0"/>
        <w:keepLines w:val="0"/>
        <w:pageBreakBefore w:val="0"/>
        <w:widowControl w:val="0"/>
        <w:tabs>
          <w:tab w:val="right" w:leader="dot" w:pos="8879"/>
        </w:tabs>
        <w:kinsoku/>
        <w:wordWrap/>
        <w:overflowPunct/>
        <w:topLinePunct w:val="0"/>
        <w:autoSpaceDE/>
        <w:autoSpaceDN/>
        <w:bidi w:val="0"/>
        <w:adjustRightInd/>
        <w:snapToGrid/>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_Toc13971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val="0"/>
          <w:color w:val="auto"/>
          <w:sz w:val="21"/>
          <w:szCs w:val="21"/>
          <w:highlight w:val="none"/>
          <w:lang w:eastAsia="zh-CN"/>
        </w:rPr>
        <w:t>七</w:t>
      </w:r>
      <w:r>
        <w:rPr>
          <w:rFonts w:hint="eastAsia" w:ascii="宋体" w:hAnsi="宋体" w:eastAsia="宋体" w:cs="宋体"/>
          <w:bCs w:val="0"/>
          <w:color w:val="auto"/>
          <w:sz w:val="21"/>
          <w:szCs w:val="21"/>
          <w:highlight w:val="none"/>
        </w:rPr>
        <w:t>、其他事项</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_Toc13971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21FCB0B">
      <w:pPr>
        <w:pStyle w:val="22"/>
        <w:keepNext w:val="0"/>
        <w:keepLines w:val="0"/>
        <w:pageBreakBefore w:val="0"/>
        <w:widowControl w:val="0"/>
        <w:tabs>
          <w:tab w:val="right" w:leader="dot" w:pos="8879"/>
        </w:tabs>
        <w:kinsoku/>
        <w:wordWrap/>
        <w:overflowPunct/>
        <w:topLinePunct w:val="0"/>
        <w:autoSpaceDE/>
        <w:autoSpaceDN/>
        <w:bidi w:val="0"/>
        <w:adjustRightInd/>
        <w:snapToGrid/>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_Toc15286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第四章  评审程序、评审方法和评审标准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_Toc15286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84B3B11">
      <w:pPr>
        <w:pStyle w:val="24"/>
        <w:keepNext w:val="0"/>
        <w:keepLines w:val="0"/>
        <w:pageBreakBefore w:val="0"/>
        <w:widowControl w:val="0"/>
        <w:tabs>
          <w:tab w:val="right" w:leader="dot" w:pos="8879"/>
          <w:tab w:val="clear" w:pos="8296"/>
        </w:tabs>
        <w:kinsoku/>
        <w:wordWrap/>
        <w:overflowPunct/>
        <w:topLinePunct w:val="0"/>
        <w:autoSpaceDE/>
        <w:autoSpaceDN/>
        <w:bidi w:val="0"/>
        <w:adjustRightInd/>
        <w:snapToGrid/>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_Toc12057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第一节 评审程序和评审方法</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_Toc12057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1870043">
      <w:pPr>
        <w:pStyle w:val="24"/>
        <w:keepNext w:val="0"/>
        <w:keepLines w:val="0"/>
        <w:pageBreakBefore w:val="0"/>
        <w:widowControl w:val="0"/>
        <w:tabs>
          <w:tab w:val="right" w:leader="dot" w:pos="8879"/>
          <w:tab w:val="clear" w:pos="8296"/>
        </w:tabs>
        <w:kinsoku/>
        <w:wordWrap/>
        <w:overflowPunct/>
        <w:topLinePunct w:val="0"/>
        <w:autoSpaceDE/>
        <w:autoSpaceDN/>
        <w:bidi w:val="0"/>
        <w:adjustRightInd/>
        <w:snapToGrid/>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_Toc12478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eastAsia="zh-CN"/>
        </w:rPr>
        <w:t>二</w:t>
      </w:r>
      <w:r>
        <w:rPr>
          <w:rFonts w:hint="eastAsia" w:ascii="宋体" w:hAnsi="宋体" w:eastAsia="宋体" w:cs="宋体"/>
          <w:color w:val="auto"/>
          <w:sz w:val="21"/>
          <w:szCs w:val="21"/>
          <w:highlight w:val="none"/>
        </w:rPr>
        <w:t xml:space="preserve">节 </w:t>
      </w:r>
      <w:r>
        <w:rPr>
          <w:rFonts w:hint="eastAsia" w:ascii="宋体" w:hAnsi="宋体" w:eastAsia="宋体" w:cs="宋体"/>
          <w:color w:val="auto"/>
          <w:sz w:val="21"/>
          <w:szCs w:val="21"/>
          <w:highlight w:val="none"/>
          <w:lang w:eastAsia="zh-CN"/>
        </w:rPr>
        <w:t>评标报告</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_Toc12478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A18062F">
      <w:pPr>
        <w:pStyle w:val="24"/>
        <w:keepNext w:val="0"/>
        <w:keepLines w:val="0"/>
        <w:pageBreakBefore w:val="0"/>
        <w:widowControl w:val="0"/>
        <w:tabs>
          <w:tab w:val="right" w:leader="dot" w:pos="8879"/>
          <w:tab w:val="clear" w:pos="8296"/>
        </w:tabs>
        <w:kinsoku/>
        <w:wordWrap/>
        <w:overflowPunct/>
        <w:topLinePunct w:val="0"/>
        <w:autoSpaceDE/>
        <w:autoSpaceDN/>
        <w:bidi w:val="0"/>
        <w:adjustRightInd/>
        <w:snapToGrid/>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_Toc11220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eastAsia="zh-CN"/>
        </w:rPr>
        <w:t>三</w:t>
      </w:r>
      <w:r>
        <w:rPr>
          <w:rFonts w:hint="eastAsia" w:ascii="宋体" w:hAnsi="宋体" w:eastAsia="宋体" w:cs="宋体"/>
          <w:color w:val="auto"/>
          <w:sz w:val="21"/>
          <w:szCs w:val="21"/>
          <w:highlight w:val="none"/>
        </w:rPr>
        <w:t>节 评审过程的保密与录像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_Toc11220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EF798C6">
      <w:pPr>
        <w:pStyle w:val="22"/>
        <w:keepNext w:val="0"/>
        <w:keepLines w:val="0"/>
        <w:pageBreakBefore w:val="0"/>
        <w:widowControl w:val="0"/>
        <w:tabs>
          <w:tab w:val="right" w:leader="dot" w:pos="8879"/>
        </w:tabs>
        <w:kinsoku/>
        <w:wordWrap/>
        <w:overflowPunct/>
        <w:topLinePunct w:val="0"/>
        <w:autoSpaceDE/>
        <w:autoSpaceDN/>
        <w:bidi w:val="0"/>
        <w:adjustRightInd/>
        <w:snapToGrid/>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_Toc16432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第五章 响应文件格式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_Toc16432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F803880">
      <w:pPr>
        <w:pStyle w:val="24"/>
        <w:keepNext w:val="0"/>
        <w:keepLines w:val="0"/>
        <w:pageBreakBefore w:val="0"/>
        <w:widowControl w:val="0"/>
        <w:tabs>
          <w:tab w:val="right" w:leader="dot" w:pos="8879"/>
          <w:tab w:val="clear" w:pos="8296"/>
        </w:tabs>
        <w:kinsoku/>
        <w:wordWrap/>
        <w:overflowPunct/>
        <w:topLinePunct w:val="0"/>
        <w:autoSpaceDE/>
        <w:autoSpaceDN/>
        <w:bidi w:val="0"/>
        <w:adjustRightInd/>
        <w:snapToGrid/>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_Toc8497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第一节 封面格式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_Toc8497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BE991E6">
      <w:pPr>
        <w:pStyle w:val="24"/>
        <w:keepNext w:val="0"/>
        <w:keepLines w:val="0"/>
        <w:pageBreakBefore w:val="0"/>
        <w:widowControl w:val="0"/>
        <w:tabs>
          <w:tab w:val="right" w:leader="dot" w:pos="8879"/>
          <w:tab w:val="clear" w:pos="8296"/>
        </w:tabs>
        <w:kinsoku/>
        <w:wordWrap/>
        <w:overflowPunct/>
        <w:topLinePunct w:val="0"/>
        <w:autoSpaceDE/>
        <w:autoSpaceDN/>
        <w:bidi w:val="0"/>
        <w:adjustRightInd/>
        <w:snapToGrid/>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_Toc22309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val="0"/>
          <w:color w:val="auto"/>
          <w:sz w:val="21"/>
          <w:szCs w:val="21"/>
          <w:highlight w:val="none"/>
        </w:rPr>
        <w:t>第二节 资格证明文件格式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_Toc22309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A59D438">
      <w:pPr>
        <w:pStyle w:val="24"/>
        <w:keepNext w:val="0"/>
        <w:keepLines w:val="0"/>
        <w:pageBreakBefore w:val="0"/>
        <w:widowControl w:val="0"/>
        <w:tabs>
          <w:tab w:val="right" w:leader="dot" w:pos="8879"/>
          <w:tab w:val="clear" w:pos="8296"/>
        </w:tabs>
        <w:kinsoku/>
        <w:wordWrap/>
        <w:overflowPunct/>
        <w:topLinePunct w:val="0"/>
        <w:autoSpaceDE/>
        <w:autoSpaceDN/>
        <w:bidi w:val="0"/>
        <w:adjustRightInd/>
        <w:snapToGrid/>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_Toc20691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val="0"/>
          <w:color w:val="auto"/>
          <w:sz w:val="21"/>
          <w:szCs w:val="21"/>
          <w:highlight w:val="none"/>
        </w:rPr>
        <w:t>第</w:t>
      </w:r>
      <w:r>
        <w:rPr>
          <w:rFonts w:hint="eastAsia" w:ascii="宋体" w:hAnsi="宋体" w:eastAsia="宋体" w:cs="宋体"/>
          <w:bCs w:val="0"/>
          <w:color w:val="auto"/>
          <w:sz w:val="21"/>
          <w:szCs w:val="21"/>
          <w:highlight w:val="none"/>
          <w:lang w:eastAsia="zh-CN"/>
        </w:rPr>
        <w:t>三</w:t>
      </w:r>
      <w:r>
        <w:rPr>
          <w:rFonts w:hint="eastAsia" w:ascii="宋体" w:hAnsi="宋体" w:eastAsia="宋体" w:cs="宋体"/>
          <w:bCs w:val="0"/>
          <w:color w:val="auto"/>
          <w:sz w:val="21"/>
          <w:szCs w:val="21"/>
          <w:highlight w:val="none"/>
        </w:rPr>
        <w:t xml:space="preserve">节 </w:t>
      </w:r>
      <w:r>
        <w:rPr>
          <w:rFonts w:hint="eastAsia" w:ascii="宋体" w:hAnsi="宋体" w:eastAsia="宋体" w:cs="宋体"/>
          <w:color w:val="auto"/>
          <w:sz w:val="21"/>
          <w:szCs w:val="21"/>
          <w:highlight w:val="none"/>
        </w:rPr>
        <w:t>商务技术文件格式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_Toc20691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6D6D12D">
      <w:pPr>
        <w:pStyle w:val="24"/>
        <w:keepNext w:val="0"/>
        <w:keepLines w:val="0"/>
        <w:pageBreakBefore w:val="0"/>
        <w:widowControl w:val="0"/>
        <w:tabs>
          <w:tab w:val="right" w:leader="dot" w:pos="8879"/>
          <w:tab w:val="clear" w:pos="8296"/>
        </w:tabs>
        <w:kinsoku/>
        <w:wordWrap/>
        <w:overflowPunct/>
        <w:topLinePunct w:val="0"/>
        <w:autoSpaceDE/>
        <w:autoSpaceDN/>
        <w:bidi w:val="0"/>
        <w:adjustRightInd/>
        <w:snapToGrid/>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_Toc24024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第四节 报价文件格式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_Toc24024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5EA9322">
      <w:pPr>
        <w:pStyle w:val="22"/>
        <w:keepNext w:val="0"/>
        <w:keepLines w:val="0"/>
        <w:pageBreakBefore w:val="0"/>
        <w:widowControl w:val="0"/>
        <w:tabs>
          <w:tab w:val="right" w:leader="dot" w:pos="8879"/>
        </w:tabs>
        <w:kinsoku/>
        <w:wordWrap/>
        <w:overflowPunct/>
        <w:topLinePunct w:val="0"/>
        <w:autoSpaceDE/>
        <w:autoSpaceDN/>
        <w:bidi w:val="0"/>
        <w:adjustRightInd/>
        <w:snapToGrid/>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_Toc17225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val="0"/>
          <w:color w:val="auto"/>
          <w:sz w:val="21"/>
          <w:szCs w:val="21"/>
          <w:highlight w:val="none"/>
        </w:rPr>
        <w:t>第六章  合同文本</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_Toc17225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99E030E">
      <w:pPr>
        <w:pStyle w:val="24"/>
        <w:keepNext w:val="0"/>
        <w:keepLines w:val="0"/>
        <w:pageBreakBefore w:val="0"/>
        <w:widowControl w:val="0"/>
        <w:tabs>
          <w:tab w:val="right" w:leader="dot" w:pos="8879"/>
          <w:tab w:val="clear" w:pos="8296"/>
        </w:tabs>
        <w:kinsoku/>
        <w:wordWrap/>
        <w:overflowPunct/>
        <w:topLinePunct w:val="0"/>
        <w:autoSpaceDE/>
        <w:autoSpaceDN/>
        <w:bidi w:val="0"/>
        <w:adjustRightInd/>
        <w:snapToGrid/>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_Toc15860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第一部分 合同书</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_Toc15860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498A25E">
      <w:pPr>
        <w:pStyle w:val="24"/>
        <w:keepNext w:val="0"/>
        <w:keepLines w:val="0"/>
        <w:pageBreakBefore w:val="0"/>
        <w:widowControl w:val="0"/>
        <w:tabs>
          <w:tab w:val="right" w:leader="dot" w:pos="8879"/>
          <w:tab w:val="clear" w:pos="8296"/>
        </w:tabs>
        <w:kinsoku/>
        <w:wordWrap/>
        <w:overflowPunct/>
        <w:topLinePunct w:val="0"/>
        <w:autoSpaceDE/>
        <w:autoSpaceDN/>
        <w:bidi w:val="0"/>
        <w:adjustRightInd/>
        <w:snapToGrid/>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_Toc31499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第二部分 合同一般条款</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_Toc31499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1E3D849">
      <w:pPr>
        <w:pStyle w:val="24"/>
        <w:keepNext w:val="0"/>
        <w:keepLines w:val="0"/>
        <w:pageBreakBefore w:val="0"/>
        <w:widowControl w:val="0"/>
        <w:tabs>
          <w:tab w:val="right" w:leader="dot" w:pos="8879"/>
          <w:tab w:val="clear" w:pos="8296"/>
        </w:tabs>
        <w:kinsoku/>
        <w:wordWrap/>
        <w:overflowPunct/>
        <w:topLinePunct w:val="0"/>
        <w:autoSpaceDE/>
        <w:autoSpaceDN/>
        <w:bidi w:val="0"/>
        <w:adjustRightInd/>
        <w:snapToGrid/>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_Toc12652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第三部分  合同专用条款</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_Toc12652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1E36E09">
      <w:pPr>
        <w:pStyle w:val="22"/>
        <w:keepNext w:val="0"/>
        <w:keepLines w:val="0"/>
        <w:pageBreakBefore w:val="0"/>
        <w:widowControl w:val="0"/>
        <w:tabs>
          <w:tab w:val="right" w:leader="dot" w:pos="8879"/>
        </w:tabs>
        <w:kinsoku/>
        <w:wordWrap/>
        <w:overflowPunct/>
        <w:topLinePunct w:val="0"/>
        <w:autoSpaceDE/>
        <w:autoSpaceDN/>
        <w:bidi w:val="0"/>
        <w:adjustRightInd/>
        <w:snapToGrid/>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_Toc9862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第七章 质疑、投诉材料格式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_Toc9862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51B4F3E">
      <w:pPr>
        <w:pStyle w:val="24"/>
        <w:keepNext w:val="0"/>
        <w:keepLines w:val="0"/>
        <w:pageBreakBefore w:val="0"/>
        <w:widowControl w:val="0"/>
        <w:kinsoku/>
        <w:wordWrap/>
        <w:overflowPunct/>
        <w:topLinePunct w:val="0"/>
        <w:autoSpaceDE/>
        <w:autoSpaceDN/>
        <w:bidi w:val="0"/>
        <w:adjustRightInd/>
        <w:snapToGrid/>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end"/>
      </w:r>
    </w:p>
    <w:p w14:paraId="21C7D6A5">
      <w:pPr>
        <w:spacing w:line="400" w:lineRule="exact"/>
        <w:jc w:val="left"/>
        <w:rPr>
          <w:rFonts w:hint="eastAsia" w:ascii="宋体" w:hAnsi="宋体"/>
          <w:b/>
          <w:color w:val="auto"/>
          <w:sz w:val="32"/>
          <w:szCs w:val="32"/>
          <w:highlight w:val="none"/>
        </w:rPr>
      </w:pPr>
    </w:p>
    <w:p w14:paraId="0B6639B6">
      <w:pPr>
        <w:spacing w:line="400" w:lineRule="exact"/>
        <w:jc w:val="center"/>
        <w:rPr>
          <w:rFonts w:hint="eastAsia" w:ascii="宋体" w:hAnsi="宋体"/>
          <w:b/>
          <w:color w:val="auto"/>
          <w:sz w:val="32"/>
          <w:szCs w:val="32"/>
          <w:highlight w:val="none"/>
        </w:rPr>
      </w:pPr>
    </w:p>
    <w:p w14:paraId="2FC8A6D0">
      <w:pPr>
        <w:spacing w:line="400" w:lineRule="exact"/>
        <w:jc w:val="center"/>
        <w:rPr>
          <w:rFonts w:hint="eastAsia" w:ascii="宋体" w:hAnsi="宋体"/>
          <w:b/>
          <w:color w:val="auto"/>
          <w:sz w:val="32"/>
          <w:szCs w:val="32"/>
          <w:highlight w:val="none"/>
        </w:rPr>
      </w:pPr>
    </w:p>
    <w:p w14:paraId="22140228">
      <w:pPr>
        <w:spacing w:line="400" w:lineRule="exact"/>
        <w:jc w:val="center"/>
        <w:rPr>
          <w:rFonts w:hint="eastAsia" w:ascii="宋体" w:hAnsi="宋体"/>
          <w:b/>
          <w:color w:val="auto"/>
          <w:sz w:val="32"/>
          <w:szCs w:val="32"/>
          <w:highlight w:val="none"/>
        </w:rPr>
      </w:pPr>
    </w:p>
    <w:p w14:paraId="1DEB4E64">
      <w:pPr>
        <w:spacing w:line="400" w:lineRule="exact"/>
        <w:jc w:val="center"/>
        <w:rPr>
          <w:rFonts w:hint="eastAsia" w:ascii="宋体" w:hAnsi="宋体"/>
          <w:b/>
          <w:color w:val="auto"/>
          <w:sz w:val="32"/>
          <w:szCs w:val="32"/>
          <w:highlight w:val="none"/>
        </w:rPr>
      </w:pPr>
    </w:p>
    <w:p w14:paraId="20AE0009">
      <w:pPr>
        <w:spacing w:line="400" w:lineRule="exact"/>
        <w:rPr>
          <w:rFonts w:hint="eastAsia" w:ascii="宋体" w:hAnsi="宋体"/>
          <w:b/>
          <w:color w:val="auto"/>
          <w:sz w:val="32"/>
          <w:szCs w:val="32"/>
          <w:highlight w:val="none"/>
        </w:rPr>
        <w:sectPr>
          <w:headerReference r:id="rId4" w:type="first"/>
          <w:footerReference r:id="rId6" w:type="first"/>
          <w:headerReference r:id="rId3" w:type="default"/>
          <w:footerReference r:id="rId5" w:type="default"/>
          <w:pgSz w:w="11906" w:h="16838"/>
          <w:pgMar w:top="1440" w:right="1440" w:bottom="1440" w:left="1587" w:header="851" w:footer="992" w:gutter="0"/>
          <w:pgNumType w:start="0"/>
          <w:cols w:space="720" w:num="1"/>
          <w:titlePg/>
          <w:docGrid w:type="lines" w:linePitch="312" w:charSpace="0"/>
        </w:sectPr>
      </w:pPr>
    </w:p>
    <w:p w14:paraId="6522D688">
      <w:pPr>
        <w:pStyle w:val="2"/>
        <w:spacing w:line="400" w:lineRule="exact"/>
        <w:jc w:val="center"/>
        <w:rPr>
          <w:color w:val="auto"/>
          <w:highlight w:val="none"/>
        </w:rPr>
      </w:pPr>
      <w:bookmarkStart w:id="0" w:name="_Toc9985"/>
      <w:r>
        <w:rPr>
          <w:rFonts w:hint="eastAsia"/>
          <w:color w:val="auto"/>
          <w:highlight w:val="none"/>
        </w:rPr>
        <w:t>第一章 竞争性磋商公告</w:t>
      </w:r>
      <w:bookmarkEnd w:id="0"/>
      <w:bookmarkStart w:id="1" w:name="_Toc44229878"/>
      <w:bookmarkStart w:id="2" w:name="_Toc28359012"/>
      <w:bookmarkStart w:id="3" w:name="_Toc35393629"/>
      <w:bookmarkStart w:id="4" w:name="_Toc35393798"/>
      <w:bookmarkStart w:id="5" w:name="_Toc28359089"/>
      <w:bookmarkStart w:id="6" w:name="_Toc28359081"/>
      <w:bookmarkStart w:id="7" w:name="_Toc35393792"/>
      <w:bookmarkStart w:id="8" w:name="_Toc35393623"/>
      <w:bookmarkStart w:id="9" w:name="_Toc28359004"/>
    </w:p>
    <w:p w14:paraId="45FB750A">
      <w:pPr>
        <w:keepNext w:val="0"/>
        <w:keepLines w:val="0"/>
        <w:pageBreakBefore w:val="0"/>
        <w:kinsoku/>
        <w:wordWrap/>
        <w:overflowPunct/>
        <w:topLinePunct w:val="0"/>
        <w:autoSpaceDE/>
        <w:autoSpaceDN/>
        <w:bidi w:val="0"/>
        <w:adjustRightInd/>
        <w:spacing w:line="384" w:lineRule="auto"/>
        <w:ind w:left="0" w:leftChars="0" w:firstLine="367" w:firstLineChars="175"/>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项目概况</w:t>
      </w:r>
    </w:p>
    <w:p w14:paraId="60A9D7C8">
      <w:pPr>
        <w:keepNext w:val="0"/>
        <w:keepLines w:val="0"/>
        <w:pageBreakBefore w:val="0"/>
        <w:kinsoku/>
        <w:wordWrap/>
        <w:overflowPunct/>
        <w:topLinePunct w:val="0"/>
        <w:autoSpaceDE/>
        <w:autoSpaceDN/>
        <w:bidi w:val="0"/>
        <w:adjustRightInd/>
        <w:spacing w:line="384" w:lineRule="auto"/>
        <w:ind w:left="0" w:leftChars="0" w:firstLine="367" w:firstLineChars="175"/>
        <w:textAlignment w:val="auto"/>
        <w:rPr>
          <w:rFonts w:hint="eastAsia" w:ascii="宋体" w:hAnsi="宋体" w:eastAsia="宋体" w:cs="Times New Roman"/>
          <w:color w:val="auto"/>
          <w:szCs w:val="21"/>
          <w:highlight w:val="none"/>
        </w:rPr>
      </w:pPr>
      <w:r>
        <w:rPr>
          <w:rFonts w:hint="eastAsia" w:ascii="宋体" w:hAnsi="宋体" w:cs="Times New Roman"/>
          <w:color w:val="auto"/>
          <w:szCs w:val="21"/>
          <w:highlight w:val="none"/>
          <w:u w:val="single"/>
          <w:lang w:eastAsia="zh-CN"/>
        </w:rPr>
        <w:t>网络基础维护服务采购项目（重）</w:t>
      </w:r>
      <w:r>
        <w:rPr>
          <w:rFonts w:hint="eastAsia" w:ascii="宋体" w:hAnsi="宋体" w:eastAsia="宋体" w:cs="Times New Roman"/>
          <w:color w:val="auto"/>
          <w:szCs w:val="21"/>
          <w:highlight w:val="none"/>
        </w:rPr>
        <w:t>的潜在供应商应</w:t>
      </w:r>
      <w:r>
        <w:rPr>
          <w:rFonts w:hint="eastAsia" w:ascii="宋体" w:hAnsi="宋体" w:eastAsia="宋体" w:cs="Times New Roman"/>
          <w:color w:val="auto"/>
          <w:szCs w:val="21"/>
          <w:highlight w:val="none"/>
          <w:u w:val="single"/>
        </w:rPr>
        <w:t>在</w:t>
      </w:r>
      <w:r>
        <w:rPr>
          <w:rFonts w:hint="eastAsia" w:ascii="宋体" w:hAnsi="宋体" w:eastAsia="宋体" w:cs="Times New Roman"/>
          <w:color w:val="auto"/>
          <w:szCs w:val="21"/>
          <w:highlight w:val="none"/>
          <w:u w:val="single"/>
          <w:lang w:eastAsia="zh-CN"/>
        </w:rPr>
        <w:t>广西政府采购云平台</w:t>
      </w:r>
      <w:r>
        <w:rPr>
          <w:rFonts w:hint="eastAsia" w:ascii="宋体" w:hAnsi="宋体" w:eastAsia="宋体" w:cs="Times New Roman"/>
          <w:color w:val="auto"/>
          <w:szCs w:val="21"/>
          <w:highlight w:val="none"/>
          <w:u w:val="single"/>
        </w:rPr>
        <w:t>（</w:t>
      </w:r>
      <w:r>
        <w:rPr>
          <w:rFonts w:hint="eastAsia" w:ascii="宋体" w:hAnsi="宋体" w:eastAsia="宋体" w:cs="Times New Roman"/>
          <w:color w:val="auto"/>
          <w:szCs w:val="21"/>
          <w:highlight w:val="none"/>
          <w:u w:val="single"/>
          <w:lang w:eastAsia="zh-CN"/>
        </w:rPr>
        <w:t>https://www.gcy.zfcg.gxzf.gov.cn/</w:t>
      </w:r>
      <w:r>
        <w:rPr>
          <w:rFonts w:hint="eastAsia" w:ascii="宋体" w:hAnsi="宋体" w:eastAsia="宋体" w:cs="Times New Roman"/>
          <w:color w:val="auto"/>
          <w:szCs w:val="21"/>
          <w:highlight w:val="none"/>
          <w:u w:val="single"/>
        </w:rPr>
        <w:t>）</w:t>
      </w:r>
      <w:r>
        <w:rPr>
          <w:rFonts w:hint="eastAsia" w:ascii="宋体" w:hAnsi="宋体" w:eastAsia="宋体" w:cs="Times New Roman"/>
          <w:color w:val="auto"/>
          <w:szCs w:val="21"/>
          <w:highlight w:val="none"/>
        </w:rPr>
        <w:t>获取竞争性</w:t>
      </w:r>
      <w:r>
        <w:rPr>
          <w:rFonts w:hint="eastAsia" w:ascii="宋体" w:hAnsi="宋体" w:eastAsia="宋体" w:cs="Times New Roman"/>
          <w:color w:val="auto"/>
          <w:szCs w:val="21"/>
          <w:highlight w:val="none"/>
          <w:lang w:eastAsia="zh-CN"/>
        </w:rPr>
        <w:t>磋商</w:t>
      </w:r>
      <w:r>
        <w:rPr>
          <w:rFonts w:hint="eastAsia" w:ascii="宋体" w:hAnsi="宋体" w:eastAsia="宋体" w:cs="Times New Roman"/>
          <w:color w:val="auto"/>
          <w:szCs w:val="21"/>
          <w:highlight w:val="none"/>
        </w:rPr>
        <w:t>文件，并于</w:t>
      </w:r>
      <w:r>
        <w:rPr>
          <w:rFonts w:hint="eastAsia" w:ascii="宋体" w:hAnsi="宋体" w:eastAsia="宋体" w:cs="Times New Roman"/>
          <w:color w:val="auto"/>
          <w:szCs w:val="21"/>
          <w:highlight w:val="none"/>
          <w:lang w:eastAsia="zh-CN"/>
        </w:rPr>
        <w:t xml:space="preserve">2025-5- </w:t>
      </w:r>
      <w:r>
        <w:rPr>
          <w:rFonts w:hint="eastAsia" w:ascii="宋体" w:hAnsi="宋体" w:cs="Times New Roman"/>
          <w:color w:val="auto"/>
          <w:szCs w:val="21"/>
          <w:highlight w:val="none"/>
          <w:lang w:val="en-US" w:eastAsia="zh-CN"/>
        </w:rPr>
        <w:t>23</w:t>
      </w:r>
      <w:r>
        <w:rPr>
          <w:rFonts w:hint="eastAsia" w:ascii="宋体" w:hAnsi="宋体" w:eastAsia="宋体" w:cs="Times New Roman"/>
          <w:color w:val="auto"/>
          <w:szCs w:val="21"/>
          <w:highlight w:val="none"/>
          <w:lang w:eastAsia="zh-CN"/>
        </w:rPr>
        <w:t xml:space="preserve">  09:</w:t>
      </w:r>
      <w:r>
        <w:rPr>
          <w:rFonts w:hint="eastAsia" w:ascii="宋体" w:hAnsi="宋体" w:cs="Times New Roman"/>
          <w:color w:val="auto"/>
          <w:szCs w:val="21"/>
          <w:highlight w:val="none"/>
          <w:lang w:val="en-US" w:eastAsia="zh-CN"/>
        </w:rPr>
        <w:t>0</w:t>
      </w:r>
      <w:r>
        <w:rPr>
          <w:rFonts w:hint="eastAsia" w:ascii="宋体" w:hAnsi="宋体" w:eastAsia="宋体" w:cs="Times New Roman"/>
          <w:color w:val="auto"/>
          <w:szCs w:val="21"/>
          <w:highlight w:val="none"/>
          <w:lang w:eastAsia="zh-CN"/>
        </w:rPr>
        <w:t>0:00</w:t>
      </w:r>
      <w:r>
        <w:rPr>
          <w:rFonts w:hint="eastAsia" w:ascii="宋体" w:hAnsi="宋体" w:eastAsia="宋体" w:cs="Times New Roman"/>
          <w:color w:val="auto"/>
          <w:szCs w:val="21"/>
          <w:highlight w:val="none"/>
        </w:rPr>
        <w:t>（北京时间）前提交</w:t>
      </w:r>
      <w:r>
        <w:rPr>
          <w:rFonts w:hint="eastAsia" w:ascii="宋体" w:hAnsi="宋体" w:eastAsia="宋体" w:cs="宋体"/>
          <w:caps w:val="0"/>
          <w:smallCaps w:val="0"/>
          <w:color w:val="auto"/>
          <w:spacing w:val="0"/>
          <w:w w:val="100"/>
          <w:sz w:val="21"/>
          <w:szCs w:val="21"/>
          <w:highlight w:val="none"/>
        </w:rPr>
        <w:t>（上传）</w:t>
      </w:r>
      <w:r>
        <w:rPr>
          <w:rFonts w:hint="eastAsia" w:ascii="宋体" w:hAnsi="宋体" w:eastAsia="宋体" w:cs="Times New Roman"/>
          <w:color w:val="auto"/>
          <w:szCs w:val="21"/>
          <w:highlight w:val="none"/>
        </w:rPr>
        <w:t>响应文件。</w:t>
      </w:r>
    </w:p>
    <w:p w14:paraId="103C0194">
      <w:pPr>
        <w:keepNext w:val="0"/>
        <w:keepLines w:val="0"/>
        <w:pageBreakBefore w:val="0"/>
        <w:kinsoku/>
        <w:wordWrap/>
        <w:overflowPunct/>
        <w:topLinePunct w:val="0"/>
        <w:autoSpaceDE/>
        <w:autoSpaceDN/>
        <w:bidi w:val="0"/>
        <w:adjustRightInd/>
        <w:spacing w:line="384" w:lineRule="auto"/>
        <w:ind w:left="0" w:leftChars="0" w:firstLine="420" w:firstLineChars="175"/>
        <w:textAlignment w:val="auto"/>
        <w:rPr>
          <w:color w:val="auto"/>
          <w:highlight w:val="none"/>
        </w:rPr>
      </w:pPr>
      <w:r>
        <w:rPr>
          <w:rFonts w:hint="eastAsia" w:ascii="黑体" w:hAnsi="黑体" w:eastAsia="黑体" w:cs="宋体"/>
          <w:bCs/>
          <w:color w:val="auto"/>
          <w:sz w:val="24"/>
          <w:highlight w:val="none"/>
        </w:rPr>
        <w:t>一、项目基本情况</w:t>
      </w:r>
      <w:bookmarkEnd w:id="1"/>
      <w:bookmarkEnd w:id="2"/>
      <w:bookmarkEnd w:id="3"/>
      <w:bookmarkEnd w:id="4"/>
      <w:bookmarkEnd w:id="5"/>
    </w:p>
    <w:p w14:paraId="625A1B42">
      <w:pPr>
        <w:keepNext w:val="0"/>
        <w:keepLines w:val="0"/>
        <w:pageBreakBefore w:val="0"/>
        <w:kinsoku/>
        <w:wordWrap/>
        <w:overflowPunct/>
        <w:topLinePunct w:val="0"/>
        <w:autoSpaceDE/>
        <w:autoSpaceDN/>
        <w:bidi w:val="0"/>
        <w:adjustRightInd/>
        <w:spacing w:line="384" w:lineRule="auto"/>
        <w:ind w:left="0" w:leftChars="0" w:firstLine="367" w:firstLineChars="175"/>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项目编号：</w:t>
      </w:r>
      <w:r>
        <w:rPr>
          <w:rFonts w:hint="eastAsia" w:ascii="宋体" w:hAnsi="宋体"/>
          <w:color w:val="auto"/>
          <w:szCs w:val="21"/>
          <w:highlight w:val="none"/>
          <w:lang w:eastAsia="zh-CN"/>
        </w:rPr>
        <w:t>GXZC2025-C3-001048-HDZB</w:t>
      </w:r>
    </w:p>
    <w:p w14:paraId="45AF7AC1">
      <w:pPr>
        <w:keepNext w:val="0"/>
        <w:keepLines w:val="0"/>
        <w:pageBreakBefore w:val="0"/>
        <w:kinsoku/>
        <w:wordWrap/>
        <w:overflowPunct/>
        <w:topLinePunct w:val="0"/>
        <w:autoSpaceDE/>
        <w:autoSpaceDN/>
        <w:bidi w:val="0"/>
        <w:adjustRightInd/>
        <w:spacing w:line="384" w:lineRule="auto"/>
        <w:ind w:left="0" w:leftChars="0" w:firstLine="367" w:firstLineChars="175"/>
        <w:textAlignment w:val="auto"/>
        <w:rPr>
          <w:rFonts w:hint="eastAsia" w:ascii="宋体" w:hAnsi="宋体" w:eastAsia="宋体"/>
          <w:color w:val="auto"/>
          <w:szCs w:val="21"/>
          <w:highlight w:val="none"/>
          <w:u w:val="single"/>
          <w:lang w:eastAsia="zh-CN"/>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项目名称：</w:t>
      </w:r>
      <w:r>
        <w:rPr>
          <w:rFonts w:hint="eastAsia" w:ascii="宋体" w:hAnsi="宋体"/>
          <w:color w:val="auto"/>
          <w:szCs w:val="21"/>
          <w:highlight w:val="none"/>
          <w:lang w:eastAsia="zh-CN"/>
        </w:rPr>
        <w:t>网络基础维护服务采购项目（重）</w:t>
      </w:r>
    </w:p>
    <w:p w14:paraId="69976890">
      <w:pPr>
        <w:keepNext w:val="0"/>
        <w:keepLines w:val="0"/>
        <w:pageBreakBefore w:val="0"/>
        <w:kinsoku/>
        <w:wordWrap/>
        <w:overflowPunct/>
        <w:topLinePunct w:val="0"/>
        <w:autoSpaceDE/>
        <w:autoSpaceDN/>
        <w:bidi w:val="0"/>
        <w:adjustRightInd/>
        <w:spacing w:line="384" w:lineRule="auto"/>
        <w:ind w:left="0" w:leftChars="0" w:firstLine="367" w:firstLineChars="175"/>
        <w:textAlignment w:val="auto"/>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采购方式：竞争性磋商</w:t>
      </w:r>
    </w:p>
    <w:p w14:paraId="07C81C15">
      <w:pPr>
        <w:keepNext w:val="0"/>
        <w:keepLines w:val="0"/>
        <w:pageBreakBefore w:val="0"/>
        <w:kinsoku/>
        <w:wordWrap/>
        <w:overflowPunct/>
        <w:topLinePunct w:val="0"/>
        <w:autoSpaceDE/>
        <w:autoSpaceDN/>
        <w:bidi w:val="0"/>
        <w:adjustRightInd/>
        <w:spacing w:line="384" w:lineRule="auto"/>
        <w:ind w:left="0" w:leftChars="0" w:firstLine="367" w:firstLineChars="175"/>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szCs w:val="21"/>
          <w:highlight w:val="none"/>
        </w:rPr>
        <w:t>预算金额：</w:t>
      </w:r>
      <w:r>
        <w:rPr>
          <w:rFonts w:hint="eastAsia" w:ascii="宋体" w:hAnsi="宋体"/>
          <w:color w:val="auto"/>
          <w:szCs w:val="21"/>
          <w:highlight w:val="none"/>
          <w:u w:val="single"/>
          <w:lang w:val="en-US" w:eastAsia="zh-CN"/>
        </w:rPr>
        <w:t>150</w:t>
      </w:r>
      <w:r>
        <w:rPr>
          <w:rFonts w:hint="eastAsia" w:ascii="宋体" w:hAnsi="宋体"/>
          <w:color w:val="auto"/>
          <w:szCs w:val="21"/>
          <w:highlight w:val="none"/>
          <w:u w:val="single"/>
          <w:lang w:eastAsia="zh-CN"/>
        </w:rPr>
        <w:t>万元</w:t>
      </w:r>
    </w:p>
    <w:p w14:paraId="1D014DBD">
      <w:pPr>
        <w:keepNext w:val="0"/>
        <w:keepLines w:val="0"/>
        <w:pageBreakBefore w:val="0"/>
        <w:kinsoku/>
        <w:wordWrap/>
        <w:overflowPunct/>
        <w:topLinePunct w:val="0"/>
        <w:autoSpaceDE/>
        <w:autoSpaceDN/>
        <w:bidi w:val="0"/>
        <w:adjustRightInd/>
        <w:spacing w:line="384" w:lineRule="auto"/>
        <w:ind w:left="0" w:leftChars="0" w:firstLine="367" w:firstLineChars="175"/>
        <w:textAlignment w:val="auto"/>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w:t>
      </w:r>
      <w:r>
        <w:rPr>
          <w:rFonts w:hint="eastAsia" w:ascii="宋体" w:hAnsi="宋体"/>
          <w:color w:val="auto"/>
          <w:szCs w:val="21"/>
          <w:highlight w:val="none"/>
        </w:rPr>
        <w:t>最高限价</w:t>
      </w:r>
      <w:bookmarkStart w:id="10" w:name="_Hlk66782034"/>
      <w:r>
        <w:rPr>
          <w:rFonts w:hint="eastAsia" w:ascii="宋体" w:hAnsi="宋体"/>
          <w:color w:val="auto"/>
          <w:szCs w:val="21"/>
          <w:highlight w:val="none"/>
        </w:rPr>
        <w:t>（如有）</w:t>
      </w:r>
      <w:bookmarkEnd w:id="10"/>
      <w:r>
        <w:rPr>
          <w:rFonts w:hint="eastAsia" w:ascii="宋体" w:hAnsi="宋体"/>
          <w:color w:val="auto"/>
          <w:szCs w:val="21"/>
          <w:highlight w:val="none"/>
        </w:rPr>
        <w:t>：与采购预算一致</w:t>
      </w:r>
    </w:p>
    <w:p w14:paraId="46ADA460">
      <w:pPr>
        <w:keepNext w:val="0"/>
        <w:keepLines w:val="0"/>
        <w:pageBreakBefore w:val="0"/>
        <w:kinsoku/>
        <w:wordWrap/>
        <w:overflowPunct/>
        <w:topLinePunct w:val="0"/>
        <w:autoSpaceDE/>
        <w:autoSpaceDN/>
        <w:bidi w:val="0"/>
        <w:adjustRightInd/>
        <w:spacing w:line="384" w:lineRule="auto"/>
        <w:ind w:left="0" w:leftChars="0" w:firstLine="367" w:firstLineChars="175"/>
        <w:textAlignment w:val="auto"/>
        <w:rPr>
          <w:rFonts w:hint="eastAsia" w:ascii="宋体" w:hAnsi="宋体" w:eastAsia="宋体"/>
          <w:color w:val="auto"/>
          <w:szCs w:val="21"/>
          <w:highlight w:val="none"/>
          <w:lang w:val="en-US" w:eastAsia="zh-CN"/>
        </w:rPr>
      </w:pPr>
      <w:r>
        <w:rPr>
          <w:rFonts w:hint="eastAsia" w:ascii="宋体" w:hAnsi="宋体"/>
          <w:color w:val="auto"/>
          <w:szCs w:val="21"/>
          <w:highlight w:val="none"/>
        </w:rPr>
        <w:t>6</w:t>
      </w:r>
      <w:r>
        <w:rPr>
          <w:rFonts w:ascii="宋体" w:hAnsi="宋体"/>
          <w:color w:val="auto"/>
          <w:szCs w:val="21"/>
          <w:highlight w:val="none"/>
        </w:rPr>
        <w:t>.</w:t>
      </w:r>
      <w:r>
        <w:rPr>
          <w:rFonts w:hint="eastAsia" w:ascii="宋体" w:hAnsi="宋体"/>
          <w:color w:val="auto"/>
          <w:szCs w:val="21"/>
          <w:highlight w:val="none"/>
        </w:rPr>
        <w:t>采购需求：网络基础维护服务</w:t>
      </w:r>
      <w:r>
        <w:rPr>
          <w:rFonts w:hint="eastAsia" w:ascii="宋体" w:hAnsi="宋体"/>
          <w:color w:val="auto"/>
          <w:szCs w:val="21"/>
          <w:highlight w:val="none"/>
          <w:lang w:val="en-US" w:eastAsia="zh-CN"/>
        </w:rPr>
        <w:t>1</w:t>
      </w:r>
      <w:r>
        <w:rPr>
          <w:rFonts w:hint="eastAsia" w:ascii="宋体" w:hAnsi="宋体"/>
          <w:color w:val="auto"/>
          <w:szCs w:val="21"/>
          <w:highlight w:val="none"/>
        </w:rPr>
        <w:t>项</w:t>
      </w:r>
      <w:r>
        <w:rPr>
          <w:rFonts w:hint="eastAsia" w:ascii="宋体" w:hAnsi="宋体"/>
          <w:color w:val="auto"/>
          <w:szCs w:val="21"/>
          <w:highlight w:val="none"/>
          <w:lang w:eastAsia="zh-CN"/>
        </w:rPr>
        <w:t>，具体详见竞争性磋商文件。</w:t>
      </w:r>
    </w:p>
    <w:p w14:paraId="3525A107">
      <w:pPr>
        <w:keepNext w:val="0"/>
        <w:keepLines w:val="0"/>
        <w:pageBreakBefore w:val="0"/>
        <w:kinsoku/>
        <w:wordWrap/>
        <w:overflowPunct/>
        <w:topLinePunct w:val="0"/>
        <w:autoSpaceDE/>
        <w:autoSpaceDN/>
        <w:bidi w:val="0"/>
        <w:adjustRightInd/>
        <w:spacing w:line="384" w:lineRule="auto"/>
        <w:ind w:left="0" w:leftChars="0" w:firstLine="367" w:firstLineChars="175"/>
        <w:textAlignment w:val="auto"/>
        <w:rPr>
          <w:rFonts w:ascii="宋体" w:hAnsi="宋体"/>
          <w:color w:val="auto"/>
          <w:szCs w:val="21"/>
          <w:highlight w:val="none"/>
          <w:u w:val="single"/>
        </w:rPr>
      </w:pPr>
      <w:r>
        <w:rPr>
          <w:rFonts w:hint="eastAsia" w:ascii="宋体" w:hAnsi="宋体"/>
          <w:color w:val="auto"/>
          <w:szCs w:val="21"/>
          <w:highlight w:val="none"/>
        </w:rPr>
        <w:t>7</w:t>
      </w:r>
      <w:r>
        <w:rPr>
          <w:rFonts w:ascii="宋体" w:hAnsi="宋体"/>
          <w:color w:val="auto"/>
          <w:szCs w:val="21"/>
          <w:highlight w:val="none"/>
        </w:rPr>
        <w:t>.</w:t>
      </w:r>
      <w:r>
        <w:rPr>
          <w:rFonts w:hint="eastAsia" w:ascii="宋体" w:hAnsi="宋体"/>
          <w:color w:val="auto"/>
          <w:szCs w:val="21"/>
          <w:highlight w:val="none"/>
        </w:rPr>
        <w:t>合同履行期限：</w:t>
      </w:r>
      <w:r>
        <w:rPr>
          <w:rFonts w:hint="eastAsia" w:ascii="宋体" w:hAnsi="宋体"/>
          <w:color w:val="auto"/>
          <w:szCs w:val="21"/>
          <w:highlight w:val="none"/>
          <w:u w:val="none"/>
        </w:rPr>
        <w:t>自签订合同之日起至项目</w:t>
      </w:r>
      <w:r>
        <w:rPr>
          <w:rFonts w:hint="eastAsia" w:ascii="宋体" w:hAnsi="宋体"/>
          <w:color w:val="auto"/>
          <w:szCs w:val="21"/>
          <w:highlight w:val="none"/>
          <w:u w:val="none"/>
          <w:lang w:eastAsia="zh-CN"/>
        </w:rPr>
        <w:t>服务期限</w:t>
      </w:r>
      <w:r>
        <w:rPr>
          <w:rFonts w:hint="eastAsia" w:ascii="宋体" w:hAnsi="宋体"/>
          <w:color w:val="auto"/>
          <w:szCs w:val="21"/>
          <w:highlight w:val="none"/>
          <w:u w:val="none"/>
        </w:rPr>
        <w:t>结束。</w:t>
      </w:r>
      <w:r>
        <w:rPr>
          <w:rFonts w:hint="eastAsia" w:ascii="宋体" w:hAnsi="宋体" w:eastAsia="宋体" w:cs="Times New Roman"/>
          <w:color w:val="auto"/>
          <w:szCs w:val="21"/>
          <w:highlight w:val="none"/>
          <w:u w:val="none"/>
          <w:lang w:val="en-US" w:eastAsia="zh-CN"/>
        </w:rPr>
        <w:t xml:space="preserve"> </w:t>
      </w:r>
    </w:p>
    <w:p w14:paraId="3F08BCD9">
      <w:pPr>
        <w:keepNext w:val="0"/>
        <w:keepLines w:val="0"/>
        <w:pageBreakBefore w:val="0"/>
        <w:kinsoku/>
        <w:wordWrap/>
        <w:overflowPunct/>
        <w:topLinePunct w:val="0"/>
        <w:autoSpaceDE/>
        <w:autoSpaceDN/>
        <w:bidi w:val="0"/>
        <w:adjustRightInd/>
        <w:spacing w:line="384" w:lineRule="auto"/>
        <w:ind w:left="0" w:leftChars="0" w:firstLine="367" w:firstLineChars="175"/>
        <w:textAlignment w:val="auto"/>
        <w:rPr>
          <w:rFonts w:ascii="宋体" w:hAnsi="宋体"/>
          <w:color w:val="auto"/>
          <w:szCs w:val="21"/>
          <w:highlight w:val="none"/>
        </w:rPr>
      </w:pPr>
      <w:r>
        <w:rPr>
          <w:rFonts w:ascii="宋体" w:hAnsi="宋体"/>
          <w:color w:val="auto"/>
          <w:szCs w:val="21"/>
          <w:highlight w:val="none"/>
        </w:rPr>
        <w:t>8.</w:t>
      </w:r>
      <w:r>
        <w:rPr>
          <w:rFonts w:hint="eastAsia" w:ascii="宋体" w:hAnsi="宋体"/>
          <w:color w:val="auto"/>
          <w:szCs w:val="21"/>
          <w:highlight w:val="none"/>
        </w:rPr>
        <w:t>本项目是否接受联合体：</w:t>
      </w:r>
      <w:r>
        <w:rPr>
          <w:rFonts w:ascii="宋体" w:hAnsi="宋体"/>
          <w:color w:val="auto"/>
          <w:szCs w:val="21"/>
          <w:highlight w:val="none"/>
        </w:rPr>
        <w:t>否</w:t>
      </w:r>
      <w:r>
        <w:rPr>
          <w:rFonts w:hint="eastAsia" w:ascii="宋体" w:hAnsi="宋体"/>
          <w:color w:val="auto"/>
          <w:szCs w:val="21"/>
          <w:highlight w:val="none"/>
        </w:rPr>
        <w:t>。</w:t>
      </w:r>
    </w:p>
    <w:p w14:paraId="2B82B5AC">
      <w:pPr>
        <w:keepNext w:val="0"/>
        <w:keepLines w:val="0"/>
        <w:pageBreakBefore w:val="0"/>
        <w:kinsoku/>
        <w:wordWrap/>
        <w:overflowPunct/>
        <w:topLinePunct w:val="0"/>
        <w:autoSpaceDE/>
        <w:autoSpaceDN/>
        <w:bidi w:val="0"/>
        <w:adjustRightInd/>
        <w:spacing w:line="384" w:lineRule="auto"/>
        <w:ind w:left="0" w:leftChars="0" w:firstLine="422" w:firstLineChars="175"/>
        <w:textAlignment w:val="auto"/>
        <w:rPr>
          <w:rFonts w:ascii="黑体" w:hAnsi="黑体" w:eastAsia="黑体" w:cs="宋体"/>
          <w:bCs/>
          <w:color w:val="auto"/>
          <w:sz w:val="24"/>
          <w:highlight w:val="none"/>
        </w:rPr>
      </w:pPr>
      <w:bookmarkStart w:id="11" w:name="_Toc35393630"/>
      <w:bookmarkStart w:id="12" w:name="_Toc44229879"/>
      <w:bookmarkStart w:id="13" w:name="_Toc28359090"/>
      <w:bookmarkStart w:id="14" w:name="_Toc28359013"/>
      <w:bookmarkStart w:id="15" w:name="_Toc35393799"/>
      <w:r>
        <w:rPr>
          <w:rFonts w:hint="eastAsia" w:ascii="黑体" w:hAnsi="黑体" w:eastAsia="黑体" w:cs="宋体"/>
          <w:b/>
          <w:color w:val="auto"/>
          <w:kern w:val="44"/>
          <w:sz w:val="24"/>
          <w:highlight w:val="none"/>
        </w:rPr>
        <w:t>二、供应商的资格条件</w:t>
      </w:r>
      <w:bookmarkEnd w:id="11"/>
      <w:bookmarkEnd w:id="12"/>
      <w:bookmarkEnd w:id="13"/>
      <w:bookmarkEnd w:id="14"/>
      <w:bookmarkEnd w:id="15"/>
    </w:p>
    <w:p w14:paraId="4DFA9DF8">
      <w:pPr>
        <w:keepNext w:val="0"/>
        <w:keepLines w:val="0"/>
        <w:pageBreakBefore w:val="0"/>
        <w:kinsoku/>
        <w:wordWrap/>
        <w:overflowPunct/>
        <w:topLinePunct w:val="0"/>
        <w:autoSpaceDE/>
        <w:autoSpaceDN/>
        <w:bidi w:val="0"/>
        <w:adjustRightInd/>
        <w:spacing w:line="384" w:lineRule="auto"/>
        <w:ind w:left="0" w:leftChars="0" w:firstLine="367" w:firstLineChars="175"/>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1.满足《中华人民共和国政府采购法》第二十二条规定</w:t>
      </w:r>
      <w:r>
        <w:rPr>
          <w:rFonts w:hint="eastAsia" w:ascii="宋体" w:hAnsi="宋体"/>
          <w:color w:val="auto"/>
          <w:szCs w:val="21"/>
          <w:highlight w:val="none"/>
          <w:lang w:eastAsia="zh-CN"/>
        </w:rPr>
        <w:t>。</w:t>
      </w:r>
    </w:p>
    <w:p w14:paraId="4DE50250">
      <w:pPr>
        <w:keepNext w:val="0"/>
        <w:keepLines w:val="0"/>
        <w:pageBreakBefore w:val="0"/>
        <w:kinsoku/>
        <w:wordWrap/>
        <w:overflowPunct/>
        <w:topLinePunct w:val="0"/>
        <w:autoSpaceDE/>
        <w:autoSpaceDN/>
        <w:bidi w:val="0"/>
        <w:adjustRightInd/>
        <w:spacing w:line="384" w:lineRule="auto"/>
        <w:ind w:left="0" w:leftChars="0" w:firstLine="367" w:firstLineChars="175"/>
        <w:textAlignment w:val="auto"/>
        <w:rPr>
          <w:rFonts w:hint="eastAsia" w:ascii="宋体" w:hAnsi="宋体" w:eastAsia="宋体"/>
          <w:color w:val="auto"/>
          <w:szCs w:val="21"/>
          <w:highlight w:val="none"/>
          <w:lang w:eastAsia="zh-CN"/>
        </w:rPr>
      </w:pPr>
      <w:r>
        <w:rPr>
          <w:rFonts w:ascii="宋体" w:hAnsi="宋体"/>
          <w:color w:val="auto"/>
          <w:szCs w:val="21"/>
          <w:highlight w:val="none"/>
        </w:rPr>
        <w:t>2</w:t>
      </w:r>
      <w:r>
        <w:rPr>
          <w:rFonts w:hint="eastAsia" w:ascii="宋体" w:hAnsi="宋体"/>
          <w:color w:val="auto"/>
          <w:szCs w:val="21"/>
          <w:highlight w:val="none"/>
        </w:rPr>
        <w:t>.落实政府采购政策需满足的资格要求：专门面向中小企业采购的项目（供应商应为中小微企业、监狱企业、残疾人福利性单位)</w:t>
      </w:r>
      <w:r>
        <w:rPr>
          <w:rFonts w:hint="eastAsia" w:ascii="宋体" w:hAnsi="宋体"/>
          <w:color w:val="auto"/>
          <w:szCs w:val="21"/>
          <w:highlight w:val="none"/>
          <w:lang w:eastAsia="zh-CN"/>
        </w:rPr>
        <w:t>。</w:t>
      </w:r>
    </w:p>
    <w:p w14:paraId="66AE95A3">
      <w:pPr>
        <w:keepNext w:val="0"/>
        <w:keepLines w:val="0"/>
        <w:pageBreakBefore w:val="0"/>
        <w:kinsoku/>
        <w:wordWrap/>
        <w:overflowPunct/>
        <w:topLinePunct w:val="0"/>
        <w:autoSpaceDE/>
        <w:autoSpaceDN/>
        <w:bidi w:val="0"/>
        <w:adjustRightInd/>
        <w:spacing w:line="384" w:lineRule="auto"/>
        <w:ind w:left="0" w:leftChars="0" w:firstLine="367" w:firstLineChars="175"/>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3.本项目的特定资格要求：无</w:t>
      </w:r>
      <w:r>
        <w:rPr>
          <w:rFonts w:hint="eastAsia" w:ascii="宋体" w:hAnsi="宋体"/>
          <w:color w:val="auto"/>
          <w:szCs w:val="21"/>
          <w:highlight w:val="none"/>
          <w:lang w:eastAsia="zh-CN"/>
        </w:rPr>
        <w:t>。</w:t>
      </w:r>
    </w:p>
    <w:p w14:paraId="76B56BC2">
      <w:pPr>
        <w:keepNext w:val="0"/>
        <w:keepLines w:val="0"/>
        <w:pageBreakBefore w:val="0"/>
        <w:kinsoku/>
        <w:wordWrap/>
        <w:overflowPunct/>
        <w:topLinePunct w:val="0"/>
        <w:autoSpaceDE/>
        <w:autoSpaceDN/>
        <w:bidi w:val="0"/>
        <w:adjustRightInd/>
        <w:spacing w:line="384" w:lineRule="auto"/>
        <w:ind w:left="0" w:leftChars="0" w:firstLine="422" w:firstLineChars="175"/>
        <w:textAlignment w:val="auto"/>
        <w:rPr>
          <w:rFonts w:ascii="黑体" w:hAnsi="黑体" w:eastAsia="黑体"/>
          <w:b/>
          <w:bCs/>
          <w:color w:val="auto"/>
          <w:sz w:val="24"/>
          <w:highlight w:val="none"/>
        </w:rPr>
      </w:pPr>
      <w:r>
        <w:rPr>
          <w:rFonts w:hint="eastAsia" w:ascii="黑体" w:hAnsi="黑体" w:eastAsia="黑体"/>
          <w:b/>
          <w:bCs/>
          <w:color w:val="auto"/>
          <w:sz w:val="24"/>
          <w:highlight w:val="none"/>
        </w:rPr>
        <w:t>三、获取竞争性磋商文件</w:t>
      </w:r>
      <w:bookmarkEnd w:id="6"/>
      <w:bookmarkEnd w:id="7"/>
      <w:bookmarkEnd w:id="8"/>
      <w:bookmarkEnd w:id="9"/>
    </w:p>
    <w:p w14:paraId="54C70937">
      <w:pPr>
        <w:keepNext w:val="0"/>
        <w:keepLines w:val="0"/>
        <w:pageBreakBefore w:val="0"/>
        <w:kinsoku/>
        <w:overflowPunct/>
        <w:topLinePunct w:val="0"/>
        <w:autoSpaceDE/>
        <w:autoSpaceDN/>
        <w:bidi w:val="0"/>
        <w:adjustRightInd/>
        <w:snapToGrid/>
        <w:spacing w:line="360" w:lineRule="auto"/>
        <w:ind w:firstLine="420" w:firstLineChars="200"/>
        <w:jc w:val="left"/>
        <w:textAlignment w:val="auto"/>
        <w:rPr>
          <w:rFonts w:ascii="宋体" w:hAnsi="宋体"/>
          <w:iCs/>
          <w:color w:val="auto"/>
          <w:szCs w:val="21"/>
          <w:highlight w:val="none"/>
          <w:u w:val="single"/>
        </w:rPr>
      </w:pPr>
      <w:bookmarkStart w:id="16" w:name="_Toc28359082"/>
      <w:bookmarkStart w:id="17" w:name="_Toc35393793"/>
      <w:bookmarkStart w:id="18" w:name="_Toc35393624"/>
      <w:bookmarkStart w:id="19" w:name="_Toc28359005"/>
      <w:r>
        <w:rPr>
          <w:rFonts w:hint="eastAsia" w:ascii="宋体" w:hAnsi="宋体" w:cs="宋体"/>
          <w:color w:val="auto"/>
          <w:szCs w:val="21"/>
          <w:highlight w:val="none"/>
        </w:rPr>
        <w:t>时间：</w:t>
      </w:r>
      <w:r>
        <w:rPr>
          <w:rFonts w:hint="eastAsia" w:ascii="宋体" w:hAnsi="宋体" w:cs="宋体"/>
          <w:color w:val="auto"/>
          <w:szCs w:val="21"/>
          <w:highlight w:val="none"/>
          <w:lang w:eastAsia="zh-CN"/>
        </w:rPr>
        <w:t>2025年</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lang w:eastAsia="zh-CN"/>
        </w:rPr>
        <w:t>日至2025年</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19</w:t>
      </w:r>
      <w:r>
        <w:rPr>
          <w:rFonts w:hint="eastAsia" w:ascii="宋体" w:hAnsi="宋体" w:cs="宋体"/>
          <w:color w:val="auto"/>
          <w:szCs w:val="21"/>
          <w:highlight w:val="none"/>
          <w:lang w:eastAsia="zh-CN"/>
        </w:rPr>
        <w:t>日</w:t>
      </w:r>
      <w:r>
        <w:rPr>
          <w:rFonts w:hint="eastAsia" w:ascii="宋体" w:hAnsi="宋体" w:cs="宋体"/>
          <w:color w:val="auto"/>
          <w:szCs w:val="21"/>
          <w:highlight w:val="none"/>
        </w:rPr>
        <w:t>，每天上午00:00至11:59，下午12:00至23:59（北京时间，法定节假日除外）。</w:t>
      </w:r>
    </w:p>
    <w:p w14:paraId="11EFD922">
      <w:pPr>
        <w:keepNext w:val="0"/>
        <w:keepLines w:val="0"/>
        <w:pageBreakBefore w:val="0"/>
        <w:kinsoku/>
        <w:wordWrap/>
        <w:overflowPunct/>
        <w:topLinePunct w:val="0"/>
        <w:autoSpaceDE/>
        <w:autoSpaceDN/>
        <w:bidi w:val="0"/>
        <w:adjustRightInd/>
        <w:spacing w:line="384" w:lineRule="auto"/>
        <w:ind w:left="0" w:leftChars="0" w:firstLine="367" w:firstLineChars="175"/>
        <w:textAlignment w:val="auto"/>
        <w:rPr>
          <w:rFonts w:hint="eastAsia" w:ascii="宋体" w:hAnsi="宋体" w:eastAsia="宋体" w:cs="宋体"/>
          <w:iCs/>
          <w:color w:val="auto"/>
          <w:spacing w:val="0"/>
          <w:sz w:val="21"/>
          <w:szCs w:val="21"/>
          <w:highlight w:val="none"/>
          <w:lang w:eastAsia="zh-CN"/>
        </w:rPr>
      </w:pPr>
      <w:r>
        <w:rPr>
          <w:rFonts w:hint="eastAsia" w:ascii="宋体" w:hAnsi="宋体" w:eastAsia="宋体" w:cs="宋体"/>
          <w:color w:val="auto"/>
          <w:spacing w:val="0"/>
          <w:sz w:val="21"/>
          <w:szCs w:val="21"/>
          <w:highlight w:val="none"/>
        </w:rPr>
        <w:t>地点</w:t>
      </w:r>
      <w:r>
        <w:rPr>
          <w:rFonts w:hint="eastAsia" w:ascii="宋体" w:hAnsi="宋体" w:eastAsia="宋体" w:cs="宋体"/>
          <w:color w:val="auto"/>
          <w:spacing w:val="0"/>
          <w:sz w:val="21"/>
          <w:szCs w:val="21"/>
          <w:highlight w:val="none"/>
          <w:lang w:val="en-US" w:eastAsia="zh-CN"/>
        </w:rPr>
        <w:t>：</w:t>
      </w:r>
      <w:r>
        <w:rPr>
          <w:rFonts w:hint="eastAsia" w:ascii="宋体" w:hAnsi="宋体" w:eastAsia="宋体" w:cs="Times New Roman"/>
          <w:color w:val="auto"/>
          <w:szCs w:val="21"/>
          <w:highlight w:val="none"/>
          <w:u w:val="single"/>
          <w:lang w:eastAsia="zh-CN"/>
        </w:rPr>
        <w:t>广西政府采购云平台</w:t>
      </w:r>
      <w:r>
        <w:rPr>
          <w:rFonts w:hint="eastAsia" w:ascii="宋体" w:hAnsi="宋体" w:eastAsia="宋体" w:cs="Times New Roman"/>
          <w:color w:val="auto"/>
          <w:szCs w:val="21"/>
          <w:highlight w:val="none"/>
          <w:u w:val="single"/>
        </w:rPr>
        <w:t>（</w:t>
      </w:r>
      <w:r>
        <w:rPr>
          <w:rFonts w:hint="eastAsia" w:ascii="宋体" w:hAnsi="宋体" w:eastAsia="宋体" w:cs="Times New Roman"/>
          <w:color w:val="auto"/>
          <w:szCs w:val="21"/>
          <w:highlight w:val="none"/>
          <w:u w:val="single"/>
          <w:lang w:eastAsia="zh-CN"/>
        </w:rPr>
        <w:t>https://www.gcy.zfcg.gxzf.gov.cn/</w:t>
      </w:r>
      <w:r>
        <w:rPr>
          <w:rFonts w:hint="eastAsia" w:ascii="宋体" w:hAnsi="宋体" w:eastAsia="宋体" w:cs="Times New Roman"/>
          <w:color w:val="auto"/>
          <w:szCs w:val="21"/>
          <w:highlight w:val="none"/>
          <w:u w:val="single"/>
        </w:rPr>
        <w:t>）</w:t>
      </w:r>
    </w:p>
    <w:p w14:paraId="6C17F4E8">
      <w:pPr>
        <w:keepNext w:val="0"/>
        <w:keepLines w:val="0"/>
        <w:pageBreakBefore w:val="0"/>
        <w:kinsoku/>
        <w:wordWrap/>
        <w:overflowPunct/>
        <w:topLinePunct w:val="0"/>
        <w:autoSpaceDE/>
        <w:autoSpaceDN/>
        <w:bidi w:val="0"/>
        <w:adjustRightInd/>
        <w:spacing w:line="384" w:lineRule="auto"/>
        <w:ind w:left="0" w:leftChars="0" w:firstLine="367" w:firstLineChars="175"/>
        <w:textAlignment w:val="auto"/>
        <w:rPr>
          <w:rFonts w:hint="eastAsia" w:ascii="黑体" w:hAnsi="黑体" w:eastAsia="黑体"/>
          <w:b/>
          <w:bCs/>
          <w:color w:val="auto"/>
          <w:sz w:val="24"/>
          <w:highlight w:val="none"/>
        </w:rPr>
      </w:pPr>
      <w:r>
        <w:rPr>
          <w:rFonts w:hint="eastAsia" w:ascii="宋体" w:hAnsi="宋体"/>
          <w:color w:val="auto"/>
          <w:szCs w:val="21"/>
          <w:highlight w:val="none"/>
        </w:rPr>
        <w:t>获取方式</w:t>
      </w:r>
      <w:r>
        <w:rPr>
          <w:rFonts w:hint="eastAsia" w:ascii="宋体" w:hAnsi="宋体"/>
          <w:color w:val="auto"/>
          <w:szCs w:val="21"/>
          <w:highlight w:val="none"/>
          <w:lang w:eastAsia="zh-CN"/>
        </w:rPr>
        <w:t>：</w:t>
      </w:r>
      <w:r>
        <w:rPr>
          <w:rFonts w:hint="eastAsia" w:ascii="宋体" w:hAnsi="宋体"/>
          <w:color w:val="auto"/>
          <w:szCs w:val="21"/>
          <w:highlight w:val="none"/>
        </w:rPr>
        <w:t>网上下载。本项目不发放纸质采购文件，供应商可自行在</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w:t>
      </w:r>
      <w:r>
        <w:rPr>
          <w:rFonts w:hint="eastAsia" w:ascii="宋体" w:hAnsi="宋体"/>
          <w:color w:val="auto"/>
          <w:szCs w:val="21"/>
          <w:highlight w:val="none"/>
          <w:lang w:eastAsia="zh-CN"/>
        </w:rPr>
        <w:t>https://www.gcy.zfcg.gxzf.gov.cn/</w:t>
      </w:r>
      <w:r>
        <w:rPr>
          <w:rFonts w:hint="eastAsia" w:ascii="宋体" w:hAnsi="宋体"/>
          <w:color w:val="auto"/>
          <w:szCs w:val="21"/>
          <w:highlight w:val="none"/>
        </w:rPr>
        <w:t>）下载采购文件（操作路径：登录</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-项目采购-获取采购文件-找到本项目-点击“申请获取采购文件”），电子响应文件制作需要基于</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w:t>
      </w:r>
      <w:r>
        <w:rPr>
          <w:rFonts w:hint="eastAsia" w:ascii="宋体" w:hAnsi="宋体"/>
          <w:color w:val="auto"/>
          <w:szCs w:val="21"/>
          <w:highlight w:val="none"/>
          <w:lang w:eastAsia="zh-CN"/>
        </w:rPr>
        <w:t>https://www.gcy.zfcg.gxzf.gov.cn/</w:t>
      </w:r>
      <w:r>
        <w:rPr>
          <w:rFonts w:hint="eastAsia" w:ascii="宋体" w:hAnsi="宋体"/>
          <w:color w:val="auto"/>
          <w:szCs w:val="21"/>
          <w:highlight w:val="none"/>
        </w:rPr>
        <w:t>）获取的采购文件编制。</w:t>
      </w:r>
    </w:p>
    <w:p w14:paraId="764A13C0">
      <w:pPr>
        <w:keepNext w:val="0"/>
        <w:keepLines w:val="0"/>
        <w:pageBreakBefore w:val="0"/>
        <w:kinsoku/>
        <w:wordWrap/>
        <w:overflowPunct/>
        <w:topLinePunct w:val="0"/>
        <w:autoSpaceDE/>
        <w:autoSpaceDN/>
        <w:bidi w:val="0"/>
        <w:adjustRightInd/>
        <w:snapToGrid w:val="0"/>
        <w:spacing w:line="384" w:lineRule="auto"/>
        <w:ind w:left="0" w:leftChars="0" w:firstLine="367" w:firstLineChars="175"/>
        <w:textAlignment w:val="auto"/>
        <w:rPr>
          <w:rFonts w:hint="eastAsia" w:ascii="宋体" w:hAnsi="宋体"/>
          <w:color w:val="auto"/>
          <w:szCs w:val="21"/>
          <w:highlight w:val="none"/>
        </w:rPr>
      </w:pPr>
      <w:r>
        <w:rPr>
          <w:rFonts w:hint="eastAsia" w:ascii="宋体" w:hAnsi="宋体"/>
          <w:color w:val="auto"/>
          <w:szCs w:val="21"/>
          <w:highlight w:val="none"/>
        </w:rPr>
        <w:t>售价：0元。</w:t>
      </w:r>
    </w:p>
    <w:p w14:paraId="5AD3136D">
      <w:pPr>
        <w:keepNext w:val="0"/>
        <w:keepLines w:val="0"/>
        <w:pageBreakBefore w:val="0"/>
        <w:kinsoku/>
        <w:wordWrap/>
        <w:overflowPunct/>
        <w:topLinePunct w:val="0"/>
        <w:autoSpaceDE/>
        <w:autoSpaceDN/>
        <w:bidi w:val="0"/>
        <w:adjustRightInd/>
        <w:spacing w:line="384" w:lineRule="auto"/>
        <w:ind w:left="0" w:leftChars="0" w:firstLine="422" w:firstLineChars="175"/>
        <w:textAlignment w:val="auto"/>
        <w:rPr>
          <w:rFonts w:ascii="黑体" w:hAnsi="黑体" w:eastAsia="黑体"/>
          <w:b/>
          <w:bCs/>
          <w:color w:val="auto"/>
          <w:sz w:val="24"/>
          <w:highlight w:val="none"/>
        </w:rPr>
      </w:pPr>
      <w:r>
        <w:rPr>
          <w:rFonts w:hint="eastAsia" w:ascii="黑体" w:hAnsi="黑体" w:eastAsia="黑体"/>
          <w:b/>
          <w:bCs/>
          <w:color w:val="auto"/>
          <w:sz w:val="24"/>
          <w:highlight w:val="none"/>
        </w:rPr>
        <w:t>四、</w:t>
      </w:r>
      <w:bookmarkEnd w:id="16"/>
      <w:bookmarkEnd w:id="17"/>
      <w:bookmarkEnd w:id="18"/>
      <w:bookmarkEnd w:id="19"/>
      <w:r>
        <w:rPr>
          <w:rFonts w:hint="eastAsia" w:ascii="黑体" w:hAnsi="黑体" w:eastAsia="黑体"/>
          <w:b/>
          <w:bCs/>
          <w:color w:val="auto"/>
          <w:sz w:val="24"/>
          <w:highlight w:val="none"/>
        </w:rPr>
        <w:t>响应文件提交</w:t>
      </w:r>
    </w:p>
    <w:p w14:paraId="1FD71C39">
      <w:pPr>
        <w:keepNext w:val="0"/>
        <w:keepLines w:val="0"/>
        <w:pageBreakBefore w:val="0"/>
        <w:kinsoku/>
        <w:wordWrap/>
        <w:overflowPunct/>
        <w:topLinePunct w:val="0"/>
        <w:autoSpaceDE/>
        <w:autoSpaceDN/>
        <w:bidi w:val="0"/>
        <w:adjustRightInd/>
        <w:spacing w:line="384" w:lineRule="auto"/>
        <w:ind w:left="0" w:leftChars="0" w:firstLine="367" w:firstLineChars="175"/>
        <w:textAlignment w:val="auto"/>
        <w:rPr>
          <w:rFonts w:hint="eastAsia" w:ascii="宋体" w:hAnsi="宋体" w:eastAsia="宋体" w:cs="宋体"/>
          <w:color w:val="auto"/>
          <w:szCs w:val="21"/>
          <w:highlight w:val="none"/>
          <w:u w:val="single"/>
          <w:lang w:eastAsia="zh-CN"/>
        </w:rPr>
      </w:pPr>
      <w:r>
        <w:rPr>
          <w:rFonts w:hint="eastAsia" w:ascii="宋体" w:hAnsi="宋体"/>
          <w:color w:val="auto"/>
          <w:szCs w:val="21"/>
          <w:highlight w:val="none"/>
        </w:rPr>
        <w:t>1、首次响应文件提交截止时间</w:t>
      </w:r>
      <w:r>
        <w:rPr>
          <w:rFonts w:hint="eastAsia" w:ascii="宋体" w:hAnsi="宋体"/>
          <w:bCs/>
          <w:color w:val="auto"/>
          <w:szCs w:val="21"/>
          <w:highlight w:val="none"/>
        </w:rPr>
        <w:t>（北京时间）：</w:t>
      </w:r>
      <w:r>
        <w:rPr>
          <w:rFonts w:hint="eastAsia" w:ascii="宋体" w:hAnsi="宋体" w:eastAsia="宋体" w:cs="Times New Roman"/>
          <w:color w:val="auto"/>
          <w:szCs w:val="21"/>
          <w:highlight w:val="none"/>
          <w:u w:val="single"/>
          <w:lang w:eastAsia="zh-CN"/>
        </w:rPr>
        <w:t xml:space="preserve">2025-5- </w:t>
      </w:r>
      <w:r>
        <w:rPr>
          <w:rFonts w:hint="eastAsia" w:ascii="宋体" w:hAnsi="宋体" w:cs="Times New Roman"/>
          <w:color w:val="auto"/>
          <w:szCs w:val="21"/>
          <w:highlight w:val="none"/>
          <w:u w:val="single"/>
          <w:lang w:val="en-US" w:eastAsia="zh-CN"/>
        </w:rPr>
        <w:t>23</w:t>
      </w:r>
      <w:r>
        <w:rPr>
          <w:rFonts w:hint="eastAsia" w:ascii="宋体" w:hAnsi="宋体" w:eastAsia="宋体" w:cs="Times New Roman"/>
          <w:color w:val="auto"/>
          <w:szCs w:val="21"/>
          <w:highlight w:val="none"/>
          <w:u w:val="single"/>
          <w:lang w:eastAsia="zh-CN"/>
        </w:rPr>
        <w:t xml:space="preserve">  09:</w:t>
      </w:r>
      <w:r>
        <w:rPr>
          <w:rFonts w:hint="eastAsia" w:ascii="宋体" w:hAnsi="宋体" w:cs="Times New Roman"/>
          <w:color w:val="auto"/>
          <w:szCs w:val="21"/>
          <w:highlight w:val="none"/>
          <w:u w:val="single"/>
          <w:lang w:val="en-US" w:eastAsia="zh-CN"/>
        </w:rPr>
        <w:t>0</w:t>
      </w:r>
      <w:r>
        <w:rPr>
          <w:rFonts w:hint="eastAsia" w:ascii="宋体" w:hAnsi="宋体" w:eastAsia="宋体" w:cs="Times New Roman"/>
          <w:color w:val="auto"/>
          <w:szCs w:val="21"/>
          <w:highlight w:val="none"/>
          <w:u w:val="single"/>
          <w:lang w:eastAsia="zh-CN"/>
        </w:rPr>
        <w:t>0:00</w:t>
      </w:r>
    </w:p>
    <w:p w14:paraId="3F1C38CE">
      <w:pPr>
        <w:keepNext w:val="0"/>
        <w:keepLines w:val="0"/>
        <w:pageBreakBefore w:val="0"/>
        <w:kinsoku/>
        <w:wordWrap/>
        <w:overflowPunct/>
        <w:topLinePunct w:val="0"/>
        <w:autoSpaceDE/>
        <w:autoSpaceDN/>
        <w:bidi w:val="0"/>
        <w:adjustRightInd/>
        <w:spacing w:line="384" w:lineRule="auto"/>
        <w:ind w:left="0" w:leftChars="0" w:firstLine="367" w:firstLineChars="175"/>
        <w:textAlignment w:val="auto"/>
        <w:rPr>
          <w:rFonts w:hint="eastAsia" w:ascii="宋体" w:hAnsi="宋体"/>
          <w:color w:val="auto"/>
          <w:szCs w:val="21"/>
          <w:highlight w:val="none"/>
        </w:rPr>
      </w:pPr>
      <w:r>
        <w:rPr>
          <w:rFonts w:hint="eastAsia" w:ascii="宋体" w:hAnsi="宋体"/>
          <w:color w:val="auto"/>
          <w:szCs w:val="21"/>
          <w:highlight w:val="none"/>
        </w:rPr>
        <w:t>2、首次响应文件提交地点：</w:t>
      </w:r>
      <w:r>
        <w:rPr>
          <w:rFonts w:hint="eastAsia" w:ascii="宋体" w:hAnsi="宋体"/>
          <w:color w:val="auto"/>
          <w:szCs w:val="21"/>
          <w:highlight w:val="none"/>
          <w:u w:val="single"/>
          <w:lang w:eastAsia="zh-CN"/>
        </w:rPr>
        <w:t>请登录广西政府采购云平台投标客户端竞标</w:t>
      </w:r>
      <w:r>
        <w:rPr>
          <w:rFonts w:hint="eastAsia" w:ascii="宋体" w:hAnsi="宋体"/>
          <w:color w:val="auto"/>
          <w:szCs w:val="21"/>
          <w:highlight w:val="none"/>
          <w:lang w:eastAsia="zh-CN"/>
        </w:rPr>
        <w:t>。</w:t>
      </w:r>
    </w:p>
    <w:p w14:paraId="3ED3CC82">
      <w:pPr>
        <w:keepNext w:val="0"/>
        <w:keepLines w:val="0"/>
        <w:pageBreakBefore w:val="0"/>
        <w:kinsoku/>
        <w:wordWrap/>
        <w:overflowPunct/>
        <w:topLinePunct w:val="0"/>
        <w:autoSpaceDE/>
        <w:autoSpaceDN/>
        <w:bidi w:val="0"/>
        <w:adjustRightInd/>
        <w:spacing w:line="384" w:lineRule="auto"/>
        <w:ind w:left="0" w:leftChars="0" w:firstLine="422" w:firstLineChars="175"/>
        <w:textAlignment w:val="auto"/>
        <w:rPr>
          <w:rFonts w:ascii="黑体" w:hAnsi="黑体" w:eastAsia="黑体"/>
          <w:b/>
          <w:bCs/>
          <w:color w:val="auto"/>
          <w:sz w:val="24"/>
          <w:highlight w:val="none"/>
        </w:rPr>
      </w:pPr>
      <w:r>
        <w:rPr>
          <w:rFonts w:hint="eastAsia" w:ascii="黑体" w:hAnsi="黑体" w:eastAsia="黑体"/>
          <w:b/>
          <w:bCs/>
          <w:color w:val="auto"/>
          <w:sz w:val="24"/>
          <w:highlight w:val="none"/>
        </w:rPr>
        <w:t>五、开启（首次响应文件开启时间）</w:t>
      </w:r>
    </w:p>
    <w:p w14:paraId="7B7B1EAC">
      <w:pPr>
        <w:keepNext w:val="0"/>
        <w:keepLines w:val="0"/>
        <w:pageBreakBefore w:val="0"/>
        <w:kinsoku/>
        <w:wordWrap/>
        <w:overflowPunct/>
        <w:topLinePunct w:val="0"/>
        <w:autoSpaceDE/>
        <w:autoSpaceDN/>
        <w:bidi w:val="0"/>
        <w:adjustRightInd/>
        <w:spacing w:line="384" w:lineRule="auto"/>
        <w:ind w:left="0" w:leftChars="0" w:firstLine="367" w:firstLineChars="175"/>
        <w:textAlignment w:val="auto"/>
        <w:rPr>
          <w:rFonts w:ascii="宋体" w:hAnsi="宋体"/>
          <w:bCs/>
          <w:color w:val="auto"/>
          <w:szCs w:val="21"/>
          <w:highlight w:val="none"/>
          <w:u w:val="singl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时间</w:t>
      </w:r>
      <w:r>
        <w:rPr>
          <w:rFonts w:hint="eastAsia" w:ascii="宋体" w:hAnsi="宋体"/>
          <w:bCs/>
          <w:color w:val="auto"/>
          <w:szCs w:val="21"/>
          <w:highlight w:val="none"/>
        </w:rPr>
        <w:t>（北京时间）</w:t>
      </w:r>
      <w:r>
        <w:rPr>
          <w:rFonts w:hint="eastAsia" w:ascii="宋体" w:hAnsi="宋体"/>
          <w:color w:val="auto"/>
          <w:szCs w:val="21"/>
          <w:highlight w:val="none"/>
        </w:rPr>
        <w:t>：</w:t>
      </w:r>
      <w:r>
        <w:rPr>
          <w:rFonts w:hint="eastAsia" w:ascii="宋体" w:hAnsi="宋体" w:eastAsia="宋体" w:cs="Times New Roman"/>
          <w:color w:val="auto"/>
          <w:szCs w:val="21"/>
          <w:highlight w:val="none"/>
          <w:u w:val="single"/>
          <w:lang w:eastAsia="zh-CN"/>
        </w:rPr>
        <w:t xml:space="preserve">2025-5- </w:t>
      </w:r>
      <w:r>
        <w:rPr>
          <w:rFonts w:hint="eastAsia" w:ascii="宋体" w:hAnsi="宋体" w:cs="Times New Roman"/>
          <w:color w:val="auto"/>
          <w:szCs w:val="21"/>
          <w:highlight w:val="none"/>
          <w:u w:val="single"/>
          <w:lang w:val="en-US" w:eastAsia="zh-CN"/>
        </w:rPr>
        <w:t>23</w:t>
      </w:r>
      <w:r>
        <w:rPr>
          <w:rFonts w:hint="eastAsia" w:ascii="宋体" w:hAnsi="宋体" w:eastAsia="宋体" w:cs="Times New Roman"/>
          <w:color w:val="auto"/>
          <w:szCs w:val="21"/>
          <w:highlight w:val="none"/>
          <w:u w:val="single"/>
          <w:lang w:eastAsia="zh-CN"/>
        </w:rPr>
        <w:t xml:space="preserve">  09:</w:t>
      </w:r>
      <w:r>
        <w:rPr>
          <w:rFonts w:hint="eastAsia" w:ascii="宋体" w:hAnsi="宋体" w:cs="Times New Roman"/>
          <w:color w:val="auto"/>
          <w:szCs w:val="21"/>
          <w:highlight w:val="none"/>
          <w:u w:val="single"/>
          <w:lang w:val="en-US" w:eastAsia="zh-CN"/>
        </w:rPr>
        <w:t>0</w:t>
      </w:r>
      <w:r>
        <w:rPr>
          <w:rFonts w:hint="eastAsia" w:ascii="宋体" w:hAnsi="宋体" w:eastAsia="宋体" w:cs="Times New Roman"/>
          <w:color w:val="auto"/>
          <w:szCs w:val="21"/>
          <w:highlight w:val="none"/>
          <w:u w:val="single"/>
          <w:lang w:eastAsia="zh-CN"/>
        </w:rPr>
        <w:t>0:00</w:t>
      </w:r>
      <w:r>
        <w:rPr>
          <w:rFonts w:hint="eastAsia" w:ascii="宋体" w:hAnsi="宋体"/>
          <w:color w:val="auto"/>
          <w:szCs w:val="21"/>
          <w:highlight w:val="none"/>
        </w:rPr>
        <w:t>后</w:t>
      </w:r>
    </w:p>
    <w:p w14:paraId="625B11F4">
      <w:pPr>
        <w:keepNext w:val="0"/>
        <w:keepLines w:val="0"/>
        <w:pageBreakBefore w:val="0"/>
        <w:kinsoku/>
        <w:wordWrap/>
        <w:overflowPunct/>
        <w:topLinePunct w:val="0"/>
        <w:autoSpaceDE/>
        <w:autoSpaceDN/>
        <w:bidi w:val="0"/>
        <w:adjustRightInd/>
        <w:spacing w:line="384" w:lineRule="auto"/>
        <w:ind w:left="0" w:leftChars="0" w:firstLine="367" w:firstLineChars="175"/>
        <w:textAlignment w:val="auto"/>
        <w:rPr>
          <w:rFonts w:ascii="宋体" w:hAnsi="宋体"/>
          <w:bCs/>
          <w:color w:val="auto"/>
          <w:szCs w:val="21"/>
          <w:highlight w:val="none"/>
          <w:u w:val="singl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地点：</w:t>
      </w:r>
      <w:r>
        <w:rPr>
          <w:rFonts w:hint="eastAsia" w:ascii="宋体" w:hAnsi="宋体"/>
          <w:color w:val="auto"/>
          <w:szCs w:val="21"/>
          <w:highlight w:val="none"/>
          <w:u w:val="single"/>
          <w:lang w:eastAsia="zh-CN"/>
        </w:rPr>
        <w:t>广西政府采购云平台</w:t>
      </w:r>
      <w:r>
        <w:rPr>
          <w:rFonts w:hint="eastAsia" w:ascii="宋体" w:hAnsi="宋体"/>
          <w:color w:val="auto"/>
          <w:szCs w:val="21"/>
          <w:highlight w:val="none"/>
          <w:u w:val="single"/>
        </w:rPr>
        <w:t>电子开标大厅</w:t>
      </w:r>
      <w:r>
        <w:rPr>
          <w:rFonts w:ascii="宋体" w:hAnsi="宋体"/>
          <w:color w:val="auto"/>
          <w:szCs w:val="21"/>
          <w:highlight w:val="none"/>
          <w:u w:val="single"/>
        </w:rPr>
        <w:t xml:space="preserve"> </w:t>
      </w:r>
    </w:p>
    <w:p w14:paraId="6A276F48">
      <w:pPr>
        <w:keepNext w:val="0"/>
        <w:keepLines w:val="0"/>
        <w:pageBreakBefore w:val="0"/>
        <w:kinsoku/>
        <w:wordWrap/>
        <w:overflowPunct/>
        <w:topLinePunct w:val="0"/>
        <w:autoSpaceDE/>
        <w:autoSpaceDN/>
        <w:bidi w:val="0"/>
        <w:adjustRightInd/>
        <w:spacing w:line="384" w:lineRule="auto"/>
        <w:ind w:left="0" w:leftChars="0" w:firstLine="422" w:firstLineChars="175"/>
        <w:textAlignment w:val="auto"/>
        <w:rPr>
          <w:rFonts w:ascii="黑体" w:hAnsi="黑体" w:eastAsia="黑体"/>
          <w:b/>
          <w:bCs/>
          <w:color w:val="auto"/>
          <w:sz w:val="24"/>
          <w:highlight w:val="none"/>
        </w:rPr>
      </w:pPr>
      <w:bookmarkStart w:id="20" w:name="_Toc35393625"/>
      <w:bookmarkStart w:id="21" w:name="_Toc28359084"/>
      <w:bookmarkStart w:id="22" w:name="_Toc28359007"/>
      <w:bookmarkStart w:id="23" w:name="_Toc35393794"/>
      <w:r>
        <w:rPr>
          <w:rFonts w:hint="eastAsia" w:ascii="黑体" w:hAnsi="黑体" w:eastAsia="黑体"/>
          <w:b/>
          <w:bCs/>
          <w:color w:val="auto"/>
          <w:sz w:val="24"/>
          <w:highlight w:val="none"/>
        </w:rPr>
        <w:t>六、公告期限</w:t>
      </w:r>
      <w:bookmarkEnd w:id="20"/>
      <w:bookmarkEnd w:id="21"/>
      <w:bookmarkEnd w:id="22"/>
      <w:bookmarkEnd w:id="23"/>
    </w:p>
    <w:p w14:paraId="3BEC9079">
      <w:pPr>
        <w:keepNext w:val="0"/>
        <w:keepLines w:val="0"/>
        <w:pageBreakBefore w:val="0"/>
        <w:kinsoku/>
        <w:wordWrap/>
        <w:overflowPunct/>
        <w:topLinePunct w:val="0"/>
        <w:autoSpaceDE/>
        <w:autoSpaceDN/>
        <w:bidi w:val="0"/>
        <w:adjustRightInd/>
        <w:spacing w:line="384" w:lineRule="auto"/>
        <w:ind w:left="0" w:leftChars="0" w:firstLine="367" w:firstLineChars="175"/>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自本公告发布之日起3个工作日。</w:t>
      </w:r>
    </w:p>
    <w:p w14:paraId="25806614">
      <w:pPr>
        <w:keepNext w:val="0"/>
        <w:keepLines w:val="0"/>
        <w:pageBreakBefore w:val="0"/>
        <w:kinsoku/>
        <w:wordWrap/>
        <w:overflowPunct/>
        <w:topLinePunct w:val="0"/>
        <w:autoSpaceDE/>
        <w:autoSpaceDN/>
        <w:bidi w:val="0"/>
        <w:adjustRightInd/>
        <w:spacing w:line="384" w:lineRule="auto"/>
        <w:ind w:left="0" w:leftChars="0" w:firstLine="422" w:firstLineChars="175"/>
        <w:textAlignment w:val="auto"/>
        <w:rPr>
          <w:rFonts w:ascii="黑体" w:hAnsi="黑体" w:eastAsia="黑体"/>
          <w:b/>
          <w:bCs/>
          <w:color w:val="auto"/>
          <w:sz w:val="24"/>
          <w:highlight w:val="none"/>
        </w:rPr>
      </w:pPr>
      <w:bookmarkStart w:id="24" w:name="_Toc35393795"/>
      <w:bookmarkStart w:id="25" w:name="_Toc35393626"/>
      <w:r>
        <w:rPr>
          <w:rFonts w:hint="eastAsia" w:ascii="黑体" w:hAnsi="黑体" w:eastAsia="黑体"/>
          <w:b/>
          <w:bCs/>
          <w:color w:val="auto"/>
          <w:sz w:val="24"/>
          <w:highlight w:val="none"/>
        </w:rPr>
        <w:t>七、其他补充事宜</w:t>
      </w:r>
      <w:bookmarkEnd w:id="24"/>
      <w:bookmarkEnd w:id="25"/>
    </w:p>
    <w:p w14:paraId="7BEDFEA8">
      <w:pPr>
        <w:keepNext w:val="0"/>
        <w:keepLines w:val="0"/>
        <w:pageBreakBefore w:val="0"/>
        <w:kinsoku/>
        <w:wordWrap/>
        <w:overflowPunct/>
        <w:topLinePunct w:val="0"/>
        <w:autoSpaceDE/>
        <w:autoSpaceDN/>
        <w:bidi w:val="0"/>
        <w:adjustRightInd/>
        <w:spacing w:line="384" w:lineRule="auto"/>
        <w:ind w:left="0" w:leftChars="0" w:firstLine="367" w:firstLineChars="175"/>
        <w:textAlignment w:val="auto"/>
        <w:rPr>
          <w:rFonts w:hint="eastAsia" w:ascii="宋体" w:hAnsi="宋体" w:cs="宋体"/>
          <w:color w:val="auto"/>
          <w:kern w:val="0"/>
          <w:szCs w:val="21"/>
          <w:highlight w:val="none"/>
        </w:rPr>
      </w:pPr>
      <w:bookmarkStart w:id="26" w:name="_Hlk37429585"/>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潜在的政府采购供应商工作要求。</w:t>
      </w:r>
    </w:p>
    <w:p w14:paraId="2BD5AA7A">
      <w:pPr>
        <w:keepNext w:val="0"/>
        <w:keepLines w:val="0"/>
        <w:pageBreakBefore w:val="0"/>
        <w:kinsoku/>
        <w:wordWrap/>
        <w:overflowPunct/>
        <w:topLinePunct w:val="0"/>
        <w:autoSpaceDE/>
        <w:autoSpaceDN/>
        <w:bidi w:val="0"/>
        <w:adjustRightInd/>
        <w:spacing w:line="384" w:lineRule="auto"/>
        <w:ind w:left="0" w:leftChars="0" w:firstLine="367" w:firstLineChars="175"/>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完成供应商注册</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地址为：https://www.gcy.zfcg.gxzf.gov.cn/。</w:t>
      </w:r>
    </w:p>
    <w:p w14:paraId="3B9B2A2A">
      <w:pPr>
        <w:keepNext w:val="0"/>
        <w:keepLines w:val="0"/>
        <w:pageBreakBefore w:val="0"/>
        <w:kinsoku/>
        <w:wordWrap/>
        <w:overflowPunct/>
        <w:topLinePunct w:val="0"/>
        <w:autoSpaceDE/>
        <w:autoSpaceDN/>
        <w:bidi w:val="0"/>
        <w:adjustRightInd/>
        <w:spacing w:line="384" w:lineRule="auto"/>
        <w:ind w:left="0" w:leftChars="0" w:firstLine="367" w:firstLineChars="175"/>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完成CA申领和绑定（见广西壮族自治区政府采购网—办事服务—下载专区）。</w:t>
      </w:r>
    </w:p>
    <w:p w14:paraId="0D2F9395">
      <w:pPr>
        <w:keepNext w:val="0"/>
        <w:keepLines w:val="0"/>
        <w:pageBreakBefore w:val="0"/>
        <w:kinsoku/>
        <w:wordWrap/>
        <w:overflowPunct/>
        <w:topLinePunct w:val="0"/>
        <w:autoSpaceDE/>
        <w:autoSpaceDN/>
        <w:bidi w:val="0"/>
        <w:adjustRightInd/>
        <w:spacing w:line="384" w:lineRule="auto"/>
        <w:ind w:left="0" w:leftChars="0" w:firstLine="367" w:firstLineChars="175"/>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）下载使用广西政府采购云平台投标客户端</w:t>
      </w:r>
      <w:r>
        <w:rPr>
          <w:rFonts w:hint="eastAsia" w:ascii="宋体" w:hAnsi="宋体" w:cs="宋体"/>
          <w:color w:val="auto"/>
          <w:kern w:val="0"/>
          <w:szCs w:val="21"/>
          <w:highlight w:val="none"/>
          <w:lang w:val="en-US" w:eastAsia="zh-CN"/>
        </w:rPr>
        <w:t>[投标客户端：广西政府采购网（访问地址http://zfcg.gxzf.gov.cn/）—办事服务—下载专区]</w:t>
      </w:r>
      <w:r>
        <w:rPr>
          <w:rFonts w:hint="eastAsia" w:ascii="宋体" w:hAnsi="宋体" w:cs="宋体"/>
          <w:color w:val="auto"/>
          <w:kern w:val="0"/>
          <w:szCs w:val="21"/>
          <w:highlight w:val="none"/>
        </w:rPr>
        <w:t>，熟悉掌握电子标系统操作指南（见</w:t>
      </w:r>
      <w:r>
        <w:rPr>
          <w:rFonts w:hint="eastAsia" w:ascii="宋体" w:hAnsi="宋体" w:cs="宋体"/>
          <w:color w:val="auto"/>
          <w:kern w:val="0"/>
          <w:szCs w:val="21"/>
          <w:highlight w:val="none"/>
          <w:lang w:eastAsia="zh-CN"/>
        </w:rPr>
        <w:t>广西政府采购云平台</w:t>
      </w:r>
      <w:r>
        <w:rPr>
          <w:rFonts w:hint="eastAsia" w:ascii="宋体" w:hAnsi="宋体" w:cs="宋体"/>
          <w:color w:val="auto"/>
          <w:kern w:val="0"/>
          <w:szCs w:val="21"/>
          <w:highlight w:val="none"/>
        </w:rPr>
        <w:t>首页右上角—</w:t>
      </w:r>
      <w:r>
        <w:rPr>
          <w:rFonts w:hint="eastAsia" w:ascii="宋体" w:hAnsi="宋体" w:cs="宋体"/>
          <w:color w:val="auto"/>
          <w:kern w:val="0"/>
          <w:szCs w:val="21"/>
          <w:highlight w:val="none"/>
          <w:lang w:eastAsia="zh-CN"/>
        </w:rPr>
        <w:t>帮助中心</w:t>
      </w:r>
      <w:r>
        <w:rPr>
          <w:rFonts w:hint="eastAsia" w:ascii="宋体" w:hAnsi="宋体" w:cs="宋体"/>
          <w:color w:val="auto"/>
          <w:kern w:val="0"/>
          <w:szCs w:val="21"/>
          <w:highlight w:val="none"/>
        </w:rPr>
        <w:t>—项目采购）。</w:t>
      </w:r>
    </w:p>
    <w:p w14:paraId="7E6A80CA">
      <w:pPr>
        <w:keepNext w:val="0"/>
        <w:keepLines w:val="0"/>
        <w:pageBreakBefore w:val="0"/>
        <w:kinsoku/>
        <w:wordWrap/>
        <w:overflowPunct/>
        <w:topLinePunct w:val="0"/>
        <w:autoSpaceDE/>
        <w:autoSpaceDN/>
        <w:bidi w:val="0"/>
        <w:adjustRightInd/>
        <w:spacing w:line="384" w:lineRule="auto"/>
        <w:ind w:left="0" w:leftChars="0" w:firstLine="367" w:firstLineChars="175"/>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因未注册入库、未办理CA数字证书、CA证书故障、操作不当等原因造成无法</w:t>
      </w:r>
      <w:r>
        <w:rPr>
          <w:rFonts w:hint="eastAsia" w:ascii="宋体" w:hAnsi="宋体" w:cs="宋体"/>
          <w:color w:val="auto"/>
          <w:kern w:val="0"/>
          <w:szCs w:val="21"/>
          <w:highlight w:val="none"/>
          <w:lang w:eastAsia="zh-CN"/>
        </w:rPr>
        <w:t>竞标</w:t>
      </w:r>
      <w:r>
        <w:rPr>
          <w:rFonts w:hint="eastAsia" w:ascii="宋体" w:hAnsi="宋体" w:cs="宋体"/>
          <w:color w:val="auto"/>
          <w:kern w:val="0"/>
          <w:szCs w:val="21"/>
          <w:highlight w:val="none"/>
        </w:rPr>
        <w:t>或</w:t>
      </w:r>
      <w:r>
        <w:rPr>
          <w:rFonts w:hint="eastAsia" w:ascii="宋体" w:hAnsi="宋体" w:cs="宋体"/>
          <w:color w:val="auto"/>
          <w:kern w:val="0"/>
          <w:szCs w:val="21"/>
          <w:highlight w:val="none"/>
          <w:lang w:eastAsia="zh-CN"/>
        </w:rPr>
        <w:t>竞标</w:t>
      </w:r>
      <w:r>
        <w:rPr>
          <w:rFonts w:hint="eastAsia" w:ascii="宋体" w:hAnsi="宋体" w:cs="宋体"/>
          <w:color w:val="auto"/>
          <w:kern w:val="0"/>
          <w:szCs w:val="21"/>
          <w:highlight w:val="none"/>
        </w:rPr>
        <w:t>失败等后果由供应商自行承担。</w:t>
      </w:r>
    </w:p>
    <w:p w14:paraId="23D3C9E9">
      <w:pPr>
        <w:keepNext w:val="0"/>
        <w:keepLines w:val="0"/>
        <w:pageBreakBefore w:val="0"/>
        <w:kinsoku/>
        <w:wordWrap/>
        <w:overflowPunct/>
        <w:topLinePunct w:val="0"/>
        <w:autoSpaceDE/>
        <w:autoSpaceDN/>
        <w:bidi w:val="0"/>
        <w:adjustRightInd/>
        <w:spacing w:line="384" w:lineRule="auto"/>
        <w:ind w:left="0" w:leftChars="0" w:firstLine="367" w:firstLineChars="175"/>
        <w:jc w:val="left"/>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2</w:t>
      </w:r>
      <w:r>
        <w:rPr>
          <w:rFonts w:ascii="宋体" w:hAnsi="宋体" w:cs="宋体"/>
          <w:color w:val="auto"/>
          <w:kern w:val="0"/>
          <w:szCs w:val="21"/>
          <w:highlight w:val="none"/>
        </w:rPr>
        <w:t>.</w:t>
      </w:r>
      <w:bookmarkStart w:id="27" w:name="_Hlk37429595"/>
      <w:r>
        <w:rPr>
          <w:rFonts w:hint="eastAsia" w:ascii="宋体" w:hAnsi="宋体" w:cs="宋体"/>
          <w:color w:val="auto"/>
          <w:kern w:val="0"/>
          <w:szCs w:val="21"/>
          <w:highlight w:val="none"/>
          <w:lang w:eastAsia="zh-CN"/>
        </w:rPr>
        <w:t>项目意向公开链接网址：https://zfcg.gxzf.gov.cn/site/detail?categoryCode=reformColumn&amp;parentId=66601&amp;articleId=H3Xe+deGKbIJU4HKLvz8Dw==</w:t>
      </w:r>
    </w:p>
    <w:p w14:paraId="5915AEF4">
      <w:pPr>
        <w:keepNext w:val="0"/>
        <w:keepLines w:val="0"/>
        <w:pageBreakBefore w:val="0"/>
        <w:kinsoku/>
        <w:wordWrap/>
        <w:overflowPunct/>
        <w:topLinePunct w:val="0"/>
        <w:autoSpaceDE/>
        <w:autoSpaceDN/>
        <w:bidi w:val="0"/>
        <w:adjustRightInd/>
        <w:spacing w:line="384" w:lineRule="auto"/>
        <w:ind w:left="0" w:leftChars="0" w:firstLine="367" w:firstLineChars="175"/>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网上查询地址</w:t>
      </w:r>
    </w:p>
    <w:p w14:paraId="314B000A">
      <w:pPr>
        <w:keepNext w:val="0"/>
        <w:keepLines w:val="0"/>
        <w:pageBreakBefore w:val="0"/>
        <w:kinsoku/>
        <w:wordWrap/>
        <w:overflowPunct/>
        <w:topLinePunct w:val="0"/>
        <w:autoSpaceDE/>
        <w:autoSpaceDN/>
        <w:bidi w:val="0"/>
        <w:adjustRightInd/>
        <w:spacing w:line="384" w:lineRule="auto"/>
        <w:ind w:left="0" w:leftChars="0" w:firstLine="367" w:firstLineChars="175"/>
        <w:textAlignment w:val="auto"/>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http://zfcg.gxzf.gov.cn (广西政府采购网)、http://www.ccgp.gov.cn/（中国政府采购网）</w:t>
      </w:r>
      <w:r>
        <w:rPr>
          <w:rFonts w:hint="eastAsia" w:ascii="宋体" w:hAnsi="宋体" w:cs="宋体"/>
          <w:color w:val="auto"/>
          <w:kern w:val="0"/>
          <w:szCs w:val="21"/>
          <w:highlight w:val="none"/>
          <w:lang w:eastAsia="zh-CN"/>
        </w:rPr>
        <w:t>、http://www.hdzbgs.com/（</w:t>
      </w:r>
      <w:r>
        <w:rPr>
          <w:rFonts w:hint="eastAsia" w:ascii="宋体" w:hAnsi="宋体"/>
          <w:color w:val="auto"/>
          <w:szCs w:val="21"/>
          <w:highlight w:val="none"/>
        </w:rPr>
        <w:t>广西华东招标有限公司</w:t>
      </w:r>
      <w:r>
        <w:rPr>
          <w:rFonts w:hint="eastAsia" w:ascii="宋体" w:hAnsi="宋体" w:cs="宋体"/>
          <w:color w:val="auto"/>
          <w:kern w:val="0"/>
          <w:szCs w:val="21"/>
          <w:highlight w:val="none"/>
          <w:lang w:eastAsia="zh-CN"/>
        </w:rPr>
        <w:t>）</w:t>
      </w:r>
      <w:bookmarkEnd w:id="26"/>
      <w:bookmarkEnd w:id="27"/>
      <w:r>
        <w:rPr>
          <w:rFonts w:hint="eastAsia" w:ascii="宋体" w:hAnsi="宋体" w:cs="宋体"/>
          <w:color w:val="auto"/>
          <w:kern w:val="0"/>
          <w:szCs w:val="21"/>
          <w:highlight w:val="none"/>
          <w:lang w:eastAsia="zh-CN"/>
        </w:rPr>
        <w:t>，</w:t>
      </w:r>
      <w:r>
        <w:rPr>
          <w:rFonts w:hint="eastAsia" w:ascii="宋体" w:hAnsi="宋体" w:cs="宋体"/>
          <w:color w:val="auto"/>
          <w:szCs w:val="21"/>
          <w:highlight w:val="none"/>
        </w:rPr>
        <w:t>http：//www.gxic.net/</w:t>
      </w:r>
      <w:r>
        <w:rPr>
          <w:rFonts w:hint="eastAsia" w:ascii="宋体" w:hAnsi="宋体" w:cs="宋体"/>
          <w:color w:val="auto"/>
          <w:szCs w:val="21"/>
          <w:highlight w:val="none"/>
          <w:lang w:eastAsia="zh-CN"/>
        </w:rPr>
        <w:t>（</w:t>
      </w:r>
      <w:r>
        <w:rPr>
          <w:rFonts w:hint="eastAsia" w:ascii="宋体" w:hAnsi="宋体" w:cs="宋体"/>
          <w:color w:val="auto"/>
          <w:szCs w:val="21"/>
          <w:highlight w:val="none"/>
        </w:rPr>
        <w:t>广西工业职业技术学院</w:t>
      </w:r>
      <w:r>
        <w:rPr>
          <w:rFonts w:hint="eastAsia" w:ascii="宋体" w:hAnsi="宋体" w:cs="宋体"/>
          <w:color w:val="auto"/>
          <w:szCs w:val="21"/>
          <w:highlight w:val="none"/>
          <w:lang w:eastAsia="zh-CN"/>
        </w:rPr>
        <w:t>）</w:t>
      </w:r>
      <w:r>
        <w:rPr>
          <w:rFonts w:hint="eastAsia" w:ascii="宋体" w:hAnsi="宋体" w:cs="宋体"/>
          <w:color w:val="auto"/>
          <w:kern w:val="0"/>
          <w:szCs w:val="21"/>
          <w:highlight w:val="none"/>
          <w:lang w:eastAsia="zh-CN"/>
        </w:rPr>
        <w:t>。</w:t>
      </w:r>
    </w:p>
    <w:p w14:paraId="4424DB44">
      <w:pPr>
        <w:keepNext w:val="0"/>
        <w:keepLines w:val="0"/>
        <w:pageBreakBefore w:val="0"/>
        <w:kinsoku/>
        <w:wordWrap/>
        <w:overflowPunct/>
        <w:topLinePunct w:val="0"/>
        <w:autoSpaceDE/>
        <w:autoSpaceDN/>
        <w:bidi w:val="0"/>
        <w:adjustRightInd/>
        <w:spacing w:line="384" w:lineRule="auto"/>
        <w:ind w:left="0" w:leftChars="0" w:firstLine="367" w:firstLineChars="175"/>
        <w:textAlignment w:val="auto"/>
        <w:rPr>
          <w:rFonts w:ascii="宋体" w:hAnsi="宋体" w:cs="宋体"/>
          <w:color w:val="auto"/>
          <w:kern w:val="0"/>
          <w:szCs w:val="21"/>
          <w:highlight w:val="none"/>
        </w:rPr>
      </w:pPr>
      <w:bookmarkStart w:id="28" w:name="_Hlk37429674"/>
      <w:r>
        <w:rPr>
          <w:rFonts w:hint="eastAsia" w:ascii="宋体" w:hAnsi="宋体" w:cs="宋体"/>
          <w:color w:val="auto"/>
          <w:kern w:val="0"/>
          <w:szCs w:val="21"/>
          <w:highlight w:val="none"/>
          <w:lang w:val="en-US" w:eastAsia="zh-CN"/>
        </w:rPr>
        <w:t>4</w:t>
      </w:r>
      <w:r>
        <w:rPr>
          <w:rFonts w:hint="eastAsia" w:ascii="宋体" w:hAnsi="宋体"/>
          <w:color w:val="auto"/>
          <w:szCs w:val="21"/>
          <w:highlight w:val="none"/>
          <w:lang w:val="en-US" w:eastAsia="zh-CN"/>
        </w:rPr>
        <w:t>.</w:t>
      </w:r>
      <w:r>
        <w:rPr>
          <w:rFonts w:hint="eastAsia" w:ascii="宋体" w:hAnsi="宋体" w:cs="宋体"/>
          <w:color w:val="auto"/>
          <w:kern w:val="0"/>
          <w:szCs w:val="21"/>
          <w:highlight w:val="none"/>
        </w:rPr>
        <w:t>本项目需要落实的政府采购政策</w:t>
      </w:r>
    </w:p>
    <w:p w14:paraId="193E207A">
      <w:pPr>
        <w:keepNext w:val="0"/>
        <w:keepLines w:val="0"/>
        <w:pageBreakBefore w:val="0"/>
        <w:kinsoku/>
        <w:wordWrap/>
        <w:overflowPunct/>
        <w:topLinePunct w:val="0"/>
        <w:autoSpaceDE/>
        <w:autoSpaceDN/>
        <w:bidi w:val="0"/>
        <w:adjustRightInd/>
        <w:spacing w:line="384" w:lineRule="auto"/>
        <w:ind w:left="0" w:leftChars="0" w:firstLine="367" w:firstLineChars="175"/>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5481C278">
      <w:pPr>
        <w:keepNext w:val="0"/>
        <w:keepLines w:val="0"/>
        <w:pageBreakBefore w:val="0"/>
        <w:kinsoku/>
        <w:wordWrap/>
        <w:overflowPunct/>
        <w:topLinePunct w:val="0"/>
        <w:autoSpaceDE/>
        <w:autoSpaceDN/>
        <w:bidi w:val="0"/>
        <w:adjustRightInd/>
        <w:spacing w:line="384" w:lineRule="auto"/>
        <w:ind w:left="0" w:leftChars="0" w:firstLine="367" w:firstLineChars="175"/>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3C3E20A6">
      <w:pPr>
        <w:keepNext w:val="0"/>
        <w:keepLines w:val="0"/>
        <w:pageBreakBefore w:val="0"/>
        <w:kinsoku/>
        <w:wordWrap/>
        <w:overflowPunct/>
        <w:topLinePunct w:val="0"/>
        <w:autoSpaceDE/>
        <w:autoSpaceDN/>
        <w:bidi w:val="0"/>
        <w:adjustRightInd/>
        <w:spacing w:line="384" w:lineRule="auto"/>
        <w:ind w:left="0" w:leftChars="0" w:firstLine="367" w:firstLineChars="175"/>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14:paraId="7C93082D">
      <w:pPr>
        <w:keepNext w:val="0"/>
        <w:keepLines w:val="0"/>
        <w:pageBreakBefore w:val="0"/>
        <w:kinsoku/>
        <w:wordWrap/>
        <w:overflowPunct/>
        <w:topLinePunct w:val="0"/>
        <w:autoSpaceDE/>
        <w:autoSpaceDN/>
        <w:bidi w:val="0"/>
        <w:adjustRightInd/>
        <w:spacing w:line="384" w:lineRule="auto"/>
        <w:ind w:left="0" w:leftChars="0" w:firstLine="367" w:firstLineChars="175"/>
        <w:textAlignment w:val="auto"/>
        <w:rPr>
          <w:rFonts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14:paraId="0D82E739">
      <w:pPr>
        <w:keepNext w:val="0"/>
        <w:keepLines w:val="0"/>
        <w:pageBreakBefore w:val="0"/>
        <w:kinsoku/>
        <w:wordWrap/>
        <w:overflowPunct/>
        <w:topLinePunct w:val="0"/>
        <w:autoSpaceDE/>
        <w:autoSpaceDN/>
        <w:bidi w:val="0"/>
        <w:adjustRightInd/>
        <w:spacing w:line="384" w:lineRule="auto"/>
        <w:ind w:left="0" w:leftChars="0" w:firstLine="367" w:firstLineChars="175"/>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bookmarkEnd w:id="28"/>
    </w:p>
    <w:p w14:paraId="4C5F8EA1">
      <w:pPr>
        <w:keepNext w:val="0"/>
        <w:keepLines w:val="0"/>
        <w:pageBreakBefore w:val="0"/>
        <w:widowControl/>
        <w:kinsoku/>
        <w:wordWrap/>
        <w:overflowPunct/>
        <w:topLinePunct w:val="0"/>
        <w:autoSpaceDE/>
        <w:autoSpaceDN/>
        <w:bidi w:val="0"/>
        <w:adjustRightInd/>
        <w:spacing w:line="384" w:lineRule="auto"/>
        <w:ind w:left="0" w:leftChars="0" w:firstLine="367" w:firstLineChars="175"/>
        <w:jc w:val="left"/>
        <w:textAlignment w:val="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5.</w:t>
      </w:r>
      <w:r>
        <w:rPr>
          <w:rFonts w:hint="eastAsia" w:ascii="宋体" w:hAnsi="宋体"/>
          <w:color w:val="auto"/>
          <w:szCs w:val="21"/>
          <w:highlight w:val="none"/>
        </w:rPr>
        <w:t>响应文件提交方式：本项目为</w:t>
      </w:r>
      <w:r>
        <w:rPr>
          <w:rFonts w:hint="eastAsia" w:ascii="宋体" w:hAnsi="宋体"/>
          <w:color w:val="auto"/>
          <w:szCs w:val="21"/>
          <w:highlight w:val="none"/>
          <w:lang w:eastAsia="zh-CN"/>
        </w:rPr>
        <w:t>全流程电子化</w:t>
      </w:r>
      <w:r>
        <w:rPr>
          <w:rFonts w:hint="eastAsia" w:ascii="宋体" w:hAnsi="宋体"/>
          <w:color w:val="auto"/>
          <w:szCs w:val="21"/>
          <w:highlight w:val="none"/>
        </w:rPr>
        <w:t>项目，</w:t>
      </w:r>
      <w:r>
        <w:rPr>
          <w:rFonts w:hint="eastAsia" w:ascii="宋体" w:hAnsi="宋体"/>
          <w:color w:val="auto"/>
          <w:szCs w:val="21"/>
          <w:highlight w:val="none"/>
          <w:lang w:eastAsia="zh-CN"/>
        </w:rPr>
        <w:t>请登录广西政府采购云平台投标客户端竞标</w:t>
      </w:r>
      <w:r>
        <w:rPr>
          <w:rFonts w:hint="eastAsia" w:ascii="宋体" w:hAnsi="宋体"/>
          <w:color w:val="auto"/>
          <w:szCs w:val="21"/>
          <w:highlight w:val="none"/>
        </w:rPr>
        <w:t>，供应商应先安装“</w:t>
      </w:r>
      <w:r>
        <w:rPr>
          <w:rFonts w:hint="eastAsia" w:ascii="宋体" w:hAnsi="宋体"/>
          <w:color w:val="auto"/>
          <w:szCs w:val="21"/>
          <w:highlight w:val="none"/>
          <w:lang w:eastAsia="zh-CN"/>
        </w:rPr>
        <w:t>广西政府采购云平台投标客户端</w:t>
      </w:r>
      <w:r>
        <w:rPr>
          <w:rFonts w:hint="eastAsia" w:ascii="宋体" w:hAnsi="宋体"/>
          <w:color w:val="auto"/>
          <w:szCs w:val="21"/>
          <w:highlight w:val="none"/>
        </w:rPr>
        <w:t>”（请自行前往</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进行下载），并按照本项目采购文件和</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的要求编制、加密后在首次响应文件提交截止时间前通过网络上传至</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w:t>
      </w:r>
      <w:r>
        <w:rPr>
          <w:rFonts w:hint="eastAsia" w:ascii="宋体" w:hAnsi="宋体"/>
          <w:b/>
          <w:color w:val="auto"/>
          <w:szCs w:val="21"/>
          <w:highlight w:val="none"/>
        </w:rPr>
        <w:t>供应商在</w:t>
      </w:r>
      <w:r>
        <w:rPr>
          <w:rFonts w:hint="eastAsia" w:ascii="宋体" w:hAnsi="宋体"/>
          <w:b/>
          <w:color w:val="auto"/>
          <w:szCs w:val="21"/>
          <w:highlight w:val="none"/>
          <w:lang w:eastAsia="zh-CN"/>
        </w:rPr>
        <w:t>广西政府采购云平台</w:t>
      </w:r>
      <w:r>
        <w:rPr>
          <w:rFonts w:hint="eastAsia" w:ascii="宋体" w:hAnsi="宋体"/>
          <w:b/>
          <w:color w:val="auto"/>
          <w:szCs w:val="21"/>
          <w:highlight w:val="none"/>
        </w:rPr>
        <w:t>提交电子版响应文件时，请填写参加远程采购活动经办人</w:t>
      </w:r>
      <w:r>
        <w:rPr>
          <w:rFonts w:hint="eastAsia" w:ascii="宋体" w:hAnsi="宋体"/>
          <w:b/>
          <w:color w:val="auto"/>
          <w:szCs w:val="21"/>
          <w:highlight w:val="none"/>
          <w:lang w:eastAsia="zh-CN"/>
        </w:rPr>
        <w:t>（法定代表人或其委托代理人）</w:t>
      </w:r>
      <w:r>
        <w:rPr>
          <w:rFonts w:hint="eastAsia" w:ascii="宋体" w:hAnsi="宋体"/>
          <w:b/>
          <w:color w:val="auto"/>
          <w:szCs w:val="21"/>
          <w:highlight w:val="none"/>
        </w:rPr>
        <w:t>联系方式</w:t>
      </w:r>
      <w:r>
        <w:rPr>
          <w:rFonts w:hint="eastAsia" w:ascii="宋体" w:hAnsi="宋体"/>
          <w:b/>
          <w:color w:val="auto"/>
          <w:szCs w:val="21"/>
          <w:highlight w:val="none"/>
          <w:lang w:eastAsia="zh-CN"/>
        </w:rPr>
        <w:t>。</w:t>
      </w:r>
    </w:p>
    <w:p w14:paraId="793A52B4">
      <w:pPr>
        <w:keepNext w:val="0"/>
        <w:keepLines w:val="0"/>
        <w:pageBreakBefore w:val="0"/>
        <w:widowControl/>
        <w:kinsoku/>
        <w:wordWrap/>
        <w:overflowPunct/>
        <w:topLinePunct w:val="0"/>
        <w:autoSpaceDE/>
        <w:autoSpaceDN/>
        <w:bidi w:val="0"/>
        <w:adjustRightInd/>
        <w:spacing w:line="384" w:lineRule="auto"/>
        <w:ind w:left="0" w:leftChars="0" w:firstLine="367" w:firstLineChars="175"/>
        <w:jc w:val="left"/>
        <w:textAlignment w:val="auto"/>
        <w:rPr>
          <w:rFonts w:hint="eastAsia"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未进行网上注册并办理数字证书（CA认证）的供应商将无法参与本项目政府采购活动，潜在供应商应要尽早完成电子交易平台上的CA数字证书办理，并在首次响应文件提交截止时间前提交响应文件。</w:t>
      </w:r>
    </w:p>
    <w:p w14:paraId="63A0C88E">
      <w:pPr>
        <w:keepNext w:val="0"/>
        <w:keepLines w:val="0"/>
        <w:pageBreakBefore w:val="0"/>
        <w:widowControl/>
        <w:kinsoku/>
        <w:wordWrap/>
        <w:overflowPunct/>
        <w:topLinePunct w:val="0"/>
        <w:autoSpaceDE/>
        <w:autoSpaceDN/>
        <w:bidi w:val="0"/>
        <w:adjustRightInd/>
        <w:spacing w:line="384" w:lineRule="auto"/>
        <w:ind w:left="0" w:leftChars="0" w:firstLine="367" w:firstLineChars="175"/>
        <w:jc w:val="left"/>
        <w:textAlignment w:val="auto"/>
        <w:rPr>
          <w:rFonts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为确保网上操作合法、有效和安全，请供应商确保在电子响应过程中能够对相关数据电文进行加密和使用电子签章，妥善保管C</w:t>
      </w:r>
      <w:r>
        <w:rPr>
          <w:rFonts w:ascii="宋体" w:hAnsi="宋体"/>
          <w:color w:val="auto"/>
          <w:szCs w:val="21"/>
          <w:highlight w:val="none"/>
        </w:rPr>
        <w:t>A</w:t>
      </w:r>
      <w:r>
        <w:rPr>
          <w:rFonts w:hint="eastAsia" w:ascii="宋体" w:hAnsi="宋体"/>
          <w:color w:val="auto"/>
          <w:szCs w:val="21"/>
          <w:highlight w:val="none"/>
        </w:rPr>
        <w:t>数字证书并使用有效的CA数字证书参与整个采购活动。</w:t>
      </w:r>
    </w:p>
    <w:p w14:paraId="1028E158">
      <w:pPr>
        <w:keepNext w:val="0"/>
        <w:keepLines w:val="0"/>
        <w:pageBreakBefore w:val="0"/>
        <w:kinsoku/>
        <w:wordWrap/>
        <w:overflowPunct/>
        <w:topLinePunct w:val="0"/>
        <w:autoSpaceDE/>
        <w:autoSpaceDN/>
        <w:bidi w:val="0"/>
        <w:adjustRightInd/>
        <w:spacing w:line="384" w:lineRule="auto"/>
        <w:ind w:left="0" w:leftChars="0" w:firstLine="367" w:firstLineChars="175"/>
        <w:textAlignment w:val="auto"/>
        <w:rPr>
          <w:rFonts w:hint="eastAsia" w:ascii="宋体" w:hAnsi="宋体"/>
          <w:bCs/>
          <w:color w:val="auto"/>
          <w:szCs w:val="21"/>
          <w:highlight w:val="none"/>
          <w:u w:val="single"/>
        </w:rPr>
      </w:pPr>
      <w:r>
        <w:rPr>
          <w:rFonts w:hint="eastAsia" w:ascii="宋体" w:hAnsi="宋体"/>
          <w:bCs/>
          <w:color w:val="auto"/>
          <w:szCs w:val="21"/>
          <w:highlight w:val="none"/>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w:t>
      </w:r>
      <w:r>
        <w:rPr>
          <w:rFonts w:hint="eastAsia" w:ascii="宋体" w:hAnsi="宋体"/>
          <w:bCs/>
          <w:color w:val="auto"/>
          <w:szCs w:val="21"/>
          <w:highlight w:val="none"/>
          <w:u w:val="single"/>
          <w:lang w:eastAsia="zh-CN"/>
        </w:rPr>
        <w:t>广西政府采购云平台</w:t>
      </w:r>
      <w:r>
        <w:rPr>
          <w:rFonts w:hint="eastAsia" w:ascii="宋体" w:hAnsi="宋体"/>
          <w:bCs/>
          <w:color w:val="auto"/>
          <w:szCs w:val="21"/>
          <w:highlight w:val="none"/>
          <w:u w:val="single"/>
        </w:rPr>
        <w:t>将予以拒收。</w:t>
      </w:r>
    </w:p>
    <w:p w14:paraId="3CAB5D2C">
      <w:pPr>
        <w:keepNext w:val="0"/>
        <w:keepLines w:val="0"/>
        <w:pageBreakBefore w:val="0"/>
        <w:kinsoku/>
        <w:wordWrap/>
        <w:overflowPunct/>
        <w:topLinePunct w:val="0"/>
        <w:autoSpaceDE/>
        <w:autoSpaceDN/>
        <w:bidi w:val="0"/>
        <w:adjustRightInd/>
        <w:spacing w:line="384" w:lineRule="auto"/>
        <w:ind w:left="0" w:leftChars="0" w:firstLine="367" w:firstLineChars="175"/>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CA证书在线解密：首次响应文件开启时，须要供应商登录</w:t>
      </w:r>
      <w:r>
        <w:rPr>
          <w:rFonts w:hint="eastAsia" w:ascii="宋体" w:hAnsi="宋体" w:cs="宋体"/>
          <w:color w:val="auto"/>
          <w:kern w:val="0"/>
          <w:szCs w:val="21"/>
          <w:highlight w:val="none"/>
          <w:lang w:eastAsia="zh-CN"/>
        </w:rPr>
        <w:t>广西政府采购云平台</w:t>
      </w:r>
      <w:r>
        <w:rPr>
          <w:rFonts w:hint="eastAsia" w:ascii="宋体" w:hAnsi="宋体" w:cs="宋体"/>
          <w:color w:val="auto"/>
          <w:kern w:val="0"/>
          <w:szCs w:val="21"/>
          <w:highlight w:val="none"/>
        </w:rPr>
        <w:t>电子开标大厅按规定时间对加密的响应文件进行解密，</w:t>
      </w:r>
      <w:r>
        <w:rPr>
          <w:rFonts w:hint="eastAsia"/>
          <w:color w:val="auto"/>
          <w:highlight w:val="none"/>
        </w:rPr>
        <w:t>详见采购文件“第三章供应</w:t>
      </w:r>
      <w:r>
        <w:rPr>
          <w:color w:val="auto"/>
          <w:highlight w:val="none"/>
        </w:rPr>
        <w:t>商须知</w:t>
      </w:r>
      <w:r>
        <w:rPr>
          <w:rFonts w:hint="eastAsia"/>
          <w:color w:val="auto"/>
          <w:highlight w:val="none"/>
        </w:rPr>
        <w:t>正文25.2条”</w:t>
      </w:r>
      <w:r>
        <w:rPr>
          <w:rFonts w:hint="eastAsia" w:ascii="宋体" w:hAnsi="宋体" w:cs="宋体"/>
          <w:color w:val="auto"/>
          <w:kern w:val="0"/>
          <w:szCs w:val="21"/>
          <w:highlight w:val="none"/>
        </w:rPr>
        <w:t>，否则后果自负。</w:t>
      </w:r>
    </w:p>
    <w:p w14:paraId="657E4142">
      <w:pPr>
        <w:keepNext w:val="0"/>
        <w:keepLines w:val="0"/>
        <w:pageBreakBefore w:val="0"/>
        <w:kinsoku/>
        <w:wordWrap/>
        <w:overflowPunct/>
        <w:topLinePunct w:val="0"/>
        <w:autoSpaceDE/>
        <w:autoSpaceDN/>
        <w:bidi w:val="0"/>
        <w:adjustRightInd/>
        <w:spacing w:line="384" w:lineRule="auto"/>
        <w:ind w:left="0" w:leftChars="0" w:firstLine="367" w:firstLineChars="175"/>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9.</w:t>
      </w:r>
      <w:r>
        <w:rPr>
          <w:rFonts w:hint="eastAsia" w:ascii="宋体" w:hAnsi="宋体" w:cs="宋体"/>
          <w:color w:val="auto"/>
          <w:kern w:val="0"/>
          <w:szCs w:val="21"/>
          <w:highlight w:val="none"/>
        </w:rPr>
        <w:t>供应商需要在具备有摄像头及语音功能且互联网网络状况良好的电脑登录</w:t>
      </w:r>
      <w:r>
        <w:rPr>
          <w:rFonts w:hint="eastAsia" w:ascii="宋体" w:hAnsi="宋体" w:cs="宋体"/>
          <w:color w:val="auto"/>
          <w:kern w:val="0"/>
          <w:szCs w:val="21"/>
          <w:highlight w:val="none"/>
          <w:lang w:eastAsia="zh-CN"/>
        </w:rPr>
        <w:t>广西政府采购云平台电子开标大厅</w:t>
      </w:r>
      <w:r>
        <w:rPr>
          <w:rFonts w:hint="eastAsia" w:ascii="宋体" w:hAnsi="宋体" w:cs="宋体"/>
          <w:color w:val="auto"/>
          <w:kern w:val="0"/>
          <w:szCs w:val="21"/>
          <w:highlight w:val="none"/>
        </w:rPr>
        <w:t>参与本次</w:t>
      </w:r>
      <w:r>
        <w:rPr>
          <w:rFonts w:hint="eastAsia" w:ascii="宋体" w:hAnsi="宋体" w:cs="宋体"/>
          <w:color w:val="auto"/>
          <w:kern w:val="0"/>
          <w:szCs w:val="21"/>
          <w:highlight w:val="none"/>
          <w:lang w:eastAsia="zh-CN"/>
        </w:rPr>
        <w:t>磋商</w:t>
      </w:r>
      <w:r>
        <w:rPr>
          <w:rFonts w:hint="eastAsia" w:ascii="宋体" w:hAnsi="宋体" w:cs="宋体"/>
          <w:color w:val="auto"/>
          <w:kern w:val="0"/>
          <w:szCs w:val="21"/>
          <w:highlight w:val="none"/>
        </w:rPr>
        <w:t>，否则后果自负。</w:t>
      </w:r>
    </w:p>
    <w:p w14:paraId="1FE05EDE">
      <w:pPr>
        <w:keepNext w:val="0"/>
        <w:keepLines w:val="0"/>
        <w:pageBreakBefore w:val="0"/>
        <w:kinsoku/>
        <w:wordWrap/>
        <w:overflowPunct/>
        <w:topLinePunct w:val="0"/>
        <w:autoSpaceDE/>
        <w:autoSpaceDN/>
        <w:bidi w:val="0"/>
        <w:adjustRightInd/>
        <w:spacing w:line="384" w:lineRule="auto"/>
        <w:ind w:left="0" w:leftChars="0" w:firstLine="367" w:firstLineChars="175"/>
        <w:textAlignment w:val="auto"/>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10.</w:t>
      </w:r>
      <w:r>
        <w:rPr>
          <w:rFonts w:hint="eastAsia" w:ascii="宋体" w:hAnsi="宋体" w:cs="宋体"/>
          <w:color w:val="auto"/>
          <w:kern w:val="0"/>
          <w:szCs w:val="21"/>
          <w:highlight w:val="none"/>
        </w:rPr>
        <w:t>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w:t>
      </w:r>
      <w:r>
        <w:rPr>
          <w:rFonts w:hint="eastAsia" w:ascii="宋体" w:hAnsi="宋体" w:cs="宋体"/>
          <w:color w:val="auto"/>
          <w:kern w:val="0"/>
          <w:szCs w:val="21"/>
          <w:highlight w:val="none"/>
          <w:lang w:eastAsia="zh-CN"/>
        </w:rPr>
        <w:t>采购代理机构</w:t>
      </w:r>
      <w:r>
        <w:rPr>
          <w:rFonts w:hint="eastAsia" w:ascii="宋体" w:hAnsi="宋体" w:cs="宋体"/>
          <w:color w:val="auto"/>
          <w:kern w:val="0"/>
          <w:szCs w:val="21"/>
          <w:highlight w:val="none"/>
        </w:rPr>
        <w:t>可不予接受。质疑供应商对采购人、采购代理机构的答复不满意或者采购人、采购代理机构未在规定的时间内作出答复的，可以在答复期满后十五个工作日内向同级政府采购监督管理部门投诉。</w:t>
      </w:r>
    </w:p>
    <w:p w14:paraId="668FF3BE">
      <w:pPr>
        <w:keepNext w:val="0"/>
        <w:keepLines w:val="0"/>
        <w:pageBreakBefore w:val="0"/>
        <w:kinsoku/>
        <w:wordWrap/>
        <w:overflowPunct/>
        <w:topLinePunct w:val="0"/>
        <w:autoSpaceDE/>
        <w:autoSpaceDN/>
        <w:bidi w:val="0"/>
        <w:adjustRightInd/>
        <w:spacing w:line="384" w:lineRule="auto"/>
        <w:ind w:left="0" w:leftChars="0" w:firstLine="367" w:firstLineChars="175"/>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11.</w:t>
      </w:r>
      <w:r>
        <w:rPr>
          <w:rFonts w:hint="eastAsia" w:ascii="宋体" w:hAnsi="宋体" w:cs="宋体"/>
          <w:color w:val="auto"/>
          <w:kern w:val="0"/>
          <w:szCs w:val="21"/>
          <w:highlight w:val="none"/>
        </w:rPr>
        <w:t>若对项目采购电子交易系统操作有疑问，可登录</w:t>
      </w:r>
      <w:r>
        <w:rPr>
          <w:rFonts w:hint="eastAsia" w:ascii="宋体" w:hAnsi="宋体" w:cs="宋体"/>
          <w:color w:val="auto"/>
          <w:kern w:val="0"/>
          <w:szCs w:val="21"/>
          <w:highlight w:val="none"/>
          <w:lang w:eastAsia="zh-CN"/>
        </w:rPr>
        <w:t>广西政府采购云平台</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https://www.gcy.zfcg.gxzf.gov.cn/</w:t>
      </w:r>
      <w:r>
        <w:rPr>
          <w:rFonts w:hint="eastAsia" w:ascii="宋体" w:hAnsi="宋体" w:cs="宋体"/>
          <w:color w:val="auto"/>
          <w:kern w:val="0"/>
          <w:szCs w:val="21"/>
          <w:highlight w:val="none"/>
        </w:rPr>
        <w:t>），点击右侧咨询小采，获取采小蜜智能服务管家帮助，或拨打</w:t>
      </w:r>
      <w:r>
        <w:rPr>
          <w:rFonts w:hint="eastAsia" w:ascii="宋体" w:hAnsi="宋体" w:cs="宋体"/>
          <w:color w:val="auto"/>
          <w:kern w:val="0"/>
          <w:szCs w:val="21"/>
          <w:highlight w:val="none"/>
          <w:lang w:eastAsia="zh-CN"/>
        </w:rPr>
        <w:t>广西政府采购云平台</w:t>
      </w:r>
      <w:r>
        <w:rPr>
          <w:rFonts w:hint="eastAsia" w:ascii="宋体" w:hAnsi="宋体" w:cs="宋体"/>
          <w:color w:val="auto"/>
          <w:kern w:val="0"/>
          <w:szCs w:val="21"/>
          <w:highlight w:val="none"/>
        </w:rPr>
        <w:t>服务热线</w:t>
      </w:r>
      <w:r>
        <w:rPr>
          <w:rFonts w:hint="eastAsia" w:ascii="宋体" w:hAnsi="宋体" w:cs="宋体"/>
          <w:color w:val="auto"/>
          <w:kern w:val="0"/>
          <w:szCs w:val="21"/>
          <w:highlight w:val="none"/>
          <w:lang w:eastAsia="zh-CN"/>
        </w:rPr>
        <w:t>95763</w:t>
      </w:r>
      <w:r>
        <w:rPr>
          <w:rFonts w:hint="eastAsia" w:ascii="宋体" w:hAnsi="宋体" w:cs="宋体"/>
          <w:color w:val="auto"/>
          <w:kern w:val="0"/>
          <w:szCs w:val="21"/>
          <w:highlight w:val="none"/>
        </w:rPr>
        <w:t>获取热线服务帮助。</w:t>
      </w:r>
    </w:p>
    <w:p w14:paraId="39EE22A0">
      <w:pPr>
        <w:keepNext w:val="0"/>
        <w:keepLines w:val="0"/>
        <w:pageBreakBefore w:val="0"/>
        <w:kinsoku/>
        <w:wordWrap/>
        <w:overflowPunct/>
        <w:topLinePunct w:val="0"/>
        <w:autoSpaceDE/>
        <w:autoSpaceDN/>
        <w:bidi w:val="0"/>
        <w:adjustRightInd/>
        <w:snapToGrid w:val="0"/>
        <w:spacing w:line="384" w:lineRule="auto"/>
        <w:ind w:left="0" w:leftChars="0" w:firstLine="367" w:firstLineChars="175"/>
        <w:jc w:val="left"/>
        <w:textAlignment w:val="auto"/>
        <w:rPr>
          <w:rFonts w:hint="eastAsia" w:ascii="宋体" w:hAnsi="宋体"/>
          <w:color w:val="auto"/>
          <w:szCs w:val="21"/>
          <w:highlight w:val="none"/>
        </w:rPr>
      </w:pPr>
      <w:r>
        <w:rPr>
          <w:rFonts w:hint="eastAsia" w:ascii="宋体" w:hAnsi="宋体"/>
          <w:color w:val="auto"/>
          <w:szCs w:val="21"/>
          <w:highlight w:val="none"/>
          <w:lang w:val="en-US" w:eastAsia="zh-CN"/>
        </w:rPr>
        <w:t>12.</w:t>
      </w:r>
      <w:r>
        <w:rPr>
          <w:rFonts w:hint="eastAsia" w:ascii="宋体" w:hAnsi="宋体"/>
          <w:color w:val="auto"/>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2C04EFB">
      <w:pPr>
        <w:keepNext w:val="0"/>
        <w:keepLines w:val="0"/>
        <w:pageBreakBefore w:val="0"/>
        <w:kinsoku/>
        <w:wordWrap/>
        <w:overflowPunct/>
        <w:topLinePunct w:val="0"/>
        <w:autoSpaceDE/>
        <w:autoSpaceDN/>
        <w:bidi w:val="0"/>
        <w:adjustRightInd/>
        <w:spacing w:line="384" w:lineRule="auto"/>
        <w:ind w:left="0" w:leftChars="0" w:firstLine="367" w:firstLineChars="175"/>
        <w:textAlignment w:val="auto"/>
        <w:rPr>
          <w:rFonts w:hint="eastAsia" w:ascii="宋体" w:hAnsi="宋体"/>
          <w:color w:val="auto"/>
          <w:szCs w:val="21"/>
          <w:highlight w:val="none"/>
        </w:rPr>
      </w:pPr>
      <w:r>
        <w:rPr>
          <w:rFonts w:hint="eastAsia" w:ascii="宋体" w:hAnsi="宋体"/>
          <w:color w:val="auto"/>
          <w:szCs w:val="21"/>
          <w:highlight w:val="none"/>
          <w:lang w:val="en-US" w:eastAsia="zh-CN"/>
        </w:rPr>
        <w:t>13.</w:t>
      </w:r>
      <w:r>
        <w:rPr>
          <w:rFonts w:hint="eastAsia" w:ascii="宋体" w:hAnsi="宋体"/>
          <w:color w:val="auto"/>
          <w:szCs w:val="21"/>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4609C8D8">
      <w:pPr>
        <w:keepNext w:val="0"/>
        <w:keepLines w:val="0"/>
        <w:pageBreakBefore w:val="0"/>
        <w:kinsoku/>
        <w:wordWrap/>
        <w:overflowPunct/>
        <w:topLinePunct w:val="0"/>
        <w:autoSpaceDE/>
        <w:autoSpaceDN/>
        <w:bidi w:val="0"/>
        <w:adjustRightInd/>
        <w:spacing w:line="384" w:lineRule="auto"/>
        <w:ind w:left="0" w:leftChars="0" w:firstLine="367" w:firstLineChars="175"/>
        <w:textAlignment w:val="auto"/>
        <w:rPr>
          <w:rFonts w:hint="eastAsia" w:ascii="黑体" w:hAnsi="黑体" w:eastAsia="黑体" w:cs="宋体"/>
          <w:bCs/>
          <w:color w:val="auto"/>
          <w:sz w:val="24"/>
          <w:highlight w:val="none"/>
        </w:rPr>
      </w:pPr>
      <w:r>
        <w:rPr>
          <w:rFonts w:hint="eastAsia" w:ascii="宋体" w:hAnsi="宋体" w:cs="宋体"/>
          <w:color w:val="auto"/>
          <w:kern w:val="0"/>
          <w:szCs w:val="21"/>
          <w:highlight w:val="none"/>
        </w:rPr>
        <w:t xml:space="preserve"> </w:t>
      </w:r>
      <w:r>
        <w:rPr>
          <w:rFonts w:hint="eastAsia" w:ascii="黑体" w:hAnsi="黑体" w:eastAsia="黑体" w:cs="宋体"/>
          <w:b/>
          <w:color w:val="auto"/>
          <w:kern w:val="44"/>
          <w:sz w:val="24"/>
          <w:highlight w:val="none"/>
        </w:rPr>
        <w:t>八、凡对本次采购提出询问，请按</w:t>
      </w:r>
      <w:r>
        <w:rPr>
          <w:rFonts w:ascii="黑体" w:hAnsi="黑体" w:eastAsia="黑体" w:cs="宋体"/>
          <w:b/>
          <w:color w:val="auto"/>
          <w:kern w:val="44"/>
          <w:sz w:val="24"/>
          <w:highlight w:val="none"/>
        </w:rPr>
        <w:t>以下方式</w:t>
      </w:r>
      <w:r>
        <w:rPr>
          <w:rFonts w:hint="eastAsia" w:ascii="黑体" w:hAnsi="黑体" w:eastAsia="黑体" w:cs="宋体"/>
          <w:b/>
          <w:color w:val="auto"/>
          <w:kern w:val="44"/>
          <w:sz w:val="24"/>
          <w:highlight w:val="none"/>
        </w:rPr>
        <w:t>联系</w:t>
      </w:r>
    </w:p>
    <w:p w14:paraId="4B708F4F">
      <w:pPr>
        <w:keepNext w:val="0"/>
        <w:keepLines w:val="0"/>
        <w:pageBreakBefore w:val="0"/>
        <w:kinsoku/>
        <w:wordWrap/>
        <w:overflowPunct/>
        <w:topLinePunct w:val="0"/>
        <w:autoSpaceDE/>
        <w:autoSpaceDN/>
        <w:bidi w:val="0"/>
        <w:adjustRightInd/>
        <w:spacing w:line="384" w:lineRule="auto"/>
        <w:ind w:left="0" w:leftChars="0" w:firstLine="367" w:firstLineChars="175"/>
        <w:jc w:val="left"/>
        <w:textAlignment w:val="auto"/>
        <w:rPr>
          <w:rFonts w:ascii="宋体" w:hAnsi="宋体"/>
          <w:color w:val="auto"/>
          <w:szCs w:val="21"/>
          <w:highlight w:val="none"/>
        </w:rPr>
      </w:pPr>
      <w:r>
        <w:rPr>
          <w:rFonts w:hint="eastAsia" w:ascii="宋体" w:hAnsi="宋体" w:cs="宋体"/>
          <w:color w:val="auto"/>
          <w:szCs w:val="21"/>
          <w:highlight w:val="none"/>
        </w:rPr>
        <w:t>1.采购人信息</w:t>
      </w:r>
    </w:p>
    <w:p w14:paraId="1582AB5E">
      <w:pPr>
        <w:keepNext w:val="0"/>
        <w:keepLines w:val="0"/>
        <w:pageBreakBefore w:val="0"/>
        <w:kinsoku/>
        <w:wordWrap/>
        <w:overflowPunct/>
        <w:topLinePunct w:val="0"/>
        <w:autoSpaceDE/>
        <w:autoSpaceDN/>
        <w:bidi w:val="0"/>
        <w:adjustRightInd/>
        <w:spacing w:line="384" w:lineRule="auto"/>
        <w:ind w:left="0" w:leftChars="0" w:firstLine="367" w:firstLineChars="175"/>
        <w:jc w:val="left"/>
        <w:textAlignment w:val="auto"/>
        <w:rPr>
          <w:rFonts w:hint="eastAsia" w:ascii="宋体" w:hAnsi="宋体" w:eastAsia="宋体"/>
          <w:color w:val="auto"/>
          <w:szCs w:val="21"/>
          <w:highlight w:val="none"/>
          <w:u w:val="single"/>
          <w:lang w:eastAsia="zh-CN"/>
        </w:rPr>
      </w:pPr>
      <w:r>
        <w:rPr>
          <w:rFonts w:hint="eastAsia" w:ascii="宋体" w:hAnsi="宋体"/>
          <w:color w:val="auto"/>
          <w:szCs w:val="21"/>
          <w:highlight w:val="none"/>
        </w:rPr>
        <w:t>名 称：</w:t>
      </w:r>
      <w:r>
        <w:rPr>
          <w:rFonts w:hint="eastAsia" w:ascii="宋体" w:hAnsi="宋体"/>
          <w:color w:val="auto"/>
          <w:szCs w:val="21"/>
          <w:highlight w:val="none"/>
          <w:u w:val="single"/>
          <w:lang w:eastAsia="zh-CN"/>
        </w:rPr>
        <w:t>广西工业职业技术学院</w:t>
      </w:r>
    </w:p>
    <w:p w14:paraId="4190369E">
      <w:pPr>
        <w:keepNext w:val="0"/>
        <w:keepLines w:val="0"/>
        <w:pageBreakBefore w:val="0"/>
        <w:kinsoku/>
        <w:wordWrap/>
        <w:overflowPunct/>
        <w:topLinePunct w:val="0"/>
        <w:autoSpaceDE/>
        <w:autoSpaceDN/>
        <w:bidi w:val="0"/>
        <w:adjustRightInd/>
        <w:spacing w:line="384" w:lineRule="auto"/>
        <w:ind w:left="0" w:leftChars="0" w:firstLine="367" w:firstLineChars="175"/>
        <w:jc w:val="left"/>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rPr>
        <w:t>地址：</w:t>
      </w:r>
      <w:r>
        <w:rPr>
          <w:rFonts w:hint="eastAsia" w:ascii="宋体" w:hAnsi="宋体"/>
          <w:color w:val="auto"/>
          <w:szCs w:val="21"/>
          <w:highlight w:val="none"/>
          <w:u w:val="single"/>
          <w:lang w:val="en-US" w:eastAsia="zh-CN"/>
        </w:rPr>
        <w:t>南宁市西乡塘区秀灵路37号</w:t>
      </w:r>
    </w:p>
    <w:p w14:paraId="0F9F7353">
      <w:pPr>
        <w:pStyle w:val="16"/>
        <w:keepNext w:val="0"/>
        <w:keepLines w:val="0"/>
        <w:pageBreakBefore w:val="0"/>
        <w:kinsoku/>
        <w:wordWrap/>
        <w:overflowPunct/>
        <w:topLinePunct w:val="0"/>
        <w:autoSpaceDE/>
        <w:autoSpaceDN/>
        <w:bidi w:val="0"/>
        <w:adjustRightInd/>
        <w:spacing w:line="384" w:lineRule="auto"/>
        <w:ind w:left="0" w:leftChars="0" w:firstLine="350" w:firstLineChars="175"/>
        <w:textAlignment w:val="auto"/>
        <w:rPr>
          <w:rFonts w:hint="default" w:hAnsi="宋体" w:eastAsia="宋体"/>
          <w:color w:val="auto"/>
          <w:highlight w:val="none"/>
          <w:lang w:val="en-US" w:eastAsia="zh-CN"/>
        </w:rPr>
      </w:pPr>
      <w:r>
        <w:rPr>
          <w:rFonts w:hint="eastAsia" w:hAnsi="宋体"/>
          <w:color w:val="auto"/>
          <w:highlight w:val="none"/>
        </w:rPr>
        <w:t>项目联系人：</w:t>
      </w:r>
      <w:r>
        <w:rPr>
          <w:rFonts w:hint="eastAsia" w:ascii="宋体" w:hAnsi="宋体"/>
          <w:color w:val="auto"/>
          <w:szCs w:val="21"/>
          <w:highlight w:val="none"/>
          <w:u w:val="single"/>
        </w:rPr>
        <w:t>黄老师</w:t>
      </w:r>
    </w:p>
    <w:p w14:paraId="37E7B874">
      <w:pPr>
        <w:keepNext w:val="0"/>
        <w:keepLines w:val="0"/>
        <w:pageBreakBefore w:val="0"/>
        <w:kinsoku/>
        <w:wordWrap/>
        <w:overflowPunct/>
        <w:topLinePunct w:val="0"/>
        <w:autoSpaceDE/>
        <w:autoSpaceDN/>
        <w:bidi w:val="0"/>
        <w:adjustRightInd/>
        <w:spacing w:line="384" w:lineRule="auto"/>
        <w:ind w:left="0" w:leftChars="0" w:firstLine="367" w:firstLineChars="175"/>
        <w:jc w:val="left"/>
        <w:textAlignment w:val="auto"/>
        <w:rPr>
          <w:rFonts w:hint="eastAsia" w:ascii="宋体" w:hAnsi="宋体" w:eastAsia="宋体"/>
          <w:color w:val="auto"/>
          <w:szCs w:val="21"/>
          <w:highlight w:val="none"/>
          <w:u w:val="single"/>
          <w:lang w:eastAsia="zh-CN"/>
        </w:rPr>
      </w:pPr>
      <w:r>
        <w:rPr>
          <w:rFonts w:hint="eastAsia" w:ascii="宋体" w:hAnsi="宋体"/>
          <w:color w:val="auto"/>
          <w:szCs w:val="21"/>
          <w:highlight w:val="none"/>
        </w:rPr>
        <w:t>联系电话：</w:t>
      </w:r>
      <w:r>
        <w:rPr>
          <w:rFonts w:ascii="宋体" w:hAnsi="宋体"/>
          <w:color w:val="auto"/>
          <w:szCs w:val="21"/>
          <w:highlight w:val="none"/>
          <w:u w:val="single"/>
        </w:rPr>
        <w:t>0771-3828335</w:t>
      </w:r>
    </w:p>
    <w:p w14:paraId="4FF00FA5">
      <w:pPr>
        <w:keepNext w:val="0"/>
        <w:keepLines w:val="0"/>
        <w:pageBreakBefore w:val="0"/>
        <w:kinsoku/>
        <w:wordWrap/>
        <w:overflowPunct/>
        <w:topLinePunct w:val="0"/>
        <w:autoSpaceDE/>
        <w:autoSpaceDN/>
        <w:bidi w:val="0"/>
        <w:adjustRightInd/>
        <w:spacing w:line="384" w:lineRule="auto"/>
        <w:ind w:left="0" w:leftChars="0" w:firstLine="367" w:firstLineChars="175"/>
        <w:jc w:val="left"/>
        <w:textAlignment w:val="auto"/>
        <w:rPr>
          <w:rFonts w:ascii="宋体" w:hAnsi="宋体"/>
          <w:color w:val="auto"/>
          <w:szCs w:val="21"/>
          <w:highlight w:val="none"/>
        </w:rPr>
      </w:pPr>
      <w:r>
        <w:rPr>
          <w:rFonts w:hint="eastAsia" w:ascii="宋体" w:hAnsi="宋体" w:cs="宋体"/>
          <w:color w:val="auto"/>
          <w:szCs w:val="21"/>
          <w:highlight w:val="none"/>
        </w:rPr>
        <w:t>2.采购代理机构信息</w:t>
      </w:r>
    </w:p>
    <w:p w14:paraId="48B6ED2B">
      <w:pPr>
        <w:keepNext w:val="0"/>
        <w:keepLines w:val="0"/>
        <w:pageBreakBefore w:val="0"/>
        <w:kinsoku/>
        <w:wordWrap/>
        <w:overflowPunct/>
        <w:topLinePunct w:val="0"/>
        <w:autoSpaceDE/>
        <w:autoSpaceDN/>
        <w:bidi w:val="0"/>
        <w:adjustRightInd/>
        <w:spacing w:line="384" w:lineRule="auto"/>
        <w:ind w:left="0" w:leftChars="0" w:firstLine="367" w:firstLineChars="175"/>
        <w:textAlignment w:val="auto"/>
        <w:rPr>
          <w:rFonts w:hint="eastAsia" w:ascii="宋体" w:hAnsi="宋体" w:eastAsia="宋体"/>
          <w:color w:val="auto"/>
          <w:szCs w:val="21"/>
          <w:highlight w:val="none"/>
          <w:u w:val="single"/>
          <w:lang w:eastAsia="zh-CN"/>
        </w:rPr>
      </w:pPr>
      <w:r>
        <w:rPr>
          <w:rFonts w:hint="eastAsia" w:ascii="宋体" w:hAnsi="宋体"/>
          <w:color w:val="auto"/>
          <w:szCs w:val="21"/>
          <w:highlight w:val="none"/>
        </w:rPr>
        <w:t>名 称：</w:t>
      </w:r>
      <w:r>
        <w:rPr>
          <w:rFonts w:hint="eastAsia" w:ascii="宋体" w:hAnsi="宋体"/>
          <w:color w:val="auto"/>
          <w:szCs w:val="21"/>
          <w:highlight w:val="none"/>
          <w:u w:val="single"/>
          <w:lang w:eastAsia="zh-CN"/>
        </w:rPr>
        <w:t>广西华东招标有限公司</w:t>
      </w:r>
    </w:p>
    <w:p w14:paraId="0754CEF5">
      <w:pPr>
        <w:keepNext w:val="0"/>
        <w:keepLines w:val="0"/>
        <w:pageBreakBefore w:val="0"/>
        <w:kinsoku/>
        <w:wordWrap/>
        <w:overflowPunct/>
        <w:topLinePunct w:val="0"/>
        <w:autoSpaceDE/>
        <w:autoSpaceDN/>
        <w:bidi w:val="0"/>
        <w:adjustRightInd/>
        <w:spacing w:line="384" w:lineRule="auto"/>
        <w:ind w:left="0" w:leftChars="0" w:firstLine="367" w:firstLineChars="175"/>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地　址：</w:t>
      </w:r>
      <w:r>
        <w:rPr>
          <w:rFonts w:hint="eastAsia" w:ascii="宋体" w:hAnsi="宋体"/>
          <w:color w:val="auto"/>
          <w:szCs w:val="21"/>
          <w:highlight w:val="none"/>
          <w:u w:val="single"/>
          <w:lang w:eastAsia="zh-CN"/>
        </w:rPr>
        <w:t>南宁市江南区白沙大道36-1号浩天花园综合楼1210-1212号房</w:t>
      </w:r>
    </w:p>
    <w:p w14:paraId="53014603">
      <w:pPr>
        <w:keepNext w:val="0"/>
        <w:keepLines w:val="0"/>
        <w:pageBreakBefore w:val="0"/>
        <w:kinsoku/>
        <w:wordWrap/>
        <w:overflowPunct/>
        <w:topLinePunct w:val="0"/>
        <w:autoSpaceDE/>
        <w:autoSpaceDN/>
        <w:bidi w:val="0"/>
        <w:adjustRightInd/>
        <w:spacing w:line="384" w:lineRule="auto"/>
        <w:ind w:left="0" w:leftChars="0" w:firstLine="367" w:firstLineChars="175"/>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联系电话：</w:t>
      </w:r>
      <w:r>
        <w:rPr>
          <w:rFonts w:hint="eastAsia" w:ascii="宋体" w:hAnsi="宋体"/>
          <w:color w:val="auto"/>
          <w:szCs w:val="21"/>
          <w:highlight w:val="none"/>
          <w:u w:val="single"/>
          <w:lang w:eastAsia="zh-CN"/>
        </w:rPr>
        <w:t>0771-5885139</w:t>
      </w:r>
    </w:p>
    <w:p w14:paraId="6D1CF8C9">
      <w:pPr>
        <w:keepNext w:val="0"/>
        <w:keepLines w:val="0"/>
        <w:pageBreakBefore w:val="0"/>
        <w:kinsoku/>
        <w:wordWrap/>
        <w:overflowPunct/>
        <w:topLinePunct w:val="0"/>
        <w:autoSpaceDE/>
        <w:autoSpaceDN/>
        <w:bidi w:val="0"/>
        <w:adjustRightInd/>
        <w:spacing w:line="384" w:lineRule="auto"/>
        <w:ind w:left="0" w:leftChars="0" w:firstLine="367" w:firstLineChars="175"/>
        <w:textAlignment w:val="auto"/>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项目联系方式</w:t>
      </w:r>
    </w:p>
    <w:p w14:paraId="2E8A93F9">
      <w:pPr>
        <w:keepNext w:val="0"/>
        <w:keepLines w:val="0"/>
        <w:pageBreakBefore w:val="0"/>
        <w:kinsoku/>
        <w:wordWrap/>
        <w:overflowPunct/>
        <w:topLinePunct w:val="0"/>
        <w:autoSpaceDE/>
        <w:autoSpaceDN/>
        <w:bidi w:val="0"/>
        <w:adjustRightInd/>
        <w:spacing w:line="384" w:lineRule="auto"/>
        <w:ind w:left="0" w:leftChars="0" w:firstLine="367" w:firstLineChars="175"/>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rPr>
        <w:t>项目联系人：</w:t>
      </w:r>
      <w:r>
        <w:rPr>
          <w:rFonts w:hint="eastAsia" w:ascii="宋体" w:hAnsi="宋体"/>
          <w:color w:val="auto"/>
          <w:szCs w:val="21"/>
          <w:highlight w:val="none"/>
          <w:u w:val="single"/>
          <w:lang w:val="en-US" w:eastAsia="zh-CN"/>
        </w:rPr>
        <w:t>邹龙</w:t>
      </w:r>
    </w:p>
    <w:p w14:paraId="291C45BF">
      <w:pPr>
        <w:keepNext w:val="0"/>
        <w:keepLines w:val="0"/>
        <w:pageBreakBefore w:val="0"/>
        <w:kinsoku/>
        <w:wordWrap/>
        <w:overflowPunct/>
        <w:topLinePunct w:val="0"/>
        <w:autoSpaceDE/>
        <w:autoSpaceDN/>
        <w:bidi w:val="0"/>
        <w:adjustRightInd/>
        <w:spacing w:line="384" w:lineRule="auto"/>
        <w:ind w:left="0" w:leftChars="0" w:firstLine="367" w:firstLineChars="175"/>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 xml:space="preserve">电 </w:t>
      </w:r>
      <w:r>
        <w:rPr>
          <w:rFonts w:ascii="宋体" w:hAnsi="宋体"/>
          <w:color w:val="auto"/>
          <w:szCs w:val="21"/>
          <w:highlight w:val="none"/>
        </w:rPr>
        <w:t xml:space="preserve">   </w:t>
      </w:r>
      <w:r>
        <w:rPr>
          <w:rFonts w:hint="eastAsia" w:ascii="宋体" w:hAnsi="宋体"/>
          <w:color w:val="auto"/>
          <w:szCs w:val="21"/>
          <w:highlight w:val="none"/>
        </w:rPr>
        <w:t>话：</w:t>
      </w:r>
      <w:r>
        <w:rPr>
          <w:rFonts w:hint="eastAsia" w:ascii="宋体" w:hAnsi="宋体"/>
          <w:color w:val="auto"/>
          <w:szCs w:val="21"/>
          <w:highlight w:val="none"/>
          <w:u w:val="single"/>
          <w:lang w:eastAsia="zh-CN"/>
        </w:rPr>
        <w:t>0771-5885139</w:t>
      </w:r>
    </w:p>
    <w:p w14:paraId="5F75DC10">
      <w:pPr>
        <w:pStyle w:val="10"/>
        <w:keepNext w:val="0"/>
        <w:keepLines w:val="0"/>
        <w:pageBreakBefore w:val="0"/>
        <w:kinsoku/>
        <w:wordWrap/>
        <w:overflowPunct/>
        <w:topLinePunct w:val="0"/>
        <w:autoSpaceDE/>
        <w:autoSpaceDN/>
        <w:bidi w:val="0"/>
        <w:adjustRightInd/>
        <w:spacing w:line="384" w:lineRule="auto"/>
        <w:ind w:left="0" w:leftChars="0" w:firstLine="367" w:firstLineChars="175"/>
        <w:jc w:val="right"/>
        <w:textAlignment w:val="auto"/>
        <w:rPr>
          <w:rFonts w:hint="eastAsia" w:ascii="宋体" w:hAnsi="宋体" w:eastAsia="宋体"/>
          <w:color w:val="auto"/>
          <w:szCs w:val="21"/>
          <w:highlight w:val="none"/>
          <w:lang w:eastAsia="zh-CN"/>
        </w:rPr>
      </w:pPr>
      <w:r>
        <w:rPr>
          <w:rFonts w:hint="eastAsia" w:ascii="宋体" w:hAnsi="宋体"/>
          <w:color w:val="auto"/>
          <w:szCs w:val="21"/>
          <w:highlight w:val="none"/>
          <w:u w:val="single"/>
          <w:lang w:eastAsia="zh-CN"/>
        </w:rPr>
        <w:t>广西华东招标有限公司</w:t>
      </w:r>
    </w:p>
    <w:p w14:paraId="5B1711C1">
      <w:pPr>
        <w:keepNext w:val="0"/>
        <w:keepLines w:val="0"/>
        <w:pageBreakBefore w:val="0"/>
        <w:kinsoku/>
        <w:wordWrap/>
        <w:overflowPunct/>
        <w:topLinePunct w:val="0"/>
        <w:autoSpaceDE/>
        <w:autoSpaceDN/>
        <w:bidi w:val="0"/>
        <w:adjustRightInd/>
        <w:spacing w:line="384" w:lineRule="auto"/>
        <w:ind w:left="0" w:leftChars="0" w:firstLine="367" w:firstLineChars="175"/>
        <w:jc w:val="right"/>
        <w:textAlignment w:val="auto"/>
        <w:rPr>
          <w:rFonts w:hint="eastAsia" w:ascii="宋体" w:hAnsi="宋体"/>
          <w:color w:val="auto"/>
          <w:szCs w:val="21"/>
          <w:highlight w:val="none"/>
        </w:rPr>
      </w:pPr>
      <w:r>
        <w:rPr>
          <w:rFonts w:hint="eastAsia" w:ascii="宋体" w:hAnsi="宋体"/>
          <w:color w:val="auto"/>
          <w:szCs w:val="21"/>
          <w:highlight w:val="none"/>
          <w:lang w:val="en-US" w:eastAsia="zh-CN"/>
        </w:rPr>
        <w:t>2025</w:t>
      </w:r>
      <w:r>
        <w:rPr>
          <w:rFonts w:hint="eastAsia" w:ascii="宋体" w:hAnsi="宋体"/>
          <w:color w:val="auto"/>
          <w:szCs w:val="21"/>
          <w:highlight w:val="none"/>
        </w:rPr>
        <w:t>年</w:t>
      </w:r>
      <w:r>
        <w:rPr>
          <w:rFonts w:hint="eastAsia" w:ascii="宋体" w:hAnsi="宋体"/>
          <w:color w:val="auto"/>
          <w:szCs w:val="21"/>
          <w:highlight w:val="none"/>
          <w:u w:val="single"/>
          <w:lang w:val="en-US" w:eastAsia="zh-CN"/>
        </w:rPr>
        <w:t xml:space="preserve"> 5 </w:t>
      </w:r>
      <w:r>
        <w:rPr>
          <w:rFonts w:hint="eastAsia" w:ascii="宋体" w:hAnsi="宋体"/>
          <w:color w:val="auto"/>
          <w:szCs w:val="21"/>
          <w:highlight w:val="none"/>
        </w:rPr>
        <w:t>月</w:t>
      </w:r>
      <w:r>
        <w:rPr>
          <w:rFonts w:hint="eastAsia" w:ascii="宋体" w:hAnsi="宋体"/>
          <w:color w:val="auto"/>
          <w:szCs w:val="21"/>
          <w:highlight w:val="none"/>
          <w:u w:val="single"/>
          <w:lang w:val="en-US" w:eastAsia="zh-CN"/>
        </w:rPr>
        <w:t xml:space="preserve"> 12 </w:t>
      </w:r>
      <w:r>
        <w:rPr>
          <w:rFonts w:hint="eastAsia" w:ascii="宋体" w:hAnsi="宋体"/>
          <w:color w:val="auto"/>
          <w:szCs w:val="21"/>
          <w:highlight w:val="none"/>
        </w:rPr>
        <w:t>日</w:t>
      </w:r>
    </w:p>
    <w:p w14:paraId="49ECB041">
      <w:pPr>
        <w:keepNext w:val="0"/>
        <w:keepLines w:val="0"/>
        <w:pageBreakBefore w:val="0"/>
        <w:kinsoku/>
        <w:wordWrap/>
        <w:overflowPunct/>
        <w:topLinePunct w:val="0"/>
        <w:autoSpaceDE/>
        <w:autoSpaceDN/>
        <w:bidi w:val="0"/>
        <w:adjustRightInd/>
        <w:spacing w:line="384" w:lineRule="auto"/>
        <w:ind w:left="0" w:leftChars="0" w:firstLine="560" w:firstLineChars="175"/>
        <w:jc w:val="center"/>
        <w:textAlignment w:val="auto"/>
        <w:rPr>
          <w:rFonts w:hint="eastAsia"/>
          <w:color w:val="auto"/>
          <w:highlight w:val="none"/>
        </w:rPr>
      </w:pPr>
      <w:r>
        <w:rPr>
          <w:rFonts w:ascii="宋体" w:hAnsi="宋体"/>
          <w:color w:val="auto"/>
          <w:sz w:val="32"/>
          <w:szCs w:val="32"/>
          <w:highlight w:val="none"/>
        </w:rPr>
        <w:br w:type="page"/>
      </w:r>
      <w:bookmarkStart w:id="29" w:name="_Toc27136"/>
      <w:r>
        <w:rPr>
          <w:rStyle w:val="35"/>
          <w:rFonts w:hint="eastAsia"/>
          <w:color w:val="auto"/>
          <w:highlight w:val="none"/>
        </w:rPr>
        <w:t>第二章 采购需求</w:t>
      </w:r>
      <w:bookmarkEnd w:id="29"/>
    </w:p>
    <w:p w14:paraId="0AC2DC13">
      <w:pPr>
        <w:spacing w:line="420" w:lineRule="exact"/>
        <w:jc w:val="left"/>
        <w:rPr>
          <w:rFonts w:ascii="宋体" w:hAnsi="宋体" w:cs="宋体"/>
          <w:color w:val="auto"/>
          <w:szCs w:val="21"/>
          <w:highlight w:val="none"/>
        </w:rPr>
      </w:pPr>
      <w:r>
        <w:rPr>
          <w:rFonts w:hint="eastAsia" w:ascii="宋体" w:hAnsi="宋体" w:cs="宋体"/>
          <w:color w:val="auto"/>
          <w:szCs w:val="21"/>
          <w:highlight w:val="none"/>
        </w:rPr>
        <w:t>说明：</w:t>
      </w:r>
    </w:p>
    <w:p w14:paraId="0D9778EA">
      <w:pPr>
        <w:spacing w:line="420" w:lineRule="exact"/>
        <w:ind w:firstLine="420" w:firstLineChars="200"/>
        <w:jc w:val="left"/>
        <w:rPr>
          <w:rFonts w:hint="eastAsia" w:ascii="宋体" w:hAnsi="宋体" w:cs="宋体"/>
          <w:color w:val="auto"/>
          <w:szCs w:val="21"/>
          <w:highlight w:val="none"/>
        </w:rPr>
      </w:pPr>
      <w:r>
        <w:rPr>
          <w:rFonts w:hint="eastAsia" w:ascii="宋体" w:hAnsi="宋体"/>
          <w:color w:val="auto"/>
          <w:highlight w:val="none"/>
        </w:rPr>
        <w:t>1</w:t>
      </w:r>
      <w:r>
        <w:rPr>
          <w:rFonts w:hint="eastAsia"/>
          <w:color w:val="auto"/>
          <w:highlight w:val="none"/>
          <w:lang w:eastAsia="zh-CN"/>
        </w:rPr>
        <w:t>.</w:t>
      </w:r>
      <w:r>
        <w:rPr>
          <w:rFonts w:hint="eastAsia"/>
          <w:color w:val="auto"/>
          <w:highlight w:val="none"/>
        </w:rPr>
        <w:t>为落实政府采购政策需满足的要求</w:t>
      </w:r>
    </w:p>
    <w:p w14:paraId="3543F092">
      <w:pPr>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（1）本竞争性磋商采购文件所称中小企业必须符合《政府采购促进中小企业发展管理办法》（财库〔2020〕46号）的规定。</w:t>
      </w:r>
    </w:p>
    <w:p w14:paraId="03718835">
      <w:pPr>
        <w:tabs>
          <w:tab w:val="left" w:pos="180"/>
          <w:tab w:val="left" w:pos="1620"/>
        </w:tabs>
        <w:spacing w:line="420" w:lineRule="exact"/>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（2）服务项目中包含货物的，根据《财政部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14:paraId="047BF582">
      <w:pPr>
        <w:spacing w:line="420" w:lineRule="exact"/>
        <w:ind w:firstLine="413" w:firstLineChars="196"/>
        <w:rPr>
          <w:rFonts w:hint="eastAsia" w:ascii="宋体" w:hAnsi="宋体" w:cs="宋体"/>
          <w:b/>
          <w:bCs/>
          <w:color w:val="auto"/>
          <w:szCs w:val="21"/>
          <w:highlight w:val="none"/>
        </w:rPr>
      </w:pPr>
      <w:r>
        <w:rPr>
          <w:rFonts w:hint="eastAsia" w:ascii="宋体" w:hAnsi="宋体" w:cs="宋体"/>
          <w:b/>
          <w:bCs/>
          <w:color w:val="auto"/>
          <w:szCs w:val="21"/>
          <w:highlight w:val="none"/>
        </w:rPr>
        <w:t>2.“实质性要求”是指采购需求中带“▲”的条款或者不能负偏离的条款或者已经指明不满足按响应文件作无效处理的条款。</w:t>
      </w:r>
    </w:p>
    <w:p w14:paraId="7663A03B">
      <w:pPr>
        <w:pStyle w:val="10"/>
        <w:spacing w:line="420" w:lineRule="exact"/>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w:t>
      </w:r>
      <w:r>
        <w:rPr>
          <w:color w:val="auto"/>
          <w:highlight w:val="none"/>
        </w:rPr>
        <w:t>根据《关于调整网络安全专用产品安全管理有关事项的公告》（2023年1号）规定，本项目采购需求中的产品如果包括《网络关键设备和网络安全专用产品目录》的网络安全专用产品，供应商在</w:t>
      </w:r>
      <w:r>
        <w:rPr>
          <w:rFonts w:hint="eastAsia"/>
          <w:color w:val="auto"/>
          <w:highlight w:val="none"/>
          <w:lang w:eastAsia="zh-CN"/>
        </w:rPr>
        <w:t>响应</w:t>
      </w:r>
      <w:r>
        <w:rPr>
          <w:color w:val="auto"/>
          <w:highlight w:val="none"/>
        </w:rPr>
        <w:t>文件中应主动列明供货范围中属于网络安全专用产品的</w:t>
      </w:r>
      <w:r>
        <w:rPr>
          <w:rFonts w:hint="eastAsia"/>
          <w:color w:val="auto"/>
          <w:highlight w:val="none"/>
          <w:lang w:eastAsia="zh-CN"/>
        </w:rPr>
        <w:t>竞标</w:t>
      </w:r>
      <w:r>
        <w:rPr>
          <w:color w:val="auto"/>
          <w:highlight w:val="none"/>
        </w:rPr>
        <w:t>产品，并在</w:t>
      </w:r>
      <w:r>
        <w:rPr>
          <w:rFonts w:hint="eastAsia"/>
          <w:color w:val="auto"/>
          <w:highlight w:val="none"/>
          <w:lang w:eastAsia="zh-CN"/>
        </w:rPr>
        <w:t>响应</w:t>
      </w:r>
      <w:r>
        <w:rPr>
          <w:color w:val="auto"/>
          <w:highlight w:val="none"/>
        </w:rPr>
        <w:t>文件（商务及技术文件）中提供由中国网信网（http://www.cac.gov.cn/index.htm）最新发布的《网络关键设备和网络安全专用产品安全认证和安全检测结果》截图证明材料，</w:t>
      </w:r>
      <w:r>
        <w:rPr>
          <w:b/>
          <w:color w:val="auto"/>
          <w:highlight w:val="none"/>
        </w:rPr>
        <w:t>不在《网络关键设备和网络安全专用产品安全认证和安全检测结果》中或不在有效期内或未提供有效的《计算机信息系统安全专用产品销售许可证》的，</w:t>
      </w:r>
      <w:r>
        <w:rPr>
          <w:rFonts w:hint="eastAsia"/>
          <w:b/>
          <w:color w:val="auto"/>
          <w:highlight w:val="none"/>
        </w:rPr>
        <w:t>按无效</w:t>
      </w:r>
      <w:r>
        <w:rPr>
          <w:rFonts w:hint="eastAsia"/>
          <w:b/>
          <w:color w:val="auto"/>
          <w:highlight w:val="none"/>
          <w:lang w:eastAsia="zh-CN"/>
        </w:rPr>
        <w:t>竞标</w:t>
      </w:r>
      <w:r>
        <w:rPr>
          <w:rFonts w:hint="eastAsia"/>
          <w:b/>
          <w:color w:val="auto"/>
          <w:highlight w:val="none"/>
        </w:rPr>
        <w:t>处理</w:t>
      </w:r>
      <w:r>
        <w:rPr>
          <w:color w:val="auto"/>
          <w:highlight w:val="none"/>
        </w:rPr>
        <w:t>。如属于《网络关键设备和网络安全专用产品目录》中“二、网络安全专用产品”内“产品类别”中的所描述的产品，但不属于所列“产品描述”情形的，应提供相应的说明及证明材料。</w:t>
      </w:r>
    </w:p>
    <w:p w14:paraId="596F7389">
      <w:pPr>
        <w:pStyle w:val="10"/>
        <w:spacing w:line="420" w:lineRule="exact"/>
        <w:ind w:firstLine="420" w:firstLineChars="200"/>
        <w:rPr>
          <w:rFonts w:hint="eastAsia" w:eastAsia="宋体"/>
          <w:color w:val="auto"/>
          <w:highlight w:val="none"/>
          <w:lang w:val="en-US" w:eastAsia="zh-CN"/>
        </w:rPr>
      </w:pPr>
      <w:r>
        <w:rPr>
          <w:rFonts w:hint="eastAsia"/>
          <w:color w:val="auto"/>
          <w:highlight w:val="none"/>
          <w:lang w:val="en-US" w:eastAsia="zh-CN"/>
        </w:rPr>
        <w:t>4.本项目</w:t>
      </w:r>
      <w:r>
        <w:rPr>
          <w:rFonts w:hint="eastAsia" w:ascii="宋体" w:hAnsi="宋体"/>
          <w:color w:val="auto"/>
          <w:szCs w:val="21"/>
          <w:highlight w:val="none"/>
        </w:rPr>
        <w:t>中小企业所属行业划分标准</w:t>
      </w:r>
      <w:r>
        <w:rPr>
          <w:rFonts w:hint="eastAsia" w:ascii="宋体" w:hAnsi="宋体"/>
          <w:color w:val="auto"/>
          <w:szCs w:val="21"/>
          <w:highlight w:val="none"/>
          <w:lang w:eastAsia="zh-CN"/>
        </w:rPr>
        <w:t>：</w:t>
      </w:r>
      <w:r>
        <w:rPr>
          <w:rFonts w:hint="eastAsia" w:ascii="Times New Roman" w:hAnsi="Times New Roman" w:eastAsia="宋体" w:cs="Times New Roman"/>
          <w:color w:val="auto"/>
          <w:sz w:val="21"/>
          <w:szCs w:val="21"/>
          <w:highlight w:val="none"/>
        </w:rPr>
        <w:t>软件和信息技术服务业</w:t>
      </w:r>
      <w:r>
        <w:rPr>
          <w:rFonts w:hint="eastAsia" w:ascii="Times New Roman" w:hAnsi="Times New Roman" w:eastAsia="宋体" w:cs="Times New Roman"/>
          <w:color w:val="auto"/>
          <w:sz w:val="21"/>
          <w:szCs w:val="21"/>
          <w:highlight w:val="none"/>
          <w:lang w:eastAsia="zh-CN"/>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59D9B78">
      <w:pPr>
        <w:tabs>
          <w:tab w:val="left" w:pos="180"/>
          <w:tab w:val="left" w:pos="1620"/>
        </w:tabs>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 xml:space="preserve"> </w:t>
      </w:r>
    </w:p>
    <w:tbl>
      <w:tblPr>
        <w:tblStyle w:val="28"/>
        <w:tblW w:w="939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4"/>
        <w:gridCol w:w="681"/>
        <w:gridCol w:w="727"/>
        <w:gridCol w:w="461"/>
        <w:gridCol w:w="7031"/>
      </w:tblGrid>
      <w:tr w14:paraId="6894F9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394" w:type="dxa"/>
            <w:gridSpan w:val="5"/>
            <w:tcBorders>
              <w:top w:val="single" w:color="auto" w:sz="4" w:space="0"/>
              <w:left w:val="single" w:color="auto" w:sz="4" w:space="0"/>
              <w:right w:val="single" w:color="auto" w:sz="4" w:space="0"/>
            </w:tcBorders>
            <w:noWrap w:val="0"/>
            <w:vAlign w:val="center"/>
          </w:tcPr>
          <w:p w14:paraId="5639639D">
            <w:pPr>
              <w:keepNext w:val="0"/>
              <w:keepLines w:val="0"/>
              <w:pageBreakBefore w:val="0"/>
              <w:kinsoku/>
              <w:wordWrap/>
              <w:overflowPunct/>
              <w:topLinePunct w:val="0"/>
              <w:autoSpaceDE/>
              <w:autoSpaceDN/>
              <w:bidi w:val="0"/>
              <w:spacing w:line="360" w:lineRule="auto"/>
              <w:ind w:left="0" w:leftChars="0"/>
              <w:jc w:val="center"/>
              <w:textAlignment w:val="auto"/>
              <w:rPr>
                <w:rFonts w:hint="eastAsia" w:ascii="宋体" w:hAnsi="宋体" w:cs="宋体"/>
                <w:b/>
                <w:color w:val="auto"/>
                <w:sz w:val="24"/>
                <w:highlight w:val="none"/>
              </w:rPr>
            </w:pPr>
            <w:r>
              <w:rPr>
                <w:rFonts w:hint="eastAsia" w:ascii="仿宋_GB2312" w:hAnsi="宋体" w:eastAsia="仿宋_GB2312" w:cs="Arial"/>
                <w:b/>
                <w:color w:val="auto"/>
                <w:sz w:val="32"/>
                <w:szCs w:val="32"/>
                <w:highlight w:val="none"/>
              </w:rPr>
              <w:t>服务需求一览表</w:t>
            </w:r>
          </w:p>
        </w:tc>
      </w:tr>
      <w:tr w14:paraId="484538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4" w:type="dxa"/>
            <w:tcBorders>
              <w:top w:val="single" w:color="auto" w:sz="4" w:space="0"/>
              <w:left w:val="single" w:color="auto" w:sz="4" w:space="0"/>
              <w:bottom w:val="single" w:color="auto" w:sz="4" w:space="0"/>
              <w:right w:val="single" w:color="auto" w:sz="4" w:space="0"/>
            </w:tcBorders>
            <w:noWrap w:val="0"/>
            <w:vAlign w:val="center"/>
          </w:tcPr>
          <w:p w14:paraId="4FCFCFC6">
            <w:pPr>
              <w:keepNext w:val="0"/>
              <w:keepLines w:val="0"/>
              <w:pageBreakBefore w:val="0"/>
              <w:kinsoku/>
              <w:wordWrap/>
              <w:overflowPunct/>
              <w:topLinePunct w:val="0"/>
              <w:autoSpaceDE/>
              <w:autoSpaceDN/>
              <w:bidi w:val="0"/>
              <w:spacing w:line="360" w:lineRule="auto"/>
              <w:ind w:left="0" w:leftChars="0"/>
              <w:jc w:val="center"/>
              <w:textAlignment w:val="auto"/>
              <w:rPr>
                <w:rFonts w:hint="eastAsia" w:ascii="宋体" w:hAnsi="宋体" w:cs="宋体"/>
                <w:color w:val="auto"/>
                <w:sz w:val="24"/>
                <w:highlight w:val="none"/>
              </w:rPr>
            </w:pPr>
            <w:r>
              <w:rPr>
                <w:rFonts w:hint="eastAsia" w:ascii="宋体" w:hAnsi="宋体" w:cs="宋体"/>
                <w:color w:val="auto"/>
                <w:szCs w:val="21"/>
                <w:highlight w:val="none"/>
              </w:rPr>
              <w:t>序号</w:t>
            </w:r>
          </w:p>
        </w:tc>
        <w:tc>
          <w:tcPr>
            <w:tcW w:w="68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6D72015">
            <w:pPr>
              <w:keepNext w:val="0"/>
              <w:keepLines w:val="0"/>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标的名称</w:t>
            </w:r>
          </w:p>
        </w:tc>
        <w:tc>
          <w:tcPr>
            <w:tcW w:w="727" w:type="dxa"/>
            <w:tcBorders>
              <w:top w:val="single" w:color="auto" w:sz="4" w:space="0"/>
              <w:left w:val="single" w:color="auto" w:sz="4" w:space="0"/>
              <w:bottom w:val="single" w:color="auto" w:sz="4" w:space="0"/>
              <w:right w:val="single" w:color="auto" w:sz="4" w:space="0"/>
            </w:tcBorders>
            <w:noWrap w:val="0"/>
            <w:vAlign w:val="center"/>
          </w:tcPr>
          <w:p w14:paraId="29E57DB9">
            <w:pPr>
              <w:keepNext w:val="0"/>
              <w:keepLines w:val="0"/>
              <w:pageBreakBefore w:val="0"/>
              <w:kinsoku/>
              <w:wordWrap/>
              <w:overflowPunct/>
              <w:topLinePunct w:val="0"/>
              <w:autoSpaceDE/>
              <w:autoSpaceDN/>
              <w:bidi w:val="0"/>
              <w:spacing w:line="360" w:lineRule="auto"/>
              <w:ind w:left="0" w:leftChars="0"/>
              <w:jc w:val="center"/>
              <w:textAlignment w:val="auto"/>
              <w:rPr>
                <w:rFonts w:ascii="宋体" w:hAnsi="宋体" w:cs="宋体"/>
                <w:color w:val="auto"/>
                <w:szCs w:val="21"/>
                <w:highlight w:val="none"/>
              </w:rPr>
            </w:pPr>
            <w:r>
              <w:rPr>
                <w:rFonts w:hint="eastAsia" w:ascii="宋体" w:hAnsi="宋体" w:cs="宋体"/>
                <w:color w:val="auto"/>
                <w:szCs w:val="21"/>
                <w:highlight w:val="none"/>
              </w:rPr>
              <w:t>单位</w:t>
            </w:r>
          </w:p>
        </w:tc>
        <w:tc>
          <w:tcPr>
            <w:tcW w:w="461" w:type="dxa"/>
            <w:tcBorders>
              <w:top w:val="single" w:color="auto" w:sz="4" w:space="0"/>
              <w:left w:val="single" w:color="auto" w:sz="4" w:space="0"/>
              <w:bottom w:val="single" w:color="auto" w:sz="4" w:space="0"/>
              <w:right w:val="single" w:color="auto" w:sz="4" w:space="0"/>
            </w:tcBorders>
            <w:noWrap w:val="0"/>
            <w:vAlign w:val="center"/>
          </w:tcPr>
          <w:p w14:paraId="6C114F60">
            <w:pPr>
              <w:keepNext w:val="0"/>
              <w:keepLines w:val="0"/>
              <w:pageBreakBefore w:val="0"/>
              <w:kinsoku/>
              <w:wordWrap/>
              <w:overflowPunct/>
              <w:topLinePunct w:val="0"/>
              <w:autoSpaceDE/>
              <w:autoSpaceDN/>
              <w:bidi w:val="0"/>
              <w:spacing w:line="360" w:lineRule="auto"/>
              <w:ind w:left="0" w:leftChars="0"/>
              <w:jc w:val="center"/>
              <w:textAlignment w:val="auto"/>
              <w:rPr>
                <w:rFonts w:ascii="宋体" w:hAnsi="宋体" w:cs="宋体"/>
                <w:color w:val="auto"/>
                <w:szCs w:val="21"/>
                <w:highlight w:val="none"/>
              </w:rPr>
            </w:pPr>
            <w:r>
              <w:rPr>
                <w:rFonts w:hint="eastAsia" w:ascii="宋体" w:hAnsi="宋体" w:cs="宋体"/>
                <w:color w:val="auto"/>
                <w:szCs w:val="21"/>
                <w:highlight w:val="none"/>
              </w:rPr>
              <w:t>数量</w:t>
            </w:r>
          </w:p>
        </w:tc>
        <w:tc>
          <w:tcPr>
            <w:tcW w:w="7031" w:type="dxa"/>
            <w:tcBorders>
              <w:top w:val="single" w:color="auto" w:sz="4" w:space="0"/>
              <w:left w:val="single" w:color="auto" w:sz="4" w:space="0"/>
              <w:bottom w:val="single" w:color="auto" w:sz="4" w:space="0"/>
              <w:right w:val="single" w:color="auto" w:sz="4" w:space="0"/>
            </w:tcBorders>
            <w:noWrap w:val="0"/>
            <w:vAlign w:val="center"/>
          </w:tcPr>
          <w:p w14:paraId="49977779">
            <w:pPr>
              <w:keepNext w:val="0"/>
              <w:keepLines w:val="0"/>
              <w:pageBreakBefore w:val="0"/>
              <w:kinsoku/>
              <w:wordWrap/>
              <w:overflowPunct/>
              <w:topLinePunct w:val="0"/>
              <w:autoSpaceDE/>
              <w:autoSpaceDN/>
              <w:bidi w:val="0"/>
              <w:spacing w:line="360" w:lineRule="auto"/>
              <w:ind w:left="0" w:leftChars="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服务参数</w:t>
            </w:r>
          </w:p>
        </w:tc>
      </w:tr>
      <w:tr w14:paraId="085C7C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4" w:type="dxa"/>
            <w:tcBorders>
              <w:top w:val="single" w:color="auto" w:sz="4" w:space="0"/>
              <w:left w:val="single" w:color="auto" w:sz="4" w:space="0"/>
              <w:bottom w:val="single" w:color="auto" w:sz="4" w:space="0"/>
              <w:right w:val="single" w:color="auto" w:sz="4" w:space="0"/>
            </w:tcBorders>
            <w:noWrap w:val="0"/>
            <w:vAlign w:val="center"/>
          </w:tcPr>
          <w:p w14:paraId="2CD4F31B">
            <w:pPr>
              <w:keepNext w:val="0"/>
              <w:keepLines w:val="0"/>
              <w:pageBreakBefore w:val="0"/>
              <w:kinsoku/>
              <w:wordWrap/>
              <w:overflowPunct/>
              <w:topLinePunct w:val="0"/>
              <w:autoSpaceDE/>
              <w:autoSpaceDN/>
              <w:bidi w:val="0"/>
              <w:spacing w:line="360" w:lineRule="auto"/>
              <w:ind w:left="0" w:leftChars="0"/>
              <w:jc w:val="center"/>
              <w:textAlignment w:val="auto"/>
              <w:rPr>
                <w:rFonts w:hint="eastAsia" w:ascii="宋体" w:hAnsi="宋体"/>
                <w:b/>
                <w:bCs/>
                <w:color w:val="auto"/>
                <w:highlight w:val="none"/>
              </w:rPr>
            </w:pPr>
            <w:r>
              <w:rPr>
                <w:rFonts w:hint="eastAsia" w:ascii="宋体" w:hAnsi="宋体"/>
                <w:color w:val="auto"/>
                <w:szCs w:val="21"/>
                <w:highlight w:val="none"/>
              </w:rPr>
              <w:t>1</w:t>
            </w:r>
          </w:p>
        </w:tc>
        <w:tc>
          <w:tcPr>
            <w:tcW w:w="681" w:type="dxa"/>
            <w:tcBorders>
              <w:top w:val="single" w:color="auto" w:sz="4" w:space="0"/>
              <w:left w:val="single" w:color="auto" w:sz="4" w:space="0"/>
              <w:bottom w:val="single" w:color="auto" w:sz="4" w:space="0"/>
              <w:right w:val="single" w:color="auto" w:sz="4" w:space="0"/>
            </w:tcBorders>
            <w:noWrap w:val="0"/>
            <w:vAlign w:val="center"/>
          </w:tcPr>
          <w:p w14:paraId="3B42D021">
            <w:pPr>
              <w:keepNext w:val="0"/>
              <w:keepLines w:val="0"/>
              <w:pageBreakBefore w:val="0"/>
              <w:kinsoku/>
              <w:wordWrap/>
              <w:overflowPunct/>
              <w:topLinePunct w:val="0"/>
              <w:autoSpaceDE/>
              <w:autoSpaceDN/>
              <w:bidi w:val="0"/>
              <w:spacing w:line="360" w:lineRule="auto"/>
              <w:ind w:left="0" w:leftChars="0"/>
              <w:jc w:val="center"/>
              <w:textAlignment w:val="auto"/>
              <w:rPr>
                <w:rFonts w:ascii="宋体" w:hAnsi="宋体"/>
                <w:color w:val="auto"/>
                <w:szCs w:val="21"/>
                <w:highlight w:val="none"/>
              </w:rPr>
            </w:pPr>
            <w:r>
              <w:rPr>
                <w:rFonts w:hint="eastAsia" w:cs="宋体"/>
                <w:color w:val="auto"/>
                <w:sz w:val="21"/>
                <w:szCs w:val="21"/>
                <w:highlight w:val="none"/>
                <w:lang w:eastAsia="zh-CN"/>
              </w:rPr>
              <w:t>网络基础维护服务</w:t>
            </w:r>
          </w:p>
        </w:tc>
        <w:tc>
          <w:tcPr>
            <w:tcW w:w="727" w:type="dxa"/>
            <w:tcBorders>
              <w:top w:val="single" w:color="auto" w:sz="4" w:space="0"/>
              <w:left w:val="single" w:color="auto" w:sz="4" w:space="0"/>
              <w:bottom w:val="single" w:color="auto" w:sz="4" w:space="0"/>
              <w:right w:val="single" w:color="auto" w:sz="4" w:space="0"/>
            </w:tcBorders>
            <w:noWrap w:val="0"/>
            <w:vAlign w:val="center"/>
          </w:tcPr>
          <w:p w14:paraId="3D2853E1">
            <w:pPr>
              <w:keepNext w:val="0"/>
              <w:keepLines w:val="0"/>
              <w:pageBreakBefore w:val="0"/>
              <w:kinsoku/>
              <w:wordWrap/>
              <w:overflowPunct/>
              <w:topLinePunct w:val="0"/>
              <w:autoSpaceDE/>
              <w:autoSpaceDN/>
              <w:bidi w:val="0"/>
              <w:spacing w:line="360" w:lineRule="auto"/>
              <w:ind w:left="0" w:leftChars="0" w:firstLine="105" w:firstLineChars="50"/>
              <w:jc w:val="center"/>
              <w:textAlignment w:val="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1</w:t>
            </w:r>
          </w:p>
        </w:tc>
        <w:tc>
          <w:tcPr>
            <w:tcW w:w="461" w:type="dxa"/>
            <w:tcBorders>
              <w:top w:val="single" w:color="auto" w:sz="4" w:space="0"/>
              <w:left w:val="single" w:color="auto" w:sz="4" w:space="0"/>
              <w:bottom w:val="single" w:color="auto" w:sz="4" w:space="0"/>
              <w:right w:val="single" w:color="auto" w:sz="4" w:space="0"/>
            </w:tcBorders>
            <w:noWrap w:val="0"/>
            <w:vAlign w:val="center"/>
          </w:tcPr>
          <w:p w14:paraId="12793000">
            <w:pPr>
              <w:keepNext w:val="0"/>
              <w:keepLines w:val="0"/>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olor w:val="auto"/>
                <w:highlight w:val="none"/>
                <w:lang w:eastAsia="zh-CN"/>
              </w:rPr>
            </w:pPr>
            <w:r>
              <w:rPr>
                <w:rFonts w:hint="eastAsia" w:ascii="宋体" w:hAnsi="宋体"/>
                <w:color w:val="auto"/>
                <w:highlight w:val="none"/>
                <w:lang w:eastAsia="zh-CN"/>
              </w:rPr>
              <w:t>项</w:t>
            </w:r>
          </w:p>
        </w:tc>
        <w:tc>
          <w:tcPr>
            <w:tcW w:w="7031" w:type="dxa"/>
            <w:tcBorders>
              <w:top w:val="single" w:color="auto" w:sz="4" w:space="0"/>
              <w:left w:val="single" w:color="auto" w:sz="4" w:space="0"/>
              <w:bottom w:val="single" w:color="auto" w:sz="4" w:space="0"/>
              <w:right w:val="single" w:color="auto" w:sz="4" w:space="0"/>
            </w:tcBorders>
            <w:noWrap w:val="0"/>
            <w:vAlign w:val="center"/>
          </w:tcPr>
          <w:p w14:paraId="58F6006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strike w:val="0"/>
                <w:dstrike w:val="0"/>
                <w:color w:val="auto"/>
                <w:szCs w:val="21"/>
                <w:highlight w:val="none"/>
                <w:lang w:eastAsia="zh-CN"/>
              </w:rPr>
              <w:t>本项目</w:t>
            </w:r>
            <w:r>
              <w:rPr>
                <w:rFonts w:hint="eastAsia" w:ascii="宋体" w:hAnsi="宋体"/>
                <w:strike w:val="0"/>
                <w:dstrike w:val="0"/>
                <w:color w:val="auto"/>
                <w:szCs w:val="21"/>
                <w:highlight w:val="none"/>
              </w:rPr>
              <w:t>服务内容</w:t>
            </w:r>
            <w:r>
              <w:rPr>
                <w:rFonts w:hint="eastAsia" w:ascii="宋体" w:hAnsi="宋体"/>
                <w:strike w:val="0"/>
                <w:dstrike w:val="0"/>
                <w:color w:val="auto"/>
                <w:szCs w:val="21"/>
                <w:highlight w:val="none"/>
                <w:lang w:eastAsia="zh-CN"/>
              </w:rPr>
              <w:t>是</w:t>
            </w:r>
            <w:r>
              <w:rPr>
                <w:rFonts w:hint="eastAsia" w:ascii="宋体" w:hAnsi="宋体"/>
                <w:color w:val="auto"/>
                <w:szCs w:val="21"/>
                <w:highlight w:val="none"/>
              </w:rPr>
              <w:t>主要对学生公寓、公共区域、教工公寓、教学区和办公区等区域网络基础设施（交换机、路由器、AP、光纤链路、一体机等）及中心机房的日常维护和保养，保障网络基础设施正常运转。通过网络巡检、监测，进行整体网络性能评估，针对网络的利用率，进行优化并提出网络扩容和优化的建议。同时对设备的运行数据进行记录，形成报表进行统计分析，便于进行网络系统的分析和故障的提前预知。配合做好实时监控网络安全，应对突发事件及时进行故障诊断处理。</w:t>
            </w:r>
          </w:p>
          <w:p w14:paraId="304C343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服务内容及要求：</w:t>
            </w:r>
          </w:p>
          <w:p w14:paraId="417FD55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▲一、南宁校区、武鸣校区、贵港校区办公区和公共教学区电脑、一体机等设备维修维护</w:t>
            </w:r>
          </w:p>
          <w:p w14:paraId="40008FB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1.办公电脑、交换机等设备维修维护；</w:t>
            </w:r>
          </w:p>
          <w:p w14:paraId="245F912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2.各类办公软件调试安装、升级、维护；</w:t>
            </w:r>
          </w:p>
          <w:p w14:paraId="374257F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3.各类教学应用软件的安装、升级、维护；</w:t>
            </w:r>
          </w:p>
          <w:p w14:paraId="61867B4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4.协助硬件安装、升级、维护；</w:t>
            </w:r>
          </w:p>
          <w:p w14:paraId="5A6632B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5.提供数据修复、恢复服务，帮助修复提取故障设备重要数据；</w:t>
            </w:r>
          </w:p>
          <w:p w14:paraId="4B99067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6.报告厅、会议室等场所设备系统维护；</w:t>
            </w:r>
          </w:p>
          <w:p w14:paraId="095AE86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7.公共教学区域电脑、一体机、投影机、功放等设备软硬件维修维护；</w:t>
            </w:r>
          </w:p>
          <w:p w14:paraId="3BCE2FC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8.协助学校活动所需电脑、打印机等设备安置调试工作；</w:t>
            </w:r>
          </w:p>
          <w:p w14:paraId="77E681C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9.校内飞线、弱电线路规范整理；</w:t>
            </w:r>
          </w:p>
          <w:p w14:paraId="6BFE7C5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10.校内零星网络布线（材料由采购方提供）；</w:t>
            </w:r>
          </w:p>
          <w:p w14:paraId="1AF22B0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11.监督运营商校内走线、运维工作。</w:t>
            </w:r>
          </w:p>
          <w:p w14:paraId="5F3A670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▲二、南宁校区、武鸣校区、贵港校区学生公寓网络、公共区域网络、教学区网络、教工公寓网络运行维护</w:t>
            </w:r>
          </w:p>
          <w:p w14:paraId="6AB124D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1.有线无线的网络接入设备的型号、数量、版本、使用时间等信息统计记录；</w:t>
            </w:r>
          </w:p>
          <w:p w14:paraId="336B4EB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2.有线无线网络监控：通过网络探针、流量镜像及监控软件等方式，实现包括流量监控、数据包监控、网络性能指标监控和用户行为的监控等；</w:t>
            </w:r>
          </w:p>
          <w:p w14:paraId="5883AB0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3.网络结构、网络路由、网络IP地址统计记录；</w:t>
            </w:r>
          </w:p>
          <w:p w14:paraId="0C7C539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4.检查周边和设备内外是否有变形、变色、异味等现象；环境的温、湿度情况；加电后部件、元件及其他设备是否变形、变色、异味、温度异常等现象发生；</w:t>
            </w:r>
          </w:p>
          <w:p w14:paraId="6DE4119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5.检查网络设备电源接合是否正常，设备加电是否正常等情况，更换不能正常工作的设备；</w:t>
            </w:r>
          </w:p>
          <w:p w14:paraId="7144CF9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6.配置文件以最近保存的配置文件为准，查看是否经过改动或者缺少配置文件；</w:t>
            </w:r>
          </w:p>
          <w:p w14:paraId="63930AE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7.查看汇聚交换机所有接口是否是正常的UP/DOWN；</w:t>
            </w:r>
          </w:p>
          <w:p w14:paraId="4DDAE8E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8.查看汇聚交换机板卡信息是否为正常；</w:t>
            </w:r>
          </w:p>
          <w:p w14:paraId="486F02F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9.日志报错信息需有所记录，并根据日志提供信息查看对应的端口或者IP地址进排错；</w:t>
            </w:r>
          </w:p>
          <w:p w14:paraId="56C232B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10.底层网络维护，定期对网络线路的测试、检测、修复；</w:t>
            </w:r>
          </w:p>
          <w:p w14:paraId="787CF1F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11.保证学生公寓区域、公共区域、教学区、教工区网络设备和信号正常；</w:t>
            </w:r>
          </w:p>
          <w:p w14:paraId="0053F39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12.协助学校各类活动所需网络服务工作；</w:t>
            </w:r>
          </w:p>
          <w:p w14:paraId="2BF10CD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13.校内飞线、弱电线路规范整理；</w:t>
            </w:r>
          </w:p>
          <w:p w14:paraId="6F00143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14.校内零星网络布线（材料由采购方提供）；</w:t>
            </w:r>
          </w:p>
          <w:p w14:paraId="285A561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15.监督运营商校内运维工作；</w:t>
            </w:r>
          </w:p>
          <w:p w14:paraId="1A5D711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16.协助采购人</w:t>
            </w:r>
            <w:r>
              <w:rPr>
                <w:rFonts w:hint="eastAsia" w:ascii="宋体" w:hAnsi="宋体"/>
                <w:color w:val="auto"/>
                <w:szCs w:val="21"/>
                <w:highlight w:val="none"/>
                <w:lang w:val="en-US" w:eastAsia="zh-CN"/>
              </w:rPr>
              <w:t>做好</w:t>
            </w:r>
            <w:r>
              <w:rPr>
                <w:rFonts w:hint="eastAsia" w:ascii="宋体" w:hAnsi="宋体"/>
                <w:color w:val="auto"/>
                <w:szCs w:val="21"/>
                <w:highlight w:val="none"/>
              </w:rPr>
              <w:t>学生校园网开户和收费工作。</w:t>
            </w:r>
          </w:p>
          <w:p w14:paraId="38295D9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▲三、网络数据综合展示平台</w:t>
            </w:r>
          </w:p>
          <w:p w14:paraId="459D397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提供一套网管运维平台，实现南宁校区、武鸣校区、贵港校区的网络设备的监控及管理，并进行整体展示。</w:t>
            </w:r>
          </w:p>
          <w:p w14:paraId="3637ECC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1.系统支持部署到AlmaLinux，AmazonLinux，CentOS，Debian，OpenSUSE，RedHatEnterpriseLinux，RockyLinux，SUSELinuxEnterpriseServer，Ubuntu等各大发行版本的linux平台。</w:t>
            </w:r>
          </w:p>
          <w:p w14:paraId="0452F2D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2.采用B/S架构，可以通过大屏进行展示。</w:t>
            </w:r>
          </w:p>
          <w:p w14:paraId="5407865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3.支持分布式部署，可在不同地域的多个数据中心进行部署和管理。</w:t>
            </w:r>
          </w:p>
          <w:p w14:paraId="6107DB3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4.具备高效的数据存储和管理机制，能保存监控数据180天以上，支持数据归档和备份恢复功能，确保数据的安全性和完整性。</w:t>
            </w:r>
          </w:p>
          <w:p w14:paraId="478BE8B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5.具备对网络设备（路由器、交换机等）、服务器（Windows、Linux等）的性能指标（CPU、内存、磁盘、网络带宽等）实时监控；支持自定义监控项和模板，能灵活适应不同类型设备和应用的监控需求；可设置阈值和告警规则，当监控指标超出阈值时，能通过多种方式发送告警通知。</w:t>
            </w:r>
          </w:p>
          <w:p w14:paraId="5218383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6.支持网络设备自动发现，支持agent自动注册，发现文件系统、网络接口和SNMPOID等。</w:t>
            </w:r>
          </w:p>
          <w:p w14:paraId="05EE8C1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7.创建自定义图形的能力，可以将多个监控项组合成一个聚合图形，可以展示网络拓扑图，仪表盘显示，报表，视图等。</w:t>
            </w:r>
          </w:p>
          <w:p w14:paraId="2ABB8BA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8.用户管理：支持多用户管理，可设置不同用户角色和权限，包括只读、读写、管理等权限；提供用户认证功能，支持LDAP、AD等第三方认证方式。</w:t>
            </w:r>
          </w:p>
          <w:p w14:paraId="5FE20DA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9.提供丰富的报表和数据分析功能，包括趋势分析、性能报表、告警统计等；支持报表的定制和导出。</w:t>
            </w:r>
          </w:p>
          <w:p w14:paraId="02E0078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10.支持大屏展示，展示网络拓扑图，各设备监控。支持网线线路实时监控，实现通断展示，线路性能展示(包括丢包率、延迟率、吞吐率等)。</w:t>
            </w:r>
          </w:p>
          <w:p w14:paraId="21D124D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11.监控并展示网络设备的在线情况，如果设备出现故障掉线，可以进行故障告警。</w:t>
            </w:r>
          </w:p>
          <w:p w14:paraId="530A0AB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12.监控并展示被监控节点的性能数据，包括CPU使用率，内存使用率等。</w:t>
            </w:r>
          </w:p>
          <w:p w14:paraId="47F9B8E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13.支持监控出口设备的出口线路使用情况，监控并展示各运营商线路的实时使用率，上下行带宽使用情况，在线用户数（会话数）。</w:t>
            </w:r>
          </w:p>
          <w:p w14:paraId="141C994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14.支持对全网设备告警的实时监控和统一浏览。</w:t>
            </w:r>
          </w:p>
          <w:p w14:paraId="6E88A0E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15.配置要求：支持超过2000台设备的监控。包括但不限于网络设备，服务器，无线设备等。</w:t>
            </w:r>
          </w:p>
          <w:p w14:paraId="1DAA8E8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16.</w:t>
            </w:r>
            <w:r>
              <w:rPr>
                <w:rFonts w:hint="eastAsia" w:ascii="宋体" w:hAnsi="宋体"/>
                <w:color w:val="auto"/>
                <w:szCs w:val="21"/>
                <w:highlight w:val="none"/>
                <w:lang w:eastAsia="zh-CN"/>
              </w:rPr>
              <w:t>供应商</w:t>
            </w:r>
            <w:r>
              <w:rPr>
                <w:rFonts w:hint="eastAsia" w:ascii="宋体" w:hAnsi="宋体"/>
                <w:color w:val="auto"/>
                <w:szCs w:val="21"/>
                <w:highlight w:val="none"/>
              </w:rPr>
              <w:t>需要根据自身的软件的运行环境需求，提供可以满足以上监控性能要求的硬件服务器，操作系统环境，数据库环境等。</w:t>
            </w:r>
          </w:p>
          <w:p w14:paraId="32B3B02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17.实现软件所需运行环境中各类组件，包括但不限于操作系统、数据库、中间件等的正版化。</w:t>
            </w:r>
          </w:p>
          <w:p w14:paraId="7D85534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▲四、提供南宁校区至武鸣校区点对点逻辑链路带宽不少于1Gb或提供南宁校区至武鸣校区裸光纤端对端直连（无论采用何种方式进行两个校区互联，都需在签订合同后20天内完成两个校区互联线路开通）。</w:t>
            </w:r>
          </w:p>
          <w:p w14:paraId="3126D3E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五、机房基础设施运维服务</w:t>
            </w:r>
          </w:p>
          <w:p w14:paraId="4CBBB62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1.定期巡检机房精密空调和UPS系统：</w:t>
            </w:r>
          </w:p>
          <w:p w14:paraId="024A12A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(1)定期巡视精密空调系统，检查控制器程序菜单设置，确保系统参数正确配置。</w:t>
            </w:r>
          </w:p>
          <w:p w14:paraId="077BF65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(2)检查空调主机、压缩机、风机、加热器、冷凝器等运行状态，保证设备正常运行。</w:t>
            </w:r>
          </w:p>
          <w:p w14:paraId="71BF5F7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(3)清洁空调过滤网、冷凝器和加湿器，保持设备的清洁和高效运行。</w:t>
            </w:r>
          </w:p>
          <w:p w14:paraId="6BBF0B0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(4)检查UPS系统的电源、控制板卡、电池组等硬件状况，确保其正常运行。</w:t>
            </w:r>
          </w:p>
          <w:p w14:paraId="620803D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2.故障排除和维修：</w:t>
            </w:r>
          </w:p>
          <w:p w14:paraId="6EA1C4A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(1)及时排除发现的空调和UPS系统故障，例如更换损坏的配件和调整控制器程序（材料由采购人提供）。</w:t>
            </w:r>
          </w:p>
          <w:p w14:paraId="1D3FAA7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(2)调整空调系统的运行压力和温湿度控制，以适应机房需求。</w:t>
            </w:r>
          </w:p>
          <w:p w14:paraId="39FF684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(3)清洁空调过滤网、冷凝器和加湿器，确保其正常运行和散热效果。</w:t>
            </w:r>
          </w:p>
          <w:p w14:paraId="4666636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3.严重故障处理：</w:t>
            </w:r>
          </w:p>
          <w:p w14:paraId="7370460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及时响应空调停机、控制器故障、高温告警等严重故障，采取紧急措施修复问题，避免机房环境恶化。</w:t>
            </w:r>
          </w:p>
          <w:p w14:paraId="75B0EE1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4.定期检查和分析：</w:t>
            </w:r>
          </w:p>
          <w:p w14:paraId="6924B7B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(1)定期检查机房精密空调和UPS系统的运行状况，包括故障报警记录和自诊断结果。</w:t>
            </w:r>
          </w:p>
          <w:p w14:paraId="0100D5C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(2)进行UPS系统的自检功能，并对结果进行检查和分析，确保系统的可靠性和稳定性。</w:t>
            </w:r>
          </w:p>
          <w:p w14:paraId="56404E8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5.电池维护：</w:t>
            </w:r>
          </w:p>
          <w:p w14:paraId="3E899CE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(1)测量电池的内阻和电压等参数，及时发现损坏或问题电池，并进行更换或修复（材料由采购人提供）。</w:t>
            </w:r>
          </w:p>
          <w:p w14:paraId="7B8407F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(2)检查电池表面是否有腐蚀现象，确保电池的正常运行和安全性。</w:t>
            </w:r>
          </w:p>
          <w:p w14:paraId="01DFAA5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6.连接线和电缆检查：</w:t>
            </w:r>
          </w:p>
          <w:p w14:paraId="053DD4A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(1)定期检查机房环境系统和UPS系统的连接线和电缆，确保其连接牢固可靠。</w:t>
            </w:r>
          </w:p>
          <w:p w14:paraId="368AFAF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(2)检查端子是否紧固，是否有生锈现象，连接电缆是否有发热等情况。</w:t>
            </w:r>
          </w:p>
          <w:p w14:paraId="67C25ED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7.环境系统和消防系统检查：</w:t>
            </w:r>
          </w:p>
          <w:p w14:paraId="5471309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(1)定期检查机房环境系统的运行情况，包括温湿度记录和风量调节等，确保机房环境符合要求。</w:t>
            </w:r>
          </w:p>
          <w:p w14:paraId="5A33B67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(2)检查消防系统的运行情况，包括消防喷剂压力和火灾报警装置，确保消防系统可靠工作。</w:t>
            </w:r>
          </w:p>
          <w:p w14:paraId="78FA542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8.重大活动期间（如两会、中国--东盟博览会等）提供重点保障服务。</w:t>
            </w:r>
          </w:p>
          <w:p w14:paraId="5278D37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重大节假日期间（重大节假日：如元旦、春节、端午节、中秋节、国庆节等国家/自治区法定节假日）提供轮值保障服务，同时按要求提供现场值班服务。</w:t>
            </w:r>
          </w:p>
          <w:p w14:paraId="70FE0E7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六、服务器及存储运维服务</w:t>
            </w:r>
          </w:p>
          <w:p w14:paraId="66AFBD9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1.定期对服务器和存储性能进行监控，对于服务器性能存在异常或超出阈值的，应及时记录并反馈。</w:t>
            </w:r>
          </w:p>
          <w:p w14:paraId="7C1CF0D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2.日常维护：RAID重建、协助学校更换损坏备件等（材料由采购人提供）；主机设备清洁；标签制作、粘贴；线路整理；磁盘检查；逻辑卷空间调整；设备日志检查；周期性日志清理；日常维护工作日志生成并提交。</w:t>
            </w:r>
          </w:p>
          <w:p w14:paraId="20DF29C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3.设备巡检：系统可用性检查；系统性能检查；提交巡检报告。</w:t>
            </w:r>
          </w:p>
          <w:p w14:paraId="4F7EBC9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4.故障处理：故障的排查、分析；故障的排除、恢复；确认排除、恢复的结果；提交故障处理报告。</w:t>
            </w:r>
          </w:p>
          <w:p w14:paraId="171E54C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5.日常监测：设备状态灯检查；设备连接线检查；设备电源状态检查；设备风扇状态检查；设备硬件检测；服务器和存储CPU使用率；服务器和存储内存使用率；文件系统使用率；交换区使用率；服务器和存储连通性状况检测。</w:t>
            </w:r>
          </w:p>
          <w:p w14:paraId="4CACFBD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七、网络设备、安全设备运维服务</w:t>
            </w:r>
          </w:p>
          <w:p w14:paraId="0598703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1.日常管理和维护</w:t>
            </w:r>
          </w:p>
          <w:p w14:paraId="2C384AE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每天做日常巡检和维护，检查网络设备、安全设备等是否正常，并在《日常巡检记录表》做好相应的巡检记录。如发现异常设备，及时记录和处理，并对所发生的故障，需在《故障处理登记表》内详细记录故障现象、故障原因、处理过程、处理结果等信息。机房内新增或者变更主要设备，应及时更新《机房设备登记表》，记录设备进出时间、设备位置、设备型号、序列号、配置等信息。</w:t>
            </w:r>
          </w:p>
          <w:p w14:paraId="3859EBE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2.设备间各种线路规整</w:t>
            </w:r>
          </w:p>
          <w:p w14:paraId="4653C75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驻场运维人员应熟悉学校网络环境，对学校进行整体网络拓扑梳理，按照安全且方便管理的原则规整机柜内的网络设备和安全设备，整理设备间的线路并打上本端、对端标签，保证机房及设备间内设备和线路整齐美观且方便管理；提交详细的信息资产清单、完整的网络拓扑图及部署图，并在运维工作过程中不断进行更新。</w:t>
            </w:r>
          </w:p>
          <w:p w14:paraId="1BA5CB5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3.网络故障处理</w:t>
            </w:r>
          </w:p>
          <w:p w14:paraId="4371E94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驻场运维人员负责网络与各系统设备的日常维护（包括现场和远程），包括三个校区网络互连等，及时处理运维过程中出现的网络及设备故障，并填报《故障处理登记表》。</w:t>
            </w:r>
          </w:p>
          <w:p w14:paraId="74C9B5D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4.网络优化与调整</w:t>
            </w:r>
          </w:p>
          <w:p w14:paraId="533698C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驻场运维人员与技术服务商的专家队伍根据学校网络部署现状，定期对现有网络结构和后续新增网络、安全设备等进行优化与调整，并及时更新网络安全策略，对网络健壮性、安全性、负载冗余等内容做网络链路状况、设备负荷、传输质量等专业分析，提供全面、合理的网络架构优化方案，并在学校许可下与之共同实施优化改造，以达到网络高效性和安全性的统一。并形成《建议方案》及相关实施过程记录表单。</w:t>
            </w:r>
          </w:p>
          <w:p w14:paraId="3BD4D05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5.定期巡检和评估</w:t>
            </w:r>
          </w:p>
          <w:p w14:paraId="20DB07B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(1)每月对相关硬件设备和软件系统的预防性检查与维护，查找和排除系统的隐患，提高系统的安全性、可用性，并形成《月巡检报告》。</w:t>
            </w:r>
          </w:p>
          <w:p w14:paraId="1EC9F75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(2)每个季度的最后一周提交本季度的《季度运维服务报告》。对季度运维工作、运维设备及其系统运行情况等进行数据分析和小结，并提出改善运行质量的合理化建议及措施。</w:t>
            </w:r>
          </w:p>
          <w:p w14:paraId="06D026B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八、网络安全服务</w:t>
            </w:r>
          </w:p>
          <w:p w14:paraId="7B17E0B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1.安全管理制度梳理服务:</w:t>
            </w:r>
          </w:p>
          <w:p w14:paraId="76EEE44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(1)梳理单位信息系统安全保护制度，协助学校信息系统安全管理制度的落实。</w:t>
            </w:r>
          </w:p>
          <w:p w14:paraId="7BCC686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(2)根据等级保护安全管理制度的建设步骤，对现有安全管理制度进行梳理和完善。</w:t>
            </w:r>
          </w:p>
          <w:p w14:paraId="72CF26E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(3)细化网络安全各项操作流程、规范和表单，确保安全管理制度的可操作性和有效性。</w:t>
            </w:r>
          </w:p>
          <w:p w14:paraId="5620EA9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2.重要时期安全保障服务:</w:t>
            </w:r>
          </w:p>
          <w:p w14:paraId="01076A4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(1)在重大政治活动、敏感事件期间，提供针对采购人指定网站或业务系统的安全保障服务。</w:t>
            </w:r>
          </w:p>
          <w:p w14:paraId="7007ACE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(2)实施实时监控和日志分析，确保业务系统的安全状况得到有效监控和防护。</w:t>
            </w:r>
          </w:p>
          <w:p w14:paraId="4D1A103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Times New Roman"/>
                <w:color w:val="auto"/>
                <w:szCs w:val="21"/>
                <w:highlight w:val="none"/>
              </w:rPr>
            </w:pPr>
            <w:r>
              <w:rPr>
                <w:rFonts w:hint="eastAsia" w:ascii="宋体" w:hAnsi="宋体"/>
                <w:color w:val="auto"/>
                <w:szCs w:val="21"/>
                <w:highlight w:val="none"/>
              </w:rPr>
              <w:t>(3)每年在采购人参加有关单位组织的网络攻防演练期间，提供安全保障</w:t>
            </w:r>
            <w:r>
              <w:rPr>
                <w:rFonts w:hint="eastAsia" w:ascii="宋体" w:hAnsi="宋体" w:eastAsia="宋体" w:cs="Times New Roman"/>
                <w:color w:val="auto"/>
                <w:szCs w:val="21"/>
                <w:highlight w:val="none"/>
              </w:rPr>
              <w:t>相关方案，派遣不少于1名（含1名）安全服务工程师现场值守</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所派驻值守工程师</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需</w:t>
            </w:r>
            <w:r>
              <w:rPr>
                <w:rFonts w:hint="eastAsia" w:ascii="宋体" w:hAnsi="宋体" w:eastAsia="宋体" w:cs="Times New Roman"/>
                <w:color w:val="auto"/>
                <w:szCs w:val="21"/>
                <w:highlight w:val="none"/>
              </w:rPr>
              <w:t>具备网络安全相关专业证书，上岗前须提供相关资格证书复印件(原件备查)，如不予提供或无法提供具备相应资格人员的，视为不具备履约能力，采购人有权终止合同，所造成的损失由成交供应商承担。</w:t>
            </w:r>
          </w:p>
          <w:p w14:paraId="7967E53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3.上级部门或网络安全迎检:</w:t>
            </w:r>
          </w:p>
          <w:p w14:paraId="16EA278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(1)协助采购人应对上级部门或网络安全等相关机构的网络安全检查。</w:t>
            </w:r>
          </w:p>
          <w:p w14:paraId="224F10B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(2)提供必要的技术支持和安全服务，以应对迎检过程中的安全需求。</w:t>
            </w:r>
          </w:p>
          <w:p w14:paraId="556F679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(3)配合进行安全漏洞扫描、安全审计等工作，确保系统的安全性和合规性。</w:t>
            </w:r>
          </w:p>
          <w:p w14:paraId="35973DB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4.安全事件响应与处置:</w:t>
            </w:r>
          </w:p>
          <w:p w14:paraId="28D277C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(1)建立完善的安全事件响应与处置机制，确保在安全事件发生时能够及时响应和处置。</w:t>
            </w:r>
          </w:p>
          <w:p w14:paraId="320C93E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(2)进行安全事件的快速排查和调查，采取适当的措施进行威胁隔离和恢复工作。</w:t>
            </w:r>
          </w:p>
          <w:p w14:paraId="39869E0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(3)提供安全事件的报告和分析，以便进一步改进安全防护措施和预防措施。</w:t>
            </w:r>
          </w:p>
          <w:p w14:paraId="7937930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5.安全培训与意识提升:</w:t>
            </w:r>
          </w:p>
          <w:p w14:paraId="027617E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提供1年1次的网络安全培训，包括安全意识培训、操作规范培训等。</w:t>
            </w:r>
          </w:p>
          <w:p w14:paraId="6DDB52C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6.安全漏洞扫描与修复:</w:t>
            </w:r>
          </w:p>
          <w:p w14:paraId="0143E89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定期进行安全漏洞扫描，每季度开展1次。每次安全扫描后提供报告，如果有高危漏洞，通知相关方整改后，会再次进行复测，最终提供复扫报告。</w:t>
            </w:r>
          </w:p>
          <w:p w14:paraId="3442F6F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九、渗透测试服务</w:t>
            </w:r>
          </w:p>
          <w:p w14:paraId="4D03214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1.服务内容：</w:t>
            </w:r>
          </w:p>
          <w:p w14:paraId="1A5B7C2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对关键业务系统进行渗透测试，通过人工测试发现更多WEB层面上扫描器无法发现的漏洞（如：软件逻辑漏洞）和其他网络设备的漏洞并出具渗透测试报告。</w:t>
            </w:r>
          </w:p>
          <w:p w14:paraId="54215CB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1）漏洞扫描：利用列出的信息，开始检测WEB漏洞，如XSS、XSRF、SQL注入、代码执行、命令执行、越权访问、目录读取、任意文件读取和下载、文件包含，远程命令执行、弱口令、上传、编辑器漏洞、暴力破解等。该步骤通过自动化工具漏洞扫描和手工检测相结合，找出WEB系统安全漏洞。</w:t>
            </w:r>
          </w:p>
          <w:p w14:paraId="1E79E19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2）漏洞挖掘和验证:针对自动化工具探测到的漏洞，使用现有漏洞利用工具或方法进行验证或开发相应的漏洞利用工具进行验证，最后根据渗透测试人员的经验进行手工漏洞挖掘测试。①自动化验证：自动化扫描工具提供的结果；②手工验证：根据公开资源进行验证；③试验验证：自己搭建模拟环境进行验证；④登录猜解：有时可以尝试猜解一下登陆口的账号密码等信息；⑤业务漏洞验证：如发现业务漏洞，要进行验证；⑥公开资源的利用；⑦渗透代码网站；⑧通用、缺省口令；⑨漏洞警告等；⑩手工漏洞挖掘测试。</w:t>
            </w:r>
          </w:p>
          <w:p w14:paraId="0F1A98D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（3）漏洞利用：</w:t>
            </w:r>
          </w:p>
          <w:p w14:paraId="0D3316D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利用以上的方式获取用户敏感信息、业务系统权限、服务器权限或者其他权限。</w:t>
            </w:r>
          </w:p>
          <w:p w14:paraId="2F38905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（4）权限提升：服务器提权，比如windows漏洞提取、MySQL提权，SQLServer提取、Serv-U提权，Windows低版本的漏洞，如IIS6、Linux漏洞提权，Linux下的MySQLSYSTEM提权等。</w:t>
            </w:r>
          </w:p>
          <w:p w14:paraId="7BE62A4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（5）内网渗透：利用获取到控制权限的服务器作为跳板，横向或纵向渗透到内部网络其他系统和网络区域。</w:t>
            </w:r>
          </w:p>
          <w:p w14:paraId="6BA9C0F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（6）报告输出：渗透测试人员根据测试的过程结果编写直观的渗透测试报告。内容包括：渗透测试概括、主要漏洞信息、具体的操作步骤描述、安全修复建议等。</w:t>
            </w:r>
          </w:p>
          <w:p w14:paraId="62C4BB0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（7）安全复查：对已发现的安全隐患进行修复完毕后，渗透测试工程师对修复的结果再次进行远程测试，对修复的结果进行检验，确保修复结果的有效性。</w:t>
            </w:r>
          </w:p>
          <w:p w14:paraId="3E50350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2.服务时间及人员资质要求：</w:t>
            </w:r>
          </w:p>
          <w:p w14:paraId="0E49F17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（1）指派项目实施团队中不少于2名工程师提供项目实施服务，在现场提供相关服务和技术支持，经过采购人面试通过后方可上岗，并按采购人要求签署相关保密协议，严格遵守协议要求。</w:t>
            </w:r>
          </w:p>
          <w:p w14:paraId="6717BE8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（2）渗透测试服务按采购人需要提供。</w:t>
            </w:r>
          </w:p>
          <w:p w14:paraId="7B15B62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十、运维服务保障</w:t>
            </w:r>
          </w:p>
          <w:p w14:paraId="6FA82BD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▲1.运维人员要求</w:t>
            </w:r>
          </w:p>
          <w:p w14:paraId="30F555D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1）服务供应商针对本项目成立不少于7人的驻场运维团队，负责保障服务期内本项目安全、稳定地运行，服务期内必须派驻南宁市、武鸣、贵港三个校区，每个校区驻场人员不少于2人，保证人员基本固定，以确保服务需求的及时响应。根据采购人工作要求，驻场人员能利用周末和晚上加班，并保持相对固定，不得随意更换，如确需更换的，应提前征得采购人书面同意，新任人员必须满足驻场资质要求并提前1个月入场进行工作交接。由于运维工作的特殊性，运维驻场人员上班时间需比采购单位上班时间提前半个小时，每天按该上班时间点进行考核，节假日需要安排人员值班。驻场服务期间，必须遵守采购人制定的各项运维管理制度。</w:t>
            </w:r>
          </w:p>
          <w:p w14:paraId="3F74069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（2）根据运维服务具体需求，运维驻场人员须具备以下条件（响应文件须提供人员名单）：</w:t>
            </w:r>
          </w:p>
          <w:p w14:paraId="56EFB70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①驻场团队包括项目经理1人</w:t>
            </w:r>
            <w:r>
              <w:rPr>
                <w:rFonts w:hint="eastAsia" w:ascii="宋体" w:hAnsi="宋体"/>
                <w:color w:val="auto"/>
                <w:szCs w:val="21"/>
                <w:highlight w:val="none"/>
                <w:lang w:eastAsia="zh-CN"/>
              </w:rPr>
              <w:t>，</w:t>
            </w:r>
            <w:r>
              <w:rPr>
                <w:rFonts w:hint="eastAsia" w:ascii="宋体" w:hAnsi="宋体"/>
                <w:color w:val="auto"/>
                <w:szCs w:val="21"/>
                <w:highlight w:val="none"/>
              </w:rPr>
              <w:t>网络运维技术人员不少于3名，须具备3年或以上工作经验，主要负责（不限于）网络通信设备、网络安全设备、骨干网系统等日常运维工作。</w:t>
            </w:r>
          </w:p>
          <w:p w14:paraId="0834552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②综合运维技术人员不少于3名，须具备3年或以上工作经验，主要负责（不限于）综合布线系统、机房环境系统、供电系统、空调系统、业务系统、视频会议及电话系统、一体机、投影机、电脑等设备等的维护工作。</w:t>
            </w:r>
          </w:p>
          <w:p w14:paraId="1CA13F4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③项目运维团队熟练掌握各主流网络设备厂商的配置技术，包括网络路由与交换、安全管理配置、安全策略优化、防火墙配置、VPN管理技术、网络运维管理技术等。</w:t>
            </w:r>
          </w:p>
          <w:p w14:paraId="414396E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④项目运维团队熟练掌握各主流教学办公设备维护维修，包括一体机、电脑维修维护，常用软件安装等。</w:t>
            </w:r>
          </w:p>
          <w:p w14:paraId="3E493A2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⑤运维人员具备一定的表达和沟通能力，能够与用户进行顺畅沟通，包括故障处理、用户培训、工作汇报、方案讲解等；</w:t>
            </w:r>
          </w:p>
          <w:p w14:paraId="377247C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⑥运维人员具有IT运维管理经验和服务意识，能够较快熟悉业务流程，技术细节，制定详细的运维流程和方法。</w:t>
            </w:r>
          </w:p>
          <w:p w14:paraId="5C58A5A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▲2．服务响应支持</w:t>
            </w:r>
          </w:p>
          <w:p w14:paraId="12E3AA2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（1）提供7×24小时服务承诺</w:t>
            </w:r>
          </w:p>
          <w:p w14:paraId="3EFDEFD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服务供应商提供每周7x24小时的故障运维服务和技术业务咨询服务，并有专业的技术人员负责及时解决系统出现的任何故障。</w:t>
            </w:r>
          </w:p>
          <w:p w14:paraId="3EC562C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（2）故障修复时限承诺</w:t>
            </w:r>
          </w:p>
          <w:p w14:paraId="3B9A28F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服务期内，驻场人员在收到系统故障申告后，必须按要求及时解决。故障级别定义与服务的具体要求如下：</w:t>
            </w:r>
          </w:p>
          <w:p w14:paraId="58103BF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紧急事件单，在5分钟内电话响应，1小时之内解决问题。</w:t>
            </w:r>
          </w:p>
          <w:p w14:paraId="3B3EBC8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高优先级事件单，在15分钟内电话响应，2小时之内解决问题。</w:t>
            </w:r>
          </w:p>
          <w:p w14:paraId="4F92404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中优先级事件单，在30分钟内电话响应，24小时之内解决问题。</w:t>
            </w:r>
          </w:p>
          <w:p w14:paraId="4ED6E3B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低优先级事件单，在120分钟内电话响应，48小时之内解决问题。</w:t>
            </w:r>
          </w:p>
          <w:p w14:paraId="0C503B4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（3）技术支持方式</w:t>
            </w:r>
          </w:p>
          <w:p w14:paraId="63E4F6B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服务供应商除提供驻场服务外，还提供包括但不限于电话、传真、电子邮件、微信、QQ方式的技术支持。并且对于上述方式，服务供应商均能够在规定的服务等级要求内提供相应的技术支持服务。</w:t>
            </w:r>
          </w:p>
          <w:p w14:paraId="579FCD7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（4）特殊保障</w:t>
            </w:r>
          </w:p>
          <w:p w14:paraId="3468E0A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在系统频繁出现故障、节假日及重大活动期间等特殊情况，需要提高系统运维等级的情况下，根据学校要求，服务供应商需增派技术人员，提供现场或电话技术支持，及时处理各类故障。</w:t>
            </w:r>
          </w:p>
          <w:p w14:paraId="5B60DFA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在系统发生故障的情况下，如需增加现场服务人员，服务供应商承诺利用最快的交通工具到达现场进行抢修。</w:t>
            </w:r>
          </w:p>
          <w:p w14:paraId="5EEB1B9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（5）应急服务响应措施</w:t>
            </w:r>
          </w:p>
          <w:p w14:paraId="0A4AFEA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运维项目组应针对本项目运维服务制定详尽的应急处理预案，整个流程严谨而有序。但在服务运维过程中，意外情况将难以完全避免。服务供应商具备应对项目实施的突发风险的能力：进行突发风险详细分析，并且针对各类突发事件，设计相应的预防与解决措施，同时提供完整的应急处理流程。</w:t>
            </w:r>
          </w:p>
          <w:p w14:paraId="28D90BE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十一、运维服务文档管理</w:t>
            </w:r>
          </w:p>
          <w:p w14:paraId="5C2E9EB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1.运维报告</w:t>
            </w:r>
          </w:p>
          <w:p w14:paraId="5D1A59C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在整个运维服务周期内，服务供应商需与学校建立完善的沟通协调机制，及时提供运维服务的各种运维文档及报告。</w:t>
            </w:r>
          </w:p>
          <w:p w14:paraId="06C97F4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1）包括每周运维服务日志、重大故障维修报告、每月故障总结报告、每季度的设备和系统管理报告、每季度的运维总结报告、年度运维报告，有针对性的系统优化方案报告等。此外可根据实际情况需要，要求服务供应商就特定事件提交说明报告。</w:t>
            </w:r>
          </w:p>
          <w:p w14:paraId="308027C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2）服务供应商承诺将提供各种设备管理的原始数据（包括设备故障数据），接受学校的独立检查。若服务供应商建立了远程集中的设备管理系统，服务供应商必须承诺该系统的所有设备运维数据真实，没有被篡改或者删除，并向学校提供该系统的管理数据。供随时检查、获取设备管理信息。</w:t>
            </w:r>
          </w:p>
          <w:p w14:paraId="1B10904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2.运维文档管理</w:t>
            </w:r>
          </w:p>
          <w:p w14:paraId="118539C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服务供应商驻场运维人员在整个项目实施过程中，根据运维需要和遇到的各类情况及时编写运维文档，并及时提交给学校。本项目涉及的运维文档应包括但不限于：</w:t>
            </w:r>
          </w:p>
          <w:p w14:paraId="0C2CE4B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《公共教学运维记录表》；</w:t>
            </w:r>
          </w:p>
          <w:p w14:paraId="08C1E87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《办公设备运维记录表》；</w:t>
            </w:r>
          </w:p>
          <w:p w14:paraId="735E1C3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《网络设备运维记录表》；</w:t>
            </w:r>
          </w:p>
          <w:p w14:paraId="04C88B9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《机房日常巡检记录表》；</w:t>
            </w:r>
          </w:p>
          <w:p w14:paraId="3DC8340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《运维工作周报》；</w:t>
            </w:r>
          </w:p>
          <w:p w14:paraId="50C73DF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《月巡检报告》；</w:t>
            </w:r>
          </w:p>
          <w:p w14:paraId="032632C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《季度运维服务报告》；</w:t>
            </w:r>
          </w:p>
          <w:p w14:paraId="0214D6D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《年度运维服务报告》；</w:t>
            </w:r>
          </w:p>
          <w:p w14:paraId="4EDE39D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《故障处理登记表》；</w:t>
            </w:r>
          </w:p>
          <w:p w14:paraId="6BBF850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《网络建议方案》；</w:t>
            </w:r>
          </w:p>
          <w:p w14:paraId="2E6D799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《网络安全季度检查报告》；</w:t>
            </w:r>
          </w:p>
          <w:p w14:paraId="389CAE5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《网络信息移交清单》等。</w:t>
            </w:r>
          </w:p>
          <w:p w14:paraId="02014B0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3.材料移交</w:t>
            </w:r>
          </w:p>
          <w:p w14:paraId="477E179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在整个服务周期结束前一个月开始，驻场运维人员须全面整理整个服务项目内完成的各项文档、数据，进行必要的资源移交工作准备，形成下一期服务的整体规划方案，为服务项目的延续做好充分准备。所有项目材料需要加盖公章方可移交至学校。</w:t>
            </w:r>
          </w:p>
        </w:tc>
      </w:tr>
      <w:tr w14:paraId="55249C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394" w:type="dxa"/>
            <w:gridSpan w:val="5"/>
            <w:tcBorders>
              <w:top w:val="single" w:color="auto" w:sz="4" w:space="0"/>
              <w:left w:val="single" w:color="auto" w:sz="4" w:space="0"/>
              <w:bottom w:val="single" w:color="auto" w:sz="4" w:space="0"/>
              <w:right w:val="single" w:color="auto" w:sz="4" w:space="0"/>
            </w:tcBorders>
            <w:noWrap w:val="0"/>
            <w:vAlign w:val="center"/>
          </w:tcPr>
          <w:p w14:paraId="5BCB83A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商务条款及其他要求</w:t>
            </w:r>
          </w:p>
        </w:tc>
      </w:tr>
      <w:tr w14:paraId="411830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75" w:type="dxa"/>
            <w:gridSpan w:val="2"/>
            <w:tcBorders>
              <w:top w:val="single" w:color="auto" w:sz="4" w:space="0"/>
              <w:left w:val="single" w:color="auto" w:sz="4" w:space="0"/>
              <w:bottom w:val="single" w:color="auto" w:sz="4" w:space="0"/>
              <w:right w:val="single" w:color="auto" w:sz="4" w:space="0"/>
            </w:tcBorders>
            <w:noWrap w:val="0"/>
            <w:vAlign w:val="center"/>
          </w:tcPr>
          <w:p w14:paraId="542D208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 w:val="21"/>
                <w:szCs w:val="21"/>
                <w:highlight w:val="none"/>
                <w:lang w:eastAsia="zh-CN"/>
              </w:rPr>
              <w:t>一、</w:t>
            </w:r>
            <w:r>
              <w:rPr>
                <w:rFonts w:hint="eastAsia" w:ascii="宋体" w:hAnsi="宋体" w:eastAsia="宋体" w:cs="宋体"/>
                <w:b w:val="0"/>
                <w:bCs w:val="0"/>
                <w:color w:val="auto"/>
                <w:sz w:val="21"/>
                <w:szCs w:val="21"/>
                <w:highlight w:val="none"/>
              </w:rPr>
              <w:t>报价要求</w:t>
            </w:r>
          </w:p>
        </w:tc>
        <w:tc>
          <w:tcPr>
            <w:tcW w:w="8219" w:type="dxa"/>
            <w:gridSpan w:val="3"/>
            <w:tcBorders>
              <w:top w:val="single" w:color="auto" w:sz="4" w:space="0"/>
              <w:left w:val="single" w:color="auto" w:sz="4" w:space="0"/>
              <w:bottom w:val="single" w:color="auto" w:sz="4" w:space="0"/>
              <w:right w:val="single" w:color="auto" w:sz="4" w:space="0"/>
            </w:tcBorders>
            <w:noWrap w:val="0"/>
            <w:vAlign w:val="top"/>
          </w:tcPr>
          <w:p w14:paraId="44643EE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项目报价应包含本项目服务实施全过程中所需的所有费用，包括但不限于设施设备维修、养护和运行、系统更新升级、技术支持、验收、培训、售后服务、保险费用和各项税金等全部费用，完成本项目所需的一切工作内容而发生的所有直接费用、间接费用、其它费用，执行本次服务所需的人工、设备、交通、劳保等一切相关费用，驻场人员工作期间如出现人员人身、财产安全事故、损失等由成交供应商全部负责，采购人不负任何责任。</w:t>
            </w:r>
            <w:r>
              <w:rPr>
                <w:rFonts w:hint="eastAsia" w:ascii="宋体" w:hAnsi="宋体" w:eastAsia="宋体" w:cs="宋体"/>
                <w:b w:val="0"/>
                <w:bCs w:val="0"/>
                <w:color w:val="auto"/>
                <w:sz w:val="21"/>
                <w:szCs w:val="21"/>
                <w:highlight w:val="none"/>
              </w:rPr>
              <w:t>采购人不再支付合同金额以外的任何费用。</w:t>
            </w:r>
          </w:p>
        </w:tc>
      </w:tr>
      <w:tr w14:paraId="1003E7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75" w:type="dxa"/>
            <w:gridSpan w:val="2"/>
            <w:tcBorders>
              <w:top w:val="single" w:color="auto" w:sz="4" w:space="0"/>
              <w:left w:val="single" w:color="auto" w:sz="4" w:space="0"/>
              <w:bottom w:val="single" w:color="auto" w:sz="4" w:space="0"/>
              <w:right w:val="single" w:color="auto" w:sz="4" w:space="0"/>
            </w:tcBorders>
            <w:noWrap w:val="0"/>
            <w:vAlign w:val="center"/>
          </w:tcPr>
          <w:p w14:paraId="384DC2B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 w:val="21"/>
                <w:szCs w:val="21"/>
                <w:highlight w:val="none"/>
                <w:lang w:eastAsia="zh-CN"/>
              </w:rPr>
              <w:t>▲二、</w:t>
            </w:r>
            <w:r>
              <w:rPr>
                <w:rFonts w:hint="eastAsia" w:ascii="宋体" w:hAnsi="宋体" w:eastAsia="宋体" w:cs="宋体"/>
                <w:b w:val="0"/>
                <w:bCs w:val="0"/>
                <w:color w:val="auto"/>
                <w:sz w:val="21"/>
                <w:szCs w:val="21"/>
                <w:highlight w:val="none"/>
              </w:rPr>
              <w:t>服务时间及地点</w:t>
            </w:r>
          </w:p>
        </w:tc>
        <w:tc>
          <w:tcPr>
            <w:tcW w:w="8219" w:type="dxa"/>
            <w:gridSpan w:val="3"/>
            <w:tcBorders>
              <w:top w:val="single" w:color="auto" w:sz="4" w:space="0"/>
              <w:left w:val="single" w:color="auto" w:sz="4" w:space="0"/>
              <w:bottom w:val="single" w:color="auto" w:sz="4" w:space="0"/>
              <w:right w:val="single" w:color="auto" w:sz="4" w:space="0"/>
            </w:tcBorders>
            <w:noWrap w:val="0"/>
            <w:vAlign w:val="center"/>
          </w:tcPr>
          <w:p w14:paraId="36F15AB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1</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eastAsia="zh-CN"/>
              </w:rPr>
              <w:t>服务期限：自签订合同之日起</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eastAsia="zh-CN"/>
              </w:rPr>
              <w:t>年。</w:t>
            </w:r>
          </w:p>
          <w:p w14:paraId="3E395FE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2</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eastAsia="zh-CN"/>
              </w:rPr>
              <w:t>服务地点：广西工业职业技术学院（南宁校区：南宁市西乡塘区秀灵路37号；贵港校区：广西贵港市桂林路1118号；武鸣校区：广西南宁市武鸣区城厢镇凤鸣路83号），采购人指定地点。</w:t>
            </w:r>
          </w:p>
        </w:tc>
      </w:tr>
      <w:tr w14:paraId="524B37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75" w:type="dxa"/>
            <w:gridSpan w:val="2"/>
            <w:tcBorders>
              <w:top w:val="single" w:color="auto" w:sz="4" w:space="0"/>
              <w:left w:val="single" w:color="auto" w:sz="4" w:space="0"/>
              <w:bottom w:val="single" w:color="auto" w:sz="4" w:space="0"/>
              <w:right w:val="single" w:color="auto" w:sz="4" w:space="0"/>
            </w:tcBorders>
            <w:noWrap w:val="0"/>
            <w:vAlign w:val="center"/>
          </w:tcPr>
          <w:p w14:paraId="02821C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 w:val="21"/>
                <w:szCs w:val="21"/>
                <w:highlight w:val="none"/>
                <w:lang w:eastAsia="zh-CN"/>
              </w:rPr>
              <w:t>三、</w:t>
            </w:r>
            <w:r>
              <w:rPr>
                <w:rFonts w:hint="eastAsia" w:ascii="宋体" w:hAnsi="宋体" w:eastAsia="宋体" w:cs="宋体"/>
                <w:b w:val="0"/>
                <w:bCs w:val="0"/>
                <w:color w:val="auto"/>
                <w:sz w:val="21"/>
                <w:szCs w:val="21"/>
                <w:highlight w:val="none"/>
              </w:rPr>
              <w:t>规范标准</w:t>
            </w:r>
          </w:p>
        </w:tc>
        <w:tc>
          <w:tcPr>
            <w:tcW w:w="8219" w:type="dxa"/>
            <w:gridSpan w:val="3"/>
            <w:tcBorders>
              <w:top w:val="single" w:color="auto" w:sz="4" w:space="0"/>
              <w:left w:val="single" w:color="auto" w:sz="4" w:space="0"/>
              <w:bottom w:val="single" w:color="auto" w:sz="4" w:space="0"/>
              <w:right w:val="single" w:color="auto" w:sz="4" w:space="0"/>
            </w:tcBorders>
            <w:noWrap w:val="0"/>
            <w:vAlign w:val="center"/>
          </w:tcPr>
          <w:p w14:paraId="1D95E56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采购标的需执行的国家标准、行业标准、地方标准或者其他标准、规范和法律法规标准。多项标准的，按最新标准或较高标准执行。</w:t>
            </w:r>
          </w:p>
        </w:tc>
      </w:tr>
      <w:tr w14:paraId="5FC3AE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75" w:type="dxa"/>
            <w:gridSpan w:val="2"/>
            <w:tcBorders>
              <w:top w:val="single" w:color="auto" w:sz="4" w:space="0"/>
              <w:left w:val="single" w:color="auto" w:sz="4" w:space="0"/>
              <w:bottom w:val="single" w:color="auto" w:sz="4" w:space="0"/>
              <w:right w:val="single" w:color="auto" w:sz="4" w:space="0"/>
            </w:tcBorders>
            <w:noWrap w:val="0"/>
            <w:vAlign w:val="center"/>
          </w:tcPr>
          <w:p w14:paraId="114C389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sz w:val="21"/>
                <w:szCs w:val="21"/>
                <w:highlight w:val="none"/>
                <w:lang w:eastAsia="zh-CN"/>
              </w:rPr>
              <w:t>四、</w:t>
            </w:r>
            <w:r>
              <w:rPr>
                <w:rFonts w:hint="eastAsia" w:ascii="宋体" w:hAnsi="宋体" w:eastAsia="宋体" w:cs="宋体"/>
                <w:b w:val="0"/>
                <w:bCs w:val="0"/>
                <w:color w:val="auto"/>
                <w:sz w:val="21"/>
                <w:szCs w:val="21"/>
                <w:highlight w:val="none"/>
              </w:rPr>
              <w:t>考核要求</w:t>
            </w:r>
          </w:p>
        </w:tc>
        <w:tc>
          <w:tcPr>
            <w:tcW w:w="8219" w:type="dxa"/>
            <w:gridSpan w:val="3"/>
            <w:tcBorders>
              <w:top w:val="single" w:color="auto" w:sz="4" w:space="0"/>
              <w:left w:val="single" w:color="auto" w:sz="4" w:space="0"/>
              <w:bottom w:val="single" w:color="auto" w:sz="4" w:space="0"/>
              <w:right w:val="single" w:color="auto" w:sz="4" w:space="0"/>
            </w:tcBorders>
            <w:noWrap w:val="0"/>
            <w:vAlign w:val="center"/>
          </w:tcPr>
          <w:p w14:paraId="7614C55A">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1</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eastAsia="zh-CN"/>
              </w:rPr>
              <w:t>考核办法</w:t>
            </w:r>
          </w:p>
          <w:p w14:paraId="4E138E6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（1）服务内容评分细则详见附件1《运维服务考核表》。</w:t>
            </w:r>
          </w:p>
          <w:p w14:paraId="6F88086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（2）评分人为采购人，评分依据为服务条款、运维报告和日常工作等方面执行情况。</w:t>
            </w:r>
          </w:p>
          <w:p w14:paraId="7BE9286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（3）每期考核总分为100分，须双方签字或加盖公章，方可作为项目验收和合同支付依据。</w:t>
            </w:r>
          </w:p>
          <w:p w14:paraId="4C415E2C">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2</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eastAsia="zh-CN"/>
              </w:rPr>
              <w:t>细则条例</w:t>
            </w:r>
          </w:p>
          <w:p w14:paraId="1C5DBFD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（1）</w:t>
            </w:r>
            <w:r>
              <w:rPr>
                <w:rFonts w:hint="eastAsia" w:ascii="宋体" w:hAnsi="宋体" w:eastAsia="宋体" w:cs="宋体"/>
                <w:b w:val="0"/>
                <w:bCs w:val="0"/>
                <w:color w:val="auto"/>
                <w:sz w:val="21"/>
                <w:szCs w:val="21"/>
                <w:highlight w:val="none"/>
                <w:lang w:eastAsia="zh-Hans"/>
              </w:rPr>
              <w:t>当</w:t>
            </w:r>
            <w:r>
              <w:rPr>
                <w:rFonts w:hint="eastAsia" w:ascii="宋体" w:hAnsi="宋体" w:eastAsia="宋体" w:cs="宋体"/>
                <w:b w:val="0"/>
                <w:bCs w:val="0"/>
                <w:color w:val="auto"/>
                <w:sz w:val="21"/>
                <w:szCs w:val="21"/>
                <w:highlight w:val="none"/>
                <w:lang w:eastAsia="zh-CN"/>
              </w:rPr>
              <w:t>考核分数</w:t>
            </w:r>
            <w:r>
              <w:rPr>
                <w:rFonts w:hint="eastAsia" w:ascii="宋体" w:hAnsi="宋体" w:eastAsia="宋体" w:cs="宋体"/>
                <w:b w:val="0"/>
                <w:bCs w:val="0"/>
                <w:color w:val="auto"/>
                <w:sz w:val="21"/>
                <w:szCs w:val="21"/>
                <w:highlight w:val="none"/>
                <w:lang w:eastAsia="zh-Hans"/>
              </w:rPr>
              <w:t>≥</w:t>
            </w:r>
            <w:r>
              <w:rPr>
                <w:rFonts w:hint="eastAsia" w:ascii="宋体" w:hAnsi="宋体" w:eastAsia="宋体" w:cs="宋体"/>
                <w:b w:val="0"/>
                <w:bCs w:val="0"/>
                <w:color w:val="auto"/>
                <w:sz w:val="21"/>
                <w:szCs w:val="21"/>
                <w:highlight w:val="none"/>
                <w:lang w:eastAsia="zh-CN"/>
              </w:rPr>
              <w:t>80分的，</w:t>
            </w:r>
            <w:r>
              <w:rPr>
                <w:rFonts w:hint="eastAsia" w:ascii="宋体" w:hAnsi="宋体" w:eastAsia="宋体" w:cs="宋体"/>
                <w:b w:val="0"/>
                <w:bCs w:val="0"/>
                <w:color w:val="auto"/>
                <w:sz w:val="21"/>
                <w:szCs w:val="21"/>
                <w:highlight w:val="none"/>
                <w:lang w:eastAsia="zh-Hans"/>
              </w:rPr>
              <w:t>视为服务合格，采购人按照合同条款进行支付</w:t>
            </w:r>
            <w:r>
              <w:rPr>
                <w:rFonts w:hint="eastAsia" w:ascii="宋体" w:hAnsi="宋体" w:eastAsia="宋体" w:cs="宋体"/>
                <w:b w:val="0"/>
                <w:bCs w:val="0"/>
                <w:color w:val="auto"/>
                <w:sz w:val="21"/>
                <w:szCs w:val="21"/>
                <w:highlight w:val="none"/>
                <w:lang w:eastAsia="zh-CN"/>
              </w:rPr>
              <w:t>；</w:t>
            </w:r>
          </w:p>
          <w:p w14:paraId="5E6411EB">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val="0"/>
                <w:color w:val="auto"/>
                <w:sz w:val="21"/>
                <w:szCs w:val="21"/>
                <w:highlight w:val="none"/>
                <w:lang w:eastAsia="zh-Hans"/>
              </w:rPr>
            </w:pPr>
            <w:r>
              <w:rPr>
                <w:rFonts w:hint="eastAsia" w:ascii="宋体" w:hAnsi="宋体" w:eastAsia="宋体" w:cs="宋体"/>
                <w:b w:val="0"/>
                <w:bCs w:val="0"/>
                <w:color w:val="auto"/>
                <w:sz w:val="21"/>
                <w:szCs w:val="21"/>
                <w:highlight w:val="none"/>
                <w:lang w:eastAsia="zh-CN"/>
              </w:rPr>
              <w:t>（2）</w:t>
            </w:r>
            <w:r>
              <w:rPr>
                <w:rFonts w:hint="eastAsia" w:ascii="宋体" w:hAnsi="宋体" w:eastAsia="宋体" w:cs="宋体"/>
                <w:b w:val="0"/>
                <w:bCs w:val="0"/>
                <w:color w:val="auto"/>
                <w:sz w:val="21"/>
                <w:szCs w:val="21"/>
                <w:highlight w:val="none"/>
                <w:lang w:eastAsia="zh-Hans"/>
              </w:rPr>
              <w:t>当</w:t>
            </w:r>
            <w:r>
              <w:rPr>
                <w:rFonts w:hint="eastAsia" w:ascii="宋体" w:hAnsi="宋体" w:eastAsia="宋体" w:cs="宋体"/>
                <w:b w:val="0"/>
                <w:bCs w:val="0"/>
                <w:color w:val="auto"/>
                <w:sz w:val="21"/>
                <w:szCs w:val="21"/>
                <w:highlight w:val="none"/>
                <w:lang w:eastAsia="zh-CN"/>
              </w:rPr>
              <w:t>60</w:t>
            </w:r>
            <w:r>
              <w:rPr>
                <w:rFonts w:hint="eastAsia" w:ascii="宋体" w:hAnsi="宋体" w:eastAsia="宋体" w:cs="宋体"/>
                <w:b w:val="0"/>
                <w:bCs w:val="0"/>
                <w:color w:val="auto"/>
                <w:sz w:val="21"/>
                <w:szCs w:val="21"/>
                <w:highlight w:val="none"/>
                <w:lang w:eastAsia="zh-Hans"/>
              </w:rPr>
              <w:t>≤</w:t>
            </w:r>
            <w:r>
              <w:rPr>
                <w:rFonts w:hint="eastAsia" w:ascii="宋体" w:hAnsi="宋体" w:eastAsia="宋体" w:cs="宋体"/>
                <w:b w:val="0"/>
                <w:bCs w:val="0"/>
                <w:color w:val="auto"/>
                <w:sz w:val="21"/>
                <w:szCs w:val="21"/>
                <w:highlight w:val="none"/>
                <w:lang w:eastAsia="zh-CN"/>
              </w:rPr>
              <w:t>考核分数</w:t>
            </w:r>
            <w:r>
              <w:rPr>
                <w:rFonts w:hint="eastAsia" w:ascii="宋体" w:hAnsi="宋体" w:eastAsia="宋体" w:cs="宋体"/>
                <w:b w:val="0"/>
                <w:bCs w:val="0"/>
                <w:color w:val="auto"/>
                <w:sz w:val="21"/>
                <w:szCs w:val="21"/>
                <w:highlight w:val="none"/>
                <w:lang w:eastAsia="zh-Hans"/>
              </w:rPr>
              <w:t>＜</w:t>
            </w:r>
            <w:r>
              <w:rPr>
                <w:rFonts w:hint="eastAsia" w:ascii="宋体" w:hAnsi="宋体" w:eastAsia="宋体" w:cs="宋体"/>
                <w:b w:val="0"/>
                <w:bCs w:val="0"/>
                <w:color w:val="auto"/>
                <w:sz w:val="21"/>
                <w:szCs w:val="21"/>
                <w:highlight w:val="none"/>
                <w:lang w:eastAsia="zh-CN"/>
              </w:rPr>
              <w:t>80分的，</w:t>
            </w:r>
            <w:r>
              <w:rPr>
                <w:rFonts w:hint="eastAsia" w:ascii="宋体" w:hAnsi="宋体" w:eastAsia="宋体" w:cs="宋体"/>
                <w:b w:val="0"/>
                <w:bCs w:val="0"/>
                <w:color w:val="auto"/>
                <w:sz w:val="21"/>
                <w:szCs w:val="21"/>
                <w:highlight w:val="none"/>
                <w:lang w:eastAsia="zh-Hans"/>
              </w:rPr>
              <w:t>视为服务不合格，</w:t>
            </w:r>
            <w:r>
              <w:rPr>
                <w:rFonts w:hint="eastAsia" w:ascii="宋体" w:hAnsi="宋体" w:eastAsia="宋体" w:cs="宋体"/>
                <w:b w:val="0"/>
                <w:bCs w:val="0"/>
                <w:color w:val="auto"/>
                <w:sz w:val="21"/>
                <w:szCs w:val="21"/>
                <w:highlight w:val="none"/>
                <w:lang w:eastAsia="zh-CN"/>
              </w:rPr>
              <w:t>每</w:t>
            </w:r>
            <w:r>
              <w:rPr>
                <w:rFonts w:hint="eastAsia" w:ascii="宋体" w:hAnsi="宋体" w:eastAsia="宋体" w:cs="宋体"/>
                <w:b w:val="0"/>
                <w:bCs w:val="0"/>
                <w:color w:val="auto"/>
                <w:sz w:val="21"/>
                <w:szCs w:val="21"/>
                <w:highlight w:val="none"/>
                <w:lang w:eastAsia="zh-Hans"/>
              </w:rPr>
              <w:t>减少</w:t>
            </w:r>
            <w:r>
              <w:rPr>
                <w:rFonts w:hint="eastAsia" w:ascii="宋体" w:hAnsi="宋体" w:eastAsia="宋体" w:cs="宋体"/>
                <w:b w:val="0"/>
                <w:bCs w:val="0"/>
                <w:color w:val="auto"/>
                <w:sz w:val="21"/>
                <w:szCs w:val="21"/>
                <w:highlight w:val="none"/>
                <w:lang w:eastAsia="zh-CN"/>
              </w:rPr>
              <w:t>1分</w:t>
            </w:r>
            <w:r>
              <w:rPr>
                <w:rFonts w:hint="eastAsia" w:ascii="宋体" w:hAnsi="宋体" w:eastAsia="宋体" w:cs="宋体"/>
                <w:b w:val="0"/>
                <w:bCs w:val="0"/>
                <w:color w:val="auto"/>
                <w:sz w:val="21"/>
                <w:szCs w:val="21"/>
                <w:highlight w:val="none"/>
                <w:lang w:eastAsia="zh-Hans"/>
              </w:rPr>
              <w:t>则</w:t>
            </w:r>
            <w:r>
              <w:rPr>
                <w:rFonts w:hint="eastAsia" w:ascii="宋体" w:hAnsi="宋体" w:eastAsia="宋体" w:cs="宋体"/>
                <w:b w:val="0"/>
                <w:bCs w:val="0"/>
                <w:color w:val="auto"/>
                <w:sz w:val="21"/>
                <w:szCs w:val="21"/>
                <w:highlight w:val="none"/>
                <w:lang w:eastAsia="zh-CN"/>
              </w:rPr>
              <w:t>扣除</w:t>
            </w:r>
            <w:r>
              <w:rPr>
                <w:rFonts w:hint="eastAsia" w:ascii="宋体" w:hAnsi="宋体" w:eastAsia="宋体" w:cs="宋体"/>
                <w:b w:val="0"/>
                <w:bCs w:val="0"/>
                <w:color w:val="auto"/>
                <w:sz w:val="21"/>
                <w:szCs w:val="21"/>
                <w:highlight w:val="none"/>
                <w:lang w:eastAsia="zh-Hans"/>
              </w:rPr>
              <w:t>当季度</w:t>
            </w:r>
            <w:r>
              <w:rPr>
                <w:rFonts w:hint="eastAsia" w:ascii="宋体" w:hAnsi="宋体" w:eastAsia="宋体" w:cs="宋体"/>
                <w:b w:val="0"/>
                <w:bCs w:val="0"/>
                <w:color w:val="auto"/>
                <w:sz w:val="21"/>
                <w:szCs w:val="21"/>
                <w:highlight w:val="none"/>
                <w:lang w:eastAsia="zh-CN"/>
              </w:rPr>
              <w:t>合同金额的1%；</w:t>
            </w:r>
            <w:r>
              <w:rPr>
                <w:rFonts w:hint="eastAsia" w:ascii="宋体" w:hAnsi="宋体" w:eastAsia="宋体" w:cs="宋体"/>
                <w:b w:val="0"/>
                <w:bCs w:val="0"/>
                <w:color w:val="auto"/>
                <w:sz w:val="21"/>
                <w:szCs w:val="21"/>
                <w:highlight w:val="none"/>
                <w:lang w:eastAsia="zh-Hans"/>
              </w:rPr>
              <w:t>采购人按照扣除后</w:t>
            </w:r>
            <w:r>
              <w:rPr>
                <w:rFonts w:hint="eastAsia" w:ascii="宋体" w:hAnsi="宋体" w:eastAsia="宋体" w:cs="宋体"/>
                <w:b w:val="0"/>
                <w:bCs w:val="0"/>
                <w:color w:val="auto"/>
                <w:sz w:val="21"/>
                <w:szCs w:val="21"/>
                <w:highlight w:val="none"/>
                <w:lang w:eastAsia="zh-CN"/>
              </w:rPr>
              <w:t>的费用</w:t>
            </w:r>
            <w:r>
              <w:rPr>
                <w:rFonts w:hint="eastAsia" w:ascii="宋体" w:hAnsi="宋体" w:eastAsia="宋体" w:cs="宋体"/>
                <w:b w:val="0"/>
                <w:bCs w:val="0"/>
                <w:color w:val="auto"/>
                <w:sz w:val="21"/>
                <w:szCs w:val="21"/>
                <w:highlight w:val="none"/>
                <w:lang w:eastAsia="zh-Hans"/>
              </w:rPr>
              <w:t>支付当期余下运维服务款</w:t>
            </w:r>
            <w:r>
              <w:rPr>
                <w:rFonts w:hint="eastAsia" w:ascii="宋体" w:hAnsi="宋体" w:eastAsia="宋体" w:cs="宋体"/>
                <w:b w:val="0"/>
                <w:bCs w:val="0"/>
                <w:color w:val="auto"/>
                <w:sz w:val="21"/>
                <w:szCs w:val="21"/>
                <w:highlight w:val="none"/>
                <w:lang w:eastAsia="zh-CN"/>
              </w:rPr>
              <w:t>项</w:t>
            </w:r>
            <w:r>
              <w:rPr>
                <w:rFonts w:hint="eastAsia" w:ascii="宋体" w:hAnsi="宋体" w:eastAsia="宋体" w:cs="宋体"/>
                <w:b w:val="0"/>
                <w:bCs w:val="0"/>
                <w:color w:val="auto"/>
                <w:sz w:val="21"/>
                <w:szCs w:val="21"/>
                <w:highlight w:val="none"/>
                <w:lang w:eastAsia="zh-Hans"/>
              </w:rPr>
              <w:t>。</w:t>
            </w:r>
          </w:p>
          <w:p w14:paraId="2C383B5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（3）</w:t>
            </w:r>
            <w:r>
              <w:rPr>
                <w:rFonts w:hint="eastAsia" w:ascii="宋体" w:hAnsi="宋体" w:eastAsia="宋体" w:cs="宋体"/>
                <w:b w:val="0"/>
                <w:bCs w:val="0"/>
                <w:color w:val="auto"/>
                <w:sz w:val="21"/>
                <w:szCs w:val="21"/>
                <w:highlight w:val="none"/>
                <w:lang w:eastAsia="zh-Hans"/>
              </w:rPr>
              <w:t>当</w:t>
            </w:r>
            <w:r>
              <w:rPr>
                <w:rFonts w:hint="eastAsia" w:ascii="宋体" w:hAnsi="宋体" w:eastAsia="宋体" w:cs="宋体"/>
                <w:b w:val="0"/>
                <w:bCs w:val="0"/>
                <w:color w:val="auto"/>
                <w:sz w:val="21"/>
                <w:szCs w:val="21"/>
                <w:highlight w:val="none"/>
                <w:lang w:eastAsia="zh-CN"/>
              </w:rPr>
              <w:t>考核分数</w:t>
            </w:r>
            <w:r>
              <w:rPr>
                <w:rFonts w:hint="eastAsia" w:ascii="宋体" w:hAnsi="宋体" w:eastAsia="宋体" w:cs="宋体"/>
                <w:b w:val="0"/>
                <w:bCs w:val="0"/>
                <w:color w:val="auto"/>
                <w:sz w:val="21"/>
                <w:szCs w:val="21"/>
                <w:highlight w:val="none"/>
                <w:lang w:eastAsia="zh-Hans"/>
              </w:rPr>
              <w:t>＜</w:t>
            </w:r>
            <w:r>
              <w:rPr>
                <w:rFonts w:hint="eastAsia" w:ascii="宋体" w:hAnsi="宋体" w:eastAsia="宋体" w:cs="宋体"/>
                <w:b w:val="0"/>
                <w:bCs w:val="0"/>
                <w:color w:val="auto"/>
                <w:sz w:val="21"/>
                <w:szCs w:val="21"/>
                <w:highlight w:val="none"/>
                <w:lang w:eastAsia="zh-CN"/>
              </w:rPr>
              <w:t>60分的，视为</w:t>
            </w:r>
            <w:r>
              <w:rPr>
                <w:rFonts w:hint="eastAsia" w:ascii="宋体" w:hAnsi="宋体" w:eastAsia="宋体" w:cs="宋体"/>
                <w:b w:val="0"/>
                <w:bCs w:val="0"/>
                <w:color w:val="auto"/>
                <w:sz w:val="21"/>
                <w:szCs w:val="21"/>
                <w:highlight w:val="none"/>
                <w:lang w:eastAsia="zh-Hans"/>
              </w:rPr>
              <w:t>服务</w:t>
            </w:r>
            <w:r>
              <w:rPr>
                <w:rFonts w:hint="eastAsia" w:ascii="宋体" w:hAnsi="宋体" w:eastAsia="宋体" w:cs="宋体"/>
                <w:b w:val="0"/>
                <w:bCs w:val="0"/>
                <w:color w:val="auto"/>
                <w:sz w:val="21"/>
                <w:szCs w:val="21"/>
                <w:highlight w:val="none"/>
                <w:lang w:eastAsia="zh-CN"/>
              </w:rPr>
              <w:t>不合格，采购人</w:t>
            </w:r>
            <w:r>
              <w:rPr>
                <w:rFonts w:hint="eastAsia" w:ascii="宋体" w:hAnsi="宋体" w:eastAsia="宋体" w:cs="宋体"/>
                <w:b w:val="0"/>
                <w:bCs w:val="0"/>
                <w:color w:val="auto"/>
                <w:sz w:val="21"/>
                <w:szCs w:val="21"/>
                <w:highlight w:val="none"/>
                <w:lang w:eastAsia="zh-Hans"/>
              </w:rPr>
              <w:t>有权</w:t>
            </w:r>
            <w:r>
              <w:rPr>
                <w:rFonts w:hint="eastAsia" w:ascii="宋体" w:hAnsi="宋体" w:eastAsia="宋体" w:cs="宋体"/>
                <w:b w:val="0"/>
                <w:bCs w:val="0"/>
                <w:color w:val="auto"/>
                <w:sz w:val="21"/>
                <w:szCs w:val="21"/>
                <w:highlight w:val="none"/>
                <w:lang w:eastAsia="zh-CN"/>
              </w:rPr>
              <w:t>拒付</w:t>
            </w:r>
            <w:r>
              <w:rPr>
                <w:rFonts w:hint="eastAsia" w:ascii="宋体" w:hAnsi="宋体" w:eastAsia="宋体" w:cs="宋体"/>
                <w:b w:val="0"/>
                <w:bCs w:val="0"/>
                <w:color w:val="auto"/>
                <w:sz w:val="21"/>
                <w:szCs w:val="21"/>
                <w:highlight w:val="none"/>
                <w:lang w:eastAsia="zh-Hans"/>
              </w:rPr>
              <w:t>当期运维服务款</w:t>
            </w:r>
            <w:r>
              <w:rPr>
                <w:rFonts w:hint="eastAsia" w:ascii="宋体" w:hAnsi="宋体" w:eastAsia="宋体" w:cs="宋体"/>
                <w:b w:val="0"/>
                <w:bCs w:val="0"/>
                <w:color w:val="auto"/>
                <w:sz w:val="21"/>
                <w:szCs w:val="21"/>
                <w:highlight w:val="none"/>
                <w:lang w:eastAsia="zh-CN"/>
              </w:rPr>
              <w:t>项；</w:t>
            </w:r>
          </w:p>
          <w:p w14:paraId="2806E61C">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val="0"/>
                <w:color w:val="auto"/>
                <w:sz w:val="21"/>
                <w:szCs w:val="21"/>
                <w:highlight w:val="none"/>
                <w:lang w:eastAsia="zh-Hans"/>
              </w:rPr>
            </w:pPr>
            <w:r>
              <w:rPr>
                <w:rFonts w:hint="eastAsia" w:ascii="宋体" w:hAnsi="宋体" w:eastAsia="宋体" w:cs="宋体"/>
                <w:b w:val="0"/>
                <w:bCs w:val="0"/>
                <w:color w:val="auto"/>
                <w:sz w:val="21"/>
                <w:szCs w:val="21"/>
                <w:highlight w:val="none"/>
                <w:lang w:eastAsia="zh-CN"/>
              </w:rPr>
              <w:t>（4）</w:t>
            </w:r>
            <w:r>
              <w:rPr>
                <w:rFonts w:hint="eastAsia" w:ascii="宋体" w:hAnsi="宋体" w:eastAsia="宋体" w:cs="宋体"/>
                <w:b w:val="0"/>
                <w:bCs w:val="0"/>
                <w:color w:val="auto"/>
                <w:sz w:val="21"/>
                <w:szCs w:val="21"/>
                <w:highlight w:val="none"/>
                <w:lang w:eastAsia="zh-Hans"/>
              </w:rPr>
              <w:t>当</w:t>
            </w:r>
            <w:r>
              <w:rPr>
                <w:rFonts w:hint="eastAsia" w:ascii="宋体" w:hAnsi="宋体" w:eastAsia="宋体" w:cs="宋体"/>
                <w:b w:val="0"/>
                <w:bCs w:val="0"/>
                <w:color w:val="auto"/>
                <w:sz w:val="21"/>
                <w:szCs w:val="21"/>
                <w:highlight w:val="none"/>
                <w:lang w:eastAsia="zh-CN"/>
              </w:rPr>
              <w:t>连续</w:t>
            </w:r>
            <w:r>
              <w:rPr>
                <w:rFonts w:hint="eastAsia" w:ascii="宋体" w:hAnsi="宋体" w:eastAsia="宋体" w:cs="宋体"/>
                <w:b w:val="0"/>
                <w:bCs w:val="0"/>
                <w:color w:val="auto"/>
                <w:sz w:val="21"/>
                <w:szCs w:val="21"/>
                <w:highlight w:val="none"/>
                <w:lang w:eastAsia="zh-Hans"/>
              </w:rPr>
              <w:t>两期</w:t>
            </w:r>
            <w:r>
              <w:rPr>
                <w:rFonts w:hint="eastAsia" w:ascii="宋体" w:hAnsi="宋体" w:eastAsia="宋体" w:cs="宋体"/>
                <w:b w:val="0"/>
                <w:bCs w:val="0"/>
                <w:color w:val="auto"/>
                <w:sz w:val="21"/>
                <w:szCs w:val="21"/>
                <w:highlight w:val="none"/>
                <w:lang w:eastAsia="zh-CN"/>
              </w:rPr>
              <w:t>考核分数</w:t>
            </w:r>
            <w:r>
              <w:rPr>
                <w:rFonts w:hint="eastAsia" w:ascii="宋体" w:hAnsi="宋体" w:eastAsia="宋体" w:cs="宋体"/>
                <w:b w:val="0"/>
                <w:bCs w:val="0"/>
                <w:color w:val="auto"/>
                <w:sz w:val="21"/>
                <w:szCs w:val="21"/>
                <w:highlight w:val="none"/>
                <w:lang w:eastAsia="zh-Hans"/>
              </w:rPr>
              <w:t>均＜</w:t>
            </w:r>
            <w:r>
              <w:rPr>
                <w:rFonts w:hint="eastAsia" w:ascii="宋体" w:hAnsi="宋体" w:eastAsia="宋体" w:cs="宋体"/>
                <w:b w:val="0"/>
                <w:bCs w:val="0"/>
                <w:color w:val="auto"/>
                <w:sz w:val="21"/>
                <w:szCs w:val="21"/>
                <w:highlight w:val="none"/>
                <w:lang w:eastAsia="zh-CN"/>
              </w:rPr>
              <w:t>60分的，视为</w:t>
            </w:r>
            <w:r>
              <w:rPr>
                <w:rFonts w:hint="eastAsia" w:ascii="宋体" w:hAnsi="宋体" w:eastAsia="宋体" w:cs="宋体"/>
                <w:b w:val="0"/>
                <w:bCs w:val="0"/>
                <w:color w:val="auto"/>
                <w:sz w:val="21"/>
                <w:szCs w:val="21"/>
                <w:highlight w:val="none"/>
                <w:lang w:eastAsia="zh-Hans"/>
              </w:rPr>
              <w:t>不具备履约能力，</w:t>
            </w:r>
            <w:r>
              <w:rPr>
                <w:rFonts w:hint="eastAsia" w:ascii="宋体" w:hAnsi="宋体" w:eastAsia="宋体" w:cs="宋体"/>
                <w:b w:val="0"/>
                <w:bCs w:val="0"/>
                <w:color w:val="auto"/>
                <w:sz w:val="21"/>
                <w:szCs w:val="21"/>
                <w:highlight w:val="none"/>
                <w:lang w:eastAsia="zh-CN"/>
              </w:rPr>
              <w:t>采购人</w:t>
            </w:r>
            <w:r>
              <w:rPr>
                <w:rFonts w:hint="eastAsia" w:ascii="宋体" w:hAnsi="宋体" w:eastAsia="宋体" w:cs="宋体"/>
                <w:b w:val="0"/>
                <w:bCs w:val="0"/>
                <w:color w:val="auto"/>
                <w:sz w:val="21"/>
                <w:szCs w:val="21"/>
                <w:highlight w:val="none"/>
                <w:lang w:eastAsia="zh-Hans"/>
              </w:rPr>
              <w:t>有权</w:t>
            </w:r>
            <w:r>
              <w:rPr>
                <w:rFonts w:hint="eastAsia" w:ascii="宋体" w:hAnsi="宋体" w:eastAsia="宋体" w:cs="宋体"/>
                <w:b w:val="0"/>
                <w:bCs w:val="0"/>
                <w:color w:val="auto"/>
                <w:sz w:val="21"/>
                <w:szCs w:val="21"/>
                <w:highlight w:val="none"/>
                <w:lang w:eastAsia="zh-CN"/>
              </w:rPr>
              <w:t>终止合同，</w:t>
            </w:r>
            <w:r>
              <w:rPr>
                <w:rFonts w:hint="eastAsia" w:ascii="宋体" w:hAnsi="宋体" w:eastAsia="宋体" w:cs="宋体"/>
                <w:b w:val="0"/>
                <w:bCs w:val="0"/>
                <w:color w:val="auto"/>
                <w:sz w:val="21"/>
                <w:szCs w:val="21"/>
                <w:highlight w:val="none"/>
                <w:lang w:eastAsia="zh-Hans"/>
              </w:rPr>
              <w:t>所造成的损失由</w:t>
            </w:r>
            <w:r>
              <w:rPr>
                <w:rFonts w:hint="eastAsia" w:ascii="宋体" w:hAnsi="宋体" w:eastAsia="宋体" w:cs="宋体"/>
                <w:b w:val="0"/>
                <w:bCs w:val="0"/>
                <w:color w:val="auto"/>
                <w:sz w:val="21"/>
                <w:szCs w:val="21"/>
                <w:highlight w:val="none"/>
                <w:lang w:eastAsia="zh-CN"/>
              </w:rPr>
              <w:t>成交供应商</w:t>
            </w:r>
            <w:r>
              <w:rPr>
                <w:rFonts w:hint="eastAsia" w:ascii="宋体" w:hAnsi="宋体" w:eastAsia="宋体" w:cs="宋体"/>
                <w:b w:val="0"/>
                <w:bCs w:val="0"/>
                <w:color w:val="auto"/>
                <w:sz w:val="21"/>
                <w:szCs w:val="21"/>
                <w:highlight w:val="none"/>
                <w:lang w:eastAsia="zh-Hans"/>
              </w:rPr>
              <w:t>承担。</w:t>
            </w:r>
          </w:p>
          <w:p w14:paraId="04E320F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3</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eastAsia="zh-Hans"/>
              </w:rPr>
              <w:t>安全事件考核</w:t>
            </w:r>
            <w:r>
              <w:rPr>
                <w:rFonts w:hint="eastAsia" w:ascii="宋体" w:hAnsi="宋体" w:eastAsia="宋体" w:cs="宋体"/>
                <w:b w:val="0"/>
                <w:bCs w:val="0"/>
                <w:color w:val="auto"/>
                <w:sz w:val="21"/>
                <w:szCs w:val="21"/>
                <w:highlight w:val="none"/>
                <w:lang w:eastAsia="zh-CN"/>
              </w:rPr>
              <w:t>要求</w:t>
            </w:r>
          </w:p>
          <w:p w14:paraId="4E52ADD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根据《信息安全技术网络安全事件分类分级指南》（GB/T20986-2023）要求，按照事件影响对象的重要程度和业务损失的严重程度，如发生特别重大事件（一级）、较大事件（二级）、较大事件（三级）事故时，经研判，采购人有权终止合同，成交供应商须赔偿相关损失。如发生一般事件（四级）事故时，经研判，如发生经济损失的，成交供应商须赔偿相关损失。</w:t>
            </w:r>
          </w:p>
          <w:p w14:paraId="5007A4C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除标准外，运维服务考核的安全事件</w:t>
            </w:r>
            <w:r>
              <w:rPr>
                <w:rFonts w:hint="eastAsia" w:ascii="宋体" w:hAnsi="宋体" w:eastAsia="宋体" w:cs="宋体"/>
                <w:b w:val="0"/>
                <w:bCs w:val="0"/>
                <w:color w:val="auto"/>
                <w:sz w:val="21"/>
                <w:szCs w:val="21"/>
                <w:highlight w:val="none"/>
                <w:lang w:eastAsia="zh-Hans"/>
              </w:rPr>
              <w:t>补充</w:t>
            </w:r>
            <w:r>
              <w:rPr>
                <w:rFonts w:hint="eastAsia" w:ascii="宋体" w:hAnsi="宋体" w:eastAsia="宋体" w:cs="宋体"/>
                <w:b w:val="0"/>
                <w:bCs w:val="0"/>
                <w:color w:val="auto"/>
                <w:sz w:val="21"/>
                <w:szCs w:val="21"/>
                <w:highlight w:val="none"/>
                <w:lang w:eastAsia="zh-CN"/>
              </w:rPr>
              <w:t>说明如下：</w:t>
            </w:r>
          </w:p>
          <w:p w14:paraId="4F2F7FF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（1）设备事件：</w:t>
            </w:r>
          </w:p>
          <w:p w14:paraId="7E03477B">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①核心设备硬件故障导致系统无法正常运行，修复时间超过24小时的，扣20分。</w:t>
            </w:r>
          </w:p>
          <w:p w14:paraId="32565E7A">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②供电系统故障引发关键设备宕机，修复时间超过24小时的，扣20分。</w:t>
            </w:r>
          </w:p>
          <w:p w14:paraId="1D68B3B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③空调系统失效导致设备过热，修复时间超过24小时的，扣20分。</w:t>
            </w:r>
          </w:p>
          <w:p w14:paraId="2418EF2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（2）数据事件：</w:t>
            </w:r>
          </w:p>
          <w:p w14:paraId="2CB07BA6">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①人员误操作导致核心业务数据库误删除或格式化，修复时间超过24小时的，扣20分。</w:t>
            </w:r>
          </w:p>
          <w:p w14:paraId="56C71FC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②人员未能及时采取防御措施，导致数据库遭受攻击，核心业务数据被加密，修复时间超过24小时的，扣20分。</w:t>
            </w:r>
          </w:p>
          <w:p w14:paraId="7B522C26">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③数据库备份过程中人员操作失误，导致备份数据损坏，修复时间超过24小时的，扣20分。</w:t>
            </w:r>
          </w:p>
          <w:p w14:paraId="09654236">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（3）网络事件：</w:t>
            </w:r>
          </w:p>
          <w:p w14:paraId="56D9F4EF">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①人员配置网络设备错误，造成大范围服务中断，修复时间超过24小时的，扣20分。</w:t>
            </w:r>
          </w:p>
          <w:p w14:paraId="1C829217">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②外部网络供应商遭受分布式拒绝服务（DDOS）攻击，由于人员未能及时采取应对措施导致网络瘫痪，扣20分。</w:t>
            </w:r>
          </w:p>
          <w:p w14:paraId="639C0D9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 w:val="21"/>
                <w:szCs w:val="21"/>
                <w:highlight w:val="none"/>
                <w:lang w:eastAsia="zh-CN"/>
              </w:rPr>
              <w:t>③对于安全事件未尽事宜，可在</w:t>
            </w:r>
            <w:r>
              <w:rPr>
                <w:rFonts w:hint="eastAsia" w:ascii="宋体" w:hAnsi="宋体" w:eastAsia="宋体" w:cs="宋体"/>
                <w:b w:val="0"/>
                <w:bCs w:val="0"/>
                <w:color w:val="auto"/>
                <w:sz w:val="21"/>
                <w:szCs w:val="21"/>
                <w:highlight w:val="none"/>
                <w:lang w:eastAsia="zh-Hans"/>
              </w:rPr>
              <w:t>双方</w:t>
            </w:r>
            <w:r>
              <w:rPr>
                <w:rFonts w:hint="eastAsia" w:ascii="宋体" w:hAnsi="宋体" w:eastAsia="宋体" w:cs="宋体"/>
                <w:b w:val="0"/>
                <w:bCs w:val="0"/>
                <w:color w:val="auto"/>
                <w:sz w:val="21"/>
                <w:szCs w:val="21"/>
                <w:highlight w:val="none"/>
                <w:lang w:eastAsia="zh-CN"/>
              </w:rPr>
              <w:t>签订合同之前进一步明确至合同条款中。</w:t>
            </w:r>
          </w:p>
        </w:tc>
      </w:tr>
      <w:tr w14:paraId="165497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75" w:type="dxa"/>
            <w:gridSpan w:val="2"/>
            <w:tcBorders>
              <w:top w:val="single" w:color="auto" w:sz="4" w:space="0"/>
              <w:left w:val="single" w:color="auto" w:sz="4" w:space="0"/>
              <w:bottom w:val="single" w:color="auto" w:sz="4" w:space="0"/>
              <w:right w:val="single" w:color="auto" w:sz="4" w:space="0"/>
            </w:tcBorders>
            <w:noWrap w:val="0"/>
            <w:vAlign w:val="center"/>
          </w:tcPr>
          <w:p w14:paraId="7337187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sz w:val="21"/>
                <w:szCs w:val="21"/>
                <w:highlight w:val="none"/>
                <w:lang w:eastAsia="zh-CN"/>
              </w:rPr>
              <w:t>五、</w:t>
            </w:r>
            <w:r>
              <w:rPr>
                <w:rFonts w:hint="eastAsia" w:ascii="宋体" w:hAnsi="宋体" w:eastAsia="宋体" w:cs="宋体"/>
                <w:b w:val="0"/>
                <w:bCs w:val="0"/>
                <w:color w:val="auto"/>
                <w:sz w:val="21"/>
                <w:szCs w:val="21"/>
                <w:highlight w:val="none"/>
              </w:rPr>
              <w:t>付款方式及期限</w:t>
            </w:r>
          </w:p>
        </w:tc>
        <w:tc>
          <w:tcPr>
            <w:tcW w:w="8219" w:type="dxa"/>
            <w:gridSpan w:val="3"/>
            <w:tcBorders>
              <w:top w:val="single" w:color="auto" w:sz="4" w:space="0"/>
              <w:left w:val="single" w:color="auto" w:sz="4" w:space="0"/>
              <w:bottom w:val="single" w:color="auto" w:sz="4" w:space="0"/>
              <w:right w:val="single" w:color="auto" w:sz="4" w:space="0"/>
            </w:tcBorders>
            <w:noWrap w:val="0"/>
            <w:vAlign w:val="center"/>
          </w:tcPr>
          <w:p w14:paraId="7BDAD648">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1</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kern w:val="2"/>
                <w:sz w:val="21"/>
                <w:szCs w:val="21"/>
                <w:highlight w:val="none"/>
                <w:lang w:val="en-US" w:eastAsia="zh-CN" w:bidi="ar-SA"/>
              </w:rPr>
              <w:t>服务周期内分为8个季度进行支付，每季度支付金额为服务合同款的12.5%。</w:t>
            </w:r>
          </w:p>
          <w:p w14:paraId="349100C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 w:val="21"/>
                <w:szCs w:val="21"/>
                <w:highlight w:val="none"/>
                <w:lang w:eastAsia="zh-CN"/>
              </w:rPr>
              <w:t>2</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eastAsia="zh-Hans"/>
              </w:rPr>
              <w:t>支付条件：采购人按季度</w:t>
            </w:r>
            <w:r>
              <w:rPr>
                <w:rFonts w:hint="eastAsia" w:ascii="宋体" w:hAnsi="宋体" w:eastAsia="宋体" w:cs="宋体"/>
                <w:b w:val="0"/>
                <w:bCs w:val="0"/>
                <w:color w:val="auto"/>
                <w:sz w:val="21"/>
                <w:szCs w:val="21"/>
                <w:highlight w:val="none"/>
                <w:lang w:eastAsia="zh-CN"/>
              </w:rPr>
              <w:t>对成交供应商</w:t>
            </w:r>
            <w:r>
              <w:rPr>
                <w:rFonts w:hint="eastAsia" w:ascii="宋体" w:hAnsi="宋体" w:eastAsia="宋体" w:cs="宋体"/>
                <w:b w:val="0"/>
                <w:bCs w:val="0"/>
                <w:color w:val="auto"/>
                <w:sz w:val="21"/>
                <w:szCs w:val="21"/>
                <w:highlight w:val="none"/>
                <w:lang w:eastAsia="zh-Hans"/>
              </w:rPr>
              <w:t>进行运维服务考核</w:t>
            </w:r>
            <w:r>
              <w:rPr>
                <w:rFonts w:hint="eastAsia" w:ascii="宋体" w:hAnsi="宋体" w:eastAsia="宋体" w:cs="宋体"/>
                <w:b w:val="0"/>
                <w:bCs w:val="0"/>
                <w:color w:val="auto"/>
                <w:sz w:val="21"/>
                <w:szCs w:val="21"/>
                <w:highlight w:val="none"/>
                <w:lang w:eastAsia="zh-CN"/>
              </w:rPr>
              <w:t>（运维服务考核表详见附件1，</w:t>
            </w:r>
            <w:r>
              <w:rPr>
                <w:rFonts w:hint="eastAsia" w:ascii="宋体" w:hAnsi="宋体" w:eastAsia="宋体" w:cs="宋体"/>
                <w:b w:val="0"/>
                <w:bCs w:val="0"/>
                <w:color w:val="auto"/>
                <w:sz w:val="21"/>
                <w:szCs w:val="21"/>
                <w:highlight w:val="none"/>
                <w:lang w:eastAsia="zh-Hans"/>
              </w:rPr>
              <w:t>如</w:t>
            </w:r>
            <w:r>
              <w:rPr>
                <w:rFonts w:hint="eastAsia" w:ascii="宋体" w:hAnsi="宋体" w:eastAsia="宋体" w:cs="宋体"/>
                <w:b w:val="0"/>
                <w:bCs w:val="0"/>
                <w:color w:val="auto"/>
                <w:sz w:val="21"/>
                <w:szCs w:val="21"/>
                <w:highlight w:val="none"/>
                <w:lang w:eastAsia="zh-CN"/>
              </w:rPr>
              <w:t>合同期内采购人调整考核</w:t>
            </w:r>
            <w:r>
              <w:rPr>
                <w:rFonts w:hint="eastAsia" w:ascii="宋体" w:hAnsi="宋体" w:eastAsia="宋体" w:cs="宋体"/>
                <w:b w:val="0"/>
                <w:bCs w:val="0"/>
                <w:color w:val="auto"/>
                <w:sz w:val="21"/>
                <w:szCs w:val="21"/>
                <w:highlight w:val="none"/>
                <w:lang w:eastAsia="zh-Hans"/>
              </w:rPr>
              <w:t>办法</w:t>
            </w:r>
            <w:r>
              <w:rPr>
                <w:rFonts w:hint="eastAsia" w:ascii="宋体" w:hAnsi="宋体" w:eastAsia="宋体" w:cs="宋体"/>
                <w:b w:val="0"/>
                <w:bCs w:val="0"/>
                <w:color w:val="auto"/>
                <w:sz w:val="21"/>
                <w:szCs w:val="21"/>
                <w:highlight w:val="none"/>
                <w:lang w:eastAsia="zh-CN"/>
              </w:rPr>
              <w:t>，则</w:t>
            </w:r>
            <w:r>
              <w:rPr>
                <w:rFonts w:hint="eastAsia" w:ascii="宋体" w:hAnsi="宋体" w:eastAsia="宋体" w:cs="宋体"/>
                <w:b w:val="0"/>
                <w:bCs w:val="0"/>
                <w:color w:val="auto"/>
                <w:sz w:val="21"/>
                <w:szCs w:val="21"/>
                <w:highlight w:val="none"/>
                <w:lang w:eastAsia="zh-Hans"/>
              </w:rPr>
              <w:t>下一季度按新修订的运维服务</w:t>
            </w:r>
            <w:r>
              <w:rPr>
                <w:rFonts w:hint="eastAsia" w:ascii="宋体" w:hAnsi="宋体" w:eastAsia="宋体" w:cs="宋体"/>
                <w:b w:val="0"/>
                <w:bCs w:val="0"/>
                <w:color w:val="auto"/>
                <w:sz w:val="21"/>
                <w:szCs w:val="21"/>
                <w:highlight w:val="none"/>
                <w:lang w:eastAsia="zh-CN"/>
              </w:rPr>
              <w:t>考核办法</w:t>
            </w:r>
            <w:r>
              <w:rPr>
                <w:rFonts w:hint="eastAsia" w:ascii="宋体" w:hAnsi="宋体" w:eastAsia="宋体" w:cs="宋体"/>
                <w:b w:val="0"/>
                <w:bCs w:val="0"/>
                <w:color w:val="auto"/>
                <w:sz w:val="21"/>
                <w:szCs w:val="21"/>
                <w:highlight w:val="none"/>
                <w:lang w:eastAsia="zh-Hans"/>
              </w:rPr>
              <w:t>进行执行</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eastAsia="zh-Hans"/>
              </w:rPr>
              <w:t>。</w:t>
            </w:r>
            <w:r>
              <w:rPr>
                <w:rFonts w:hint="eastAsia" w:ascii="宋体" w:hAnsi="宋体" w:eastAsia="宋体" w:cs="宋体"/>
                <w:b w:val="0"/>
                <w:bCs w:val="0"/>
                <w:color w:val="auto"/>
                <w:sz w:val="21"/>
                <w:szCs w:val="21"/>
                <w:highlight w:val="none"/>
                <w:lang w:eastAsia="zh-CN"/>
              </w:rPr>
              <w:t>考核合格后，由成交供应商开具符合国家规定以及符合采购人财务管理要求的相应发票给采购人，采购人在收到发票后10个工作日内向成交供应商支付当季运维服务费。</w:t>
            </w:r>
          </w:p>
        </w:tc>
      </w:tr>
      <w:tr w14:paraId="7982D2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75" w:type="dxa"/>
            <w:gridSpan w:val="2"/>
            <w:tcBorders>
              <w:top w:val="single" w:color="auto" w:sz="4" w:space="0"/>
              <w:left w:val="single" w:color="auto" w:sz="4" w:space="0"/>
              <w:bottom w:val="single" w:color="auto" w:sz="4" w:space="0"/>
              <w:right w:val="single" w:color="auto" w:sz="4" w:space="0"/>
            </w:tcBorders>
            <w:noWrap w:val="0"/>
            <w:vAlign w:val="center"/>
          </w:tcPr>
          <w:p w14:paraId="6893DD7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sz w:val="21"/>
                <w:szCs w:val="21"/>
                <w:highlight w:val="none"/>
                <w:lang w:eastAsia="zh-CN"/>
              </w:rPr>
              <w:t>六、</w:t>
            </w:r>
            <w:r>
              <w:rPr>
                <w:rFonts w:hint="eastAsia" w:ascii="宋体" w:hAnsi="宋体" w:eastAsia="宋体" w:cs="宋体"/>
                <w:b w:val="0"/>
                <w:bCs w:val="0"/>
                <w:color w:val="auto"/>
                <w:sz w:val="21"/>
                <w:szCs w:val="21"/>
                <w:highlight w:val="none"/>
              </w:rPr>
              <w:t>合同签订期</w:t>
            </w:r>
          </w:p>
        </w:tc>
        <w:tc>
          <w:tcPr>
            <w:tcW w:w="8219" w:type="dxa"/>
            <w:gridSpan w:val="3"/>
            <w:tcBorders>
              <w:top w:val="single" w:color="auto" w:sz="4" w:space="0"/>
              <w:left w:val="single" w:color="auto" w:sz="4" w:space="0"/>
              <w:bottom w:val="single" w:color="auto" w:sz="4" w:space="0"/>
              <w:right w:val="single" w:color="auto" w:sz="4" w:space="0"/>
            </w:tcBorders>
            <w:noWrap w:val="0"/>
            <w:vAlign w:val="center"/>
          </w:tcPr>
          <w:p w14:paraId="07D17B0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 w:val="21"/>
                <w:szCs w:val="21"/>
                <w:highlight w:val="none"/>
                <w:lang w:eastAsia="zh-CN"/>
              </w:rPr>
              <w:t>自成交通知书发出之日起25个日历日内。</w:t>
            </w:r>
          </w:p>
        </w:tc>
      </w:tr>
      <w:tr w14:paraId="706EF9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75" w:type="dxa"/>
            <w:gridSpan w:val="2"/>
            <w:tcBorders>
              <w:top w:val="single" w:color="auto" w:sz="4" w:space="0"/>
              <w:left w:val="single" w:color="auto" w:sz="4" w:space="0"/>
              <w:bottom w:val="single" w:color="auto" w:sz="4" w:space="0"/>
              <w:right w:val="single" w:color="auto" w:sz="4" w:space="0"/>
            </w:tcBorders>
            <w:noWrap w:val="0"/>
            <w:vAlign w:val="center"/>
          </w:tcPr>
          <w:p w14:paraId="2375C7F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sz w:val="21"/>
                <w:szCs w:val="21"/>
                <w:highlight w:val="none"/>
                <w:lang w:eastAsia="zh-CN"/>
              </w:rPr>
              <w:t>七、</w:t>
            </w:r>
            <w:r>
              <w:rPr>
                <w:rFonts w:hint="eastAsia" w:ascii="宋体" w:hAnsi="宋体" w:eastAsia="宋体" w:cs="宋体"/>
                <w:b w:val="0"/>
                <w:bCs w:val="0"/>
                <w:color w:val="auto"/>
                <w:sz w:val="21"/>
                <w:szCs w:val="21"/>
                <w:highlight w:val="none"/>
              </w:rPr>
              <w:t>其他要求</w:t>
            </w:r>
          </w:p>
        </w:tc>
        <w:tc>
          <w:tcPr>
            <w:tcW w:w="8219" w:type="dxa"/>
            <w:gridSpan w:val="3"/>
            <w:tcBorders>
              <w:top w:val="single" w:color="auto" w:sz="4" w:space="0"/>
              <w:left w:val="single" w:color="auto" w:sz="4" w:space="0"/>
              <w:bottom w:val="single" w:color="auto" w:sz="4" w:space="0"/>
              <w:right w:val="single" w:color="auto" w:sz="4" w:space="0"/>
            </w:tcBorders>
            <w:noWrap w:val="0"/>
            <w:vAlign w:val="center"/>
          </w:tcPr>
          <w:p w14:paraId="248A6B34">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kern w:val="2"/>
                <w:sz w:val="21"/>
                <w:szCs w:val="21"/>
                <w:highlight w:val="none"/>
                <w:lang w:val="en-US" w:eastAsia="zh-CN" w:bidi="ar-SA"/>
              </w:rPr>
              <w:t>1.</w:t>
            </w:r>
            <w:r>
              <w:rPr>
                <w:rFonts w:hint="eastAsia" w:ascii="宋体" w:hAnsi="宋体" w:eastAsia="宋体" w:cs="宋体"/>
                <w:b w:val="0"/>
                <w:bCs w:val="0"/>
                <w:color w:val="auto"/>
                <w:sz w:val="21"/>
                <w:szCs w:val="21"/>
                <w:highlight w:val="none"/>
                <w:lang w:eastAsia="zh-CN"/>
              </w:rPr>
              <w:t>成交供应商及其相关人员必须严格遵守保密规定，所有涉及敏感信息的人员必须签订保密协议和安全责任书，未经采购人同意，不得向外泄露任何相关资料、文档和数据。</w:t>
            </w:r>
            <w:r>
              <w:rPr>
                <w:rFonts w:hint="eastAsia" w:ascii="宋体" w:hAnsi="宋体" w:eastAsia="宋体" w:cs="宋体"/>
                <w:b w:val="0"/>
                <w:bCs w:val="0"/>
                <w:color w:val="auto"/>
                <w:sz w:val="21"/>
                <w:szCs w:val="21"/>
                <w:highlight w:val="none"/>
                <w:lang w:eastAsia="zh-Hans"/>
              </w:rPr>
              <w:t>如发生泄露事件，</w:t>
            </w:r>
            <w:r>
              <w:rPr>
                <w:rFonts w:hint="eastAsia" w:ascii="宋体" w:hAnsi="宋体" w:eastAsia="宋体" w:cs="宋体"/>
                <w:b w:val="0"/>
                <w:bCs w:val="0"/>
                <w:color w:val="auto"/>
                <w:sz w:val="21"/>
                <w:szCs w:val="21"/>
                <w:highlight w:val="none"/>
                <w:lang w:eastAsia="zh-CN"/>
              </w:rPr>
              <w:t>采购人</w:t>
            </w:r>
            <w:r>
              <w:rPr>
                <w:rFonts w:hint="eastAsia" w:ascii="宋体" w:hAnsi="宋体" w:eastAsia="宋体" w:cs="宋体"/>
                <w:b w:val="0"/>
                <w:bCs w:val="0"/>
                <w:color w:val="auto"/>
                <w:sz w:val="21"/>
                <w:szCs w:val="21"/>
                <w:highlight w:val="none"/>
                <w:lang w:eastAsia="zh-Hans"/>
              </w:rPr>
              <w:t>有权</w:t>
            </w:r>
            <w:r>
              <w:rPr>
                <w:rFonts w:hint="eastAsia" w:ascii="宋体" w:hAnsi="宋体" w:eastAsia="宋体" w:cs="宋体"/>
                <w:b w:val="0"/>
                <w:bCs w:val="0"/>
                <w:color w:val="auto"/>
                <w:sz w:val="21"/>
                <w:szCs w:val="21"/>
                <w:highlight w:val="none"/>
                <w:lang w:eastAsia="zh-CN"/>
              </w:rPr>
              <w:t>终止合同，成交供应商</w:t>
            </w:r>
            <w:r>
              <w:rPr>
                <w:rFonts w:hint="eastAsia" w:ascii="宋体" w:hAnsi="宋体" w:eastAsia="宋体" w:cs="宋体"/>
                <w:b w:val="0"/>
                <w:bCs w:val="0"/>
                <w:color w:val="auto"/>
                <w:sz w:val="21"/>
                <w:szCs w:val="21"/>
                <w:highlight w:val="none"/>
                <w:lang w:eastAsia="zh-Hans"/>
              </w:rPr>
              <w:t>必须</w:t>
            </w:r>
            <w:r>
              <w:rPr>
                <w:rFonts w:hint="eastAsia" w:ascii="宋体" w:hAnsi="宋体" w:eastAsia="宋体" w:cs="宋体"/>
                <w:b w:val="0"/>
                <w:bCs w:val="0"/>
                <w:color w:val="auto"/>
                <w:sz w:val="21"/>
                <w:szCs w:val="21"/>
                <w:highlight w:val="none"/>
                <w:lang w:eastAsia="zh-CN"/>
              </w:rPr>
              <w:t>承担全部责任</w:t>
            </w:r>
            <w:r>
              <w:rPr>
                <w:rFonts w:hint="eastAsia" w:ascii="宋体" w:hAnsi="宋体" w:eastAsia="宋体" w:cs="宋体"/>
                <w:b w:val="0"/>
                <w:bCs w:val="0"/>
                <w:color w:val="auto"/>
                <w:sz w:val="21"/>
                <w:szCs w:val="21"/>
                <w:highlight w:val="none"/>
                <w:lang w:eastAsia="zh-Hans"/>
              </w:rPr>
              <w:t>，并协助消除因该事件所带来的一切影响</w:t>
            </w:r>
            <w:r>
              <w:rPr>
                <w:rFonts w:hint="eastAsia" w:ascii="宋体" w:hAnsi="宋体" w:eastAsia="宋体" w:cs="宋体"/>
                <w:b w:val="0"/>
                <w:bCs w:val="0"/>
                <w:color w:val="auto"/>
                <w:sz w:val="21"/>
                <w:szCs w:val="21"/>
                <w:highlight w:val="none"/>
                <w:lang w:eastAsia="zh-CN"/>
              </w:rPr>
              <w:t>。</w:t>
            </w:r>
          </w:p>
          <w:p w14:paraId="241E45D0">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kern w:val="2"/>
                <w:sz w:val="21"/>
                <w:szCs w:val="21"/>
                <w:highlight w:val="none"/>
                <w:lang w:val="en-US" w:eastAsia="zh-CN" w:bidi="ar-SA"/>
              </w:rPr>
              <w:t>2.</w:t>
            </w:r>
            <w:r>
              <w:rPr>
                <w:rFonts w:hint="eastAsia" w:ascii="宋体" w:hAnsi="宋体" w:eastAsia="宋体" w:cs="宋体"/>
                <w:b w:val="0"/>
                <w:bCs w:val="0"/>
                <w:color w:val="auto"/>
                <w:sz w:val="21"/>
                <w:szCs w:val="21"/>
                <w:highlight w:val="none"/>
                <w:lang w:eastAsia="zh-CN"/>
              </w:rPr>
              <w:t>在开展运维工作前，成交供应商必须提交完整的运维方案</w:t>
            </w:r>
            <w:r>
              <w:rPr>
                <w:rFonts w:hint="eastAsia" w:ascii="宋体" w:hAnsi="宋体" w:eastAsia="宋体" w:cs="宋体"/>
                <w:b w:val="0"/>
                <w:bCs w:val="0"/>
                <w:color w:val="auto"/>
                <w:sz w:val="21"/>
                <w:szCs w:val="21"/>
                <w:highlight w:val="none"/>
                <w:lang w:eastAsia="zh-Hans"/>
              </w:rPr>
              <w:t>（须包含</w:t>
            </w:r>
            <w:r>
              <w:rPr>
                <w:rFonts w:hint="eastAsia" w:ascii="宋体" w:hAnsi="宋体" w:eastAsia="宋体"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lang w:eastAsia="zh-Hans"/>
              </w:rPr>
              <w:t>中所承诺</w:t>
            </w:r>
            <w:r>
              <w:rPr>
                <w:rFonts w:hint="eastAsia" w:ascii="宋体" w:hAnsi="宋体" w:eastAsia="宋体" w:cs="宋体"/>
                <w:b w:val="0"/>
                <w:bCs w:val="0"/>
                <w:color w:val="auto"/>
                <w:sz w:val="21"/>
                <w:szCs w:val="21"/>
                <w:highlight w:val="none"/>
                <w:lang w:eastAsia="zh-CN"/>
              </w:rPr>
              <w:t>的</w:t>
            </w:r>
            <w:r>
              <w:rPr>
                <w:rFonts w:hint="eastAsia" w:ascii="宋体" w:hAnsi="宋体" w:eastAsia="宋体" w:cs="宋体"/>
                <w:b w:val="0"/>
                <w:bCs w:val="0"/>
                <w:color w:val="auto"/>
                <w:sz w:val="21"/>
                <w:szCs w:val="21"/>
                <w:highlight w:val="none"/>
                <w:lang w:eastAsia="zh-Hans"/>
              </w:rPr>
              <w:t>所有人员、证书原件备查）</w:t>
            </w:r>
            <w:r>
              <w:rPr>
                <w:rFonts w:hint="eastAsia" w:ascii="宋体" w:hAnsi="宋体" w:eastAsia="宋体" w:cs="宋体"/>
                <w:b w:val="0"/>
                <w:bCs w:val="0"/>
                <w:color w:val="auto"/>
                <w:sz w:val="21"/>
                <w:szCs w:val="21"/>
                <w:highlight w:val="none"/>
                <w:lang w:eastAsia="zh-CN"/>
              </w:rPr>
              <w:t>，经采购人审批同意后方可执行。</w:t>
            </w:r>
          </w:p>
          <w:p w14:paraId="198C0FB9">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kern w:val="2"/>
                <w:sz w:val="21"/>
                <w:szCs w:val="21"/>
                <w:highlight w:val="none"/>
                <w:lang w:val="en-US" w:eastAsia="zh-CN" w:bidi="ar-SA"/>
              </w:rPr>
              <w:t>3.</w:t>
            </w:r>
            <w:r>
              <w:rPr>
                <w:rFonts w:hint="eastAsia" w:ascii="宋体" w:hAnsi="宋体" w:eastAsia="宋体" w:cs="宋体"/>
                <w:b w:val="0"/>
                <w:bCs w:val="0"/>
                <w:color w:val="auto"/>
                <w:sz w:val="21"/>
                <w:szCs w:val="21"/>
                <w:highlight w:val="none"/>
                <w:lang w:eastAsia="zh-CN"/>
              </w:rPr>
              <w:t>成交供应商必须严格遵守运维管理规范、安全规范以及其他相关管理规定，以保障系统的规范管理和安全运行。</w:t>
            </w:r>
          </w:p>
          <w:p w14:paraId="3DFF5CC1">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4</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eastAsia="zh-CN"/>
              </w:rPr>
              <w:t>在进行重要操作前，成交供应商须向采购人提交详细的技术方案进行报批，获批后方可执行。</w:t>
            </w:r>
          </w:p>
          <w:p w14:paraId="5087F13F">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5</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eastAsia="zh-CN"/>
              </w:rPr>
              <w:t>成交供应商须每半年为采购人相关人员提供不少于1次现场技术培训，培训主题及内容由双方协商确定。</w:t>
            </w:r>
          </w:p>
          <w:p w14:paraId="4B64740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 w:val="21"/>
                <w:szCs w:val="21"/>
                <w:highlight w:val="none"/>
                <w:lang w:eastAsia="zh-CN"/>
              </w:rPr>
              <w:t>6</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eastAsia="zh-CN"/>
              </w:rPr>
              <w:t>若因实施过错导致数据损失或其他软硬件损失的，成交供应商应承担所有损失。必要时，经双方可协商委托国家认可的第三方鉴定机构进行核定，所产生的费用及损失均由成交供应商承担。</w:t>
            </w:r>
          </w:p>
        </w:tc>
      </w:tr>
      <w:tr w14:paraId="6D3446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75" w:type="dxa"/>
            <w:gridSpan w:val="2"/>
            <w:tcBorders>
              <w:top w:val="single" w:color="auto" w:sz="4" w:space="0"/>
              <w:left w:val="single" w:color="auto" w:sz="4" w:space="0"/>
              <w:bottom w:val="single" w:color="auto" w:sz="4" w:space="0"/>
              <w:right w:val="single" w:color="auto" w:sz="4" w:space="0"/>
            </w:tcBorders>
            <w:noWrap w:val="0"/>
            <w:vAlign w:val="center"/>
          </w:tcPr>
          <w:p w14:paraId="3A233C0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sz w:val="21"/>
                <w:szCs w:val="21"/>
                <w:highlight w:val="none"/>
                <w:lang w:eastAsia="zh-CN"/>
              </w:rPr>
              <w:t>八、</w:t>
            </w:r>
            <w:r>
              <w:rPr>
                <w:rFonts w:hint="eastAsia" w:ascii="宋体" w:hAnsi="宋体" w:eastAsia="宋体" w:cs="宋体"/>
                <w:b w:val="0"/>
                <w:bCs w:val="0"/>
                <w:color w:val="auto"/>
                <w:sz w:val="21"/>
                <w:szCs w:val="21"/>
                <w:highlight w:val="none"/>
              </w:rPr>
              <w:t>知识产权</w:t>
            </w:r>
          </w:p>
        </w:tc>
        <w:tc>
          <w:tcPr>
            <w:tcW w:w="8219" w:type="dxa"/>
            <w:gridSpan w:val="3"/>
            <w:tcBorders>
              <w:top w:val="single" w:color="auto" w:sz="4" w:space="0"/>
              <w:left w:val="single" w:color="auto" w:sz="4" w:space="0"/>
              <w:bottom w:val="single" w:color="auto" w:sz="4" w:space="0"/>
              <w:right w:val="single" w:color="auto" w:sz="4" w:space="0"/>
            </w:tcBorders>
            <w:noWrap w:val="0"/>
            <w:vAlign w:val="center"/>
          </w:tcPr>
          <w:p w14:paraId="6E7F98E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 w:val="21"/>
                <w:szCs w:val="21"/>
                <w:highlight w:val="none"/>
                <w:lang w:eastAsia="zh-CN"/>
              </w:rPr>
              <w:t>采购人在中华人民共和国境内使用供应商提供的产品及服务时免受第三方提出的侵犯其专利权或其它知识产权的起诉。如果第三方提出侵权指控，成交供应商承担由此而引起的一切法律责任和费用。</w:t>
            </w:r>
          </w:p>
        </w:tc>
      </w:tr>
      <w:tr w14:paraId="3E5ED0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75" w:type="dxa"/>
            <w:gridSpan w:val="2"/>
            <w:tcBorders>
              <w:top w:val="single" w:color="auto" w:sz="4" w:space="0"/>
              <w:left w:val="single" w:color="auto" w:sz="4" w:space="0"/>
              <w:bottom w:val="single" w:color="auto" w:sz="4" w:space="0"/>
              <w:right w:val="single" w:color="auto" w:sz="4" w:space="0"/>
            </w:tcBorders>
            <w:noWrap w:val="0"/>
            <w:vAlign w:val="center"/>
          </w:tcPr>
          <w:p w14:paraId="69C25F5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szCs w:val="21"/>
                <w:highlight w:val="none"/>
                <w:lang w:eastAsia="zh-CN"/>
              </w:rPr>
              <w:t>九、</w:t>
            </w:r>
            <w:r>
              <w:rPr>
                <w:rFonts w:hint="eastAsia" w:ascii="宋体" w:hAnsi="宋体" w:eastAsia="宋体" w:cs="宋体"/>
                <w:b w:val="0"/>
                <w:bCs w:val="0"/>
                <w:color w:val="auto"/>
                <w:highlight w:val="none"/>
              </w:rPr>
              <w:t>其他说明</w:t>
            </w:r>
          </w:p>
        </w:tc>
        <w:tc>
          <w:tcPr>
            <w:tcW w:w="8219" w:type="dxa"/>
            <w:gridSpan w:val="3"/>
            <w:tcBorders>
              <w:top w:val="single" w:color="auto" w:sz="4" w:space="0"/>
              <w:left w:val="single" w:color="auto" w:sz="4" w:space="0"/>
              <w:bottom w:val="single" w:color="auto" w:sz="4" w:space="0"/>
              <w:right w:val="single" w:color="auto" w:sz="4" w:space="0"/>
            </w:tcBorders>
            <w:noWrap w:val="0"/>
            <w:vAlign w:val="top"/>
          </w:tcPr>
          <w:p w14:paraId="43B76363">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color w:val="auto"/>
                <w:spacing w:val="0"/>
                <w:sz w:val="21"/>
                <w:szCs w:val="21"/>
                <w:highlight w:val="none"/>
                <w:lang w:val="en-US" w:eastAsia="zh-CN"/>
              </w:rPr>
            </w:pPr>
            <w:r>
              <w:rPr>
                <w:rFonts w:hint="eastAsia" w:ascii="宋体" w:hAnsi="宋体" w:eastAsia="宋体" w:cs="宋体"/>
                <w:b w:val="0"/>
                <w:bCs w:val="0"/>
                <w:color w:val="auto"/>
                <w:szCs w:val="21"/>
                <w:highlight w:val="none"/>
              </w:rPr>
              <w:t>▲</w:t>
            </w:r>
            <w:r>
              <w:rPr>
                <w:rFonts w:hint="eastAsia" w:ascii="宋体" w:hAnsi="宋体" w:eastAsia="宋体" w:cs="宋体"/>
                <w:b w:val="0"/>
                <w:bCs w:val="0"/>
                <w:color w:val="auto"/>
                <w:spacing w:val="0"/>
                <w:sz w:val="21"/>
                <w:szCs w:val="21"/>
                <w:highlight w:val="none"/>
                <w:lang w:val="en-US" w:eastAsia="zh-CN"/>
              </w:rPr>
              <w:t>1.在签订合同后，采购人可要求成交人提供响应文件中相关材料的原件进行真假核实，成交人必须按照采购人的要求在7个工作日内提供，否则采购人有权按照合同条款追究成交人的违约责任，并上报财政部门进行处理。</w:t>
            </w:r>
          </w:p>
          <w:p w14:paraId="26B99724">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b w:val="0"/>
                <w:bCs w:val="0"/>
                <w:color w:val="auto"/>
                <w:spacing w:val="0"/>
                <w:sz w:val="21"/>
                <w:szCs w:val="21"/>
                <w:highlight w:val="none"/>
                <w:lang w:val="en-US" w:eastAsia="zh-CN"/>
              </w:rPr>
            </w:pPr>
            <w:r>
              <w:rPr>
                <w:rFonts w:hint="eastAsia" w:ascii="宋体" w:hAnsi="宋体" w:eastAsia="宋体" w:cs="宋体"/>
                <w:b w:val="0"/>
                <w:bCs w:val="0"/>
                <w:color w:val="auto"/>
                <w:spacing w:val="0"/>
                <w:sz w:val="21"/>
                <w:szCs w:val="21"/>
                <w:highlight w:val="none"/>
                <w:lang w:val="en-US" w:eastAsia="zh-CN"/>
              </w:rPr>
              <w:t>2.供应商可根据项目需求提供运维服务方案、实施方案、运维培训机制、服务承诺等内容。</w:t>
            </w:r>
          </w:p>
        </w:tc>
      </w:tr>
    </w:tbl>
    <w:p w14:paraId="0AB2EA27">
      <w:pPr>
        <w:spacing w:line="320" w:lineRule="exact"/>
        <w:rPr>
          <w:rFonts w:ascii="宋体" w:hAnsi="宋体"/>
          <w:color w:val="auto"/>
          <w:highlight w:val="none"/>
        </w:rPr>
      </w:pPr>
    </w:p>
    <w:p w14:paraId="52FA2B95">
      <w:pPr>
        <w:ind w:firstLine="0" w:firstLineChars="0"/>
        <w:jc w:val="both"/>
        <w:rPr>
          <w:rFonts w:hint="eastAsia" w:ascii="宋体" w:hAnsi="宋体" w:eastAsia="宋体" w:cs="宋体"/>
          <w:b/>
          <w:bCs w:val="0"/>
          <w:color w:val="auto"/>
          <w:sz w:val="28"/>
          <w:szCs w:val="28"/>
          <w:highlight w:val="none"/>
          <w:lang w:eastAsia="zh-CN"/>
        </w:rPr>
      </w:pPr>
    </w:p>
    <w:p w14:paraId="57B57E23">
      <w:pPr>
        <w:ind w:firstLine="0" w:firstLineChars="0"/>
        <w:jc w:val="both"/>
        <w:rPr>
          <w:rFonts w:hint="eastAsia" w:ascii="宋体" w:hAnsi="宋体" w:eastAsia="宋体" w:cs="宋体"/>
          <w:b/>
          <w:bCs w:val="0"/>
          <w:color w:val="auto"/>
          <w:sz w:val="28"/>
          <w:szCs w:val="28"/>
          <w:highlight w:val="none"/>
          <w:lang w:eastAsia="zh-CN"/>
        </w:rPr>
      </w:pPr>
      <w:r>
        <w:rPr>
          <w:rFonts w:hint="eastAsia" w:ascii="宋体" w:hAnsi="宋体" w:eastAsia="宋体" w:cs="宋体"/>
          <w:b/>
          <w:bCs w:val="0"/>
          <w:color w:val="auto"/>
          <w:sz w:val="28"/>
          <w:szCs w:val="28"/>
          <w:highlight w:val="none"/>
          <w:lang w:eastAsia="zh-CN"/>
        </w:rPr>
        <w:t>附件1</w:t>
      </w:r>
      <w:r>
        <w:rPr>
          <w:rFonts w:hint="eastAsia" w:ascii="宋体" w:hAnsi="宋体" w:eastAsia="宋体" w:cs="宋体"/>
          <w:b/>
          <w:bCs w:val="0"/>
          <w:color w:val="auto"/>
          <w:sz w:val="28"/>
          <w:szCs w:val="28"/>
          <w:highlight w:val="none"/>
          <w:lang w:val="en-US" w:eastAsia="zh-CN"/>
        </w:rPr>
        <w:t xml:space="preserve">               </w:t>
      </w:r>
      <w:r>
        <w:rPr>
          <w:rFonts w:hint="eastAsia" w:ascii="宋体" w:hAnsi="宋体" w:eastAsia="宋体" w:cs="宋体"/>
          <w:b/>
          <w:bCs w:val="0"/>
          <w:color w:val="auto"/>
          <w:sz w:val="28"/>
          <w:szCs w:val="28"/>
          <w:highlight w:val="none"/>
          <w:lang w:eastAsia="zh-CN"/>
        </w:rPr>
        <w:t>《运维服务考核表》</w:t>
      </w:r>
    </w:p>
    <w:tbl>
      <w:tblPr>
        <w:tblStyle w:val="28"/>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453"/>
        <w:gridCol w:w="5661"/>
        <w:gridCol w:w="852"/>
      </w:tblGrid>
      <w:tr w14:paraId="34905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9198" w:type="dxa"/>
            <w:gridSpan w:val="4"/>
            <w:noWrap w:val="0"/>
            <w:vAlign w:val="center"/>
          </w:tcPr>
          <w:p w14:paraId="3DC27AE7">
            <w:pPr>
              <w:keepNext w:val="0"/>
              <w:keepLines w:val="0"/>
              <w:suppressLineNumbers w:val="0"/>
              <w:spacing w:before="0" w:beforeAutospacing="0" w:after="0" w:afterAutospacing="0"/>
              <w:ind w:left="0" w:right="0" w:firstLine="632" w:firstLineChars="300"/>
              <w:jc w:val="both"/>
              <w:rPr>
                <w:rFonts w:hint="default"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 xml:space="preserve">年  </w:t>
            </w:r>
            <w:r>
              <w:rPr>
                <w:rFonts w:hint="eastAsia" w:ascii="宋体" w:hAnsi="宋体" w:eastAsia="宋体" w:cs="宋体"/>
                <w:b/>
                <w:color w:val="auto"/>
                <w:sz w:val="21"/>
                <w:szCs w:val="21"/>
                <w:highlight w:val="none"/>
                <w:lang w:eastAsia="zh-CN"/>
              </w:rPr>
              <w:t xml:space="preserve"> </w:t>
            </w:r>
            <w:r>
              <w:rPr>
                <w:rFonts w:hint="eastAsia" w:ascii="宋体" w:hAnsi="宋体" w:eastAsia="宋体" w:cs="宋体"/>
                <w:b/>
                <w:color w:val="auto"/>
                <w:sz w:val="21"/>
                <w:szCs w:val="21"/>
                <w:highlight w:val="none"/>
              </w:rPr>
              <w:t xml:space="preserve"> 期                              运维服务考核表</w:t>
            </w:r>
          </w:p>
        </w:tc>
      </w:tr>
      <w:tr w14:paraId="1FCB9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2" w:type="dxa"/>
            <w:noWrap w:val="0"/>
            <w:vAlign w:val="center"/>
          </w:tcPr>
          <w:p w14:paraId="65E8EFD0">
            <w:pPr>
              <w:keepNext w:val="0"/>
              <w:keepLines w:val="0"/>
              <w:suppressLineNumbers w:val="0"/>
              <w:spacing w:before="0" w:beforeAutospacing="0" w:after="0" w:afterAutospacing="0"/>
              <w:ind w:left="0" w:right="0" w:firstLine="0" w:firstLineChars="0"/>
              <w:jc w:val="center"/>
              <w:rPr>
                <w:rFonts w:hint="default"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w:t>
            </w:r>
          </w:p>
        </w:tc>
        <w:tc>
          <w:tcPr>
            <w:tcW w:w="1453" w:type="dxa"/>
            <w:noWrap w:val="0"/>
            <w:vAlign w:val="center"/>
          </w:tcPr>
          <w:p w14:paraId="7C3F67A2">
            <w:pPr>
              <w:keepNext w:val="0"/>
              <w:keepLines w:val="0"/>
              <w:suppressLineNumbers w:val="0"/>
              <w:spacing w:before="0" w:beforeAutospacing="0" w:after="0" w:afterAutospacing="0"/>
              <w:ind w:left="0" w:right="0" w:firstLine="0" w:firstLineChars="0"/>
              <w:jc w:val="center"/>
              <w:rPr>
                <w:rFonts w:hint="default"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项目分类</w:t>
            </w:r>
          </w:p>
        </w:tc>
        <w:tc>
          <w:tcPr>
            <w:tcW w:w="5661" w:type="dxa"/>
            <w:noWrap w:val="0"/>
            <w:vAlign w:val="center"/>
          </w:tcPr>
          <w:p w14:paraId="2DEBF29F">
            <w:pPr>
              <w:keepNext w:val="0"/>
              <w:keepLines w:val="0"/>
              <w:suppressLineNumbers w:val="0"/>
              <w:spacing w:before="0" w:beforeAutospacing="0" w:after="0" w:afterAutospacing="0"/>
              <w:ind w:left="0" w:right="0" w:firstLine="0" w:firstLineChars="0"/>
              <w:jc w:val="center"/>
              <w:rPr>
                <w:rFonts w:hint="default"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评分细则</w:t>
            </w:r>
          </w:p>
        </w:tc>
        <w:tc>
          <w:tcPr>
            <w:tcW w:w="852" w:type="dxa"/>
            <w:noWrap w:val="0"/>
            <w:vAlign w:val="center"/>
          </w:tcPr>
          <w:p w14:paraId="6CC69D2A">
            <w:pPr>
              <w:keepNext w:val="0"/>
              <w:keepLines w:val="0"/>
              <w:suppressLineNumbers w:val="0"/>
              <w:spacing w:before="0" w:beforeAutospacing="0" w:after="0" w:afterAutospacing="0"/>
              <w:ind w:left="0" w:right="0" w:firstLine="0" w:firstLineChars="0"/>
              <w:jc w:val="center"/>
              <w:rPr>
                <w:rFonts w:hint="default"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得分</w:t>
            </w:r>
          </w:p>
        </w:tc>
      </w:tr>
      <w:tr w14:paraId="14001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232" w:type="dxa"/>
            <w:vMerge w:val="restart"/>
            <w:noWrap w:val="0"/>
            <w:vAlign w:val="center"/>
          </w:tcPr>
          <w:p w14:paraId="0450DFBB">
            <w:pPr>
              <w:keepNext w:val="0"/>
              <w:keepLines w:val="0"/>
              <w:suppressLineNumbers w:val="0"/>
              <w:spacing w:before="0" w:beforeAutospacing="0" w:after="0" w:afterAutospacing="0"/>
              <w:ind w:left="0" w:right="0" w:firstLine="0" w:firstLineChars="0"/>
              <w:jc w:val="both"/>
              <w:rPr>
                <w:rFonts w:hint="default"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Hans"/>
              </w:rPr>
              <w:t>运维内容</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eastAsia="zh-CN"/>
              </w:rPr>
              <w:t>64</w:t>
            </w:r>
            <w:r>
              <w:rPr>
                <w:rFonts w:hint="eastAsia" w:ascii="宋体" w:hAnsi="宋体" w:eastAsia="宋体" w:cs="宋体"/>
                <w:bCs/>
                <w:color w:val="auto"/>
                <w:sz w:val="21"/>
                <w:szCs w:val="21"/>
                <w:highlight w:val="none"/>
              </w:rPr>
              <w:t>分）</w:t>
            </w:r>
          </w:p>
        </w:tc>
        <w:tc>
          <w:tcPr>
            <w:tcW w:w="1453" w:type="dxa"/>
            <w:noWrap w:val="0"/>
            <w:vAlign w:val="center"/>
          </w:tcPr>
          <w:p w14:paraId="1E4BA3EA">
            <w:pPr>
              <w:keepNext w:val="0"/>
              <w:keepLines w:val="0"/>
              <w:suppressLineNumbers w:val="0"/>
              <w:spacing w:before="0" w:beforeAutospacing="0" w:after="0" w:afterAutospacing="0"/>
              <w:ind w:left="0" w:right="0" w:firstLine="0" w:firstLineChars="0"/>
              <w:jc w:val="center"/>
              <w:rPr>
                <w:rFonts w:hint="default"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公共教学、</w:t>
            </w:r>
            <w:r>
              <w:rPr>
                <w:rFonts w:hint="eastAsia" w:ascii="宋体" w:hAnsi="宋体" w:eastAsia="宋体" w:cs="宋体"/>
                <w:bCs/>
                <w:color w:val="auto"/>
                <w:sz w:val="21"/>
                <w:szCs w:val="21"/>
                <w:highlight w:val="none"/>
                <w:lang w:eastAsia="zh-Hans"/>
              </w:rPr>
              <w:t>办公</w:t>
            </w:r>
            <w:r>
              <w:rPr>
                <w:rFonts w:hint="eastAsia" w:ascii="宋体" w:hAnsi="宋体" w:eastAsia="宋体" w:cs="宋体"/>
                <w:bCs/>
                <w:color w:val="auto"/>
                <w:sz w:val="21"/>
                <w:szCs w:val="21"/>
                <w:highlight w:val="none"/>
                <w:lang w:eastAsia="zh-CN"/>
              </w:rPr>
              <w:t>设备</w:t>
            </w:r>
          </w:p>
          <w:p w14:paraId="5F4893CC">
            <w:pPr>
              <w:keepNext w:val="0"/>
              <w:keepLines w:val="0"/>
              <w:suppressLineNumbers w:val="0"/>
              <w:spacing w:before="0" w:beforeAutospacing="0" w:after="0" w:afterAutospacing="0"/>
              <w:ind w:left="0" w:right="0" w:firstLine="0" w:firstLineChars="0"/>
              <w:jc w:val="center"/>
              <w:rPr>
                <w:rFonts w:hint="default"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（12分）</w:t>
            </w:r>
          </w:p>
        </w:tc>
        <w:tc>
          <w:tcPr>
            <w:tcW w:w="5661" w:type="dxa"/>
            <w:noWrap w:val="0"/>
            <w:vAlign w:val="center"/>
          </w:tcPr>
          <w:p w14:paraId="1A44B5C2">
            <w:pPr>
              <w:keepNext w:val="0"/>
              <w:keepLines w:val="0"/>
              <w:suppressLineNumbers w:val="0"/>
              <w:spacing w:before="0" w:beforeAutospacing="0" w:after="0" w:afterAutospacing="0"/>
              <w:ind w:left="0" w:right="0" w:firstLine="0" w:firstLineChars="0"/>
              <w:jc w:val="both"/>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8-12分：</w:t>
            </w:r>
            <w:r>
              <w:rPr>
                <w:rFonts w:hint="eastAsia" w:ascii="宋体" w:hAnsi="宋体" w:eastAsia="宋体" w:cs="宋体"/>
                <w:bCs/>
                <w:color w:val="auto"/>
                <w:sz w:val="21"/>
                <w:szCs w:val="21"/>
                <w:highlight w:val="none"/>
                <w:lang w:eastAsia="zh-CN"/>
              </w:rPr>
              <w:t>公共教学、</w:t>
            </w:r>
            <w:r>
              <w:rPr>
                <w:rFonts w:hint="eastAsia" w:ascii="宋体" w:hAnsi="宋体" w:eastAsia="宋体" w:cs="宋体"/>
                <w:color w:val="auto"/>
                <w:sz w:val="21"/>
                <w:szCs w:val="21"/>
                <w:highlight w:val="none"/>
                <w:lang w:eastAsia="zh-CN"/>
              </w:rPr>
              <w:t>办公设备运行正常，及时发现隐患并解决，设备维护到位，用户支持及时有效。</w:t>
            </w:r>
          </w:p>
          <w:p w14:paraId="4235B75A">
            <w:pPr>
              <w:keepNext w:val="0"/>
              <w:keepLines w:val="0"/>
              <w:suppressLineNumbers w:val="0"/>
              <w:spacing w:before="0" w:beforeAutospacing="0" w:after="0" w:afterAutospacing="0"/>
              <w:ind w:left="0" w:right="0" w:firstLine="0" w:firstLineChars="0"/>
              <w:jc w:val="both"/>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4-7分：</w:t>
            </w:r>
            <w:r>
              <w:rPr>
                <w:rFonts w:hint="eastAsia" w:ascii="宋体" w:hAnsi="宋体" w:eastAsia="宋体" w:cs="宋体"/>
                <w:bCs/>
                <w:color w:val="auto"/>
                <w:sz w:val="21"/>
                <w:szCs w:val="21"/>
                <w:highlight w:val="none"/>
                <w:lang w:eastAsia="zh-CN"/>
              </w:rPr>
              <w:t>公共教学、</w:t>
            </w:r>
            <w:r>
              <w:rPr>
                <w:rFonts w:hint="eastAsia" w:ascii="宋体" w:hAnsi="宋体" w:eastAsia="宋体" w:cs="宋体"/>
                <w:color w:val="auto"/>
                <w:sz w:val="21"/>
                <w:szCs w:val="21"/>
                <w:highlight w:val="none"/>
                <w:lang w:eastAsia="zh-CN"/>
              </w:rPr>
              <w:t>办公设备设运行基本正常，能发现隐患并解决，设备维护较到位，用户支持基本有效。</w:t>
            </w:r>
          </w:p>
          <w:p w14:paraId="54766714">
            <w:pPr>
              <w:keepNext w:val="0"/>
              <w:keepLines w:val="0"/>
              <w:suppressLineNumbers w:val="0"/>
              <w:spacing w:before="0" w:beforeAutospacing="0" w:after="0" w:afterAutospacing="0"/>
              <w:ind w:left="0" w:right="0" w:firstLine="0" w:firstLineChars="0"/>
              <w:jc w:val="both"/>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1－3分：</w:t>
            </w:r>
            <w:r>
              <w:rPr>
                <w:rFonts w:hint="eastAsia" w:ascii="宋体" w:hAnsi="宋体" w:eastAsia="宋体" w:cs="宋体"/>
                <w:bCs/>
                <w:color w:val="auto"/>
                <w:sz w:val="21"/>
                <w:szCs w:val="21"/>
                <w:highlight w:val="none"/>
                <w:lang w:eastAsia="zh-CN"/>
              </w:rPr>
              <w:t>公共教学、</w:t>
            </w:r>
            <w:r>
              <w:rPr>
                <w:rFonts w:hint="eastAsia" w:ascii="宋体" w:hAnsi="宋体" w:eastAsia="宋体" w:cs="宋体"/>
                <w:color w:val="auto"/>
                <w:sz w:val="21"/>
                <w:szCs w:val="21"/>
                <w:highlight w:val="none"/>
                <w:lang w:eastAsia="zh-CN"/>
              </w:rPr>
              <w:t>办公设备设经常出现故障，处理不及时，设备维护不到位，用户支持不足。</w:t>
            </w:r>
          </w:p>
          <w:p w14:paraId="17C58392">
            <w:pPr>
              <w:keepNext w:val="0"/>
              <w:keepLines w:val="0"/>
              <w:suppressLineNumbers w:val="0"/>
              <w:spacing w:before="0" w:beforeAutospacing="0" w:after="0" w:afterAutospacing="0"/>
              <w:ind w:left="0" w:right="0" w:firstLine="0" w:firstLineChars="0"/>
              <w:jc w:val="both"/>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0分：没有提供</w:t>
            </w:r>
            <w:r>
              <w:rPr>
                <w:rFonts w:hint="eastAsia" w:ascii="宋体" w:hAnsi="宋体" w:eastAsia="宋体" w:cs="宋体"/>
                <w:bCs/>
                <w:color w:val="auto"/>
                <w:sz w:val="21"/>
                <w:szCs w:val="21"/>
                <w:highlight w:val="none"/>
                <w:lang w:eastAsia="zh-CN"/>
              </w:rPr>
              <w:t>公共教学、</w:t>
            </w:r>
            <w:r>
              <w:rPr>
                <w:rFonts w:hint="eastAsia" w:ascii="宋体" w:hAnsi="宋体" w:eastAsia="宋体" w:cs="宋体"/>
                <w:bCs/>
                <w:color w:val="auto"/>
                <w:sz w:val="21"/>
                <w:szCs w:val="21"/>
                <w:highlight w:val="none"/>
                <w:lang w:eastAsia="zh-Hans"/>
              </w:rPr>
              <w:t>办公</w:t>
            </w:r>
            <w:r>
              <w:rPr>
                <w:rFonts w:hint="eastAsia" w:ascii="宋体" w:hAnsi="宋体" w:eastAsia="宋体" w:cs="宋体"/>
                <w:bCs/>
                <w:color w:val="auto"/>
                <w:sz w:val="21"/>
                <w:szCs w:val="21"/>
                <w:highlight w:val="none"/>
                <w:lang w:eastAsia="zh-CN"/>
              </w:rPr>
              <w:t>设备</w:t>
            </w:r>
            <w:r>
              <w:rPr>
                <w:rFonts w:hint="eastAsia" w:ascii="宋体" w:hAnsi="宋体" w:eastAsia="宋体" w:cs="宋体"/>
                <w:color w:val="auto"/>
                <w:sz w:val="21"/>
                <w:szCs w:val="21"/>
                <w:highlight w:val="none"/>
                <w:lang w:eastAsia="zh-CN"/>
              </w:rPr>
              <w:t>运维服务或表现极为不合格。</w:t>
            </w:r>
          </w:p>
        </w:tc>
        <w:tc>
          <w:tcPr>
            <w:tcW w:w="852" w:type="dxa"/>
            <w:noWrap w:val="0"/>
            <w:vAlign w:val="center"/>
          </w:tcPr>
          <w:p w14:paraId="3636D8AB">
            <w:pPr>
              <w:keepNext w:val="0"/>
              <w:keepLines w:val="0"/>
              <w:suppressLineNumbers w:val="0"/>
              <w:spacing w:before="0" w:beforeAutospacing="0" w:after="0" w:afterAutospacing="0"/>
              <w:ind w:left="0" w:right="0" w:firstLine="0" w:firstLineChars="0"/>
              <w:jc w:val="center"/>
              <w:rPr>
                <w:rFonts w:hint="default" w:ascii="宋体" w:hAnsi="宋体" w:eastAsia="宋体" w:cs="宋体"/>
                <w:bCs/>
                <w:color w:val="auto"/>
                <w:sz w:val="21"/>
                <w:szCs w:val="21"/>
                <w:highlight w:val="none"/>
                <w:lang w:eastAsia="zh-CN"/>
              </w:rPr>
            </w:pPr>
          </w:p>
        </w:tc>
      </w:tr>
      <w:tr w14:paraId="2FCB1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232" w:type="dxa"/>
            <w:vMerge w:val="continue"/>
            <w:noWrap w:val="0"/>
            <w:vAlign w:val="center"/>
          </w:tcPr>
          <w:p w14:paraId="6557E03C">
            <w:pPr>
              <w:keepNext w:val="0"/>
              <w:keepLines w:val="0"/>
              <w:suppressLineNumbers w:val="0"/>
              <w:spacing w:before="0" w:beforeAutospacing="0" w:after="0" w:afterAutospacing="0"/>
              <w:ind w:left="0" w:right="0" w:firstLine="0" w:firstLineChars="0"/>
              <w:jc w:val="both"/>
              <w:rPr>
                <w:rFonts w:hint="default" w:ascii="宋体" w:hAnsi="宋体" w:eastAsia="宋体" w:cs="宋体"/>
                <w:bCs/>
                <w:color w:val="auto"/>
                <w:sz w:val="21"/>
                <w:szCs w:val="21"/>
                <w:highlight w:val="none"/>
                <w:lang w:eastAsia="zh-CN"/>
              </w:rPr>
            </w:pPr>
          </w:p>
        </w:tc>
        <w:tc>
          <w:tcPr>
            <w:tcW w:w="1453" w:type="dxa"/>
            <w:noWrap w:val="0"/>
            <w:vAlign w:val="center"/>
          </w:tcPr>
          <w:p w14:paraId="2DE1EB8B">
            <w:pPr>
              <w:keepNext w:val="0"/>
              <w:keepLines w:val="0"/>
              <w:suppressLineNumbers w:val="0"/>
              <w:spacing w:before="0" w:beforeAutospacing="0" w:after="0" w:afterAutospacing="0"/>
              <w:ind w:left="0" w:right="0" w:firstLine="0" w:firstLineChars="0"/>
              <w:jc w:val="center"/>
              <w:rPr>
                <w:rFonts w:hint="default"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网络设备</w:t>
            </w:r>
          </w:p>
          <w:p w14:paraId="7AB7F4AD">
            <w:pPr>
              <w:keepNext w:val="0"/>
              <w:keepLines w:val="0"/>
              <w:suppressLineNumbers w:val="0"/>
              <w:spacing w:before="0" w:beforeAutospacing="0" w:after="0" w:afterAutospacing="0"/>
              <w:ind w:left="0" w:right="0" w:firstLine="0" w:firstLineChars="0"/>
              <w:jc w:val="center"/>
              <w:rPr>
                <w:rFonts w:hint="default"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2</w:t>
            </w:r>
            <w:r>
              <w:rPr>
                <w:rFonts w:hint="eastAsia" w:ascii="宋体" w:hAnsi="宋体" w:eastAsia="宋体" w:cs="宋体"/>
                <w:bCs/>
                <w:color w:val="auto"/>
                <w:sz w:val="21"/>
                <w:szCs w:val="21"/>
                <w:highlight w:val="none"/>
              </w:rPr>
              <w:t>分)</w:t>
            </w:r>
          </w:p>
        </w:tc>
        <w:tc>
          <w:tcPr>
            <w:tcW w:w="5661" w:type="dxa"/>
            <w:noWrap w:val="0"/>
            <w:vAlign w:val="center"/>
          </w:tcPr>
          <w:p w14:paraId="7D738808">
            <w:pPr>
              <w:keepNext w:val="0"/>
              <w:keepLines w:val="0"/>
              <w:suppressLineNumbers w:val="0"/>
              <w:spacing w:before="0" w:beforeAutospacing="0" w:after="0" w:afterAutospacing="0"/>
              <w:ind w:left="0" w:right="0" w:firstLine="0" w:firstLineChars="0"/>
              <w:jc w:val="both"/>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8-12分：</w:t>
            </w:r>
            <w:r>
              <w:rPr>
                <w:rFonts w:hint="eastAsia" w:ascii="宋体" w:hAnsi="宋体" w:eastAsia="宋体" w:cs="宋体"/>
                <w:color w:val="auto"/>
                <w:sz w:val="21"/>
                <w:szCs w:val="21"/>
                <w:highlight w:val="none"/>
                <w:lang w:eastAsia="zh-Hans"/>
              </w:rPr>
              <w:t>网络设备</w:t>
            </w:r>
            <w:r>
              <w:rPr>
                <w:rFonts w:hint="eastAsia" w:ascii="宋体" w:hAnsi="宋体" w:eastAsia="宋体" w:cs="宋体"/>
                <w:color w:val="auto"/>
                <w:sz w:val="21"/>
                <w:szCs w:val="21"/>
                <w:highlight w:val="none"/>
                <w:lang w:eastAsia="zh-CN"/>
              </w:rPr>
              <w:t>运行稳定，及时处理故障，</w:t>
            </w:r>
            <w:r>
              <w:rPr>
                <w:rFonts w:hint="eastAsia" w:ascii="宋体" w:hAnsi="宋体" w:eastAsia="宋体" w:cs="宋体"/>
                <w:color w:val="auto"/>
                <w:sz w:val="21"/>
                <w:szCs w:val="21"/>
                <w:highlight w:val="none"/>
                <w:lang w:eastAsia="zh-Hans"/>
              </w:rPr>
              <w:t>配置</w:t>
            </w:r>
            <w:r>
              <w:rPr>
                <w:rFonts w:hint="eastAsia" w:ascii="宋体" w:hAnsi="宋体" w:eastAsia="宋体" w:cs="宋体"/>
                <w:color w:val="auto"/>
                <w:sz w:val="21"/>
                <w:szCs w:val="21"/>
                <w:highlight w:val="none"/>
                <w:lang w:eastAsia="zh-CN"/>
              </w:rPr>
              <w:t>备份及时，性能监测有效，定期检查维护。</w:t>
            </w:r>
          </w:p>
          <w:p w14:paraId="71BD227B">
            <w:pPr>
              <w:keepNext w:val="0"/>
              <w:keepLines w:val="0"/>
              <w:suppressLineNumbers w:val="0"/>
              <w:spacing w:before="0" w:beforeAutospacing="0" w:after="0" w:afterAutospacing="0"/>
              <w:ind w:left="0" w:right="0" w:firstLine="0" w:firstLineChars="0"/>
              <w:jc w:val="both"/>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4-7分：</w:t>
            </w:r>
            <w:r>
              <w:rPr>
                <w:rFonts w:hint="eastAsia" w:ascii="宋体" w:hAnsi="宋体" w:eastAsia="宋体" w:cs="宋体"/>
                <w:color w:val="auto"/>
                <w:sz w:val="21"/>
                <w:szCs w:val="21"/>
                <w:highlight w:val="none"/>
                <w:lang w:eastAsia="zh-Hans"/>
              </w:rPr>
              <w:t>网络设备</w:t>
            </w:r>
            <w:r>
              <w:rPr>
                <w:rFonts w:hint="eastAsia" w:ascii="宋体" w:hAnsi="宋体" w:eastAsia="宋体" w:cs="宋体"/>
                <w:color w:val="auto"/>
                <w:sz w:val="21"/>
                <w:szCs w:val="21"/>
                <w:highlight w:val="none"/>
                <w:lang w:eastAsia="zh-CN"/>
              </w:rPr>
              <w:t>运行基本稳定，能较快处理故障，</w:t>
            </w:r>
            <w:r>
              <w:rPr>
                <w:rFonts w:hint="eastAsia" w:ascii="宋体" w:hAnsi="宋体" w:eastAsia="宋体" w:cs="宋体"/>
                <w:color w:val="auto"/>
                <w:sz w:val="21"/>
                <w:szCs w:val="21"/>
                <w:highlight w:val="none"/>
                <w:lang w:eastAsia="zh-Hans"/>
              </w:rPr>
              <w:t>配置</w:t>
            </w:r>
            <w:r>
              <w:rPr>
                <w:rFonts w:hint="eastAsia" w:ascii="宋体" w:hAnsi="宋体" w:eastAsia="宋体" w:cs="宋体"/>
                <w:color w:val="auto"/>
                <w:sz w:val="21"/>
                <w:szCs w:val="21"/>
                <w:highlight w:val="none"/>
                <w:lang w:eastAsia="zh-CN"/>
              </w:rPr>
              <w:t>备份较及时，性能监测基本有效，有定期检查维护。</w:t>
            </w:r>
          </w:p>
          <w:p w14:paraId="0566CA3E">
            <w:pPr>
              <w:keepNext w:val="0"/>
              <w:keepLines w:val="0"/>
              <w:suppressLineNumbers w:val="0"/>
              <w:spacing w:before="0" w:beforeAutospacing="0" w:after="0" w:afterAutospacing="0"/>
              <w:ind w:left="0" w:right="0" w:firstLine="0" w:firstLineChars="0"/>
              <w:jc w:val="both"/>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1-3分：</w:t>
            </w:r>
            <w:r>
              <w:rPr>
                <w:rFonts w:hint="eastAsia" w:ascii="宋体" w:hAnsi="宋体" w:eastAsia="宋体" w:cs="宋体"/>
                <w:color w:val="auto"/>
                <w:sz w:val="21"/>
                <w:szCs w:val="21"/>
                <w:highlight w:val="none"/>
                <w:lang w:eastAsia="zh-Hans"/>
              </w:rPr>
              <w:t>网络设备</w:t>
            </w:r>
            <w:r>
              <w:rPr>
                <w:rFonts w:hint="eastAsia" w:ascii="宋体" w:hAnsi="宋体" w:eastAsia="宋体" w:cs="宋体"/>
                <w:color w:val="auto"/>
                <w:sz w:val="21"/>
                <w:szCs w:val="21"/>
                <w:highlight w:val="none"/>
                <w:lang w:eastAsia="zh-CN"/>
              </w:rPr>
              <w:t>经常出现故障，处理不及时，</w:t>
            </w:r>
            <w:r>
              <w:rPr>
                <w:rFonts w:hint="eastAsia" w:ascii="宋体" w:hAnsi="宋体" w:eastAsia="宋体" w:cs="宋体"/>
                <w:color w:val="auto"/>
                <w:sz w:val="21"/>
                <w:szCs w:val="21"/>
                <w:highlight w:val="none"/>
                <w:lang w:eastAsia="zh-Hans"/>
              </w:rPr>
              <w:t>配置</w:t>
            </w:r>
            <w:r>
              <w:rPr>
                <w:rFonts w:hint="eastAsia" w:ascii="宋体" w:hAnsi="宋体" w:eastAsia="宋体" w:cs="宋体"/>
                <w:color w:val="auto"/>
                <w:sz w:val="21"/>
                <w:szCs w:val="21"/>
                <w:highlight w:val="none"/>
                <w:lang w:eastAsia="zh-CN"/>
              </w:rPr>
              <w:t>备份不完备，性能监测不充分，缺乏定期检查维护。</w:t>
            </w:r>
          </w:p>
          <w:p w14:paraId="51BF4789">
            <w:pPr>
              <w:keepNext w:val="0"/>
              <w:keepLines w:val="0"/>
              <w:suppressLineNumbers w:val="0"/>
              <w:spacing w:before="0" w:beforeAutospacing="0" w:after="0" w:afterAutospacing="0"/>
              <w:ind w:left="0" w:right="0" w:firstLine="0" w:firstLineChars="0"/>
              <w:jc w:val="both"/>
              <w:rPr>
                <w:rFonts w:hint="default"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lang w:eastAsia="zh-CN"/>
              </w:rPr>
              <w:t>0分：没有提供</w:t>
            </w:r>
            <w:r>
              <w:rPr>
                <w:rFonts w:hint="eastAsia" w:ascii="宋体" w:hAnsi="宋体" w:eastAsia="宋体" w:cs="宋体"/>
                <w:color w:val="auto"/>
                <w:sz w:val="21"/>
                <w:szCs w:val="21"/>
                <w:highlight w:val="none"/>
                <w:lang w:eastAsia="zh-Hans"/>
              </w:rPr>
              <w:t>网络设备</w:t>
            </w:r>
            <w:r>
              <w:rPr>
                <w:rFonts w:hint="eastAsia" w:ascii="宋体" w:hAnsi="宋体" w:eastAsia="宋体" w:cs="宋体"/>
                <w:color w:val="auto"/>
                <w:sz w:val="21"/>
                <w:szCs w:val="21"/>
                <w:highlight w:val="none"/>
                <w:lang w:eastAsia="zh-CN"/>
              </w:rPr>
              <w:t>运维服务或表现极为不合格。</w:t>
            </w:r>
          </w:p>
        </w:tc>
        <w:tc>
          <w:tcPr>
            <w:tcW w:w="852" w:type="dxa"/>
            <w:noWrap w:val="0"/>
            <w:vAlign w:val="center"/>
          </w:tcPr>
          <w:p w14:paraId="4AF21FDF">
            <w:pPr>
              <w:keepNext w:val="0"/>
              <w:keepLines w:val="0"/>
              <w:suppressLineNumbers w:val="0"/>
              <w:spacing w:before="0" w:beforeAutospacing="0" w:after="0" w:afterAutospacing="0"/>
              <w:ind w:left="0" w:right="0" w:firstLine="0" w:firstLineChars="0"/>
              <w:jc w:val="both"/>
              <w:rPr>
                <w:rFonts w:hint="default" w:ascii="宋体" w:hAnsi="宋体" w:eastAsia="宋体" w:cs="宋体"/>
                <w:bCs/>
                <w:color w:val="auto"/>
                <w:sz w:val="21"/>
                <w:szCs w:val="21"/>
                <w:highlight w:val="none"/>
                <w:lang w:eastAsia="zh-CN"/>
              </w:rPr>
            </w:pPr>
          </w:p>
        </w:tc>
      </w:tr>
      <w:tr w14:paraId="3024F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232" w:type="dxa"/>
            <w:vMerge w:val="continue"/>
            <w:noWrap w:val="0"/>
            <w:vAlign w:val="center"/>
          </w:tcPr>
          <w:p w14:paraId="57CDED88">
            <w:pPr>
              <w:keepNext w:val="0"/>
              <w:keepLines w:val="0"/>
              <w:suppressLineNumbers w:val="0"/>
              <w:spacing w:before="0" w:beforeAutospacing="0" w:after="0" w:afterAutospacing="0"/>
              <w:ind w:left="0" w:right="0" w:firstLine="0" w:firstLineChars="0"/>
              <w:jc w:val="both"/>
              <w:rPr>
                <w:rFonts w:hint="default" w:ascii="宋体" w:hAnsi="宋体" w:eastAsia="宋体" w:cs="宋体"/>
                <w:bCs/>
                <w:color w:val="auto"/>
                <w:sz w:val="21"/>
                <w:szCs w:val="21"/>
                <w:highlight w:val="none"/>
                <w:lang w:eastAsia="zh-CN"/>
              </w:rPr>
            </w:pPr>
          </w:p>
        </w:tc>
        <w:tc>
          <w:tcPr>
            <w:tcW w:w="1453" w:type="dxa"/>
            <w:noWrap w:val="0"/>
            <w:vAlign w:val="center"/>
          </w:tcPr>
          <w:p w14:paraId="4E2F3523">
            <w:pPr>
              <w:keepNext w:val="0"/>
              <w:keepLines w:val="0"/>
              <w:suppressLineNumbers w:val="0"/>
              <w:spacing w:before="0" w:beforeAutospacing="0" w:after="0" w:afterAutospacing="0"/>
              <w:ind w:left="0" w:right="0" w:firstLine="0" w:firstLineChars="0"/>
              <w:jc w:val="center"/>
              <w:rPr>
                <w:rFonts w:hint="default" w:ascii="宋体" w:hAnsi="宋体" w:eastAsia="宋体" w:cs="宋体"/>
                <w:bCs/>
                <w:color w:val="auto"/>
                <w:sz w:val="21"/>
                <w:szCs w:val="21"/>
                <w:highlight w:val="none"/>
                <w:lang w:eastAsia="zh-Hans"/>
              </w:rPr>
            </w:pPr>
            <w:r>
              <w:rPr>
                <w:rFonts w:hint="eastAsia" w:ascii="宋体" w:hAnsi="宋体" w:eastAsia="宋体" w:cs="宋体"/>
                <w:bCs/>
                <w:color w:val="auto"/>
                <w:sz w:val="21"/>
                <w:szCs w:val="21"/>
                <w:highlight w:val="none"/>
                <w:lang w:eastAsia="zh-Hans"/>
              </w:rPr>
              <w:t>链路</w:t>
            </w:r>
            <w:r>
              <w:rPr>
                <w:rFonts w:hint="eastAsia" w:ascii="宋体" w:hAnsi="宋体" w:eastAsia="宋体" w:cs="宋体"/>
                <w:bCs/>
                <w:color w:val="auto"/>
                <w:sz w:val="21"/>
                <w:szCs w:val="21"/>
                <w:highlight w:val="none"/>
              </w:rPr>
              <w:t>终端</w:t>
            </w:r>
          </w:p>
          <w:p w14:paraId="0EE97457">
            <w:pPr>
              <w:keepNext w:val="0"/>
              <w:keepLines w:val="0"/>
              <w:suppressLineNumbers w:val="0"/>
              <w:spacing w:before="0" w:beforeAutospacing="0" w:after="0" w:afterAutospacing="0"/>
              <w:ind w:left="0" w:right="0" w:firstLine="0" w:firstLineChars="0"/>
              <w:jc w:val="center"/>
              <w:rPr>
                <w:rFonts w:hint="default"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eastAsia="zh-CN"/>
              </w:rPr>
              <w:t>8</w:t>
            </w:r>
            <w:r>
              <w:rPr>
                <w:rFonts w:hint="eastAsia" w:ascii="宋体" w:hAnsi="宋体" w:eastAsia="宋体" w:cs="宋体"/>
                <w:bCs/>
                <w:color w:val="auto"/>
                <w:sz w:val="21"/>
                <w:szCs w:val="21"/>
                <w:highlight w:val="none"/>
              </w:rPr>
              <w:t>分）</w:t>
            </w:r>
          </w:p>
        </w:tc>
        <w:tc>
          <w:tcPr>
            <w:tcW w:w="5661" w:type="dxa"/>
            <w:noWrap w:val="0"/>
            <w:vAlign w:val="center"/>
          </w:tcPr>
          <w:p w14:paraId="63D6F56B">
            <w:pPr>
              <w:keepNext w:val="0"/>
              <w:keepLines w:val="0"/>
              <w:suppressLineNumbers w:val="0"/>
              <w:spacing w:before="0" w:beforeAutospacing="0" w:after="0" w:afterAutospacing="0"/>
              <w:ind w:left="0" w:right="0" w:firstLine="0" w:firstLineChars="0"/>
              <w:jc w:val="both"/>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5-8分：</w:t>
            </w:r>
            <w:r>
              <w:rPr>
                <w:rFonts w:hint="eastAsia" w:ascii="宋体" w:hAnsi="宋体" w:eastAsia="宋体" w:cs="宋体"/>
                <w:color w:val="auto"/>
                <w:sz w:val="21"/>
                <w:szCs w:val="21"/>
                <w:highlight w:val="none"/>
                <w:lang w:eastAsia="zh-Hans"/>
              </w:rPr>
              <w:t>网络链路与计算机终端</w:t>
            </w:r>
            <w:r>
              <w:rPr>
                <w:rFonts w:hint="eastAsia" w:ascii="宋体" w:hAnsi="宋体" w:eastAsia="宋体" w:cs="宋体"/>
                <w:color w:val="auto"/>
                <w:sz w:val="21"/>
                <w:szCs w:val="21"/>
                <w:highlight w:val="none"/>
                <w:lang w:eastAsia="zh-CN"/>
              </w:rPr>
              <w:t>正常运行，及时发现隐患并解决，线路布局合理，设备维护到位。</w:t>
            </w:r>
          </w:p>
          <w:p w14:paraId="1696469F">
            <w:pPr>
              <w:keepNext w:val="0"/>
              <w:keepLines w:val="0"/>
              <w:suppressLineNumbers w:val="0"/>
              <w:spacing w:before="0" w:beforeAutospacing="0" w:after="0" w:afterAutospacing="0"/>
              <w:ind w:left="0" w:right="0" w:firstLine="0" w:firstLineChars="0"/>
              <w:jc w:val="both"/>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1-4分：</w:t>
            </w:r>
            <w:r>
              <w:rPr>
                <w:rFonts w:hint="eastAsia" w:ascii="宋体" w:hAnsi="宋体" w:eastAsia="宋体" w:cs="宋体"/>
                <w:color w:val="auto"/>
                <w:sz w:val="21"/>
                <w:szCs w:val="21"/>
                <w:highlight w:val="none"/>
                <w:lang w:eastAsia="zh-Hans"/>
              </w:rPr>
              <w:t>网络链路与计算机终端</w:t>
            </w:r>
            <w:r>
              <w:rPr>
                <w:rFonts w:hint="eastAsia" w:ascii="宋体" w:hAnsi="宋体" w:eastAsia="宋体" w:cs="宋体"/>
                <w:color w:val="auto"/>
                <w:sz w:val="21"/>
                <w:szCs w:val="21"/>
                <w:highlight w:val="none"/>
                <w:lang w:eastAsia="zh-CN"/>
              </w:rPr>
              <w:t>运行基本正常，能发现隐患并解决，线路布局基本合理，设备维护较到位。</w:t>
            </w:r>
          </w:p>
          <w:p w14:paraId="74114910">
            <w:pPr>
              <w:keepNext w:val="0"/>
              <w:keepLines w:val="0"/>
              <w:suppressLineNumbers w:val="0"/>
              <w:spacing w:before="0" w:beforeAutospacing="0" w:after="0" w:afterAutospacing="0"/>
              <w:ind w:left="0" w:right="0" w:firstLine="0" w:firstLineChars="0"/>
              <w:jc w:val="both"/>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0分：</w:t>
            </w:r>
            <w:r>
              <w:rPr>
                <w:rFonts w:hint="eastAsia" w:ascii="宋体" w:hAnsi="宋体" w:eastAsia="宋体" w:cs="宋体"/>
                <w:color w:val="auto"/>
                <w:sz w:val="21"/>
                <w:szCs w:val="21"/>
                <w:highlight w:val="none"/>
                <w:lang w:eastAsia="zh-Hans"/>
              </w:rPr>
              <w:t>网络链路与计算机终端</w:t>
            </w:r>
            <w:r>
              <w:rPr>
                <w:rFonts w:hint="eastAsia" w:ascii="宋体" w:hAnsi="宋体" w:eastAsia="宋体" w:cs="宋体"/>
                <w:color w:val="auto"/>
                <w:sz w:val="21"/>
                <w:szCs w:val="21"/>
                <w:highlight w:val="none"/>
                <w:lang w:eastAsia="zh-CN"/>
              </w:rPr>
              <w:t>经常出现故障，处理不及时，线路布局不合理，设备维护不到位。</w:t>
            </w:r>
          </w:p>
        </w:tc>
        <w:tc>
          <w:tcPr>
            <w:tcW w:w="852" w:type="dxa"/>
            <w:noWrap w:val="0"/>
            <w:vAlign w:val="center"/>
          </w:tcPr>
          <w:p w14:paraId="2FCA985C">
            <w:pPr>
              <w:keepNext w:val="0"/>
              <w:keepLines w:val="0"/>
              <w:suppressLineNumbers w:val="0"/>
              <w:spacing w:before="0" w:beforeAutospacing="0" w:after="0" w:afterAutospacing="0"/>
              <w:ind w:left="0" w:right="0" w:firstLine="0" w:firstLineChars="0"/>
              <w:jc w:val="both"/>
              <w:rPr>
                <w:rFonts w:hint="default" w:ascii="宋体" w:hAnsi="宋体" w:eastAsia="宋体" w:cs="宋体"/>
                <w:bCs/>
                <w:color w:val="auto"/>
                <w:sz w:val="21"/>
                <w:szCs w:val="21"/>
                <w:highlight w:val="none"/>
                <w:lang w:eastAsia="zh-CN"/>
              </w:rPr>
            </w:pPr>
          </w:p>
        </w:tc>
      </w:tr>
      <w:tr w14:paraId="46A56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232" w:type="dxa"/>
            <w:vMerge w:val="continue"/>
            <w:noWrap w:val="0"/>
            <w:vAlign w:val="center"/>
          </w:tcPr>
          <w:p w14:paraId="2B36153D">
            <w:pPr>
              <w:keepNext w:val="0"/>
              <w:keepLines w:val="0"/>
              <w:suppressLineNumbers w:val="0"/>
              <w:spacing w:before="0" w:beforeAutospacing="0" w:after="0" w:afterAutospacing="0"/>
              <w:ind w:left="0" w:right="0" w:firstLine="0" w:firstLineChars="0"/>
              <w:jc w:val="both"/>
              <w:rPr>
                <w:rFonts w:hint="default" w:ascii="宋体" w:hAnsi="宋体" w:eastAsia="宋体" w:cs="宋体"/>
                <w:bCs/>
                <w:color w:val="auto"/>
                <w:sz w:val="21"/>
                <w:szCs w:val="21"/>
                <w:highlight w:val="none"/>
                <w:lang w:eastAsia="zh-CN"/>
              </w:rPr>
            </w:pPr>
          </w:p>
        </w:tc>
        <w:tc>
          <w:tcPr>
            <w:tcW w:w="1453" w:type="dxa"/>
            <w:noWrap w:val="0"/>
            <w:vAlign w:val="center"/>
          </w:tcPr>
          <w:p w14:paraId="0AE1B1A3">
            <w:pPr>
              <w:keepNext w:val="0"/>
              <w:keepLines w:val="0"/>
              <w:suppressLineNumbers w:val="0"/>
              <w:spacing w:before="0" w:beforeAutospacing="0" w:after="0" w:afterAutospacing="0"/>
              <w:ind w:left="0" w:right="0" w:firstLine="0" w:firstLineChars="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应用软件</w:t>
            </w:r>
          </w:p>
          <w:p w14:paraId="19C4D610">
            <w:pPr>
              <w:keepNext w:val="0"/>
              <w:keepLines w:val="0"/>
              <w:suppressLineNumbers w:val="0"/>
              <w:spacing w:before="0" w:beforeAutospacing="0" w:after="0" w:afterAutospacing="0"/>
              <w:ind w:left="0" w:right="0" w:firstLine="0" w:firstLineChars="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8</w:t>
            </w:r>
            <w:r>
              <w:rPr>
                <w:rFonts w:hint="eastAsia" w:ascii="宋体" w:hAnsi="宋体" w:eastAsia="宋体" w:cs="宋体"/>
                <w:color w:val="auto"/>
                <w:sz w:val="21"/>
                <w:szCs w:val="21"/>
                <w:highlight w:val="none"/>
              </w:rPr>
              <w:t>分）</w:t>
            </w:r>
          </w:p>
        </w:tc>
        <w:tc>
          <w:tcPr>
            <w:tcW w:w="5661" w:type="dxa"/>
            <w:noWrap w:val="0"/>
            <w:vAlign w:val="center"/>
          </w:tcPr>
          <w:p w14:paraId="55894DE1">
            <w:pPr>
              <w:keepNext w:val="0"/>
              <w:keepLines w:val="0"/>
              <w:suppressLineNumbers w:val="0"/>
              <w:spacing w:before="0" w:beforeAutospacing="0" w:after="0" w:afterAutospacing="0"/>
              <w:ind w:left="0" w:right="0" w:firstLine="0" w:firstLineChars="0"/>
              <w:jc w:val="both"/>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5-8分：保障应用程序稳定运行，及时修复漏洞，提供详尽指导，积极发现并解决安全隐患。</w:t>
            </w:r>
          </w:p>
          <w:p w14:paraId="2AF91806">
            <w:pPr>
              <w:keepNext w:val="0"/>
              <w:keepLines w:val="0"/>
              <w:suppressLineNumbers w:val="0"/>
              <w:spacing w:before="0" w:beforeAutospacing="0" w:after="0" w:afterAutospacing="0"/>
              <w:ind w:left="0" w:right="0" w:firstLine="0" w:firstLineChars="0"/>
              <w:jc w:val="both"/>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1-4分：应用程序运行较稳定，补丁应用稍滞后，提供一定指导，及时报告已知安全问题。</w:t>
            </w:r>
          </w:p>
          <w:p w14:paraId="3D0C1531">
            <w:pPr>
              <w:keepNext w:val="0"/>
              <w:keepLines w:val="0"/>
              <w:suppressLineNumbers w:val="0"/>
              <w:spacing w:before="0" w:beforeAutospacing="0" w:after="0" w:afterAutospacing="0"/>
              <w:ind w:left="0" w:right="0" w:firstLine="0" w:firstLineChars="0"/>
              <w:jc w:val="both"/>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0分：应用程序不稳定，补丁滞后，指导有限，被动发现安全隐患。</w:t>
            </w:r>
          </w:p>
        </w:tc>
        <w:tc>
          <w:tcPr>
            <w:tcW w:w="852" w:type="dxa"/>
            <w:noWrap w:val="0"/>
            <w:vAlign w:val="center"/>
          </w:tcPr>
          <w:p w14:paraId="257D88F4">
            <w:pPr>
              <w:keepNext w:val="0"/>
              <w:keepLines w:val="0"/>
              <w:suppressLineNumbers w:val="0"/>
              <w:spacing w:before="0" w:beforeAutospacing="0" w:after="0" w:afterAutospacing="0"/>
              <w:ind w:left="0" w:right="0" w:firstLine="0" w:firstLineChars="0"/>
              <w:jc w:val="both"/>
              <w:rPr>
                <w:rFonts w:hint="default" w:ascii="宋体" w:hAnsi="宋体" w:eastAsia="宋体" w:cs="宋体"/>
                <w:bCs/>
                <w:color w:val="auto"/>
                <w:sz w:val="21"/>
                <w:szCs w:val="21"/>
                <w:highlight w:val="none"/>
                <w:lang w:eastAsia="zh-CN"/>
              </w:rPr>
            </w:pPr>
          </w:p>
        </w:tc>
      </w:tr>
      <w:tr w14:paraId="45A8C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1232" w:type="dxa"/>
            <w:vMerge w:val="continue"/>
            <w:noWrap w:val="0"/>
            <w:vAlign w:val="center"/>
          </w:tcPr>
          <w:p w14:paraId="70566CB4">
            <w:pPr>
              <w:keepNext w:val="0"/>
              <w:keepLines w:val="0"/>
              <w:suppressLineNumbers w:val="0"/>
              <w:spacing w:before="0" w:beforeAutospacing="0" w:after="0" w:afterAutospacing="0"/>
              <w:ind w:left="0" w:right="0" w:firstLine="0" w:firstLineChars="0"/>
              <w:jc w:val="both"/>
              <w:rPr>
                <w:rFonts w:hint="default" w:ascii="宋体" w:hAnsi="宋体" w:eastAsia="宋体" w:cs="宋体"/>
                <w:bCs/>
                <w:color w:val="auto"/>
                <w:sz w:val="21"/>
                <w:szCs w:val="21"/>
                <w:highlight w:val="none"/>
                <w:lang w:eastAsia="zh-CN"/>
              </w:rPr>
            </w:pPr>
          </w:p>
        </w:tc>
        <w:tc>
          <w:tcPr>
            <w:tcW w:w="1453" w:type="dxa"/>
            <w:noWrap w:val="0"/>
            <w:vAlign w:val="center"/>
          </w:tcPr>
          <w:p w14:paraId="7A941CBB">
            <w:pPr>
              <w:keepNext w:val="0"/>
              <w:keepLines w:val="0"/>
              <w:suppressLineNumbers w:val="0"/>
              <w:spacing w:before="0" w:beforeAutospacing="0" w:after="0" w:afterAutospacing="0"/>
              <w:ind w:left="0" w:right="0" w:firstLine="0" w:firstLineChars="0"/>
              <w:jc w:val="center"/>
              <w:rPr>
                <w:rFonts w:hint="default" w:ascii="宋体" w:hAnsi="宋体" w:eastAsia="宋体" w:cs="宋体"/>
                <w:bCs/>
                <w:color w:val="auto"/>
                <w:sz w:val="21"/>
                <w:szCs w:val="21"/>
                <w:highlight w:val="none"/>
                <w:lang w:eastAsia="zh-Hans"/>
              </w:rPr>
            </w:pPr>
            <w:r>
              <w:rPr>
                <w:rFonts w:hint="eastAsia" w:ascii="宋体" w:hAnsi="宋体" w:eastAsia="宋体" w:cs="宋体"/>
                <w:bCs/>
                <w:color w:val="auto"/>
                <w:sz w:val="21"/>
                <w:szCs w:val="21"/>
                <w:highlight w:val="none"/>
              </w:rPr>
              <w:t>服务器</w:t>
            </w:r>
            <w:r>
              <w:rPr>
                <w:rFonts w:hint="eastAsia" w:ascii="宋体" w:hAnsi="宋体" w:eastAsia="宋体" w:cs="宋体"/>
                <w:bCs/>
                <w:color w:val="auto"/>
                <w:sz w:val="21"/>
                <w:szCs w:val="21"/>
                <w:highlight w:val="none"/>
                <w:lang w:eastAsia="zh-Hans"/>
              </w:rPr>
              <w:t>系统</w:t>
            </w:r>
          </w:p>
          <w:p w14:paraId="7FEADD7A">
            <w:pPr>
              <w:keepNext w:val="0"/>
              <w:keepLines w:val="0"/>
              <w:suppressLineNumbers w:val="0"/>
              <w:spacing w:before="0" w:beforeAutospacing="0" w:after="0" w:afterAutospacing="0"/>
              <w:ind w:left="0" w:right="0" w:firstLine="0" w:firstLineChars="0"/>
              <w:jc w:val="center"/>
              <w:rPr>
                <w:rFonts w:hint="default"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eastAsia="zh-CN"/>
              </w:rPr>
              <w:t>6</w:t>
            </w:r>
            <w:r>
              <w:rPr>
                <w:rFonts w:hint="eastAsia" w:ascii="宋体" w:hAnsi="宋体" w:eastAsia="宋体" w:cs="宋体"/>
                <w:bCs/>
                <w:color w:val="auto"/>
                <w:sz w:val="21"/>
                <w:szCs w:val="21"/>
                <w:highlight w:val="none"/>
              </w:rPr>
              <w:t>分）</w:t>
            </w:r>
          </w:p>
        </w:tc>
        <w:tc>
          <w:tcPr>
            <w:tcW w:w="5661" w:type="dxa"/>
            <w:noWrap w:val="0"/>
            <w:vAlign w:val="center"/>
          </w:tcPr>
          <w:p w14:paraId="1EC35ECB">
            <w:pPr>
              <w:keepNext w:val="0"/>
              <w:keepLines w:val="0"/>
              <w:suppressLineNumbers w:val="0"/>
              <w:spacing w:before="0" w:beforeAutospacing="0" w:after="0" w:afterAutospacing="0"/>
              <w:ind w:left="0" w:right="0" w:firstLine="0" w:firstLineChars="0"/>
              <w:jc w:val="both"/>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5-6分：服务器运行稳定，及时处理故障，</w:t>
            </w:r>
            <w:r>
              <w:rPr>
                <w:rFonts w:hint="eastAsia" w:ascii="宋体" w:hAnsi="宋体" w:eastAsia="宋体" w:cs="宋体"/>
                <w:color w:val="auto"/>
                <w:sz w:val="21"/>
                <w:szCs w:val="21"/>
                <w:highlight w:val="none"/>
                <w:lang w:eastAsia="zh-Hans"/>
              </w:rPr>
              <w:t>系统</w:t>
            </w:r>
            <w:r>
              <w:rPr>
                <w:rFonts w:hint="eastAsia" w:ascii="宋体" w:hAnsi="宋体" w:eastAsia="宋体" w:cs="宋体"/>
                <w:color w:val="auto"/>
                <w:sz w:val="21"/>
                <w:szCs w:val="21"/>
                <w:highlight w:val="none"/>
                <w:lang w:eastAsia="zh-CN"/>
              </w:rPr>
              <w:t>备份及时，性能监测有效，定期检查维护。</w:t>
            </w:r>
          </w:p>
          <w:p w14:paraId="3038EE9D">
            <w:pPr>
              <w:keepNext w:val="0"/>
              <w:keepLines w:val="0"/>
              <w:suppressLineNumbers w:val="0"/>
              <w:spacing w:before="0" w:beforeAutospacing="0" w:after="0" w:afterAutospacing="0"/>
              <w:ind w:left="0" w:right="0" w:firstLine="0" w:firstLineChars="0"/>
              <w:jc w:val="both"/>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3-4分：服务器运行基本稳定，能较快处理故障，</w:t>
            </w:r>
            <w:r>
              <w:rPr>
                <w:rFonts w:hint="eastAsia" w:ascii="宋体" w:hAnsi="宋体" w:eastAsia="宋体" w:cs="宋体"/>
                <w:color w:val="auto"/>
                <w:sz w:val="21"/>
                <w:szCs w:val="21"/>
                <w:highlight w:val="none"/>
                <w:lang w:eastAsia="zh-Hans"/>
              </w:rPr>
              <w:t>系统</w:t>
            </w:r>
            <w:r>
              <w:rPr>
                <w:rFonts w:hint="eastAsia" w:ascii="宋体" w:hAnsi="宋体" w:eastAsia="宋体" w:cs="宋体"/>
                <w:color w:val="auto"/>
                <w:sz w:val="21"/>
                <w:szCs w:val="21"/>
                <w:highlight w:val="none"/>
                <w:lang w:eastAsia="zh-CN"/>
              </w:rPr>
              <w:t>备份较及时，性能监测基本有效，有定期检查维护。</w:t>
            </w:r>
          </w:p>
          <w:p w14:paraId="05CABF9E">
            <w:pPr>
              <w:keepNext w:val="0"/>
              <w:keepLines w:val="0"/>
              <w:suppressLineNumbers w:val="0"/>
              <w:spacing w:before="0" w:beforeAutospacing="0" w:after="0" w:afterAutospacing="0"/>
              <w:ind w:left="0" w:right="0" w:firstLine="0" w:firstLineChars="0"/>
              <w:jc w:val="both"/>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1-2分：服务器经常出现故障，处理不及时，</w:t>
            </w:r>
            <w:r>
              <w:rPr>
                <w:rFonts w:hint="eastAsia" w:ascii="宋体" w:hAnsi="宋体" w:eastAsia="宋体" w:cs="宋体"/>
                <w:color w:val="auto"/>
                <w:sz w:val="21"/>
                <w:szCs w:val="21"/>
                <w:highlight w:val="none"/>
                <w:lang w:eastAsia="zh-Hans"/>
              </w:rPr>
              <w:t>系统</w:t>
            </w:r>
            <w:r>
              <w:rPr>
                <w:rFonts w:hint="eastAsia" w:ascii="宋体" w:hAnsi="宋体" w:eastAsia="宋体" w:cs="宋体"/>
                <w:color w:val="auto"/>
                <w:sz w:val="21"/>
                <w:szCs w:val="21"/>
                <w:highlight w:val="none"/>
                <w:lang w:eastAsia="zh-CN"/>
              </w:rPr>
              <w:t>备份不完备，性能监测不充分，缺乏定期检查维护。</w:t>
            </w:r>
          </w:p>
          <w:p w14:paraId="28C4EC88">
            <w:pPr>
              <w:keepNext w:val="0"/>
              <w:keepLines w:val="0"/>
              <w:suppressLineNumbers w:val="0"/>
              <w:spacing w:before="0" w:beforeAutospacing="0" w:after="0" w:afterAutospacing="0"/>
              <w:ind w:left="0" w:right="0" w:firstLine="0" w:firstLineChars="0"/>
              <w:jc w:val="both"/>
              <w:rPr>
                <w:rFonts w:hint="default"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lang w:eastAsia="zh-CN"/>
              </w:rPr>
              <w:t>0分：没有提供服务器运维服务或表现极为不合格。</w:t>
            </w:r>
          </w:p>
        </w:tc>
        <w:tc>
          <w:tcPr>
            <w:tcW w:w="852" w:type="dxa"/>
            <w:noWrap w:val="0"/>
            <w:vAlign w:val="center"/>
          </w:tcPr>
          <w:p w14:paraId="3FBEEDFB">
            <w:pPr>
              <w:keepNext w:val="0"/>
              <w:keepLines w:val="0"/>
              <w:suppressLineNumbers w:val="0"/>
              <w:spacing w:before="0" w:beforeAutospacing="0" w:after="0" w:afterAutospacing="0"/>
              <w:ind w:left="0" w:right="0" w:firstLine="0" w:firstLineChars="0"/>
              <w:jc w:val="both"/>
              <w:rPr>
                <w:rFonts w:hint="default" w:ascii="宋体" w:hAnsi="宋体" w:eastAsia="宋体" w:cs="宋体"/>
                <w:bCs/>
                <w:color w:val="auto"/>
                <w:sz w:val="21"/>
                <w:szCs w:val="21"/>
                <w:highlight w:val="none"/>
                <w:lang w:eastAsia="zh-CN"/>
              </w:rPr>
            </w:pPr>
          </w:p>
        </w:tc>
      </w:tr>
      <w:tr w14:paraId="5E9D2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232" w:type="dxa"/>
            <w:vMerge w:val="continue"/>
            <w:noWrap w:val="0"/>
            <w:vAlign w:val="center"/>
          </w:tcPr>
          <w:p w14:paraId="19A00E10">
            <w:pPr>
              <w:keepNext w:val="0"/>
              <w:keepLines w:val="0"/>
              <w:suppressLineNumbers w:val="0"/>
              <w:spacing w:before="0" w:beforeAutospacing="0" w:after="0" w:afterAutospacing="0"/>
              <w:ind w:left="0" w:right="0" w:firstLine="0" w:firstLineChars="0"/>
              <w:jc w:val="both"/>
              <w:rPr>
                <w:rFonts w:hint="default" w:ascii="宋体" w:hAnsi="宋体" w:eastAsia="宋体" w:cs="宋体"/>
                <w:bCs/>
                <w:color w:val="auto"/>
                <w:sz w:val="21"/>
                <w:szCs w:val="21"/>
                <w:highlight w:val="none"/>
                <w:lang w:eastAsia="zh-CN"/>
              </w:rPr>
            </w:pPr>
          </w:p>
        </w:tc>
        <w:tc>
          <w:tcPr>
            <w:tcW w:w="1453" w:type="dxa"/>
            <w:noWrap w:val="0"/>
            <w:vAlign w:val="center"/>
          </w:tcPr>
          <w:p w14:paraId="4E849BD2">
            <w:pPr>
              <w:keepNext w:val="0"/>
              <w:keepLines w:val="0"/>
              <w:suppressLineNumbers w:val="0"/>
              <w:spacing w:before="0" w:beforeAutospacing="0" w:after="0" w:afterAutospacing="0"/>
              <w:ind w:left="0" w:right="0" w:firstLine="0" w:firstLineChars="0"/>
              <w:jc w:val="center"/>
              <w:rPr>
                <w:rFonts w:hint="default"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存储系统</w:t>
            </w:r>
          </w:p>
          <w:p w14:paraId="7A8F36C0">
            <w:pPr>
              <w:keepNext w:val="0"/>
              <w:keepLines w:val="0"/>
              <w:suppressLineNumbers w:val="0"/>
              <w:spacing w:before="0" w:beforeAutospacing="0" w:after="0" w:afterAutospacing="0"/>
              <w:ind w:left="0" w:right="0" w:firstLine="0" w:firstLineChars="0"/>
              <w:jc w:val="center"/>
              <w:rPr>
                <w:rFonts w:hint="default"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eastAsia="zh-CN"/>
              </w:rPr>
              <w:t>6</w:t>
            </w:r>
            <w:r>
              <w:rPr>
                <w:rFonts w:hint="eastAsia" w:ascii="宋体" w:hAnsi="宋体" w:eastAsia="宋体" w:cs="宋体"/>
                <w:bCs/>
                <w:color w:val="auto"/>
                <w:sz w:val="21"/>
                <w:szCs w:val="21"/>
                <w:highlight w:val="none"/>
              </w:rPr>
              <w:t>分)</w:t>
            </w:r>
          </w:p>
        </w:tc>
        <w:tc>
          <w:tcPr>
            <w:tcW w:w="5661" w:type="dxa"/>
            <w:noWrap w:val="0"/>
            <w:vAlign w:val="center"/>
          </w:tcPr>
          <w:p w14:paraId="3CD53549">
            <w:pPr>
              <w:keepNext w:val="0"/>
              <w:keepLines w:val="0"/>
              <w:suppressLineNumbers w:val="0"/>
              <w:spacing w:before="0" w:beforeAutospacing="0" w:after="0" w:afterAutospacing="0"/>
              <w:ind w:left="0" w:right="0" w:firstLine="0" w:firstLineChars="0"/>
              <w:jc w:val="both"/>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5-6分：存储系统运行稳定，容量管理及时，</w:t>
            </w:r>
            <w:r>
              <w:rPr>
                <w:rFonts w:hint="eastAsia" w:ascii="宋体" w:hAnsi="宋体" w:eastAsia="宋体" w:cs="宋体"/>
                <w:color w:val="auto"/>
                <w:sz w:val="21"/>
                <w:szCs w:val="21"/>
                <w:highlight w:val="none"/>
                <w:lang w:eastAsia="zh-Hans"/>
              </w:rPr>
              <w:t>数据</w:t>
            </w:r>
            <w:r>
              <w:rPr>
                <w:rFonts w:hint="eastAsia" w:ascii="宋体" w:hAnsi="宋体" w:eastAsia="宋体" w:cs="宋体"/>
                <w:color w:val="auto"/>
                <w:sz w:val="21"/>
                <w:szCs w:val="21"/>
                <w:highlight w:val="none"/>
                <w:lang w:eastAsia="zh-CN"/>
              </w:rPr>
              <w:t>备份和恢复有效，定期优化维护。</w:t>
            </w:r>
          </w:p>
          <w:p w14:paraId="4B545D23">
            <w:pPr>
              <w:keepNext w:val="0"/>
              <w:keepLines w:val="0"/>
              <w:suppressLineNumbers w:val="0"/>
              <w:spacing w:before="0" w:beforeAutospacing="0" w:after="0" w:afterAutospacing="0"/>
              <w:ind w:left="0" w:right="0" w:firstLine="0" w:firstLineChars="0"/>
              <w:jc w:val="both"/>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3-4分：存储系统运行基本稳定，容量管理基本及时，</w:t>
            </w:r>
            <w:r>
              <w:rPr>
                <w:rFonts w:hint="eastAsia" w:ascii="宋体" w:hAnsi="宋体" w:eastAsia="宋体" w:cs="宋体"/>
                <w:color w:val="auto"/>
                <w:sz w:val="21"/>
                <w:szCs w:val="21"/>
                <w:highlight w:val="none"/>
                <w:lang w:eastAsia="zh-Hans"/>
              </w:rPr>
              <w:t>数据</w:t>
            </w:r>
            <w:r>
              <w:rPr>
                <w:rFonts w:hint="eastAsia" w:ascii="宋体" w:hAnsi="宋体" w:eastAsia="宋体" w:cs="宋体"/>
                <w:color w:val="auto"/>
                <w:sz w:val="21"/>
                <w:szCs w:val="21"/>
                <w:highlight w:val="none"/>
                <w:lang w:eastAsia="zh-CN"/>
              </w:rPr>
              <w:t>备份和恢复较有效，有定期优化维护。</w:t>
            </w:r>
          </w:p>
          <w:p w14:paraId="55060978">
            <w:pPr>
              <w:keepNext w:val="0"/>
              <w:keepLines w:val="0"/>
              <w:suppressLineNumbers w:val="0"/>
              <w:spacing w:before="0" w:beforeAutospacing="0" w:after="0" w:afterAutospacing="0"/>
              <w:ind w:left="0" w:right="0" w:firstLine="0" w:firstLineChars="0"/>
              <w:jc w:val="both"/>
              <w:rPr>
                <w:rFonts w:hint="default"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lang w:eastAsia="zh-CN"/>
              </w:rPr>
              <w:t>1-2分：存储系统经常出现问题，容量管理不及时，</w:t>
            </w:r>
            <w:r>
              <w:rPr>
                <w:rFonts w:hint="eastAsia" w:ascii="宋体" w:hAnsi="宋体" w:eastAsia="宋体" w:cs="宋体"/>
                <w:color w:val="auto"/>
                <w:sz w:val="21"/>
                <w:szCs w:val="21"/>
                <w:highlight w:val="none"/>
                <w:lang w:eastAsia="zh-Hans"/>
              </w:rPr>
              <w:t>数据</w:t>
            </w:r>
            <w:r>
              <w:rPr>
                <w:rFonts w:hint="eastAsia" w:ascii="宋体" w:hAnsi="宋体" w:eastAsia="宋体" w:cs="宋体"/>
                <w:color w:val="auto"/>
                <w:sz w:val="21"/>
                <w:szCs w:val="21"/>
                <w:highlight w:val="none"/>
                <w:lang w:eastAsia="zh-CN"/>
              </w:rPr>
              <w:t>备份和恢复不完备，缺乏定期优化维护。</w:t>
            </w:r>
          </w:p>
        </w:tc>
        <w:tc>
          <w:tcPr>
            <w:tcW w:w="852" w:type="dxa"/>
            <w:noWrap w:val="0"/>
            <w:vAlign w:val="center"/>
          </w:tcPr>
          <w:p w14:paraId="5D84EEE8">
            <w:pPr>
              <w:keepNext w:val="0"/>
              <w:keepLines w:val="0"/>
              <w:suppressLineNumbers w:val="0"/>
              <w:spacing w:before="0" w:beforeAutospacing="0" w:after="0" w:afterAutospacing="0"/>
              <w:ind w:left="0" w:right="0" w:firstLine="0" w:firstLineChars="0"/>
              <w:jc w:val="both"/>
              <w:rPr>
                <w:rFonts w:hint="default" w:ascii="宋体" w:hAnsi="宋体" w:eastAsia="宋体" w:cs="宋体"/>
                <w:bCs/>
                <w:color w:val="auto"/>
                <w:sz w:val="21"/>
                <w:szCs w:val="21"/>
                <w:highlight w:val="none"/>
                <w:lang w:eastAsia="zh-CN"/>
              </w:rPr>
            </w:pPr>
          </w:p>
        </w:tc>
      </w:tr>
      <w:tr w14:paraId="43009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jc w:val="center"/>
        </w:trPr>
        <w:tc>
          <w:tcPr>
            <w:tcW w:w="1232" w:type="dxa"/>
            <w:vMerge w:val="continue"/>
            <w:noWrap w:val="0"/>
            <w:vAlign w:val="center"/>
          </w:tcPr>
          <w:p w14:paraId="1FFCC3AF">
            <w:pPr>
              <w:keepNext w:val="0"/>
              <w:keepLines w:val="0"/>
              <w:suppressLineNumbers w:val="0"/>
              <w:spacing w:before="0" w:beforeAutospacing="0" w:after="0" w:afterAutospacing="0"/>
              <w:ind w:left="0" w:right="0" w:firstLine="0" w:firstLineChars="0"/>
              <w:jc w:val="both"/>
              <w:rPr>
                <w:rFonts w:hint="default" w:ascii="宋体" w:hAnsi="宋体" w:eastAsia="宋体" w:cs="宋体"/>
                <w:bCs/>
                <w:color w:val="auto"/>
                <w:sz w:val="21"/>
                <w:szCs w:val="21"/>
                <w:highlight w:val="none"/>
                <w:lang w:eastAsia="zh-CN"/>
              </w:rPr>
            </w:pPr>
          </w:p>
        </w:tc>
        <w:tc>
          <w:tcPr>
            <w:tcW w:w="1453" w:type="dxa"/>
            <w:noWrap w:val="0"/>
            <w:vAlign w:val="center"/>
          </w:tcPr>
          <w:p w14:paraId="0A6841F4">
            <w:pPr>
              <w:keepNext w:val="0"/>
              <w:keepLines w:val="0"/>
              <w:suppressLineNumbers w:val="0"/>
              <w:spacing w:before="0" w:beforeAutospacing="0" w:after="0" w:afterAutospacing="0"/>
              <w:ind w:left="0" w:right="0" w:firstLine="0" w:firstLineChars="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Hans"/>
              </w:rPr>
              <w:t>供电</w:t>
            </w:r>
            <w:r>
              <w:rPr>
                <w:rFonts w:hint="eastAsia" w:ascii="宋体" w:hAnsi="宋体" w:eastAsia="宋体" w:cs="宋体"/>
                <w:color w:val="auto"/>
                <w:sz w:val="21"/>
                <w:szCs w:val="21"/>
                <w:highlight w:val="none"/>
              </w:rPr>
              <w:t>系统</w:t>
            </w:r>
          </w:p>
          <w:p w14:paraId="0B617320">
            <w:pPr>
              <w:keepNext w:val="0"/>
              <w:keepLines w:val="0"/>
              <w:suppressLineNumbers w:val="0"/>
              <w:spacing w:before="0" w:beforeAutospacing="0" w:after="0" w:afterAutospacing="0"/>
              <w:ind w:left="0" w:right="0" w:firstLine="0" w:firstLineChars="0"/>
              <w:jc w:val="center"/>
              <w:rPr>
                <w:rFonts w:hint="default" w:ascii="宋体" w:hAnsi="宋体" w:eastAsia="宋体" w:cs="宋体"/>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eastAsia="zh-CN"/>
              </w:rPr>
              <w:t>6</w:t>
            </w:r>
            <w:r>
              <w:rPr>
                <w:rFonts w:hint="eastAsia" w:ascii="宋体" w:hAnsi="宋体" w:eastAsia="宋体" w:cs="宋体"/>
                <w:bCs/>
                <w:color w:val="auto"/>
                <w:sz w:val="21"/>
                <w:szCs w:val="21"/>
                <w:highlight w:val="none"/>
              </w:rPr>
              <w:t>分)</w:t>
            </w:r>
          </w:p>
        </w:tc>
        <w:tc>
          <w:tcPr>
            <w:tcW w:w="5661" w:type="dxa"/>
            <w:noWrap w:val="0"/>
            <w:vAlign w:val="center"/>
          </w:tcPr>
          <w:p w14:paraId="49027F49">
            <w:pPr>
              <w:keepNext w:val="0"/>
              <w:keepLines w:val="0"/>
              <w:suppressLineNumbers w:val="0"/>
              <w:spacing w:before="0" w:beforeAutospacing="0" w:after="0" w:afterAutospacing="0"/>
              <w:ind w:left="0" w:right="0" w:firstLine="0" w:firstLineChars="0"/>
              <w:jc w:val="both"/>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4-6分：</w:t>
            </w:r>
            <w:r>
              <w:rPr>
                <w:rFonts w:hint="eastAsia" w:ascii="宋体" w:hAnsi="宋体" w:eastAsia="宋体" w:cs="宋体"/>
                <w:color w:val="auto"/>
                <w:sz w:val="21"/>
                <w:szCs w:val="21"/>
                <w:highlight w:val="none"/>
                <w:lang w:eastAsia="zh-Hans"/>
              </w:rPr>
              <w:t>供电</w:t>
            </w:r>
            <w:r>
              <w:rPr>
                <w:rFonts w:hint="eastAsia" w:ascii="宋体" w:hAnsi="宋体" w:eastAsia="宋体" w:cs="宋体"/>
                <w:color w:val="auto"/>
                <w:sz w:val="21"/>
                <w:szCs w:val="21"/>
                <w:highlight w:val="none"/>
                <w:lang w:eastAsia="zh-CN"/>
              </w:rPr>
              <w:t>系统运行正常，及时发现并解决问题，</w:t>
            </w:r>
            <w:r>
              <w:rPr>
                <w:rFonts w:hint="eastAsia" w:ascii="宋体" w:hAnsi="宋体" w:eastAsia="宋体" w:cs="宋体"/>
                <w:color w:val="auto"/>
                <w:sz w:val="21"/>
                <w:szCs w:val="21"/>
                <w:highlight w:val="none"/>
                <w:lang w:eastAsia="zh-Hans"/>
              </w:rPr>
              <w:t>协助</w:t>
            </w:r>
            <w:r>
              <w:rPr>
                <w:rFonts w:hint="eastAsia" w:ascii="宋体" w:hAnsi="宋体" w:eastAsia="宋体" w:cs="宋体"/>
                <w:color w:val="auto"/>
                <w:sz w:val="21"/>
                <w:szCs w:val="21"/>
                <w:highlight w:val="none"/>
                <w:lang w:eastAsia="zh-CN"/>
              </w:rPr>
              <w:t>电池更换及时，定期检查维护。</w:t>
            </w:r>
          </w:p>
          <w:p w14:paraId="5281B1B8">
            <w:pPr>
              <w:keepNext w:val="0"/>
              <w:keepLines w:val="0"/>
              <w:suppressLineNumbers w:val="0"/>
              <w:spacing w:before="0" w:beforeAutospacing="0" w:after="0" w:afterAutospacing="0"/>
              <w:ind w:left="0" w:right="0" w:firstLine="0" w:firstLineChars="0"/>
              <w:jc w:val="both"/>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1-3分：</w:t>
            </w:r>
            <w:r>
              <w:rPr>
                <w:rFonts w:hint="eastAsia" w:ascii="宋体" w:hAnsi="宋体" w:eastAsia="宋体" w:cs="宋体"/>
                <w:color w:val="auto"/>
                <w:sz w:val="21"/>
                <w:szCs w:val="21"/>
                <w:highlight w:val="none"/>
                <w:lang w:eastAsia="zh-Hans"/>
              </w:rPr>
              <w:t>供电</w:t>
            </w:r>
            <w:r>
              <w:rPr>
                <w:rFonts w:hint="eastAsia" w:ascii="宋体" w:hAnsi="宋体" w:eastAsia="宋体" w:cs="宋体"/>
                <w:color w:val="auto"/>
                <w:sz w:val="21"/>
                <w:szCs w:val="21"/>
                <w:highlight w:val="none"/>
                <w:lang w:eastAsia="zh-CN"/>
              </w:rPr>
              <w:t>系统运行基本正常，能较快解决问题，</w:t>
            </w:r>
            <w:r>
              <w:rPr>
                <w:rFonts w:hint="eastAsia" w:ascii="宋体" w:hAnsi="宋体" w:eastAsia="宋体" w:cs="宋体"/>
                <w:color w:val="auto"/>
                <w:sz w:val="21"/>
                <w:szCs w:val="21"/>
                <w:highlight w:val="none"/>
                <w:lang w:eastAsia="zh-Hans"/>
              </w:rPr>
              <w:t>协助</w:t>
            </w:r>
            <w:r>
              <w:rPr>
                <w:rFonts w:hint="eastAsia" w:ascii="宋体" w:hAnsi="宋体" w:eastAsia="宋体" w:cs="宋体"/>
                <w:color w:val="auto"/>
                <w:sz w:val="21"/>
                <w:szCs w:val="21"/>
                <w:highlight w:val="none"/>
                <w:lang w:eastAsia="zh-CN"/>
              </w:rPr>
              <w:t>电池更换较及时，有定期检查维护。</w:t>
            </w:r>
          </w:p>
          <w:p w14:paraId="1197E327">
            <w:pPr>
              <w:keepNext w:val="0"/>
              <w:keepLines w:val="0"/>
              <w:suppressLineNumbers w:val="0"/>
              <w:spacing w:before="0" w:beforeAutospacing="0" w:after="0" w:afterAutospacing="0"/>
              <w:ind w:left="0" w:right="0" w:firstLine="0" w:firstLineChars="0"/>
              <w:jc w:val="both"/>
              <w:rPr>
                <w:rFonts w:hint="default"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lang w:eastAsia="zh-CN"/>
              </w:rPr>
              <w:t>0分：</w:t>
            </w:r>
            <w:r>
              <w:rPr>
                <w:rFonts w:hint="eastAsia" w:ascii="宋体" w:hAnsi="宋体" w:eastAsia="宋体" w:cs="宋体"/>
                <w:color w:val="auto"/>
                <w:sz w:val="21"/>
                <w:szCs w:val="21"/>
                <w:highlight w:val="none"/>
                <w:lang w:eastAsia="zh-Hans"/>
              </w:rPr>
              <w:t>供电</w:t>
            </w:r>
            <w:r>
              <w:rPr>
                <w:rFonts w:hint="eastAsia" w:ascii="宋体" w:hAnsi="宋体" w:eastAsia="宋体" w:cs="宋体"/>
                <w:color w:val="auto"/>
                <w:sz w:val="21"/>
                <w:szCs w:val="21"/>
                <w:highlight w:val="none"/>
                <w:lang w:eastAsia="zh-CN"/>
              </w:rPr>
              <w:t>系统经常出现故障，处理不及时，</w:t>
            </w:r>
            <w:r>
              <w:rPr>
                <w:rFonts w:hint="eastAsia" w:ascii="宋体" w:hAnsi="宋体" w:eastAsia="宋体" w:cs="宋体"/>
                <w:color w:val="auto"/>
                <w:sz w:val="21"/>
                <w:szCs w:val="21"/>
                <w:highlight w:val="none"/>
                <w:lang w:eastAsia="zh-Hans"/>
              </w:rPr>
              <w:t>协助</w:t>
            </w:r>
            <w:r>
              <w:rPr>
                <w:rFonts w:hint="eastAsia" w:ascii="宋体" w:hAnsi="宋体" w:eastAsia="宋体" w:cs="宋体"/>
                <w:color w:val="auto"/>
                <w:sz w:val="21"/>
                <w:szCs w:val="21"/>
                <w:highlight w:val="none"/>
                <w:lang w:eastAsia="zh-CN"/>
              </w:rPr>
              <w:t>电池更换不及时，缺乏定期检查维护。</w:t>
            </w:r>
          </w:p>
        </w:tc>
        <w:tc>
          <w:tcPr>
            <w:tcW w:w="852" w:type="dxa"/>
            <w:noWrap w:val="0"/>
            <w:vAlign w:val="center"/>
          </w:tcPr>
          <w:p w14:paraId="7BE3DFA7">
            <w:pPr>
              <w:keepNext w:val="0"/>
              <w:keepLines w:val="0"/>
              <w:suppressLineNumbers w:val="0"/>
              <w:spacing w:before="0" w:beforeAutospacing="0" w:after="0" w:afterAutospacing="0"/>
              <w:ind w:left="0" w:right="0" w:firstLine="0" w:firstLineChars="0"/>
              <w:jc w:val="both"/>
              <w:rPr>
                <w:rFonts w:hint="default" w:ascii="宋体" w:hAnsi="宋体" w:eastAsia="宋体" w:cs="宋体"/>
                <w:bCs/>
                <w:color w:val="auto"/>
                <w:sz w:val="21"/>
                <w:szCs w:val="21"/>
                <w:highlight w:val="none"/>
                <w:lang w:eastAsia="zh-CN"/>
              </w:rPr>
            </w:pPr>
          </w:p>
        </w:tc>
      </w:tr>
      <w:tr w14:paraId="19768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32" w:type="dxa"/>
            <w:vMerge w:val="continue"/>
            <w:noWrap w:val="0"/>
            <w:vAlign w:val="center"/>
          </w:tcPr>
          <w:p w14:paraId="6DB15761">
            <w:pPr>
              <w:keepNext w:val="0"/>
              <w:keepLines w:val="0"/>
              <w:suppressLineNumbers w:val="0"/>
              <w:spacing w:before="0" w:beforeAutospacing="0" w:after="0" w:afterAutospacing="0"/>
              <w:ind w:left="0" w:right="0" w:firstLine="0" w:firstLineChars="0"/>
              <w:jc w:val="both"/>
              <w:rPr>
                <w:rFonts w:hint="default" w:ascii="宋体" w:hAnsi="宋体" w:eastAsia="宋体" w:cs="宋体"/>
                <w:bCs/>
                <w:color w:val="auto"/>
                <w:sz w:val="21"/>
                <w:szCs w:val="21"/>
                <w:highlight w:val="none"/>
                <w:lang w:eastAsia="zh-CN"/>
              </w:rPr>
            </w:pPr>
          </w:p>
        </w:tc>
        <w:tc>
          <w:tcPr>
            <w:tcW w:w="1453" w:type="dxa"/>
            <w:noWrap w:val="0"/>
            <w:vAlign w:val="center"/>
          </w:tcPr>
          <w:p w14:paraId="63E03E75">
            <w:pPr>
              <w:keepNext w:val="0"/>
              <w:keepLines w:val="0"/>
              <w:suppressLineNumbers w:val="0"/>
              <w:spacing w:before="0" w:beforeAutospacing="0" w:after="0" w:afterAutospacing="0"/>
              <w:ind w:left="0" w:right="0" w:firstLine="0" w:firstLineChars="0"/>
              <w:jc w:val="center"/>
              <w:rPr>
                <w:rFonts w:hint="default" w:ascii="宋体" w:hAnsi="宋体" w:eastAsia="宋体" w:cs="宋体"/>
                <w:bCs/>
                <w:color w:val="auto"/>
                <w:sz w:val="21"/>
                <w:szCs w:val="21"/>
                <w:highlight w:val="none"/>
                <w:lang w:eastAsia="zh-Hans"/>
              </w:rPr>
            </w:pPr>
            <w:r>
              <w:rPr>
                <w:rFonts w:hint="eastAsia" w:ascii="宋体" w:hAnsi="宋体" w:eastAsia="宋体" w:cs="宋体"/>
                <w:bCs/>
                <w:color w:val="auto"/>
                <w:sz w:val="21"/>
                <w:szCs w:val="21"/>
                <w:highlight w:val="none"/>
              </w:rPr>
              <w:t>业务</w:t>
            </w:r>
            <w:r>
              <w:rPr>
                <w:rFonts w:hint="eastAsia" w:ascii="宋体" w:hAnsi="宋体" w:eastAsia="宋体" w:cs="宋体"/>
                <w:bCs/>
                <w:color w:val="auto"/>
                <w:sz w:val="21"/>
                <w:szCs w:val="21"/>
                <w:highlight w:val="none"/>
                <w:lang w:eastAsia="zh-Hans"/>
              </w:rPr>
              <w:t>系统</w:t>
            </w:r>
          </w:p>
          <w:p w14:paraId="00DE4AA8">
            <w:pPr>
              <w:keepNext w:val="0"/>
              <w:keepLines w:val="0"/>
              <w:suppressLineNumbers w:val="0"/>
              <w:spacing w:before="0" w:beforeAutospacing="0" w:after="0" w:afterAutospacing="0"/>
              <w:ind w:left="0" w:right="0" w:firstLine="0" w:firstLineChars="0"/>
              <w:jc w:val="center"/>
              <w:rPr>
                <w:rFonts w:hint="default"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eastAsia="zh-CN"/>
              </w:rPr>
              <w:t>6</w:t>
            </w:r>
            <w:r>
              <w:rPr>
                <w:rFonts w:hint="eastAsia" w:ascii="宋体" w:hAnsi="宋体" w:eastAsia="宋体" w:cs="宋体"/>
                <w:bCs/>
                <w:color w:val="auto"/>
                <w:sz w:val="21"/>
                <w:szCs w:val="21"/>
                <w:highlight w:val="none"/>
              </w:rPr>
              <w:t>分）</w:t>
            </w:r>
          </w:p>
        </w:tc>
        <w:tc>
          <w:tcPr>
            <w:tcW w:w="5661" w:type="dxa"/>
            <w:noWrap w:val="0"/>
            <w:vAlign w:val="center"/>
          </w:tcPr>
          <w:p w14:paraId="296F0795">
            <w:pPr>
              <w:keepNext w:val="0"/>
              <w:keepLines w:val="0"/>
              <w:suppressLineNumbers w:val="0"/>
              <w:spacing w:before="0" w:beforeAutospacing="0" w:after="0" w:afterAutospacing="0"/>
              <w:ind w:left="0" w:right="0" w:firstLine="0" w:firstLineChars="0"/>
              <w:jc w:val="both"/>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4-6分：</w:t>
            </w:r>
            <w:r>
              <w:rPr>
                <w:rFonts w:hint="eastAsia" w:ascii="宋体" w:hAnsi="宋体" w:eastAsia="宋体" w:cs="宋体"/>
                <w:color w:val="auto"/>
                <w:sz w:val="21"/>
                <w:szCs w:val="21"/>
                <w:highlight w:val="none"/>
                <w:lang w:eastAsia="zh-Hans"/>
              </w:rPr>
              <w:t>业务</w:t>
            </w:r>
            <w:r>
              <w:rPr>
                <w:rFonts w:hint="eastAsia" w:ascii="宋体" w:hAnsi="宋体" w:eastAsia="宋体" w:cs="宋体"/>
                <w:color w:val="auto"/>
                <w:sz w:val="21"/>
                <w:szCs w:val="21"/>
                <w:highlight w:val="none"/>
                <w:lang w:eastAsia="zh-CN"/>
              </w:rPr>
              <w:t>系统运行稳定，及时处理故障，备份及时有效，定期优化维护，用户支持到位。</w:t>
            </w:r>
          </w:p>
          <w:p w14:paraId="19861243">
            <w:pPr>
              <w:keepNext w:val="0"/>
              <w:keepLines w:val="0"/>
              <w:suppressLineNumbers w:val="0"/>
              <w:spacing w:before="0" w:beforeAutospacing="0" w:after="0" w:afterAutospacing="0"/>
              <w:ind w:left="0" w:right="0" w:firstLine="0" w:firstLineChars="0"/>
              <w:jc w:val="both"/>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1-3分：</w:t>
            </w:r>
            <w:r>
              <w:rPr>
                <w:rFonts w:hint="eastAsia" w:ascii="宋体" w:hAnsi="宋体" w:eastAsia="宋体" w:cs="宋体"/>
                <w:color w:val="auto"/>
                <w:sz w:val="21"/>
                <w:szCs w:val="21"/>
                <w:highlight w:val="none"/>
                <w:lang w:eastAsia="zh-Hans"/>
              </w:rPr>
              <w:t>业务</w:t>
            </w:r>
            <w:r>
              <w:rPr>
                <w:rFonts w:hint="eastAsia" w:ascii="宋体" w:hAnsi="宋体" w:eastAsia="宋体" w:cs="宋体"/>
                <w:color w:val="auto"/>
                <w:sz w:val="21"/>
                <w:szCs w:val="21"/>
                <w:highlight w:val="none"/>
                <w:lang w:eastAsia="zh-CN"/>
              </w:rPr>
              <w:t>系统运行基本稳定，能较快处理故障，备份较及时，有定期优化维护，用户支持基本到位。</w:t>
            </w:r>
          </w:p>
          <w:p w14:paraId="7E1358BA">
            <w:pPr>
              <w:keepNext w:val="0"/>
              <w:keepLines w:val="0"/>
              <w:suppressLineNumbers w:val="0"/>
              <w:spacing w:before="0" w:beforeAutospacing="0" w:after="0" w:afterAutospacing="0"/>
              <w:ind w:left="0" w:right="0" w:firstLine="0" w:firstLineChars="0"/>
              <w:jc w:val="both"/>
              <w:rPr>
                <w:rFonts w:hint="default" w:ascii="Times New Roman" w:hAnsi="Times New Roman" w:eastAsia="宋体" w:cs="Times New Roman"/>
                <w:color w:val="auto"/>
                <w:sz w:val="21"/>
                <w:szCs w:val="21"/>
                <w:highlight w:val="none"/>
                <w:lang w:eastAsia="zh-CN"/>
              </w:rPr>
            </w:pPr>
            <w:r>
              <w:rPr>
                <w:rFonts w:hint="eastAsia" w:ascii="宋体" w:hAnsi="宋体" w:eastAsia="宋体" w:cs="宋体"/>
                <w:color w:val="auto"/>
                <w:sz w:val="21"/>
                <w:szCs w:val="21"/>
                <w:highlight w:val="none"/>
                <w:lang w:eastAsia="zh-CN"/>
              </w:rPr>
              <w:t>0分：</w:t>
            </w:r>
            <w:r>
              <w:rPr>
                <w:rFonts w:hint="eastAsia" w:ascii="宋体" w:hAnsi="宋体" w:eastAsia="宋体" w:cs="宋体"/>
                <w:color w:val="auto"/>
                <w:sz w:val="21"/>
                <w:szCs w:val="21"/>
                <w:highlight w:val="none"/>
                <w:lang w:eastAsia="zh-Hans"/>
              </w:rPr>
              <w:t>业务</w:t>
            </w:r>
            <w:r>
              <w:rPr>
                <w:rFonts w:hint="eastAsia" w:ascii="宋体" w:hAnsi="宋体" w:eastAsia="宋体" w:cs="宋体"/>
                <w:color w:val="auto"/>
                <w:sz w:val="21"/>
                <w:szCs w:val="21"/>
                <w:highlight w:val="none"/>
                <w:lang w:eastAsia="zh-CN"/>
              </w:rPr>
              <w:t>系统经常出现问题，处理不及时，备份不完备，缺乏定期优化维护，用户支持不足。</w:t>
            </w:r>
          </w:p>
        </w:tc>
        <w:tc>
          <w:tcPr>
            <w:tcW w:w="852" w:type="dxa"/>
            <w:noWrap w:val="0"/>
            <w:vAlign w:val="center"/>
          </w:tcPr>
          <w:p w14:paraId="519E0753">
            <w:pPr>
              <w:keepNext w:val="0"/>
              <w:keepLines w:val="0"/>
              <w:suppressLineNumbers w:val="0"/>
              <w:spacing w:before="0" w:beforeAutospacing="0" w:after="0" w:afterAutospacing="0"/>
              <w:ind w:left="0" w:right="0" w:firstLine="0" w:firstLineChars="0"/>
              <w:jc w:val="both"/>
              <w:rPr>
                <w:rFonts w:hint="default" w:ascii="宋体" w:hAnsi="宋体" w:eastAsia="宋体" w:cs="宋体"/>
                <w:bCs/>
                <w:color w:val="auto"/>
                <w:sz w:val="21"/>
                <w:szCs w:val="21"/>
                <w:highlight w:val="none"/>
                <w:lang w:eastAsia="zh-CN"/>
              </w:rPr>
            </w:pPr>
          </w:p>
        </w:tc>
      </w:tr>
      <w:tr w14:paraId="6D16B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32" w:type="dxa"/>
            <w:vMerge w:val="restart"/>
            <w:noWrap w:val="0"/>
            <w:vAlign w:val="center"/>
          </w:tcPr>
          <w:p w14:paraId="0C838F03">
            <w:pPr>
              <w:keepNext w:val="0"/>
              <w:keepLines w:val="0"/>
              <w:suppressLineNumbers w:val="0"/>
              <w:spacing w:before="0" w:beforeAutospacing="0" w:after="0" w:afterAutospacing="0"/>
              <w:ind w:left="0" w:right="0" w:firstLine="0" w:firstLineChars="0"/>
              <w:jc w:val="both"/>
              <w:rPr>
                <w:rFonts w:hint="default"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Hans"/>
              </w:rPr>
              <w:t>运维管理</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eastAsia="zh-CN"/>
              </w:rPr>
              <w:t>36</w:t>
            </w:r>
            <w:r>
              <w:rPr>
                <w:rFonts w:hint="eastAsia" w:ascii="宋体" w:hAnsi="宋体" w:eastAsia="宋体" w:cs="宋体"/>
                <w:bCs/>
                <w:color w:val="auto"/>
                <w:sz w:val="21"/>
                <w:szCs w:val="21"/>
                <w:highlight w:val="none"/>
              </w:rPr>
              <w:t>分）</w:t>
            </w:r>
          </w:p>
        </w:tc>
        <w:tc>
          <w:tcPr>
            <w:tcW w:w="1453" w:type="dxa"/>
            <w:noWrap w:val="0"/>
            <w:vAlign w:val="center"/>
          </w:tcPr>
          <w:p w14:paraId="4BE4CA34">
            <w:pPr>
              <w:keepNext w:val="0"/>
              <w:keepLines w:val="0"/>
              <w:suppressLineNumbers w:val="0"/>
              <w:spacing w:before="0" w:beforeAutospacing="0" w:after="0" w:afterAutospacing="0"/>
              <w:ind w:left="0" w:right="0" w:firstLine="0" w:firstLineChars="0"/>
              <w:jc w:val="center"/>
              <w:rPr>
                <w:rFonts w:hint="default" w:ascii="宋体" w:hAnsi="宋体" w:eastAsia="宋体" w:cs="宋体"/>
                <w:bCs/>
                <w:color w:val="auto"/>
                <w:sz w:val="21"/>
                <w:szCs w:val="21"/>
                <w:highlight w:val="none"/>
                <w:lang w:eastAsia="zh-Hans"/>
              </w:rPr>
            </w:pPr>
            <w:r>
              <w:rPr>
                <w:rFonts w:hint="eastAsia" w:ascii="宋体" w:hAnsi="宋体" w:eastAsia="宋体" w:cs="宋体"/>
                <w:bCs/>
                <w:color w:val="auto"/>
                <w:sz w:val="21"/>
                <w:szCs w:val="21"/>
                <w:highlight w:val="none"/>
                <w:lang w:eastAsia="zh-Hans"/>
              </w:rPr>
              <w:t>考勤情况</w:t>
            </w:r>
          </w:p>
          <w:p w14:paraId="0EA24420">
            <w:pPr>
              <w:keepNext w:val="0"/>
              <w:keepLines w:val="0"/>
              <w:suppressLineNumbers w:val="0"/>
              <w:spacing w:before="0" w:beforeAutospacing="0" w:after="0" w:afterAutospacing="0"/>
              <w:ind w:left="0" w:right="0" w:firstLine="0" w:firstLineChars="0"/>
              <w:jc w:val="center"/>
              <w:rPr>
                <w:rFonts w:hint="default"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default"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2</w:t>
            </w:r>
            <w:r>
              <w:rPr>
                <w:rFonts w:hint="eastAsia" w:ascii="宋体" w:hAnsi="宋体" w:eastAsia="宋体" w:cs="宋体"/>
                <w:bCs/>
                <w:color w:val="auto"/>
                <w:sz w:val="21"/>
                <w:szCs w:val="21"/>
                <w:highlight w:val="none"/>
              </w:rPr>
              <w:t>分)</w:t>
            </w:r>
          </w:p>
        </w:tc>
        <w:tc>
          <w:tcPr>
            <w:tcW w:w="5661" w:type="dxa"/>
            <w:noWrap w:val="0"/>
            <w:vAlign w:val="center"/>
          </w:tcPr>
          <w:p w14:paraId="16BC68A3">
            <w:pPr>
              <w:keepNext w:val="0"/>
              <w:keepLines w:val="0"/>
              <w:suppressLineNumbers w:val="0"/>
              <w:spacing w:before="0" w:beforeAutospacing="0" w:after="0" w:afterAutospacing="0"/>
              <w:ind w:left="0" w:right="0" w:firstLine="0" w:firstLineChars="0"/>
              <w:jc w:val="both"/>
              <w:rPr>
                <w:rFonts w:hint="default"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eastAsia="zh-CN"/>
              </w:rPr>
              <w:t>9-12分：</w:t>
            </w:r>
            <w:r>
              <w:rPr>
                <w:rFonts w:hint="eastAsia" w:ascii="宋体" w:hAnsi="宋体" w:eastAsia="宋体" w:cs="宋体"/>
                <w:color w:val="auto"/>
                <w:sz w:val="21"/>
                <w:szCs w:val="21"/>
                <w:highlight w:val="none"/>
                <w:lang w:eastAsia="zh-Hans"/>
              </w:rPr>
              <w:t>无</w:t>
            </w:r>
            <w:r>
              <w:rPr>
                <w:rFonts w:hint="eastAsia" w:ascii="宋体" w:hAnsi="宋体" w:eastAsia="宋体" w:cs="宋体"/>
                <w:color w:val="auto"/>
                <w:sz w:val="21"/>
                <w:szCs w:val="21"/>
                <w:highlight w:val="none"/>
                <w:lang w:eastAsia="zh-CN"/>
              </w:rPr>
              <w:t>迟到早退</w:t>
            </w:r>
            <w:r>
              <w:rPr>
                <w:rFonts w:hint="eastAsia" w:ascii="宋体" w:hAnsi="宋体" w:eastAsia="宋体" w:cs="宋体"/>
                <w:color w:val="auto"/>
                <w:sz w:val="21"/>
                <w:szCs w:val="21"/>
                <w:highlight w:val="none"/>
                <w:lang w:eastAsia="zh-Hans"/>
              </w:rPr>
              <w:t>、旷工情况，如业务需要积极</w:t>
            </w:r>
            <w:r>
              <w:rPr>
                <w:rFonts w:hint="eastAsia" w:ascii="宋体" w:hAnsi="宋体" w:eastAsia="宋体" w:cs="宋体"/>
                <w:color w:val="auto"/>
                <w:sz w:val="21"/>
                <w:szCs w:val="21"/>
                <w:highlight w:val="none"/>
                <w:lang w:eastAsia="zh-CN"/>
              </w:rPr>
              <w:t>配合加班</w:t>
            </w:r>
            <w:r>
              <w:rPr>
                <w:rFonts w:hint="eastAsia" w:ascii="宋体" w:hAnsi="宋体" w:eastAsia="宋体" w:cs="宋体"/>
                <w:color w:val="auto"/>
                <w:sz w:val="21"/>
                <w:szCs w:val="21"/>
                <w:highlight w:val="none"/>
                <w:lang w:eastAsia="zh-Hans"/>
              </w:rPr>
              <w:t>。</w:t>
            </w:r>
          </w:p>
          <w:p w14:paraId="1347BE4A">
            <w:pPr>
              <w:keepNext w:val="0"/>
              <w:keepLines w:val="0"/>
              <w:suppressLineNumbers w:val="0"/>
              <w:spacing w:before="0" w:beforeAutospacing="0" w:after="0" w:afterAutospacing="0"/>
              <w:ind w:left="0" w:right="0" w:firstLine="0" w:firstLineChars="0"/>
              <w:jc w:val="both"/>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5-8分：</w:t>
            </w:r>
            <w:r>
              <w:rPr>
                <w:rFonts w:hint="eastAsia" w:ascii="宋体" w:hAnsi="宋体" w:eastAsia="宋体" w:cs="宋体"/>
                <w:color w:val="auto"/>
                <w:sz w:val="21"/>
                <w:szCs w:val="21"/>
                <w:highlight w:val="none"/>
                <w:lang w:eastAsia="zh-Hans"/>
              </w:rPr>
              <w:t>出现</w:t>
            </w:r>
            <w:r>
              <w:rPr>
                <w:rFonts w:hint="eastAsia" w:ascii="宋体" w:hAnsi="宋体" w:eastAsia="宋体" w:cs="宋体"/>
                <w:color w:val="auto"/>
                <w:sz w:val="21"/>
                <w:szCs w:val="21"/>
                <w:highlight w:val="none"/>
                <w:lang w:eastAsia="zh-CN"/>
              </w:rPr>
              <w:t>迟到早退</w:t>
            </w:r>
            <w:r>
              <w:rPr>
                <w:rFonts w:hint="eastAsia" w:ascii="宋体" w:hAnsi="宋体" w:eastAsia="宋体" w:cs="宋体"/>
                <w:color w:val="auto"/>
                <w:sz w:val="21"/>
                <w:szCs w:val="21"/>
                <w:highlight w:val="none"/>
                <w:lang w:eastAsia="zh-Hans"/>
              </w:rPr>
              <w:t>1</w:t>
            </w:r>
            <w:r>
              <w:rPr>
                <w:rFonts w:hint="eastAsia" w:ascii="宋体" w:hAnsi="宋体" w:eastAsia="宋体" w:cs="宋体"/>
                <w:color w:val="auto"/>
                <w:sz w:val="21"/>
                <w:szCs w:val="21"/>
                <w:highlight w:val="none"/>
                <w:lang w:eastAsia="zh-CN"/>
              </w:rPr>
              <w:t>次</w:t>
            </w:r>
            <w:r>
              <w:rPr>
                <w:rFonts w:hint="eastAsia" w:ascii="宋体" w:hAnsi="宋体" w:eastAsia="宋体" w:cs="宋体"/>
                <w:color w:val="auto"/>
                <w:sz w:val="21"/>
                <w:szCs w:val="21"/>
                <w:highlight w:val="none"/>
                <w:lang w:eastAsia="zh-Hans"/>
              </w:rPr>
              <w:t>，但无旷工情况，如业务需要较积极</w:t>
            </w:r>
            <w:r>
              <w:rPr>
                <w:rFonts w:hint="eastAsia" w:ascii="宋体" w:hAnsi="宋体" w:eastAsia="宋体" w:cs="宋体"/>
                <w:color w:val="auto"/>
                <w:sz w:val="21"/>
                <w:szCs w:val="21"/>
                <w:highlight w:val="none"/>
                <w:lang w:eastAsia="zh-CN"/>
              </w:rPr>
              <w:t>配合加班</w:t>
            </w:r>
            <w:r>
              <w:rPr>
                <w:rFonts w:hint="eastAsia" w:ascii="宋体" w:hAnsi="宋体" w:eastAsia="宋体" w:cs="宋体"/>
                <w:color w:val="auto"/>
                <w:sz w:val="21"/>
                <w:szCs w:val="21"/>
                <w:highlight w:val="none"/>
                <w:lang w:eastAsia="zh-Hans"/>
              </w:rPr>
              <w:t>。</w:t>
            </w:r>
          </w:p>
          <w:p w14:paraId="457FBCC4">
            <w:pPr>
              <w:keepNext w:val="0"/>
              <w:keepLines w:val="0"/>
              <w:suppressLineNumbers w:val="0"/>
              <w:spacing w:before="0" w:beforeAutospacing="0" w:after="0" w:afterAutospacing="0"/>
              <w:ind w:left="0" w:right="0" w:firstLine="0" w:firstLineChars="0"/>
              <w:jc w:val="both"/>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1-4分：</w:t>
            </w:r>
            <w:r>
              <w:rPr>
                <w:rFonts w:hint="eastAsia" w:ascii="宋体" w:hAnsi="宋体" w:eastAsia="宋体" w:cs="宋体"/>
                <w:color w:val="auto"/>
                <w:sz w:val="21"/>
                <w:szCs w:val="21"/>
                <w:highlight w:val="none"/>
                <w:lang w:eastAsia="zh-Hans"/>
              </w:rPr>
              <w:t>出现</w:t>
            </w:r>
            <w:r>
              <w:rPr>
                <w:rFonts w:hint="eastAsia" w:ascii="宋体" w:hAnsi="宋体" w:eastAsia="宋体" w:cs="宋体"/>
                <w:color w:val="auto"/>
                <w:sz w:val="21"/>
                <w:szCs w:val="21"/>
                <w:highlight w:val="none"/>
                <w:lang w:eastAsia="zh-CN"/>
              </w:rPr>
              <w:t>迟到早退</w:t>
            </w:r>
            <w:r>
              <w:rPr>
                <w:rFonts w:hint="eastAsia" w:ascii="宋体" w:hAnsi="宋体" w:eastAsia="宋体" w:cs="宋体"/>
                <w:color w:val="auto"/>
                <w:sz w:val="21"/>
                <w:szCs w:val="21"/>
                <w:highlight w:val="none"/>
                <w:lang w:eastAsia="zh-Hans"/>
              </w:rPr>
              <w:t>累积不得超过3</w:t>
            </w:r>
            <w:r>
              <w:rPr>
                <w:rFonts w:hint="eastAsia" w:ascii="宋体" w:hAnsi="宋体" w:eastAsia="宋体" w:cs="宋体"/>
                <w:color w:val="auto"/>
                <w:sz w:val="21"/>
                <w:szCs w:val="21"/>
                <w:highlight w:val="none"/>
                <w:lang w:eastAsia="zh-CN"/>
              </w:rPr>
              <w:t>次</w:t>
            </w:r>
            <w:r>
              <w:rPr>
                <w:rFonts w:hint="eastAsia" w:ascii="宋体" w:hAnsi="宋体" w:eastAsia="宋体" w:cs="宋体"/>
                <w:color w:val="auto"/>
                <w:sz w:val="21"/>
                <w:szCs w:val="21"/>
                <w:highlight w:val="none"/>
                <w:lang w:eastAsia="zh-Hans"/>
              </w:rPr>
              <w:t>（含3次），但无旷工情况，如业务需要偶尔</w:t>
            </w:r>
            <w:r>
              <w:rPr>
                <w:rFonts w:hint="eastAsia" w:ascii="宋体" w:hAnsi="宋体" w:eastAsia="宋体" w:cs="宋体"/>
                <w:color w:val="auto"/>
                <w:sz w:val="21"/>
                <w:szCs w:val="21"/>
                <w:highlight w:val="none"/>
                <w:lang w:eastAsia="zh-CN"/>
              </w:rPr>
              <w:t>配合加班</w:t>
            </w:r>
            <w:r>
              <w:rPr>
                <w:rFonts w:hint="eastAsia" w:ascii="宋体" w:hAnsi="宋体" w:eastAsia="宋体" w:cs="宋体"/>
                <w:color w:val="auto"/>
                <w:sz w:val="21"/>
                <w:szCs w:val="21"/>
                <w:highlight w:val="none"/>
                <w:lang w:eastAsia="zh-Hans"/>
              </w:rPr>
              <w:t>。</w:t>
            </w:r>
          </w:p>
          <w:p w14:paraId="138A78D3">
            <w:pPr>
              <w:keepNext w:val="0"/>
              <w:keepLines w:val="0"/>
              <w:suppressLineNumbers w:val="0"/>
              <w:spacing w:before="0" w:beforeAutospacing="0" w:after="0" w:afterAutospacing="0"/>
              <w:ind w:left="0" w:right="0" w:firstLine="0" w:firstLineChars="0"/>
              <w:jc w:val="both"/>
              <w:rPr>
                <w:rFonts w:hint="default"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lang w:eastAsia="zh-CN"/>
              </w:rPr>
              <w:t>0分：</w:t>
            </w:r>
            <w:r>
              <w:rPr>
                <w:rFonts w:hint="eastAsia" w:ascii="宋体" w:hAnsi="宋体" w:eastAsia="宋体" w:cs="宋体"/>
                <w:color w:val="auto"/>
                <w:sz w:val="21"/>
                <w:szCs w:val="21"/>
                <w:highlight w:val="none"/>
                <w:lang w:eastAsia="zh-Hans"/>
              </w:rPr>
              <w:t>出现</w:t>
            </w:r>
            <w:r>
              <w:rPr>
                <w:rFonts w:hint="eastAsia" w:ascii="宋体" w:hAnsi="宋体" w:eastAsia="宋体" w:cs="宋体"/>
                <w:color w:val="auto"/>
                <w:sz w:val="21"/>
                <w:szCs w:val="21"/>
                <w:highlight w:val="none"/>
                <w:lang w:eastAsia="zh-CN"/>
              </w:rPr>
              <w:t>迟到早退</w:t>
            </w:r>
            <w:r>
              <w:rPr>
                <w:rFonts w:hint="eastAsia" w:ascii="宋体" w:hAnsi="宋体" w:eastAsia="宋体" w:cs="宋体"/>
                <w:color w:val="auto"/>
                <w:sz w:val="21"/>
                <w:szCs w:val="21"/>
                <w:highlight w:val="none"/>
                <w:lang w:eastAsia="zh-Hans"/>
              </w:rPr>
              <w:t>累积不超过5</w:t>
            </w:r>
            <w:r>
              <w:rPr>
                <w:rFonts w:hint="eastAsia" w:ascii="宋体" w:hAnsi="宋体" w:eastAsia="宋体" w:cs="宋体"/>
                <w:color w:val="auto"/>
                <w:sz w:val="21"/>
                <w:szCs w:val="21"/>
                <w:highlight w:val="none"/>
                <w:lang w:eastAsia="zh-CN"/>
              </w:rPr>
              <w:t>次</w:t>
            </w:r>
            <w:r>
              <w:rPr>
                <w:rFonts w:hint="eastAsia" w:ascii="宋体" w:hAnsi="宋体" w:eastAsia="宋体" w:cs="宋体"/>
                <w:color w:val="auto"/>
                <w:sz w:val="21"/>
                <w:szCs w:val="21"/>
                <w:highlight w:val="none"/>
                <w:lang w:eastAsia="zh-Hans"/>
              </w:rPr>
              <w:t>（含5次）或旷工1天，如业务需要不</w:t>
            </w:r>
            <w:r>
              <w:rPr>
                <w:rFonts w:hint="eastAsia" w:ascii="宋体" w:hAnsi="宋体" w:eastAsia="宋体" w:cs="宋体"/>
                <w:color w:val="auto"/>
                <w:sz w:val="21"/>
                <w:szCs w:val="21"/>
                <w:highlight w:val="none"/>
                <w:lang w:eastAsia="zh-CN"/>
              </w:rPr>
              <w:t>配合加班</w:t>
            </w:r>
            <w:r>
              <w:rPr>
                <w:rFonts w:hint="eastAsia" w:ascii="宋体" w:hAnsi="宋体" w:eastAsia="宋体" w:cs="宋体"/>
                <w:color w:val="auto"/>
                <w:sz w:val="21"/>
                <w:szCs w:val="21"/>
                <w:highlight w:val="none"/>
                <w:lang w:eastAsia="zh-Hans"/>
              </w:rPr>
              <w:t>。</w:t>
            </w:r>
          </w:p>
        </w:tc>
        <w:tc>
          <w:tcPr>
            <w:tcW w:w="852" w:type="dxa"/>
            <w:noWrap w:val="0"/>
            <w:vAlign w:val="center"/>
          </w:tcPr>
          <w:p w14:paraId="4A83B334">
            <w:pPr>
              <w:keepNext w:val="0"/>
              <w:keepLines w:val="0"/>
              <w:suppressLineNumbers w:val="0"/>
              <w:spacing w:before="0" w:beforeAutospacing="0" w:after="0" w:afterAutospacing="0"/>
              <w:ind w:left="0" w:right="0" w:firstLine="0" w:firstLineChars="0"/>
              <w:jc w:val="both"/>
              <w:rPr>
                <w:rFonts w:hint="default" w:ascii="宋体" w:hAnsi="宋体" w:eastAsia="宋体" w:cs="宋体"/>
                <w:bCs/>
                <w:color w:val="auto"/>
                <w:sz w:val="21"/>
                <w:szCs w:val="21"/>
                <w:highlight w:val="none"/>
                <w:lang w:eastAsia="zh-Hans"/>
              </w:rPr>
            </w:pPr>
          </w:p>
        </w:tc>
      </w:tr>
      <w:tr w14:paraId="66CA4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32" w:type="dxa"/>
            <w:vMerge w:val="continue"/>
            <w:noWrap w:val="0"/>
            <w:vAlign w:val="center"/>
          </w:tcPr>
          <w:p w14:paraId="50AD5E03">
            <w:pPr>
              <w:keepNext w:val="0"/>
              <w:keepLines w:val="0"/>
              <w:suppressLineNumbers w:val="0"/>
              <w:spacing w:before="0" w:beforeAutospacing="0" w:after="0" w:afterAutospacing="0"/>
              <w:ind w:left="0" w:right="0" w:firstLine="0" w:firstLineChars="0"/>
              <w:jc w:val="both"/>
              <w:rPr>
                <w:rFonts w:hint="default" w:ascii="宋体" w:hAnsi="宋体" w:eastAsia="宋体" w:cs="宋体"/>
                <w:bCs/>
                <w:color w:val="auto"/>
                <w:sz w:val="21"/>
                <w:szCs w:val="21"/>
                <w:highlight w:val="none"/>
                <w:lang w:eastAsia="zh-CN"/>
              </w:rPr>
            </w:pPr>
          </w:p>
        </w:tc>
        <w:tc>
          <w:tcPr>
            <w:tcW w:w="1453" w:type="dxa"/>
            <w:noWrap w:val="0"/>
            <w:vAlign w:val="center"/>
          </w:tcPr>
          <w:p w14:paraId="02D63562">
            <w:pPr>
              <w:keepNext w:val="0"/>
              <w:keepLines w:val="0"/>
              <w:suppressLineNumbers w:val="0"/>
              <w:spacing w:before="0" w:beforeAutospacing="0" w:after="0" w:afterAutospacing="0"/>
              <w:ind w:left="0" w:right="0" w:firstLine="0" w:firstLineChars="0"/>
              <w:jc w:val="center"/>
              <w:rPr>
                <w:rFonts w:hint="default"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Hans"/>
              </w:rPr>
              <w:t>保障</w:t>
            </w:r>
            <w:r>
              <w:rPr>
                <w:rFonts w:hint="eastAsia" w:ascii="宋体" w:hAnsi="宋体" w:eastAsia="宋体" w:cs="宋体"/>
                <w:bCs/>
                <w:color w:val="auto"/>
                <w:sz w:val="21"/>
                <w:szCs w:val="21"/>
                <w:highlight w:val="none"/>
              </w:rPr>
              <w:t>质量</w:t>
            </w:r>
          </w:p>
          <w:p w14:paraId="41F58838">
            <w:pPr>
              <w:keepNext w:val="0"/>
              <w:keepLines w:val="0"/>
              <w:suppressLineNumbers w:val="0"/>
              <w:spacing w:before="0" w:beforeAutospacing="0" w:after="0" w:afterAutospacing="0"/>
              <w:ind w:left="0" w:right="0" w:firstLine="0" w:firstLineChars="0"/>
              <w:jc w:val="center"/>
              <w:rPr>
                <w:rFonts w:hint="default"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default"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2</w:t>
            </w:r>
            <w:r>
              <w:rPr>
                <w:rFonts w:hint="eastAsia" w:ascii="宋体" w:hAnsi="宋体" w:eastAsia="宋体" w:cs="宋体"/>
                <w:bCs/>
                <w:color w:val="auto"/>
                <w:sz w:val="21"/>
                <w:szCs w:val="21"/>
                <w:highlight w:val="none"/>
              </w:rPr>
              <w:t>分)</w:t>
            </w:r>
          </w:p>
        </w:tc>
        <w:tc>
          <w:tcPr>
            <w:tcW w:w="5661" w:type="dxa"/>
            <w:noWrap w:val="0"/>
            <w:vAlign w:val="center"/>
          </w:tcPr>
          <w:p w14:paraId="1F0C2A8D">
            <w:pPr>
              <w:keepNext w:val="0"/>
              <w:keepLines w:val="0"/>
              <w:suppressLineNumbers w:val="0"/>
              <w:spacing w:before="0" w:beforeAutospacing="0" w:after="0" w:afterAutospacing="0"/>
              <w:ind w:left="0" w:right="0" w:firstLine="0" w:firstLineChars="0"/>
              <w:jc w:val="both"/>
              <w:rPr>
                <w:rFonts w:hint="default"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eastAsia="zh-CN"/>
              </w:rPr>
              <w:t>9-12分：快速解决故障，效率高，效果良好。</w:t>
            </w:r>
          </w:p>
          <w:p w14:paraId="163BF7DD">
            <w:pPr>
              <w:keepNext w:val="0"/>
              <w:keepLines w:val="0"/>
              <w:suppressLineNumbers w:val="0"/>
              <w:spacing w:before="0" w:beforeAutospacing="0" w:after="0" w:afterAutospacing="0"/>
              <w:ind w:left="0" w:right="0" w:firstLine="0" w:firstLineChars="0"/>
              <w:jc w:val="both"/>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5-8分：快速解决故障，但仍存在小问题。</w:t>
            </w:r>
          </w:p>
          <w:p w14:paraId="72DD1ABF">
            <w:pPr>
              <w:keepNext w:val="0"/>
              <w:keepLines w:val="0"/>
              <w:suppressLineNumbers w:val="0"/>
              <w:spacing w:before="0" w:beforeAutospacing="0" w:after="0" w:afterAutospacing="0"/>
              <w:ind w:left="0" w:right="0" w:firstLine="0" w:firstLineChars="0"/>
              <w:jc w:val="both"/>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1-4分：故障解决时间长，效率低，但能最终解决。</w:t>
            </w:r>
          </w:p>
          <w:p w14:paraId="013AE2DC">
            <w:pPr>
              <w:keepNext w:val="0"/>
              <w:keepLines w:val="0"/>
              <w:suppressLineNumbers w:val="0"/>
              <w:spacing w:before="0" w:beforeAutospacing="0" w:after="0" w:afterAutospacing="0"/>
              <w:ind w:left="0" w:right="0" w:firstLine="0" w:firstLineChars="0"/>
              <w:jc w:val="both"/>
              <w:rPr>
                <w:rFonts w:hint="default"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lang w:eastAsia="zh-CN"/>
              </w:rPr>
              <w:t>0分：无法解决故障，或花长时间解决后仍存在很大问题。</w:t>
            </w:r>
          </w:p>
        </w:tc>
        <w:tc>
          <w:tcPr>
            <w:tcW w:w="852" w:type="dxa"/>
            <w:noWrap w:val="0"/>
            <w:vAlign w:val="center"/>
          </w:tcPr>
          <w:p w14:paraId="7E03C252">
            <w:pPr>
              <w:keepNext w:val="0"/>
              <w:keepLines w:val="0"/>
              <w:suppressLineNumbers w:val="0"/>
              <w:spacing w:before="0" w:beforeAutospacing="0" w:after="0" w:afterAutospacing="0"/>
              <w:ind w:left="0" w:right="0" w:firstLine="0" w:firstLineChars="0"/>
              <w:jc w:val="both"/>
              <w:rPr>
                <w:rFonts w:hint="default" w:ascii="宋体" w:hAnsi="宋体" w:eastAsia="宋体" w:cs="宋体"/>
                <w:bCs/>
                <w:color w:val="auto"/>
                <w:sz w:val="21"/>
                <w:szCs w:val="21"/>
                <w:highlight w:val="none"/>
                <w:lang w:eastAsia="zh-Hans"/>
              </w:rPr>
            </w:pPr>
          </w:p>
        </w:tc>
      </w:tr>
      <w:tr w14:paraId="530C8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1232" w:type="dxa"/>
            <w:vMerge w:val="continue"/>
            <w:noWrap w:val="0"/>
            <w:vAlign w:val="center"/>
          </w:tcPr>
          <w:p w14:paraId="4EAFCE71">
            <w:pPr>
              <w:keepNext w:val="0"/>
              <w:keepLines w:val="0"/>
              <w:suppressLineNumbers w:val="0"/>
              <w:spacing w:before="0" w:beforeAutospacing="0" w:after="0" w:afterAutospacing="0"/>
              <w:ind w:left="0" w:right="0" w:firstLine="0" w:firstLineChars="0"/>
              <w:jc w:val="both"/>
              <w:rPr>
                <w:rFonts w:hint="default" w:ascii="宋体" w:hAnsi="宋体" w:eastAsia="宋体" w:cs="宋体"/>
                <w:bCs/>
                <w:color w:val="auto"/>
                <w:sz w:val="21"/>
                <w:szCs w:val="21"/>
                <w:highlight w:val="none"/>
                <w:lang w:eastAsia="zh-CN"/>
              </w:rPr>
            </w:pPr>
          </w:p>
        </w:tc>
        <w:tc>
          <w:tcPr>
            <w:tcW w:w="1453" w:type="dxa"/>
            <w:noWrap w:val="0"/>
            <w:vAlign w:val="center"/>
          </w:tcPr>
          <w:p w14:paraId="29F0342B">
            <w:pPr>
              <w:keepNext w:val="0"/>
              <w:keepLines w:val="0"/>
              <w:suppressLineNumbers w:val="0"/>
              <w:spacing w:before="0" w:beforeAutospacing="0" w:after="0" w:afterAutospacing="0"/>
              <w:ind w:left="0" w:right="0" w:firstLine="0" w:firstLineChars="0"/>
              <w:jc w:val="center"/>
              <w:rPr>
                <w:rFonts w:hint="default" w:ascii="宋体" w:hAnsi="宋体" w:eastAsia="宋体" w:cs="宋体"/>
                <w:bCs/>
                <w:color w:val="auto"/>
                <w:sz w:val="21"/>
                <w:szCs w:val="21"/>
                <w:highlight w:val="none"/>
                <w:lang w:eastAsia="zh-Hans"/>
              </w:rPr>
            </w:pPr>
            <w:r>
              <w:rPr>
                <w:rFonts w:hint="eastAsia" w:ascii="宋体" w:hAnsi="宋体" w:eastAsia="宋体" w:cs="宋体"/>
                <w:bCs/>
                <w:color w:val="auto"/>
                <w:sz w:val="21"/>
                <w:szCs w:val="21"/>
                <w:highlight w:val="none"/>
              </w:rPr>
              <w:t>人员</w:t>
            </w:r>
            <w:r>
              <w:rPr>
                <w:rFonts w:hint="eastAsia" w:ascii="宋体" w:hAnsi="宋体" w:eastAsia="宋体" w:cs="宋体"/>
                <w:bCs/>
                <w:color w:val="auto"/>
                <w:sz w:val="21"/>
                <w:szCs w:val="21"/>
                <w:highlight w:val="none"/>
                <w:lang w:eastAsia="zh-Hans"/>
              </w:rPr>
              <w:t>履职</w:t>
            </w:r>
          </w:p>
          <w:p w14:paraId="7BFFC524">
            <w:pPr>
              <w:keepNext w:val="0"/>
              <w:keepLines w:val="0"/>
              <w:suppressLineNumbers w:val="0"/>
              <w:spacing w:before="0" w:beforeAutospacing="0" w:after="0" w:afterAutospacing="0"/>
              <w:ind w:left="0" w:right="0" w:firstLine="0" w:firstLineChars="0"/>
              <w:jc w:val="center"/>
              <w:rPr>
                <w:rFonts w:hint="default"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default"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2</w:t>
            </w:r>
            <w:r>
              <w:rPr>
                <w:rFonts w:hint="eastAsia" w:ascii="宋体" w:hAnsi="宋体" w:eastAsia="宋体" w:cs="宋体"/>
                <w:bCs/>
                <w:color w:val="auto"/>
                <w:sz w:val="21"/>
                <w:szCs w:val="21"/>
                <w:highlight w:val="none"/>
              </w:rPr>
              <w:t>分)</w:t>
            </w:r>
          </w:p>
        </w:tc>
        <w:tc>
          <w:tcPr>
            <w:tcW w:w="5661" w:type="dxa"/>
            <w:noWrap w:val="0"/>
            <w:vAlign w:val="center"/>
          </w:tcPr>
          <w:p w14:paraId="47ADEE27">
            <w:pPr>
              <w:keepNext w:val="0"/>
              <w:keepLines w:val="0"/>
              <w:suppressLineNumbers w:val="0"/>
              <w:spacing w:before="0" w:beforeAutospacing="0" w:after="0" w:afterAutospacing="0"/>
              <w:ind w:left="0" w:right="0" w:firstLine="0" w:firstLineChars="0"/>
              <w:jc w:val="both"/>
              <w:rPr>
                <w:rFonts w:hint="default"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eastAsia="zh-CN"/>
              </w:rPr>
              <w:t>9-12分：人员态度热情，责任心</w:t>
            </w:r>
            <w:r>
              <w:rPr>
                <w:rFonts w:hint="eastAsia" w:ascii="宋体" w:hAnsi="宋体" w:eastAsia="宋体" w:cs="宋体"/>
                <w:color w:val="auto"/>
                <w:sz w:val="21"/>
                <w:szCs w:val="21"/>
                <w:highlight w:val="none"/>
                <w:lang w:eastAsia="zh-Hans"/>
              </w:rPr>
              <w:t>强</w:t>
            </w:r>
            <w:r>
              <w:rPr>
                <w:rFonts w:hint="eastAsia" w:ascii="宋体" w:hAnsi="宋体" w:eastAsia="宋体" w:cs="宋体"/>
                <w:color w:val="auto"/>
                <w:sz w:val="21"/>
                <w:szCs w:val="21"/>
                <w:highlight w:val="none"/>
                <w:lang w:eastAsia="zh-CN"/>
              </w:rPr>
              <w:t>，能力突出</w:t>
            </w:r>
            <w:r>
              <w:rPr>
                <w:rFonts w:hint="eastAsia" w:ascii="宋体" w:hAnsi="宋体" w:eastAsia="宋体" w:cs="宋体"/>
                <w:color w:val="auto"/>
                <w:sz w:val="21"/>
                <w:szCs w:val="21"/>
                <w:highlight w:val="none"/>
                <w:lang w:eastAsia="zh-Hans"/>
              </w:rPr>
              <w:t>，无投诉事件。</w:t>
            </w:r>
          </w:p>
          <w:p w14:paraId="4E81D07D">
            <w:pPr>
              <w:keepNext w:val="0"/>
              <w:keepLines w:val="0"/>
              <w:suppressLineNumbers w:val="0"/>
              <w:spacing w:before="0" w:beforeAutospacing="0" w:after="0" w:afterAutospacing="0"/>
              <w:ind w:left="0" w:right="0" w:firstLine="0" w:firstLineChars="0"/>
              <w:jc w:val="both"/>
              <w:rPr>
                <w:rFonts w:hint="default"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eastAsia="zh-CN"/>
              </w:rPr>
              <w:t>5-8分：人员态度较好，责任心</w:t>
            </w:r>
            <w:r>
              <w:rPr>
                <w:rFonts w:hint="eastAsia" w:ascii="宋体" w:hAnsi="宋体" w:eastAsia="宋体" w:cs="宋体"/>
                <w:color w:val="auto"/>
                <w:sz w:val="21"/>
                <w:szCs w:val="21"/>
                <w:highlight w:val="none"/>
                <w:lang w:eastAsia="zh-Hans"/>
              </w:rPr>
              <w:t>较强</w:t>
            </w:r>
            <w:r>
              <w:rPr>
                <w:rFonts w:hint="eastAsia" w:ascii="宋体" w:hAnsi="宋体" w:eastAsia="宋体" w:cs="宋体"/>
                <w:color w:val="auto"/>
                <w:sz w:val="21"/>
                <w:szCs w:val="21"/>
                <w:highlight w:val="none"/>
                <w:lang w:eastAsia="zh-CN"/>
              </w:rPr>
              <w:t>，能力</w:t>
            </w:r>
            <w:r>
              <w:rPr>
                <w:rFonts w:hint="eastAsia" w:ascii="宋体" w:hAnsi="宋体" w:eastAsia="宋体" w:cs="宋体"/>
                <w:color w:val="auto"/>
                <w:sz w:val="21"/>
                <w:szCs w:val="21"/>
                <w:highlight w:val="none"/>
                <w:lang w:eastAsia="zh-Hans"/>
              </w:rPr>
              <w:t>较突出，有普通投诉事件1次，但无严重事件。</w:t>
            </w:r>
          </w:p>
          <w:p w14:paraId="5A4E8DD7">
            <w:pPr>
              <w:keepNext w:val="0"/>
              <w:keepLines w:val="0"/>
              <w:suppressLineNumbers w:val="0"/>
              <w:spacing w:before="0" w:beforeAutospacing="0" w:after="0" w:afterAutospacing="0"/>
              <w:ind w:left="0" w:right="0" w:firstLine="0" w:firstLineChars="0"/>
              <w:jc w:val="both"/>
              <w:rPr>
                <w:rFonts w:hint="default"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eastAsia="zh-CN"/>
              </w:rPr>
              <w:t>1-4分：人员态度较好，责任心</w:t>
            </w:r>
            <w:r>
              <w:rPr>
                <w:rFonts w:hint="eastAsia" w:ascii="宋体" w:hAnsi="宋体" w:eastAsia="宋体" w:cs="宋体"/>
                <w:color w:val="auto"/>
                <w:sz w:val="21"/>
                <w:szCs w:val="21"/>
                <w:highlight w:val="none"/>
                <w:lang w:eastAsia="zh-Hans"/>
              </w:rPr>
              <w:t>一般</w:t>
            </w:r>
            <w:r>
              <w:rPr>
                <w:rFonts w:hint="eastAsia" w:ascii="宋体" w:hAnsi="宋体" w:eastAsia="宋体" w:cs="宋体"/>
                <w:color w:val="auto"/>
                <w:sz w:val="21"/>
                <w:szCs w:val="21"/>
                <w:highlight w:val="none"/>
                <w:lang w:eastAsia="zh-CN"/>
              </w:rPr>
              <w:t>，能力一般</w:t>
            </w:r>
            <w:r>
              <w:rPr>
                <w:rFonts w:hint="eastAsia" w:ascii="宋体" w:hAnsi="宋体" w:eastAsia="宋体" w:cs="宋体"/>
                <w:color w:val="auto"/>
                <w:sz w:val="21"/>
                <w:szCs w:val="21"/>
                <w:highlight w:val="none"/>
                <w:lang w:eastAsia="zh-Hans"/>
              </w:rPr>
              <w:t>，有普通投诉事件2次，但无严重事件。</w:t>
            </w:r>
          </w:p>
          <w:p w14:paraId="30FB38F5">
            <w:pPr>
              <w:keepNext w:val="0"/>
              <w:keepLines w:val="0"/>
              <w:suppressLineNumbers w:val="0"/>
              <w:spacing w:before="0" w:beforeAutospacing="0" w:after="0" w:afterAutospacing="0"/>
              <w:ind w:left="0" w:right="0" w:firstLine="0" w:firstLineChars="0"/>
              <w:jc w:val="both"/>
              <w:rPr>
                <w:rFonts w:hint="default" w:ascii="宋体" w:hAnsi="宋体" w:eastAsia="宋体" w:cs="宋体"/>
                <w:bCs/>
                <w:color w:val="auto"/>
                <w:sz w:val="21"/>
                <w:szCs w:val="21"/>
                <w:highlight w:val="none"/>
                <w:lang w:eastAsia="zh-Hans"/>
              </w:rPr>
            </w:pPr>
            <w:r>
              <w:rPr>
                <w:rFonts w:hint="eastAsia" w:ascii="宋体" w:hAnsi="宋体" w:eastAsia="宋体" w:cs="宋体"/>
                <w:color w:val="auto"/>
                <w:sz w:val="21"/>
                <w:szCs w:val="21"/>
                <w:highlight w:val="none"/>
                <w:lang w:eastAsia="zh-CN"/>
              </w:rPr>
              <w:t>0分：人员态度冷淡，责任心差，能力欠缺</w:t>
            </w:r>
            <w:r>
              <w:rPr>
                <w:rFonts w:hint="eastAsia" w:ascii="宋体" w:hAnsi="宋体" w:eastAsia="宋体" w:cs="宋体"/>
                <w:color w:val="auto"/>
                <w:sz w:val="21"/>
                <w:szCs w:val="21"/>
                <w:highlight w:val="none"/>
                <w:lang w:eastAsia="zh-Hans"/>
              </w:rPr>
              <w:t>，发生普通投诉事件3次以上（含3次）或严重事件1次。</w:t>
            </w:r>
          </w:p>
        </w:tc>
        <w:tc>
          <w:tcPr>
            <w:tcW w:w="852" w:type="dxa"/>
            <w:noWrap w:val="0"/>
            <w:vAlign w:val="center"/>
          </w:tcPr>
          <w:p w14:paraId="7BD1EB80">
            <w:pPr>
              <w:keepNext w:val="0"/>
              <w:keepLines w:val="0"/>
              <w:suppressLineNumbers w:val="0"/>
              <w:spacing w:before="0" w:beforeAutospacing="0" w:after="0" w:afterAutospacing="0"/>
              <w:ind w:left="0" w:right="0" w:firstLine="0" w:firstLineChars="0"/>
              <w:jc w:val="both"/>
              <w:rPr>
                <w:rFonts w:hint="default" w:ascii="宋体" w:hAnsi="宋体" w:eastAsia="宋体" w:cs="宋体"/>
                <w:bCs/>
                <w:color w:val="auto"/>
                <w:sz w:val="21"/>
                <w:szCs w:val="21"/>
                <w:highlight w:val="none"/>
                <w:lang w:eastAsia="zh-Hans"/>
              </w:rPr>
            </w:pPr>
          </w:p>
        </w:tc>
      </w:tr>
    </w:tbl>
    <w:p w14:paraId="1270B59C">
      <w:pPr>
        <w:pStyle w:val="16"/>
        <w:keepNext w:val="0"/>
        <w:keepLines w:val="0"/>
        <w:pageBreakBefore w:val="0"/>
        <w:widowControl w:val="0"/>
        <w:kinsoku/>
        <w:wordWrap/>
        <w:overflowPunct/>
        <w:topLinePunct w:val="0"/>
        <w:bidi w:val="0"/>
        <w:adjustRightInd/>
        <w:spacing w:line="360" w:lineRule="auto"/>
        <w:jc w:val="left"/>
        <w:textAlignment w:val="auto"/>
        <w:rPr>
          <w:rFonts w:ascii="仿宋_GB2312" w:hAnsi="仿宋" w:eastAsia="仿宋_GB2312" w:cs="仿宋_GB2312"/>
          <w:color w:val="auto"/>
          <w:sz w:val="24"/>
          <w:highlight w:val="none"/>
          <w:lang w:val="zh-CN"/>
        </w:rPr>
        <w:sectPr>
          <w:pgSz w:w="11910" w:h="16840"/>
          <w:pgMar w:top="1340" w:right="1500" w:bottom="280" w:left="1680" w:header="720" w:footer="720" w:gutter="0"/>
          <w:cols w:space="720" w:num="1"/>
        </w:sectPr>
      </w:pPr>
    </w:p>
    <w:p w14:paraId="066F87E3">
      <w:pPr>
        <w:pStyle w:val="16"/>
        <w:jc w:val="left"/>
        <w:rPr>
          <w:rFonts w:hint="eastAsia" w:ascii="Arial Unicode MS" w:hAnsi="Arial Unicode MS" w:eastAsia="Arial Unicode MS" w:cs="Arial Unicode MS"/>
          <w:color w:val="auto"/>
          <w:sz w:val="32"/>
          <w:szCs w:val="32"/>
          <w:highlight w:val="none"/>
        </w:rPr>
      </w:pPr>
      <w:r>
        <w:rPr>
          <w:rFonts w:hint="eastAsia" w:ascii="Arial Unicode MS" w:hAnsi="Arial Unicode MS" w:eastAsia="Arial Unicode MS" w:cs="Arial Unicode MS"/>
          <w:color w:val="auto"/>
          <w:sz w:val="32"/>
          <w:szCs w:val="32"/>
          <w:highlight w:val="none"/>
        </w:rPr>
        <w:t>附件</w:t>
      </w:r>
      <w:r>
        <w:rPr>
          <w:rFonts w:hint="eastAsia" w:ascii="Arial Unicode MS" w:hAnsi="Arial Unicode MS" w:eastAsia="宋体" w:cs="Arial Unicode MS"/>
          <w:color w:val="auto"/>
          <w:sz w:val="32"/>
          <w:szCs w:val="32"/>
          <w:highlight w:val="none"/>
          <w:lang w:val="en-US" w:eastAsia="zh-CN"/>
        </w:rPr>
        <w:t>2</w:t>
      </w:r>
      <w:r>
        <w:rPr>
          <w:rFonts w:hint="eastAsia" w:ascii="Arial Unicode MS" w:hAnsi="Arial Unicode MS" w:eastAsia="Arial Unicode MS" w:cs="Arial Unicode MS"/>
          <w:color w:val="auto"/>
          <w:sz w:val="32"/>
          <w:szCs w:val="32"/>
          <w:highlight w:val="none"/>
        </w:rPr>
        <w:t>：</w:t>
      </w:r>
    </w:p>
    <w:p w14:paraId="6BE8A2C5">
      <w:pPr>
        <w:spacing w:line="528" w:lineRule="exact"/>
        <w:ind w:left="1871"/>
        <w:jc w:val="center"/>
        <w:rPr>
          <w:rFonts w:hint="eastAsia" w:ascii="Arial Unicode MS" w:hAnsi="Arial Unicode MS" w:eastAsia="Arial Unicode MS" w:cs="Arial Unicode MS"/>
          <w:color w:val="auto"/>
          <w:sz w:val="40"/>
          <w:szCs w:val="40"/>
          <w:highlight w:val="none"/>
        </w:rPr>
      </w:pPr>
      <w:r>
        <w:rPr>
          <w:rFonts w:hint="eastAsia" w:ascii="Arial Unicode MS" w:hAnsi="Arial Unicode MS" w:eastAsia="Arial Unicode MS" w:cs="Arial Unicode MS"/>
          <w:color w:val="auto"/>
          <w:sz w:val="40"/>
          <w:szCs w:val="40"/>
          <w:highlight w:val="none"/>
        </w:rPr>
        <w:t>中小微企业划型标准</w:t>
      </w:r>
    </w:p>
    <w:tbl>
      <w:tblPr>
        <w:tblStyle w:val="28"/>
        <w:tblW w:w="9497" w:type="dxa"/>
        <w:tblInd w:w="250" w:type="dxa"/>
        <w:tblLayout w:type="fixed"/>
        <w:tblCellMar>
          <w:top w:w="0" w:type="dxa"/>
          <w:left w:w="108" w:type="dxa"/>
          <w:bottom w:w="0" w:type="dxa"/>
          <w:right w:w="108" w:type="dxa"/>
        </w:tblCellMar>
      </w:tblPr>
      <w:tblGrid>
        <w:gridCol w:w="1985"/>
        <w:gridCol w:w="1984"/>
        <w:gridCol w:w="851"/>
        <w:gridCol w:w="1842"/>
        <w:gridCol w:w="1701"/>
        <w:gridCol w:w="1134"/>
      </w:tblGrid>
      <w:tr w14:paraId="4FC4CC0D">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14:paraId="087C01C0">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行业名称</w:t>
            </w:r>
          </w:p>
        </w:tc>
        <w:tc>
          <w:tcPr>
            <w:tcW w:w="1984" w:type="dxa"/>
            <w:tcBorders>
              <w:top w:val="single" w:color="auto" w:sz="4" w:space="0"/>
              <w:left w:val="nil"/>
              <w:bottom w:val="single" w:color="auto" w:sz="4" w:space="0"/>
              <w:right w:val="single" w:color="auto" w:sz="4" w:space="0"/>
            </w:tcBorders>
            <w:noWrap w:val="0"/>
            <w:vAlign w:val="center"/>
          </w:tcPr>
          <w:p w14:paraId="2AEF2580">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指标名称</w:t>
            </w:r>
          </w:p>
        </w:tc>
        <w:tc>
          <w:tcPr>
            <w:tcW w:w="851" w:type="dxa"/>
            <w:tcBorders>
              <w:top w:val="single" w:color="auto" w:sz="4" w:space="0"/>
              <w:left w:val="nil"/>
              <w:bottom w:val="single" w:color="auto" w:sz="4" w:space="0"/>
              <w:right w:val="single" w:color="auto" w:sz="4" w:space="0"/>
            </w:tcBorders>
            <w:noWrap w:val="0"/>
            <w:vAlign w:val="center"/>
          </w:tcPr>
          <w:p w14:paraId="68C84BA0">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计量单位</w:t>
            </w:r>
          </w:p>
        </w:tc>
        <w:tc>
          <w:tcPr>
            <w:tcW w:w="1842" w:type="dxa"/>
            <w:tcBorders>
              <w:top w:val="single" w:color="auto" w:sz="4" w:space="0"/>
              <w:left w:val="nil"/>
              <w:bottom w:val="single" w:color="auto" w:sz="4" w:space="0"/>
              <w:right w:val="single" w:color="auto" w:sz="4" w:space="0"/>
            </w:tcBorders>
            <w:noWrap w:val="0"/>
            <w:vAlign w:val="center"/>
          </w:tcPr>
          <w:p w14:paraId="41A7F33D">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中型</w:t>
            </w:r>
          </w:p>
        </w:tc>
        <w:tc>
          <w:tcPr>
            <w:tcW w:w="1701" w:type="dxa"/>
            <w:tcBorders>
              <w:top w:val="single" w:color="auto" w:sz="4" w:space="0"/>
              <w:left w:val="nil"/>
              <w:bottom w:val="single" w:color="auto" w:sz="4" w:space="0"/>
              <w:right w:val="single" w:color="auto" w:sz="4" w:space="0"/>
            </w:tcBorders>
            <w:noWrap w:val="0"/>
            <w:vAlign w:val="center"/>
          </w:tcPr>
          <w:p w14:paraId="0692A99C">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小型</w:t>
            </w:r>
          </w:p>
        </w:tc>
        <w:tc>
          <w:tcPr>
            <w:tcW w:w="1134" w:type="dxa"/>
            <w:tcBorders>
              <w:top w:val="single" w:color="auto" w:sz="4" w:space="0"/>
              <w:left w:val="nil"/>
              <w:bottom w:val="single" w:color="auto" w:sz="4" w:space="0"/>
              <w:right w:val="single" w:color="auto" w:sz="4" w:space="0"/>
            </w:tcBorders>
            <w:noWrap w:val="0"/>
            <w:vAlign w:val="center"/>
          </w:tcPr>
          <w:p w14:paraId="3B86FD9F">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微型</w:t>
            </w:r>
          </w:p>
        </w:tc>
      </w:tr>
      <w:tr w14:paraId="05CFE1AE">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08772487">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农、林、牧、渔</w:t>
            </w:r>
          </w:p>
        </w:tc>
        <w:tc>
          <w:tcPr>
            <w:tcW w:w="1984" w:type="dxa"/>
            <w:tcBorders>
              <w:top w:val="nil"/>
              <w:left w:val="nil"/>
              <w:bottom w:val="single" w:color="auto" w:sz="4" w:space="0"/>
              <w:right w:val="single" w:color="auto" w:sz="4" w:space="0"/>
            </w:tcBorders>
            <w:noWrap w:val="0"/>
            <w:vAlign w:val="center"/>
          </w:tcPr>
          <w:p w14:paraId="6D981A0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18EA2BD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44D851B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701" w:type="dxa"/>
            <w:tcBorders>
              <w:top w:val="nil"/>
              <w:left w:val="nil"/>
              <w:bottom w:val="single" w:color="auto" w:sz="4" w:space="0"/>
              <w:right w:val="single" w:color="auto" w:sz="4" w:space="0"/>
            </w:tcBorders>
            <w:noWrap w:val="0"/>
            <w:vAlign w:val="center"/>
          </w:tcPr>
          <w:p w14:paraId="10959DE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50≤Y＜500</w:t>
            </w:r>
          </w:p>
        </w:tc>
        <w:tc>
          <w:tcPr>
            <w:tcW w:w="1134" w:type="dxa"/>
            <w:tcBorders>
              <w:top w:val="nil"/>
              <w:left w:val="nil"/>
              <w:bottom w:val="single" w:color="auto" w:sz="4" w:space="0"/>
              <w:right w:val="single" w:color="auto" w:sz="4" w:space="0"/>
            </w:tcBorders>
            <w:noWrap w:val="0"/>
            <w:vAlign w:val="center"/>
          </w:tcPr>
          <w:p w14:paraId="4315479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486B0BC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C166961">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工业</w:t>
            </w:r>
          </w:p>
        </w:tc>
        <w:tc>
          <w:tcPr>
            <w:tcW w:w="1984" w:type="dxa"/>
            <w:tcBorders>
              <w:top w:val="nil"/>
              <w:left w:val="nil"/>
              <w:bottom w:val="single" w:color="auto" w:sz="4" w:space="0"/>
              <w:right w:val="single" w:color="auto" w:sz="4" w:space="0"/>
            </w:tcBorders>
            <w:noWrap w:val="0"/>
            <w:vAlign w:val="center"/>
          </w:tcPr>
          <w:p w14:paraId="13BD7BD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658114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661A95D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3B562E8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2509EBE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42546C3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428BDFC">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1B4E153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797531D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179A853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2000≤Y＜40000</w:t>
            </w:r>
          </w:p>
        </w:tc>
        <w:tc>
          <w:tcPr>
            <w:tcW w:w="1701" w:type="dxa"/>
            <w:tcBorders>
              <w:top w:val="nil"/>
              <w:left w:val="nil"/>
              <w:bottom w:val="single" w:color="auto" w:sz="4" w:space="0"/>
              <w:right w:val="single" w:color="auto" w:sz="4" w:space="0"/>
            </w:tcBorders>
            <w:noWrap w:val="0"/>
            <w:vAlign w:val="center"/>
          </w:tcPr>
          <w:p w14:paraId="6485072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300≤Y＜2000</w:t>
            </w:r>
          </w:p>
        </w:tc>
        <w:tc>
          <w:tcPr>
            <w:tcW w:w="1134" w:type="dxa"/>
            <w:tcBorders>
              <w:top w:val="nil"/>
              <w:left w:val="nil"/>
              <w:bottom w:val="single" w:color="auto" w:sz="4" w:space="0"/>
              <w:right w:val="single" w:color="auto" w:sz="4" w:space="0"/>
            </w:tcBorders>
            <w:noWrap w:val="0"/>
            <w:vAlign w:val="center"/>
          </w:tcPr>
          <w:p w14:paraId="4B9A8CB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47C9428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B8F870A">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建筑业</w:t>
            </w:r>
          </w:p>
        </w:tc>
        <w:tc>
          <w:tcPr>
            <w:tcW w:w="1984" w:type="dxa"/>
            <w:tcBorders>
              <w:top w:val="nil"/>
              <w:left w:val="nil"/>
              <w:bottom w:val="single" w:color="auto" w:sz="4" w:space="0"/>
              <w:right w:val="single" w:color="auto" w:sz="4" w:space="0"/>
            </w:tcBorders>
            <w:noWrap w:val="0"/>
            <w:vAlign w:val="center"/>
          </w:tcPr>
          <w:p w14:paraId="7CAC06F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41DAFA5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78E4E02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6000≤Y＜80000</w:t>
            </w:r>
          </w:p>
        </w:tc>
        <w:tc>
          <w:tcPr>
            <w:tcW w:w="1701" w:type="dxa"/>
            <w:tcBorders>
              <w:top w:val="nil"/>
              <w:left w:val="nil"/>
              <w:bottom w:val="single" w:color="auto" w:sz="4" w:space="0"/>
              <w:right w:val="single" w:color="auto" w:sz="4" w:space="0"/>
            </w:tcBorders>
            <w:noWrap w:val="0"/>
            <w:vAlign w:val="center"/>
          </w:tcPr>
          <w:p w14:paraId="6BE83FE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300≤Y＜6000</w:t>
            </w:r>
          </w:p>
        </w:tc>
        <w:tc>
          <w:tcPr>
            <w:tcW w:w="1134" w:type="dxa"/>
            <w:tcBorders>
              <w:top w:val="nil"/>
              <w:left w:val="nil"/>
              <w:bottom w:val="single" w:color="auto" w:sz="4" w:space="0"/>
              <w:right w:val="single" w:color="auto" w:sz="4" w:space="0"/>
            </w:tcBorders>
            <w:noWrap w:val="0"/>
            <w:vAlign w:val="center"/>
          </w:tcPr>
          <w:p w14:paraId="5401937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33561E05">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1D6FA2C">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577BBCE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2BF9982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6F7E1E5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5000≤Z＜80000</w:t>
            </w:r>
          </w:p>
        </w:tc>
        <w:tc>
          <w:tcPr>
            <w:tcW w:w="1701" w:type="dxa"/>
            <w:tcBorders>
              <w:top w:val="nil"/>
              <w:left w:val="nil"/>
              <w:bottom w:val="single" w:color="auto" w:sz="4" w:space="0"/>
              <w:right w:val="single" w:color="auto" w:sz="4" w:space="0"/>
            </w:tcBorders>
            <w:noWrap w:val="0"/>
            <w:vAlign w:val="center"/>
          </w:tcPr>
          <w:p w14:paraId="1A86876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300≤Z＜5000</w:t>
            </w:r>
          </w:p>
        </w:tc>
        <w:tc>
          <w:tcPr>
            <w:tcW w:w="1134" w:type="dxa"/>
            <w:tcBorders>
              <w:top w:val="nil"/>
              <w:left w:val="nil"/>
              <w:bottom w:val="single" w:color="auto" w:sz="4" w:space="0"/>
              <w:right w:val="single" w:color="auto" w:sz="4" w:space="0"/>
            </w:tcBorders>
            <w:noWrap w:val="0"/>
            <w:vAlign w:val="center"/>
          </w:tcPr>
          <w:p w14:paraId="1E8CF17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Z＜300</w:t>
            </w:r>
          </w:p>
        </w:tc>
      </w:tr>
      <w:tr w14:paraId="42AF6E6D">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346DBA8">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批发业</w:t>
            </w:r>
          </w:p>
        </w:tc>
        <w:tc>
          <w:tcPr>
            <w:tcW w:w="1984" w:type="dxa"/>
            <w:tcBorders>
              <w:top w:val="nil"/>
              <w:left w:val="nil"/>
              <w:bottom w:val="single" w:color="auto" w:sz="4" w:space="0"/>
              <w:right w:val="single" w:color="auto" w:sz="4" w:space="0"/>
            </w:tcBorders>
            <w:noWrap w:val="0"/>
            <w:vAlign w:val="center"/>
          </w:tcPr>
          <w:p w14:paraId="4B6D114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17647E0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7502721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20≤X＜200</w:t>
            </w:r>
          </w:p>
        </w:tc>
        <w:tc>
          <w:tcPr>
            <w:tcW w:w="1701" w:type="dxa"/>
            <w:tcBorders>
              <w:top w:val="nil"/>
              <w:left w:val="nil"/>
              <w:bottom w:val="single" w:color="auto" w:sz="4" w:space="0"/>
              <w:right w:val="single" w:color="auto" w:sz="4" w:space="0"/>
            </w:tcBorders>
            <w:noWrap w:val="0"/>
            <w:vAlign w:val="center"/>
          </w:tcPr>
          <w:p w14:paraId="651E62F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5≤X＜20</w:t>
            </w:r>
          </w:p>
        </w:tc>
        <w:tc>
          <w:tcPr>
            <w:tcW w:w="1134" w:type="dxa"/>
            <w:tcBorders>
              <w:top w:val="nil"/>
              <w:left w:val="nil"/>
              <w:bottom w:val="single" w:color="auto" w:sz="4" w:space="0"/>
              <w:right w:val="single" w:color="auto" w:sz="4" w:space="0"/>
            </w:tcBorders>
            <w:noWrap w:val="0"/>
            <w:vAlign w:val="center"/>
          </w:tcPr>
          <w:p w14:paraId="40A5C29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X＜5</w:t>
            </w:r>
          </w:p>
        </w:tc>
      </w:tr>
      <w:tr w14:paraId="6219FAA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BD66ADE">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087D005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5E55877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473CCCD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5000≤Y＜40000</w:t>
            </w:r>
          </w:p>
        </w:tc>
        <w:tc>
          <w:tcPr>
            <w:tcW w:w="1701" w:type="dxa"/>
            <w:tcBorders>
              <w:top w:val="nil"/>
              <w:left w:val="nil"/>
              <w:bottom w:val="single" w:color="auto" w:sz="4" w:space="0"/>
              <w:right w:val="single" w:color="auto" w:sz="4" w:space="0"/>
            </w:tcBorders>
            <w:noWrap w:val="0"/>
            <w:vAlign w:val="center"/>
          </w:tcPr>
          <w:p w14:paraId="4FAD736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1134" w:type="dxa"/>
            <w:tcBorders>
              <w:top w:val="nil"/>
              <w:left w:val="nil"/>
              <w:bottom w:val="single" w:color="auto" w:sz="4" w:space="0"/>
              <w:right w:val="single" w:color="auto" w:sz="4" w:space="0"/>
            </w:tcBorders>
            <w:noWrap w:val="0"/>
            <w:vAlign w:val="center"/>
          </w:tcPr>
          <w:p w14:paraId="7C4FA45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Y＜1000</w:t>
            </w:r>
          </w:p>
        </w:tc>
      </w:tr>
      <w:tr w14:paraId="11553C75">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48C31CC">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零售业</w:t>
            </w:r>
          </w:p>
        </w:tc>
        <w:tc>
          <w:tcPr>
            <w:tcW w:w="1984" w:type="dxa"/>
            <w:tcBorders>
              <w:top w:val="nil"/>
              <w:left w:val="nil"/>
              <w:bottom w:val="single" w:color="auto" w:sz="4" w:space="0"/>
              <w:right w:val="single" w:color="auto" w:sz="4" w:space="0"/>
            </w:tcBorders>
            <w:noWrap w:val="0"/>
            <w:vAlign w:val="center"/>
          </w:tcPr>
          <w:p w14:paraId="565C8FD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4F0C3F9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6E74634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50≤X＜300</w:t>
            </w:r>
          </w:p>
        </w:tc>
        <w:tc>
          <w:tcPr>
            <w:tcW w:w="1701" w:type="dxa"/>
            <w:tcBorders>
              <w:top w:val="nil"/>
              <w:left w:val="nil"/>
              <w:bottom w:val="single" w:color="auto" w:sz="4" w:space="0"/>
              <w:right w:val="single" w:color="auto" w:sz="4" w:space="0"/>
            </w:tcBorders>
            <w:noWrap w:val="0"/>
            <w:vAlign w:val="center"/>
          </w:tcPr>
          <w:p w14:paraId="510787C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10≤X＜50</w:t>
            </w:r>
          </w:p>
        </w:tc>
        <w:tc>
          <w:tcPr>
            <w:tcW w:w="1134" w:type="dxa"/>
            <w:tcBorders>
              <w:top w:val="nil"/>
              <w:left w:val="nil"/>
              <w:bottom w:val="single" w:color="auto" w:sz="4" w:space="0"/>
              <w:right w:val="single" w:color="auto" w:sz="4" w:space="0"/>
            </w:tcBorders>
            <w:noWrap w:val="0"/>
            <w:vAlign w:val="center"/>
          </w:tcPr>
          <w:p w14:paraId="243689B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19EB5C8D">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768D2FA">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15DE7C5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199AE8E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445154C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701" w:type="dxa"/>
            <w:tcBorders>
              <w:top w:val="nil"/>
              <w:left w:val="nil"/>
              <w:bottom w:val="single" w:color="auto" w:sz="4" w:space="0"/>
              <w:right w:val="single" w:color="auto" w:sz="4" w:space="0"/>
            </w:tcBorders>
            <w:noWrap w:val="0"/>
            <w:vAlign w:val="center"/>
          </w:tcPr>
          <w:p w14:paraId="2C530AD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100≤Y＜500</w:t>
            </w:r>
          </w:p>
        </w:tc>
        <w:tc>
          <w:tcPr>
            <w:tcW w:w="1134" w:type="dxa"/>
            <w:tcBorders>
              <w:top w:val="nil"/>
              <w:left w:val="nil"/>
              <w:bottom w:val="single" w:color="auto" w:sz="4" w:space="0"/>
              <w:right w:val="single" w:color="auto" w:sz="4" w:space="0"/>
            </w:tcBorders>
            <w:noWrap w:val="0"/>
            <w:vAlign w:val="center"/>
          </w:tcPr>
          <w:p w14:paraId="0686455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5B04E844">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A727529">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交通运输业</w:t>
            </w:r>
          </w:p>
        </w:tc>
        <w:tc>
          <w:tcPr>
            <w:tcW w:w="1984" w:type="dxa"/>
            <w:tcBorders>
              <w:top w:val="nil"/>
              <w:left w:val="nil"/>
              <w:bottom w:val="single" w:color="auto" w:sz="4" w:space="0"/>
              <w:right w:val="single" w:color="auto" w:sz="4" w:space="0"/>
            </w:tcBorders>
            <w:noWrap w:val="0"/>
            <w:vAlign w:val="center"/>
          </w:tcPr>
          <w:p w14:paraId="49526D2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1914F5F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2F07495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08B45DB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57E700D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3C4E614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77A1E7E">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294B9A1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9B02C0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1F83D16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3000≤Y＜30000</w:t>
            </w:r>
          </w:p>
        </w:tc>
        <w:tc>
          <w:tcPr>
            <w:tcW w:w="1701" w:type="dxa"/>
            <w:tcBorders>
              <w:top w:val="nil"/>
              <w:left w:val="nil"/>
              <w:bottom w:val="single" w:color="auto" w:sz="4" w:space="0"/>
              <w:right w:val="single" w:color="auto" w:sz="4" w:space="0"/>
            </w:tcBorders>
            <w:noWrap w:val="0"/>
            <w:vAlign w:val="center"/>
          </w:tcPr>
          <w:p w14:paraId="3B23F37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200≤Y＜3000</w:t>
            </w:r>
          </w:p>
        </w:tc>
        <w:tc>
          <w:tcPr>
            <w:tcW w:w="1134" w:type="dxa"/>
            <w:tcBorders>
              <w:top w:val="nil"/>
              <w:left w:val="nil"/>
              <w:bottom w:val="single" w:color="auto" w:sz="4" w:space="0"/>
              <w:right w:val="single" w:color="auto" w:sz="4" w:space="0"/>
            </w:tcBorders>
            <w:noWrap w:val="0"/>
            <w:vAlign w:val="center"/>
          </w:tcPr>
          <w:p w14:paraId="02EA4C5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w:t>
            </w:r>
          </w:p>
        </w:tc>
      </w:tr>
      <w:tr w14:paraId="0180C0D7">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DD250CA">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仓储业</w:t>
            </w:r>
          </w:p>
        </w:tc>
        <w:tc>
          <w:tcPr>
            <w:tcW w:w="1984" w:type="dxa"/>
            <w:tcBorders>
              <w:top w:val="nil"/>
              <w:left w:val="nil"/>
              <w:bottom w:val="single" w:color="auto" w:sz="4" w:space="0"/>
              <w:right w:val="single" w:color="auto" w:sz="4" w:space="0"/>
            </w:tcBorders>
            <w:noWrap w:val="0"/>
            <w:vAlign w:val="center"/>
          </w:tcPr>
          <w:p w14:paraId="5B18B36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DC37D8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78A43C2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w:t>
            </w:r>
          </w:p>
        </w:tc>
        <w:tc>
          <w:tcPr>
            <w:tcW w:w="1701" w:type="dxa"/>
            <w:tcBorders>
              <w:top w:val="nil"/>
              <w:left w:val="nil"/>
              <w:bottom w:val="single" w:color="auto" w:sz="4" w:space="0"/>
              <w:right w:val="single" w:color="auto" w:sz="4" w:space="0"/>
            </w:tcBorders>
            <w:noWrap w:val="0"/>
            <w:vAlign w:val="center"/>
          </w:tcPr>
          <w:p w14:paraId="5B16DB3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20≤X＜100</w:t>
            </w:r>
          </w:p>
        </w:tc>
        <w:tc>
          <w:tcPr>
            <w:tcW w:w="1134" w:type="dxa"/>
            <w:tcBorders>
              <w:top w:val="nil"/>
              <w:left w:val="nil"/>
              <w:bottom w:val="single" w:color="auto" w:sz="4" w:space="0"/>
              <w:right w:val="single" w:color="auto" w:sz="4" w:space="0"/>
            </w:tcBorders>
            <w:noWrap w:val="0"/>
            <w:vAlign w:val="center"/>
          </w:tcPr>
          <w:p w14:paraId="1A65843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2D40A56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ED77C91">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51F4330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0851406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4ECEBD7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1000≤Y＜30000</w:t>
            </w:r>
          </w:p>
        </w:tc>
        <w:tc>
          <w:tcPr>
            <w:tcW w:w="1701" w:type="dxa"/>
            <w:tcBorders>
              <w:top w:val="nil"/>
              <w:left w:val="nil"/>
              <w:bottom w:val="single" w:color="auto" w:sz="4" w:space="0"/>
              <w:right w:val="single" w:color="auto" w:sz="4" w:space="0"/>
            </w:tcBorders>
            <w:noWrap w:val="0"/>
            <w:vAlign w:val="center"/>
          </w:tcPr>
          <w:p w14:paraId="19EAAED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2803D15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7E2431C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1216C8D">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邮政业</w:t>
            </w:r>
          </w:p>
        </w:tc>
        <w:tc>
          <w:tcPr>
            <w:tcW w:w="1984" w:type="dxa"/>
            <w:tcBorders>
              <w:top w:val="nil"/>
              <w:left w:val="nil"/>
              <w:bottom w:val="single" w:color="auto" w:sz="4" w:space="0"/>
              <w:right w:val="single" w:color="auto" w:sz="4" w:space="0"/>
            </w:tcBorders>
            <w:noWrap w:val="0"/>
            <w:vAlign w:val="center"/>
          </w:tcPr>
          <w:p w14:paraId="0AD26D4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02DBE6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3DCBAEB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25183DD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1683958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374B755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4320888">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5619CCD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68D274C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4F814D5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2000≤Y＜30000</w:t>
            </w:r>
          </w:p>
        </w:tc>
        <w:tc>
          <w:tcPr>
            <w:tcW w:w="1701" w:type="dxa"/>
            <w:tcBorders>
              <w:top w:val="nil"/>
              <w:left w:val="nil"/>
              <w:bottom w:val="single" w:color="auto" w:sz="4" w:space="0"/>
              <w:right w:val="single" w:color="auto" w:sz="4" w:space="0"/>
            </w:tcBorders>
            <w:noWrap w:val="0"/>
            <w:vAlign w:val="center"/>
          </w:tcPr>
          <w:p w14:paraId="1FC6586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6AC6E2E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79C8EE0A">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C42784A">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住宿业</w:t>
            </w:r>
          </w:p>
        </w:tc>
        <w:tc>
          <w:tcPr>
            <w:tcW w:w="1984" w:type="dxa"/>
            <w:tcBorders>
              <w:top w:val="nil"/>
              <w:left w:val="nil"/>
              <w:bottom w:val="single" w:color="auto" w:sz="4" w:space="0"/>
              <w:right w:val="single" w:color="auto" w:sz="4" w:space="0"/>
            </w:tcBorders>
            <w:noWrap w:val="0"/>
            <w:vAlign w:val="center"/>
          </w:tcPr>
          <w:p w14:paraId="3360C90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16EE201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03314E3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74AE157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0CA3997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1BD332A2">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0045E8E">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469638A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13E582F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4C9FCE4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701" w:type="dxa"/>
            <w:tcBorders>
              <w:top w:val="nil"/>
              <w:left w:val="nil"/>
              <w:bottom w:val="single" w:color="auto" w:sz="4" w:space="0"/>
              <w:right w:val="single" w:color="auto" w:sz="4" w:space="0"/>
            </w:tcBorders>
            <w:noWrap w:val="0"/>
            <w:vAlign w:val="center"/>
          </w:tcPr>
          <w:p w14:paraId="34C395A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0FC3906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529115C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EF97FA3">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餐饮业</w:t>
            </w:r>
          </w:p>
        </w:tc>
        <w:tc>
          <w:tcPr>
            <w:tcW w:w="1984" w:type="dxa"/>
            <w:tcBorders>
              <w:top w:val="nil"/>
              <w:left w:val="nil"/>
              <w:bottom w:val="single" w:color="auto" w:sz="4" w:space="0"/>
              <w:right w:val="single" w:color="auto" w:sz="4" w:space="0"/>
            </w:tcBorders>
            <w:noWrap w:val="0"/>
            <w:vAlign w:val="center"/>
          </w:tcPr>
          <w:p w14:paraId="7C74737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25501AF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6E7610E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46F1D7B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7D2A77C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48B8B2B4">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78874306">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4A04893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1465E56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783E5C7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701" w:type="dxa"/>
            <w:tcBorders>
              <w:top w:val="nil"/>
              <w:left w:val="nil"/>
              <w:bottom w:val="single" w:color="auto" w:sz="4" w:space="0"/>
              <w:right w:val="single" w:color="auto" w:sz="4" w:space="0"/>
            </w:tcBorders>
            <w:noWrap w:val="0"/>
            <w:vAlign w:val="center"/>
          </w:tcPr>
          <w:p w14:paraId="7D3C2A1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67A8EE7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30E9BD77">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273C293">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信息传输业</w:t>
            </w:r>
          </w:p>
        </w:tc>
        <w:tc>
          <w:tcPr>
            <w:tcW w:w="1984" w:type="dxa"/>
            <w:tcBorders>
              <w:top w:val="nil"/>
              <w:left w:val="nil"/>
              <w:bottom w:val="single" w:color="auto" w:sz="4" w:space="0"/>
              <w:right w:val="single" w:color="auto" w:sz="4" w:space="0"/>
            </w:tcBorders>
            <w:noWrap w:val="0"/>
            <w:vAlign w:val="center"/>
          </w:tcPr>
          <w:p w14:paraId="6457393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2196A74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129440E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100≤X＜2000</w:t>
            </w:r>
          </w:p>
        </w:tc>
        <w:tc>
          <w:tcPr>
            <w:tcW w:w="1701" w:type="dxa"/>
            <w:tcBorders>
              <w:top w:val="nil"/>
              <w:left w:val="nil"/>
              <w:bottom w:val="single" w:color="auto" w:sz="4" w:space="0"/>
              <w:right w:val="single" w:color="auto" w:sz="4" w:space="0"/>
            </w:tcBorders>
            <w:noWrap w:val="0"/>
            <w:vAlign w:val="center"/>
          </w:tcPr>
          <w:p w14:paraId="0C78C3D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7FB412D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69D6D441">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CC355E0">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17FB3BB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2D69198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64FCE73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1000≤Y＜100000</w:t>
            </w:r>
          </w:p>
        </w:tc>
        <w:tc>
          <w:tcPr>
            <w:tcW w:w="1701" w:type="dxa"/>
            <w:tcBorders>
              <w:top w:val="nil"/>
              <w:left w:val="nil"/>
              <w:bottom w:val="single" w:color="auto" w:sz="4" w:space="0"/>
              <w:right w:val="single" w:color="auto" w:sz="4" w:space="0"/>
            </w:tcBorders>
            <w:noWrap w:val="0"/>
            <w:vAlign w:val="center"/>
          </w:tcPr>
          <w:p w14:paraId="019000A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5F7D88B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147051D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B3B79AC">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软件和信息技术服务业</w:t>
            </w:r>
          </w:p>
        </w:tc>
        <w:tc>
          <w:tcPr>
            <w:tcW w:w="1984" w:type="dxa"/>
            <w:tcBorders>
              <w:top w:val="nil"/>
              <w:left w:val="nil"/>
              <w:bottom w:val="single" w:color="auto" w:sz="4" w:space="0"/>
              <w:right w:val="single" w:color="auto" w:sz="4" w:space="0"/>
            </w:tcBorders>
            <w:noWrap w:val="0"/>
            <w:vAlign w:val="center"/>
          </w:tcPr>
          <w:p w14:paraId="57BFF81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28E9761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767A0F6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096273B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7D7F52A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3CA9599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D9983EC">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62BB01A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6F28270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352124A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w:t>
            </w:r>
          </w:p>
        </w:tc>
        <w:tc>
          <w:tcPr>
            <w:tcW w:w="1701" w:type="dxa"/>
            <w:tcBorders>
              <w:top w:val="nil"/>
              <w:left w:val="nil"/>
              <w:bottom w:val="single" w:color="auto" w:sz="4" w:space="0"/>
              <w:right w:val="single" w:color="auto" w:sz="4" w:space="0"/>
            </w:tcBorders>
            <w:noWrap w:val="0"/>
            <w:vAlign w:val="center"/>
          </w:tcPr>
          <w:p w14:paraId="4B066DF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50≤Y＜1000</w:t>
            </w:r>
          </w:p>
        </w:tc>
        <w:tc>
          <w:tcPr>
            <w:tcW w:w="1134" w:type="dxa"/>
            <w:tcBorders>
              <w:top w:val="nil"/>
              <w:left w:val="nil"/>
              <w:bottom w:val="single" w:color="auto" w:sz="4" w:space="0"/>
              <w:right w:val="single" w:color="auto" w:sz="4" w:space="0"/>
            </w:tcBorders>
            <w:noWrap w:val="0"/>
            <w:vAlign w:val="center"/>
          </w:tcPr>
          <w:p w14:paraId="3FA0923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7B14CEB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31AD788">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房地产开发经营</w:t>
            </w:r>
          </w:p>
        </w:tc>
        <w:tc>
          <w:tcPr>
            <w:tcW w:w="1984" w:type="dxa"/>
            <w:tcBorders>
              <w:top w:val="nil"/>
              <w:left w:val="nil"/>
              <w:bottom w:val="single" w:color="auto" w:sz="4" w:space="0"/>
              <w:right w:val="single" w:color="auto" w:sz="4" w:space="0"/>
            </w:tcBorders>
            <w:noWrap w:val="0"/>
            <w:vAlign w:val="center"/>
          </w:tcPr>
          <w:p w14:paraId="5A15168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42B4354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60842F8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1000≤Y＜200000</w:t>
            </w:r>
          </w:p>
        </w:tc>
        <w:tc>
          <w:tcPr>
            <w:tcW w:w="1701" w:type="dxa"/>
            <w:tcBorders>
              <w:top w:val="nil"/>
              <w:left w:val="nil"/>
              <w:bottom w:val="single" w:color="auto" w:sz="4" w:space="0"/>
              <w:right w:val="single" w:color="auto" w:sz="4" w:space="0"/>
            </w:tcBorders>
            <w:noWrap w:val="0"/>
            <w:vAlign w:val="center"/>
          </w:tcPr>
          <w:p w14:paraId="5A4FDB4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100≤X＜1000</w:t>
            </w:r>
          </w:p>
        </w:tc>
        <w:tc>
          <w:tcPr>
            <w:tcW w:w="1134" w:type="dxa"/>
            <w:tcBorders>
              <w:top w:val="nil"/>
              <w:left w:val="nil"/>
              <w:bottom w:val="single" w:color="auto" w:sz="4" w:space="0"/>
              <w:right w:val="single" w:color="auto" w:sz="4" w:space="0"/>
            </w:tcBorders>
            <w:noWrap w:val="0"/>
            <w:vAlign w:val="center"/>
          </w:tcPr>
          <w:p w14:paraId="5A5AB88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141D95E2">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49BB934">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785916D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2ED3606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696D7CC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5000≤Z＜10000</w:t>
            </w:r>
          </w:p>
        </w:tc>
        <w:tc>
          <w:tcPr>
            <w:tcW w:w="1701" w:type="dxa"/>
            <w:tcBorders>
              <w:top w:val="nil"/>
              <w:left w:val="nil"/>
              <w:bottom w:val="single" w:color="auto" w:sz="4" w:space="0"/>
              <w:right w:val="single" w:color="auto" w:sz="4" w:space="0"/>
            </w:tcBorders>
            <w:noWrap w:val="0"/>
            <w:vAlign w:val="center"/>
          </w:tcPr>
          <w:p w14:paraId="54E01C2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2000≤Y＜5000</w:t>
            </w:r>
          </w:p>
        </w:tc>
        <w:tc>
          <w:tcPr>
            <w:tcW w:w="1134" w:type="dxa"/>
            <w:tcBorders>
              <w:top w:val="nil"/>
              <w:left w:val="nil"/>
              <w:bottom w:val="single" w:color="auto" w:sz="4" w:space="0"/>
              <w:right w:val="single" w:color="auto" w:sz="4" w:space="0"/>
            </w:tcBorders>
            <w:noWrap w:val="0"/>
            <w:vAlign w:val="center"/>
          </w:tcPr>
          <w:p w14:paraId="0E0F726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Y＜2000</w:t>
            </w:r>
          </w:p>
        </w:tc>
      </w:tr>
      <w:tr w14:paraId="40966CF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747CFAC">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物业管理</w:t>
            </w:r>
          </w:p>
        </w:tc>
        <w:tc>
          <w:tcPr>
            <w:tcW w:w="1984" w:type="dxa"/>
            <w:tcBorders>
              <w:top w:val="nil"/>
              <w:left w:val="nil"/>
              <w:bottom w:val="single" w:color="auto" w:sz="4" w:space="0"/>
              <w:right w:val="single" w:color="auto" w:sz="4" w:space="0"/>
            </w:tcBorders>
            <w:noWrap w:val="0"/>
            <w:vAlign w:val="center"/>
          </w:tcPr>
          <w:p w14:paraId="5C38A29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0845D86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5B4E981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7ED5D60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134" w:type="dxa"/>
            <w:tcBorders>
              <w:top w:val="nil"/>
              <w:left w:val="nil"/>
              <w:bottom w:val="single" w:color="auto" w:sz="4" w:space="0"/>
              <w:right w:val="single" w:color="auto" w:sz="4" w:space="0"/>
            </w:tcBorders>
            <w:noWrap w:val="0"/>
            <w:vAlign w:val="center"/>
          </w:tcPr>
          <w:p w14:paraId="11A5544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4B5EB5F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197964C">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28C648C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02BB638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32E7D50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1701" w:type="dxa"/>
            <w:tcBorders>
              <w:top w:val="nil"/>
              <w:left w:val="nil"/>
              <w:bottom w:val="single" w:color="auto" w:sz="4" w:space="0"/>
              <w:right w:val="single" w:color="auto" w:sz="4" w:space="0"/>
            </w:tcBorders>
            <w:noWrap w:val="0"/>
            <w:vAlign w:val="center"/>
          </w:tcPr>
          <w:p w14:paraId="62C663C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500≤Y＜1000</w:t>
            </w:r>
          </w:p>
        </w:tc>
        <w:tc>
          <w:tcPr>
            <w:tcW w:w="1134" w:type="dxa"/>
            <w:tcBorders>
              <w:top w:val="nil"/>
              <w:left w:val="nil"/>
              <w:bottom w:val="single" w:color="auto" w:sz="4" w:space="0"/>
              <w:right w:val="single" w:color="auto" w:sz="4" w:space="0"/>
            </w:tcBorders>
            <w:noWrap w:val="0"/>
            <w:vAlign w:val="center"/>
          </w:tcPr>
          <w:p w14:paraId="1B73D59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Y＜500</w:t>
            </w:r>
          </w:p>
        </w:tc>
      </w:tr>
      <w:tr w14:paraId="47D1608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F12FAB8">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租赁和商务服务业</w:t>
            </w:r>
          </w:p>
        </w:tc>
        <w:tc>
          <w:tcPr>
            <w:tcW w:w="1984" w:type="dxa"/>
            <w:tcBorders>
              <w:top w:val="nil"/>
              <w:left w:val="nil"/>
              <w:bottom w:val="single" w:color="auto" w:sz="4" w:space="0"/>
              <w:right w:val="single" w:color="auto" w:sz="4" w:space="0"/>
            </w:tcBorders>
            <w:noWrap w:val="0"/>
            <w:vAlign w:val="center"/>
          </w:tcPr>
          <w:p w14:paraId="1692756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5CE2675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3469F13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53796E0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0410FCC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31B3F09D">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F20922E">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3B2AAE8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6E844CD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BD3C6D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8000≤Z＜120000</w:t>
            </w:r>
          </w:p>
        </w:tc>
        <w:tc>
          <w:tcPr>
            <w:tcW w:w="1701" w:type="dxa"/>
            <w:tcBorders>
              <w:top w:val="nil"/>
              <w:left w:val="nil"/>
              <w:bottom w:val="single" w:color="auto" w:sz="4" w:space="0"/>
              <w:right w:val="single" w:color="auto" w:sz="4" w:space="0"/>
            </w:tcBorders>
            <w:noWrap w:val="0"/>
            <w:vAlign w:val="center"/>
          </w:tcPr>
          <w:p w14:paraId="60FE60C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100≤Z＜8000</w:t>
            </w:r>
          </w:p>
        </w:tc>
        <w:tc>
          <w:tcPr>
            <w:tcW w:w="1134" w:type="dxa"/>
            <w:tcBorders>
              <w:top w:val="nil"/>
              <w:left w:val="nil"/>
              <w:bottom w:val="single" w:color="auto" w:sz="4" w:space="0"/>
              <w:right w:val="single" w:color="auto" w:sz="4" w:space="0"/>
            </w:tcBorders>
            <w:noWrap w:val="0"/>
            <w:vAlign w:val="center"/>
          </w:tcPr>
          <w:p w14:paraId="4345CAF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59281A4B">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5C56DA9B">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其他未列明行业</w:t>
            </w:r>
          </w:p>
        </w:tc>
        <w:tc>
          <w:tcPr>
            <w:tcW w:w="1984" w:type="dxa"/>
            <w:tcBorders>
              <w:top w:val="nil"/>
              <w:left w:val="nil"/>
              <w:bottom w:val="single" w:color="auto" w:sz="4" w:space="0"/>
              <w:right w:val="single" w:color="auto" w:sz="4" w:space="0"/>
            </w:tcBorders>
            <w:noWrap w:val="0"/>
            <w:vAlign w:val="center"/>
          </w:tcPr>
          <w:p w14:paraId="0BAB21C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144F647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7794C05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654A9EC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7A7A0B1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bl>
    <w:p w14:paraId="1DF83AE6">
      <w:pPr>
        <w:spacing w:line="560" w:lineRule="exact"/>
        <w:ind w:firstLine="525" w:firstLineChars="250"/>
        <w:rPr>
          <w:rFonts w:ascii="仿宋_GB2312" w:hAnsi="仿宋" w:eastAsia="仿宋_GB2312"/>
          <w:color w:val="auto"/>
          <w:szCs w:val="21"/>
          <w:highlight w:val="none"/>
        </w:rPr>
      </w:pPr>
      <w:r>
        <w:rPr>
          <w:rFonts w:hint="eastAsia" w:ascii="仿宋_GB2312" w:hAnsi="仿宋" w:eastAsia="仿宋_GB2312"/>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6200C21A">
      <w:pPr>
        <w:pStyle w:val="16"/>
        <w:jc w:val="center"/>
        <w:outlineLvl w:val="0"/>
        <w:rPr>
          <w:rFonts w:hAnsi="宋体"/>
          <w:color w:val="auto"/>
          <w:highlight w:val="none"/>
        </w:rPr>
        <w:sectPr>
          <w:pgSz w:w="11906" w:h="16838"/>
          <w:pgMar w:top="1134" w:right="1134" w:bottom="1134" w:left="1134" w:header="720" w:footer="720" w:gutter="0"/>
          <w:cols w:space="720" w:num="1"/>
          <w:docGrid w:type="lines" w:linePitch="331" w:charSpace="0"/>
        </w:sectPr>
      </w:pPr>
    </w:p>
    <w:p w14:paraId="17E058EA">
      <w:pPr>
        <w:pStyle w:val="2"/>
        <w:jc w:val="center"/>
        <w:rPr>
          <w:rFonts w:hint="eastAsia"/>
          <w:color w:val="auto"/>
          <w:highlight w:val="none"/>
        </w:rPr>
      </w:pPr>
      <w:bookmarkStart w:id="30" w:name="_Toc11900"/>
      <w:r>
        <w:rPr>
          <w:rFonts w:hint="eastAsia" w:ascii="Cambria" w:hAnsi="Cambria"/>
          <w:bCs w:val="0"/>
          <w:color w:val="auto"/>
          <w:sz w:val="32"/>
          <w:szCs w:val="32"/>
          <w:highlight w:val="none"/>
        </w:rPr>
        <w:t>第三章 供应商须知</w:t>
      </w:r>
      <w:bookmarkEnd w:id="30"/>
    </w:p>
    <w:p w14:paraId="36D3DAC6">
      <w:pPr>
        <w:pStyle w:val="3"/>
        <w:jc w:val="center"/>
        <w:rPr>
          <w:rFonts w:hint="eastAsia" w:ascii="宋体" w:hAnsi="宋体"/>
          <w:b w:val="0"/>
          <w:color w:val="auto"/>
          <w:highlight w:val="none"/>
        </w:rPr>
      </w:pPr>
      <w:bookmarkStart w:id="31" w:name="_Toc31477"/>
      <w:r>
        <w:rPr>
          <w:rFonts w:hint="eastAsia" w:ascii="宋体" w:hAnsi="宋体"/>
          <w:b w:val="0"/>
          <w:color w:val="auto"/>
          <w:highlight w:val="none"/>
          <w:lang w:eastAsia="zh-CN"/>
        </w:rPr>
        <w:t xml:space="preserve">第一节 </w:t>
      </w:r>
      <w:r>
        <w:rPr>
          <w:rFonts w:hint="eastAsia" w:ascii="宋体" w:hAnsi="宋体"/>
          <w:b w:val="0"/>
          <w:color w:val="auto"/>
          <w:highlight w:val="none"/>
        </w:rPr>
        <w:t>供应商须知前附表</w:t>
      </w:r>
      <w:bookmarkEnd w:id="31"/>
    </w:p>
    <w:tbl>
      <w:tblPr>
        <w:tblStyle w:val="28"/>
        <w:tblW w:w="99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9"/>
        <w:gridCol w:w="1971"/>
        <w:gridCol w:w="7085"/>
      </w:tblGrid>
      <w:tr w14:paraId="143EC6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889" w:type="dxa"/>
            <w:noWrap w:val="0"/>
            <w:vAlign w:val="top"/>
          </w:tcPr>
          <w:p w14:paraId="512CADE8">
            <w:pPr>
              <w:keepNext w:val="0"/>
              <w:keepLines w:val="0"/>
              <w:pageBreakBefore w:val="0"/>
              <w:widowControl w:val="0"/>
              <w:kinsoku/>
              <w:wordWrap/>
              <w:overflowPunct/>
              <w:topLinePunct w:val="0"/>
              <w:autoSpaceDE/>
              <w:autoSpaceDN/>
              <w:bidi w:val="0"/>
              <w:adjustRightInd/>
              <w:spacing w:line="460" w:lineRule="exact"/>
              <w:ind w:left="0" w:firstLine="0" w:firstLineChars="0"/>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1971" w:type="dxa"/>
            <w:noWrap w:val="0"/>
            <w:vAlign w:val="center"/>
          </w:tcPr>
          <w:p w14:paraId="76DDEF9D">
            <w:pPr>
              <w:keepNext w:val="0"/>
              <w:keepLines w:val="0"/>
              <w:pageBreakBefore w:val="0"/>
              <w:widowControl w:val="0"/>
              <w:kinsoku/>
              <w:wordWrap/>
              <w:overflowPunct/>
              <w:topLinePunct w:val="0"/>
              <w:autoSpaceDE/>
              <w:autoSpaceDN/>
              <w:bidi w:val="0"/>
              <w:adjustRightInd/>
              <w:spacing w:line="460" w:lineRule="exact"/>
              <w:ind w:left="0" w:firstLine="0" w:firstLineChars="0"/>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条款内容</w:t>
            </w:r>
          </w:p>
        </w:tc>
        <w:tc>
          <w:tcPr>
            <w:tcW w:w="7085" w:type="dxa"/>
            <w:noWrap w:val="0"/>
            <w:vAlign w:val="top"/>
          </w:tcPr>
          <w:p w14:paraId="26B589E0">
            <w:pPr>
              <w:keepNext w:val="0"/>
              <w:keepLines w:val="0"/>
              <w:pageBreakBefore w:val="0"/>
              <w:widowControl w:val="0"/>
              <w:kinsoku/>
              <w:wordWrap/>
              <w:overflowPunct/>
              <w:topLinePunct w:val="0"/>
              <w:autoSpaceDE/>
              <w:autoSpaceDN/>
              <w:bidi w:val="0"/>
              <w:adjustRightInd/>
              <w:spacing w:line="460" w:lineRule="exact"/>
              <w:ind w:left="0" w:firstLine="0" w:firstLineChars="0"/>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具体要求</w:t>
            </w:r>
          </w:p>
        </w:tc>
      </w:tr>
      <w:tr w14:paraId="55F7C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9" w:type="dxa"/>
            <w:noWrap w:val="0"/>
            <w:vAlign w:val="center"/>
          </w:tcPr>
          <w:p w14:paraId="4EF712E8">
            <w:pPr>
              <w:keepNext w:val="0"/>
              <w:keepLines w:val="0"/>
              <w:pageBreakBefore w:val="0"/>
              <w:widowControl w:val="0"/>
              <w:kinsoku/>
              <w:wordWrap/>
              <w:overflowPunct/>
              <w:topLinePunct w:val="0"/>
              <w:autoSpaceDE/>
              <w:autoSpaceDN/>
              <w:bidi w:val="0"/>
              <w:adjustRightInd/>
              <w:spacing w:line="460" w:lineRule="exact"/>
              <w:ind w:left="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1971" w:type="dxa"/>
            <w:noWrap w:val="0"/>
            <w:vAlign w:val="center"/>
          </w:tcPr>
          <w:p w14:paraId="46A43199">
            <w:pPr>
              <w:keepNext w:val="0"/>
              <w:keepLines w:val="0"/>
              <w:pageBreakBefore w:val="0"/>
              <w:widowControl w:val="0"/>
              <w:kinsoku/>
              <w:wordWrap/>
              <w:overflowPunct/>
              <w:topLinePunct w:val="0"/>
              <w:autoSpaceDE/>
              <w:autoSpaceDN/>
              <w:bidi w:val="0"/>
              <w:adjustRightInd/>
              <w:spacing w:line="460" w:lineRule="exact"/>
              <w:ind w:left="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w:t>
            </w:r>
          </w:p>
        </w:tc>
        <w:tc>
          <w:tcPr>
            <w:tcW w:w="7085" w:type="dxa"/>
            <w:noWrap w:val="0"/>
            <w:vAlign w:val="top"/>
          </w:tcPr>
          <w:p w14:paraId="7FF96D58">
            <w:pPr>
              <w:keepNext w:val="0"/>
              <w:keepLines w:val="0"/>
              <w:pageBreakBefore w:val="0"/>
              <w:widowControl w:val="0"/>
              <w:kinsoku/>
              <w:wordWrap/>
              <w:overflowPunct/>
              <w:topLinePunct w:val="0"/>
              <w:autoSpaceDE/>
              <w:autoSpaceDN/>
              <w:bidi w:val="0"/>
              <w:adjustRightInd/>
              <w:spacing w:line="460" w:lineRule="exact"/>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供应商资格条件要求详见公告。</w:t>
            </w:r>
          </w:p>
        </w:tc>
      </w:tr>
      <w:tr w14:paraId="5F0156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9" w:type="dxa"/>
            <w:noWrap w:val="0"/>
            <w:vAlign w:val="center"/>
          </w:tcPr>
          <w:p w14:paraId="4F30F51B">
            <w:pPr>
              <w:keepNext w:val="0"/>
              <w:keepLines w:val="0"/>
              <w:pageBreakBefore w:val="0"/>
              <w:widowControl w:val="0"/>
              <w:kinsoku/>
              <w:wordWrap/>
              <w:overflowPunct/>
              <w:topLinePunct w:val="0"/>
              <w:autoSpaceDE/>
              <w:autoSpaceDN/>
              <w:bidi w:val="0"/>
              <w:adjustRightInd/>
              <w:spacing w:line="460" w:lineRule="exact"/>
              <w:ind w:left="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1971" w:type="dxa"/>
            <w:noWrap w:val="0"/>
            <w:vAlign w:val="center"/>
          </w:tcPr>
          <w:p w14:paraId="0C29294F">
            <w:pPr>
              <w:keepNext w:val="0"/>
              <w:keepLines w:val="0"/>
              <w:pageBreakBefore w:val="0"/>
              <w:widowControl w:val="0"/>
              <w:kinsoku/>
              <w:wordWrap/>
              <w:overflowPunct/>
              <w:topLinePunct w:val="0"/>
              <w:autoSpaceDE/>
              <w:autoSpaceDN/>
              <w:bidi w:val="0"/>
              <w:adjustRightInd/>
              <w:spacing w:line="460" w:lineRule="exact"/>
              <w:ind w:left="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是否接受联合体竞标</w:t>
            </w:r>
          </w:p>
        </w:tc>
        <w:tc>
          <w:tcPr>
            <w:tcW w:w="7085" w:type="dxa"/>
            <w:noWrap w:val="0"/>
            <w:vAlign w:val="center"/>
          </w:tcPr>
          <w:p w14:paraId="27AB3864">
            <w:pPr>
              <w:keepNext w:val="0"/>
              <w:keepLines w:val="0"/>
              <w:pageBreakBefore w:val="0"/>
              <w:widowControl w:val="0"/>
              <w:kinsoku/>
              <w:wordWrap/>
              <w:overflowPunct/>
              <w:topLinePunct w:val="0"/>
              <w:autoSpaceDE/>
              <w:autoSpaceDN/>
              <w:bidi w:val="0"/>
              <w:adjustRightInd/>
              <w:spacing w:line="460" w:lineRule="exact"/>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否</w:t>
            </w:r>
            <w:r>
              <w:rPr>
                <w:rFonts w:hint="eastAsia" w:ascii="宋体" w:hAnsi="宋体" w:eastAsia="宋体" w:cs="宋体"/>
                <w:color w:val="auto"/>
                <w:szCs w:val="21"/>
                <w:highlight w:val="none"/>
              </w:rPr>
              <w:t>。</w:t>
            </w:r>
          </w:p>
        </w:tc>
      </w:tr>
      <w:tr w14:paraId="5145D4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9" w:type="dxa"/>
            <w:noWrap w:val="0"/>
            <w:vAlign w:val="center"/>
          </w:tcPr>
          <w:p w14:paraId="421FE4C7">
            <w:pPr>
              <w:keepNext w:val="0"/>
              <w:keepLines w:val="0"/>
              <w:pageBreakBefore w:val="0"/>
              <w:widowControl w:val="0"/>
              <w:kinsoku/>
              <w:wordWrap/>
              <w:overflowPunct/>
              <w:topLinePunct w:val="0"/>
              <w:autoSpaceDE/>
              <w:autoSpaceDN/>
              <w:bidi w:val="0"/>
              <w:adjustRightInd/>
              <w:spacing w:line="460" w:lineRule="exact"/>
              <w:ind w:left="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1971" w:type="dxa"/>
            <w:noWrap w:val="0"/>
            <w:vAlign w:val="center"/>
          </w:tcPr>
          <w:p w14:paraId="3C635638">
            <w:pPr>
              <w:keepNext w:val="0"/>
              <w:keepLines w:val="0"/>
              <w:pageBreakBefore w:val="0"/>
              <w:widowControl w:val="0"/>
              <w:kinsoku/>
              <w:wordWrap/>
              <w:overflowPunct/>
              <w:topLinePunct w:val="0"/>
              <w:autoSpaceDE/>
              <w:autoSpaceDN/>
              <w:bidi w:val="0"/>
              <w:adjustRightInd/>
              <w:spacing w:line="460" w:lineRule="exact"/>
              <w:ind w:left="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联合体竞标要求</w:t>
            </w:r>
          </w:p>
        </w:tc>
        <w:tc>
          <w:tcPr>
            <w:tcW w:w="7085" w:type="dxa"/>
            <w:noWrap w:val="0"/>
            <w:vAlign w:val="center"/>
          </w:tcPr>
          <w:p w14:paraId="47492B63">
            <w:pPr>
              <w:pStyle w:val="10"/>
              <w:keepNext w:val="0"/>
              <w:keepLines w:val="0"/>
              <w:pageBreakBefore w:val="0"/>
              <w:widowControl w:val="0"/>
              <w:kinsoku/>
              <w:wordWrap/>
              <w:overflowPunct/>
              <w:topLinePunct w:val="0"/>
              <w:autoSpaceDE/>
              <w:autoSpaceDN/>
              <w:bidi w:val="0"/>
              <w:adjustRightInd/>
              <w:spacing w:line="460" w:lineRule="exact"/>
              <w:ind w:left="0" w:firstLine="0" w:firstLine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无</w:t>
            </w:r>
          </w:p>
        </w:tc>
      </w:tr>
      <w:tr w14:paraId="29BE31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9" w:type="dxa"/>
            <w:noWrap w:val="0"/>
            <w:vAlign w:val="center"/>
          </w:tcPr>
          <w:p w14:paraId="49762D41">
            <w:pPr>
              <w:keepNext w:val="0"/>
              <w:keepLines w:val="0"/>
              <w:pageBreakBefore w:val="0"/>
              <w:widowControl w:val="0"/>
              <w:kinsoku/>
              <w:wordWrap/>
              <w:overflowPunct/>
              <w:topLinePunct w:val="0"/>
              <w:autoSpaceDE/>
              <w:autoSpaceDN/>
              <w:bidi w:val="0"/>
              <w:adjustRightInd/>
              <w:spacing w:line="460" w:lineRule="exact"/>
              <w:ind w:left="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6.1</w:t>
            </w:r>
          </w:p>
        </w:tc>
        <w:tc>
          <w:tcPr>
            <w:tcW w:w="1971" w:type="dxa"/>
            <w:noWrap w:val="0"/>
            <w:vAlign w:val="center"/>
          </w:tcPr>
          <w:p w14:paraId="3185C733">
            <w:pPr>
              <w:keepNext w:val="0"/>
              <w:keepLines w:val="0"/>
              <w:pageBreakBefore w:val="0"/>
              <w:widowControl w:val="0"/>
              <w:kinsoku/>
              <w:wordWrap/>
              <w:overflowPunct/>
              <w:topLinePunct w:val="0"/>
              <w:autoSpaceDE/>
              <w:autoSpaceDN/>
              <w:bidi w:val="0"/>
              <w:adjustRightInd/>
              <w:spacing w:line="460" w:lineRule="exact"/>
              <w:ind w:left="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是否允许分包</w:t>
            </w:r>
          </w:p>
        </w:tc>
        <w:tc>
          <w:tcPr>
            <w:tcW w:w="7085" w:type="dxa"/>
            <w:noWrap w:val="0"/>
            <w:vAlign w:val="center"/>
          </w:tcPr>
          <w:p w14:paraId="3D431A9F">
            <w:pPr>
              <w:pStyle w:val="10"/>
              <w:keepNext w:val="0"/>
              <w:keepLines w:val="0"/>
              <w:pageBreakBefore w:val="0"/>
              <w:widowControl w:val="0"/>
              <w:kinsoku/>
              <w:wordWrap/>
              <w:overflowPunct/>
              <w:topLinePunct w:val="0"/>
              <w:autoSpaceDE/>
              <w:autoSpaceDN/>
              <w:bidi w:val="0"/>
              <w:adjustRightInd/>
              <w:spacing w:line="460" w:lineRule="exact"/>
              <w:ind w:left="0" w:firstLine="0" w:firstLine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☑不允许分包</w:t>
            </w:r>
          </w:p>
          <w:p w14:paraId="5E7DA477">
            <w:pPr>
              <w:pStyle w:val="10"/>
              <w:keepNext w:val="0"/>
              <w:keepLines w:val="0"/>
              <w:pageBreakBefore w:val="0"/>
              <w:widowControl w:val="0"/>
              <w:kinsoku/>
              <w:wordWrap/>
              <w:overflowPunct/>
              <w:topLinePunct w:val="0"/>
              <w:autoSpaceDE/>
              <w:autoSpaceDN/>
              <w:bidi w:val="0"/>
              <w:adjustRightInd/>
              <w:spacing w:line="460" w:lineRule="exact"/>
              <w:ind w:left="0" w:firstLine="0" w:firstLine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□允许分包</w:t>
            </w:r>
          </w:p>
          <w:p w14:paraId="5AEE456F">
            <w:pPr>
              <w:pStyle w:val="10"/>
              <w:keepNext w:val="0"/>
              <w:keepLines w:val="0"/>
              <w:pageBreakBefore w:val="0"/>
              <w:widowControl w:val="0"/>
              <w:kinsoku/>
              <w:wordWrap/>
              <w:overflowPunct/>
              <w:topLinePunct w:val="0"/>
              <w:autoSpaceDE/>
              <w:autoSpaceDN/>
              <w:bidi w:val="0"/>
              <w:adjustRightInd/>
              <w:spacing w:line="460" w:lineRule="exact"/>
              <w:ind w:left="0" w:firstLine="0" w:firstLineChars="0"/>
              <w:textAlignment w:val="auto"/>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lang w:val="en-US" w:eastAsia="zh-CN"/>
              </w:rPr>
              <w:t>分包内容：</w:t>
            </w:r>
            <w:r>
              <w:rPr>
                <w:rFonts w:hint="eastAsia" w:ascii="宋体" w:hAnsi="宋体" w:eastAsia="宋体" w:cs="宋体"/>
                <w:color w:val="auto"/>
                <w:szCs w:val="21"/>
                <w:highlight w:val="none"/>
                <w:u w:val="single"/>
                <w:lang w:val="en-US" w:eastAsia="zh-CN"/>
              </w:rPr>
              <w:t xml:space="preserve">                                    。</w:t>
            </w:r>
          </w:p>
          <w:p w14:paraId="62093F08">
            <w:pPr>
              <w:pStyle w:val="10"/>
              <w:keepNext w:val="0"/>
              <w:keepLines w:val="0"/>
              <w:pageBreakBefore w:val="0"/>
              <w:widowControl w:val="0"/>
              <w:kinsoku/>
              <w:wordWrap/>
              <w:overflowPunct/>
              <w:topLinePunct w:val="0"/>
              <w:autoSpaceDE/>
              <w:autoSpaceDN/>
              <w:bidi w:val="0"/>
              <w:adjustRightInd/>
              <w:spacing w:line="460" w:lineRule="exact"/>
              <w:ind w:left="0" w:firstLine="0" w:firstLine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分包金额或者比例：</w:t>
            </w:r>
            <w:r>
              <w:rPr>
                <w:rFonts w:hint="eastAsia" w:ascii="宋体" w:hAnsi="宋体" w:eastAsia="宋体" w:cs="宋体"/>
                <w:color w:val="auto"/>
                <w:szCs w:val="21"/>
                <w:highlight w:val="none"/>
                <w:u w:val="single"/>
                <w:lang w:val="en-US" w:eastAsia="zh-CN"/>
              </w:rPr>
              <w:t xml:space="preserve">                                    。</w:t>
            </w:r>
          </w:p>
        </w:tc>
      </w:tr>
      <w:tr w14:paraId="024D7E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9" w:type="dxa"/>
            <w:noWrap w:val="0"/>
            <w:vAlign w:val="center"/>
          </w:tcPr>
          <w:p w14:paraId="42D83616">
            <w:pPr>
              <w:keepNext w:val="0"/>
              <w:keepLines w:val="0"/>
              <w:pageBreakBefore w:val="0"/>
              <w:widowControl w:val="0"/>
              <w:kinsoku/>
              <w:wordWrap/>
              <w:overflowPunct/>
              <w:topLinePunct w:val="0"/>
              <w:autoSpaceDE/>
              <w:autoSpaceDN/>
              <w:bidi w:val="0"/>
              <w:adjustRightInd/>
              <w:spacing w:line="460" w:lineRule="exact"/>
              <w:ind w:left="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w:t>
            </w:r>
          </w:p>
        </w:tc>
        <w:tc>
          <w:tcPr>
            <w:tcW w:w="1971" w:type="dxa"/>
            <w:noWrap w:val="0"/>
            <w:vAlign w:val="center"/>
          </w:tcPr>
          <w:p w14:paraId="45481BD5">
            <w:pPr>
              <w:keepNext w:val="0"/>
              <w:keepLines w:val="0"/>
              <w:pageBreakBefore w:val="0"/>
              <w:widowControl w:val="0"/>
              <w:kinsoku/>
              <w:wordWrap/>
              <w:overflowPunct/>
              <w:topLinePunct w:val="0"/>
              <w:autoSpaceDE/>
              <w:autoSpaceDN/>
              <w:bidi w:val="0"/>
              <w:adjustRightInd/>
              <w:snapToGrid w:val="0"/>
              <w:spacing w:line="460" w:lineRule="exact"/>
              <w:ind w:left="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资格证明文件组成</w:t>
            </w:r>
          </w:p>
        </w:tc>
        <w:tc>
          <w:tcPr>
            <w:tcW w:w="7085" w:type="dxa"/>
            <w:noWrap w:val="0"/>
            <w:vAlign w:val="center"/>
          </w:tcPr>
          <w:p w14:paraId="2EA31D2B">
            <w:pPr>
              <w:pStyle w:val="10"/>
              <w:keepNext w:val="0"/>
              <w:keepLines w:val="0"/>
              <w:pageBreakBefore w:val="0"/>
              <w:widowControl w:val="0"/>
              <w:kinsoku/>
              <w:wordWrap/>
              <w:overflowPunct/>
              <w:topLinePunct w:val="0"/>
              <w:autoSpaceDE/>
              <w:autoSpaceDN/>
              <w:bidi w:val="0"/>
              <w:adjustRightInd/>
              <w:spacing w:line="460" w:lineRule="exact"/>
              <w:ind w:left="0" w:firstLine="0" w:firstLine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1.供应商为法人或者其他组织的提供其营业执照等证明文件（如营业执照或者事业单位法人证书或者执业许可证等），供应商为自然人的提供其身份证复印件；（</w:t>
            </w:r>
            <w:r>
              <w:rPr>
                <w:rFonts w:hint="eastAsia" w:ascii="宋体" w:hAnsi="宋体" w:eastAsia="宋体" w:cs="宋体"/>
                <w:b/>
                <w:color w:val="auto"/>
                <w:szCs w:val="21"/>
                <w:highlight w:val="none"/>
                <w:lang w:val="en-US" w:eastAsia="zh-CN"/>
              </w:rPr>
              <w:t>必须提供，否则响应文件按无效响应处理</w:t>
            </w:r>
            <w:r>
              <w:rPr>
                <w:rFonts w:hint="eastAsia" w:ascii="宋体" w:hAnsi="宋体" w:eastAsia="宋体" w:cs="宋体"/>
                <w:color w:val="auto"/>
                <w:szCs w:val="21"/>
                <w:highlight w:val="none"/>
                <w:lang w:val="en-US" w:eastAsia="zh-CN"/>
              </w:rPr>
              <w:t>）</w:t>
            </w:r>
          </w:p>
          <w:p w14:paraId="2AE52795">
            <w:pPr>
              <w:keepNext w:val="0"/>
              <w:keepLines w:val="0"/>
              <w:pageBreakBefore w:val="0"/>
              <w:widowControl w:val="0"/>
              <w:kinsoku/>
              <w:wordWrap/>
              <w:overflowPunct/>
              <w:topLinePunct w:val="0"/>
              <w:autoSpaceDE/>
              <w:autoSpaceDN/>
              <w:bidi w:val="0"/>
              <w:adjustRightInd/>
              <w:snapToGrid w:val="0"/>
              <w:spacing w:line="460" w:lineRule="exact"/>
              <w:ind w:lef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供应商依法缴纳税收的相关材料</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（2024年11月至2025年4月）</w:t>
            </w:r>
            <w:r>
              <w:rPr>
                <w:rFonts w:hint="eastAsia" w:ascii="宋体" w:hAnsi="宋体" w:eastAsia="宋体" w:cs="宋体"/>
                <w:color w:val="auto"/>
                <w:sz w:val="21"/>
                <w:szCs w:val="21"/>
                <w:highlight w:val="none"/>
                <w:lang w:val="en-US" w:eastAsia="zh-CN"/>
              </w:rPr>
              <w:t>期间内任意</w:t>
            </w:r>
            <w:r>
              <w:rPr>
                <w:rFonts w:hint="eastAsia" w:ascii="宋体" w:hAnsi="宋体" w:eastAsia="宋体" w:cs="宋体"/>
                <w:color w:val="auto"/>
                <w:sz w:val="21"/>
                <w:szCs w:val="21"/>
                <w:highlight w:val="none"/>
                <w:u w:val="single"/>
              </w:rPr>
              <w:t>三</w:t>
            </w:r>
            <w:r>
              <w:rPr>
                <w:rFonts w:hint="eastAsia" w:ascii="宋体" w:hAnsi="宋体" w:eastAsia="宋体" w:cs="宋体"/>
                <w:color w:val="auto"/>
                <w:sz w:val="21"/>
                <w:szCs w:val="21"/>
                <w:highlight w:val="none"/>
              </w:rPr>
              <w:t>个月的依法缴纳税收的凭据复印件）；依法免税的供应商，必须提供相应文件证明其依法免税。从取得营业执照时间起到响应文件提交截止时间为止不足要求月数的，只需提供从取得营业执照起的依法缴纳税收相应证明文件</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必须提供，否则响应文件按无效响应处理</w:t>
            </w:r>
            <w:r>
              <w:rPr>
                <w:rFonts w:hint="eastAsia" w:ascii="宋体" w:hAnsi="宋体" w:eastAsia="宋体" w:cs="宋体"/>
                <w:color w:val="auto"/>
                <w:sz w:val="21"/>
                <w:szCs w:val="21"/>
                <w:highlight w:val="none"/>
              </w:rPr>
              <w:t>）</w:t>
            </w:r>
          </w:p>
          <w:p w14:paraId="425A007D">
            <w:pPr>
              <w:keepNext w:val="0"/>
              <w:keepLines w:val="0"/>
              <w:pageBreakBefore w:val="0"/>
              <w:widowControl w:val="0"/>
              <w:kinsoku/>
              <w:wordWrap/>
              <w:overflowPunct/>
              <w:topLinePunct w:val="0"/>
              <w:autoSpaceDE/>
              <w:autoSpaceDN/>
              <w:bidi w:val="0"/>
              <w:adjustRightInd/>
              <w:snapToGrid w:val="0"/>
              <w:spacing w:line="460" w:lineRule="exact"/>
              <w:ind w:lef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供应商依法缴纳社会保障资金的相关材料[</w:t>
            </w:r>
            <w:r>
              <w:rPr>
                <w:rFonts w:hint="eastAsia" w:ascii="宋体" w:hAnsi="宋体" w:cs="宋体"/>
                <w:color w:val="auto"/>
                <w:sz w:val="21"/>
                <w:szCs w:val="21"/>
                <w:highlight w:val="none"/>
                <w:lang w:val="en-US" w:eastAsia="zh-CN"/>
              </w:rPr>
              <w:t>（2024年11月至2025年4月）</w:t>
            </w:r>
            <w:r>
              <w:rPr>
                <w:rFonts w:hint="eastAsia" w:ascii="宋体" w:hAnsi="宋体" w:eastAsia="宋体" w:cs="宋体"/>
                <w:color w:val="auto"/>
                <w:sz w:val="21"/>
                <w:szCs w:val="21"/>
                <w:highlight w:val="none"/>
                <w:lang w:val="en-US" w:eastAsia="zh-CN"/>
              </w:rPr>
              <w:t>期间内任意</w:t>
            </w:r>
            <w:r>
              <w:rPr>
                <w:rFonts w:hint="eastAsia" w:ascii="宋体" w:hAnsi="宋体" w:eastAsia="宋体" w:cs="宋体"/>
                <w:color w:val="auto"/>
                <w:sz w:val="21"/>
                <w:szCs w:val="21"/>
                <w:highlight w:val="none"/>
                <w:u w:val="single"/>
              </w:rPr>
              <w:t>三</w:t>
            </w:r>
            <w:r>
              <w:rPr>
                <w:rFonts w:hint="eastAsia" w:ascii="宋体" w:hAnsi="宋体" w:eastAsia="宋体" w:cs="宋体"/>
                <w:color w:val="auto"/>
                <w:sz w:val="21"/>
                <w:szCs w:val="21"/>
                <w:highlight w:val="none"/>
              </w:rPr>
              <w:t>个月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宋体" w:hAnsi="宋体" w:eastAsia="宋体" w:cs="宋体"/>
                <w:b/>
                <w:color w:val="auto"/>
                <w:sz w:val="21"/>
                <w:szCs w:val="21"/>
                <w:highlight w:val="none"/>
              </w:rPr>
              <w:t>必须提供，否则响应文件按无效响应处理</w:t>
            </w:r>
            <w:r>
              <w:rPr>
                <w:rFonts w:hint="eastAsia" w:ascii="宋体" w:hAnsi="宋体" w:eastAsia="宋体" w:cs="宋体"/>
                <w:color w:val="auto"/>
                <w:sz w:val="21"/>
                <w:szCs w:val="21"/>
                <w:highlight w:val="none"/>
              </w:rPr>
              <w:t>）</w:t>
            </w:r>
          </w:p>
          <w:p w14:paraId="0A948049">
            <w:pPr>
              <w:keepNext w:val="0"/>
              <w:keepLines w:val="0"/>
              <w:pageBreakBefore w:val="0"/>
              <w:widowControl w:val="0"/>
              <w:kinsoku/>
              <w:wordWrap/>
              <w:overflowPunct/>
              <w:topLinePunct w:val="0"/>
              <w:autoSpaceDE/>
              <w:autoSpaceDN/>
              <w:bidi w:val="0"/>
              <w:adjustRightInd/>
              <w:snapToGrid w:val="0"/>
              <w:spacing w:line="460" w:lineRule="exact"/>
              <w:ind w:left="0" w:firstLine="0" w:firstLineChars="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4.供应商</w:t>
            </w:r>
            <w:r>
              <w:rPr>
                <w:rFonts w:hint="eastAsia" w:ascii="宋体" w:hAnsi="宋体" w:eastAsia="宋体" w:cs="宋体"/>
                <w:color w:val="auto"/>
                <w:szCs w:val="21"/>
                <w:highlight w:val="none"/>
                <w:u w:val="single"/>
                <w:lang w:val="en-US" w:eastAsia="zh-CN"/>
              </w:rPr>
              <w:t>2023年度或2024年度</w:t>
            </w:r>
            <w:r>
              <w:rPr>
                <w:rFonts w:hint="eastAsia" w:ascii="宋体" w:hAnsi="宋体" w:eastAsia="宋体" w:cs="宋体"/>
                <w:color w:val="auto"/>
                <w:szCs w:val="21"/>
                <w:highlight w:val="none"/>
              </w:rPr>
              <w:t>财务状况报告</w:t>
            </w:r>
            <w:r>
              <w:rPr>
                <w:rFonts w:hint="eastAsia" w:ascii="宋体" w:hAnsi="宋体" w:eastAsia="宋体" w:cs="宋体"/>
                <w:b w:val="0"/>
                <w:bCs w:val="0"/>
                <w:color w:val="auto"/>
                <w:szCs w:val="21"/>
                <w:highlight w:val="none"/>
              </w:rPr>
              <w:t>或者</w:t>
            </w:r>
            <w:r>
              <w:rPr>
                <w:rFonts w:hint="eastAsia" w:ascii="宋体" w:hAnsi="宋体" w:eastAsia="宋体" w:cs="宋体"/>
                <w:b w:val="0"/>
                <w:bCs w:val="0"/>
                <w:color w:val="auto"/>
                <w:szCs w:val="21"/>
                <w:highlight w:val="none"/>
                <w:lang w:eastAsia="zh-CN"/>
              </w:rPr>
              <w:t>提供</w:t>
            </w:r>
            <w:r>
              <w:rPr>
                <w:rFonts w:hint="eastAsia" w:ascii="宋体" w:hAnsi="宋体" w:eastAsia="宋体" w:cs="宋体"/>
                <w:b w:val="0"/>
                <w:bCs w:val="0"/>
                <w:color w:val="auto"/>
                <w:szCs w:val="21"/>
                <w:highlight w:val="none"/>
              </w:rPr>
              <w:t>其基本开户银行出具的资信证明</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成立不满一年的</w:t>
            </w:r>
            <w:r>
              <w:rPr>
                <w:rFonts w:hint="eastAsia" w:ascii="宋体" w:hAnsi="宋体" w:eastAsia="宋体" w:cs="宋体"/>
                <w:color w:val="auto"/>
                <w:szCs w:val="21"/>
                <w:highlight w:val="none"/>
                <w:lang w:eastAsia="zh-CN"/>
              </w:rPr>
              <w:t>应</w:t>
            </w:r>
            <w:r>
              <w:rPr>
                <w:rFonts w:hint="eastAsia" w:ascii="宋体" w:hAnsi="宋体" w:eastAsia="宋体" w:cs="宋体"/>
                <w:color w:val="auto"/>
                <w:szCs w:val="21"/>
                <w:highlight w:val="none"/>
              </w:rPr>
              <w:t>提供</w:t>
            </w:r>
            <w:r>
              <w:rPr>
                <w:rFonts w:hint="eastAsia" w:ascii="宋体" w:hAnsi="宋体" w:eastAsia="宋体" w:cs="宋体"/>
                <w:color w:val="auto"/>
                <w:szCs w:val="21"/>
                <w:highlight w:val="none"/>
                <w:lang w:eastAsia="zh-CN"/>
              </w:rPr>
              <w:t>竞标</w:t>
            </w:r>
            <w:r>
              <w:rPr>
                <w:rFonts w:hint="eastAsia" w:ascii="宋体" w:hAnsi="宋体" w:eastAsia="宋体" w:cs="宋体"/>
                <w:color w:val="auto"/>
                <w:szCs w:val="21"/>
                <w:highlight w:val="none"/>
              </w:rPr>
              <w:t>前上</w:t>
            </w:r>
            <w:r>
              <w:rPr>
                <w:rFonts w:hint="eastAsia" w:ascii="宋体" w:hAnsi="宋体" w:eastAsia="宋体" w:cs="宋体"/>
                <w:color w:val="auto"/>
                <w:szCs w:val="21"/>
                <w:highlight w:val="none"/>
                <w:lang w:eastAsia="zh-CN"/>
              </w:rPr>
              <w:t>一</w:t>
            </w:r>
            <w:r>
              <w:rPr>
                <w:rFonts w:hint="eastAsia" w:ascii="宋体" w:hAnsi="宋体" w:eastAsia="宋体" w:cs="宋体"/>
                <w:color w:val="auto"/>
                <w:szCs w:val="21"/>
                <w:highlight w:val="none"/>
              </w:rPr>
              <w:t>个月的财务</w:t>
            </w:r>
            <w:r>
              <w:rPr>
                <w:rFonts w:hint="eastAsia" w:ascii="宋体" w:hAnsi="宋体" w:eastAsia="宋体" w:cs="宋体"/>
                <w:color w:val="auto"/>
                <w:szCs w:val="21"/>
                <w:highlight w:val="none"/>
                <w:lang w:eastAsia="zh-CN"/>
              </w:rPr>
              <w:t>状况报告复印件</w:t>
            </w:r>
            <w:r>
              <w:rPr>
                <w:rFonts w:hint="eastAsia" w:ascii="宋体" w:hAnsi="宋体" w:eastAsia="宋体" w:cs="宋体"/>
                <w:b w:val="0"/>
                <w:bCs w:val="0"/>
                <w:color w:val="auto"/>
                <w:szCs w:val="21"/>
                <w:highlight w:val="none"/>
              </w:rPr>
              <w:t>或者</w:t>
            </w:r>
            <w:r>
              <w:rPr>
                <w:rFonts w:hint="eastAsia" w:ascii="宋体" w:hAnsi="宋体" w:eastAsia="宋体" w:cs="宋体"/>
                <w:b w:val="0"/>
                <w:bCs w:val="0"/>
                <w:color w:val="auto"/>
                <w:szCs w:val="21"/>
                <w:highlight w:val="none"/>
                <w:lang w:eastAsia="zh-CN"/>
              </w:rPr>
              <w:t>提供</w:t>
            </w:r>
            <w:r>
              <w:rPr>
                <w:rFonts w:hint="eastAsia" w:ascii="宋体" w:hAnsi="宋体" w:eastAsia="宋体" w:cs="宋体"/>
                <w:b w:val="0"/>
                <w:bCs w:val="0"/>
                <w:color w:val="auto"/>
                <w:szCs w:val="21"/>
                <w:highlight w:val="none"/>
              </w:rPr>
              <w:t>其基本开户银行出具的资信证明</w:t>
            </w:r>
            <w:r>
              <w:rPr>
                <w:rFonts w:hint="eastAsia" w:ascii="宋体" w:hAnsi="宋体" w:eastAsia="宋体" w:cs="宋体"/>
                <w:color w:val="auto"/>
                <w:szCs w:val="21"/>
                <w:highlight w:val="none"/>
                <w:lang w:eastAsia="zh-CN"/>
              </w:rPr>
              <w:t>。上述财务状况报告包括</w:t>
            </w:r>
            <w:r>
              <w:rPr>
                <w:rFonts w:hint="eastAsia" w:ascii="宋体" w:hAnsi="宋体" w:eastAsia="宋体" w:cs="宋体"/>
                <w:b w:val="0"/>
                <w:bCs w:val="0"/>
                <w:color w:val="auto"/>
                <w:szCs w:val="21"/>
                <w:highlight w:val="none"/>
              </w:rPr>
              <w:t>资产负债表、利润表、现金流量表</w:t>
            </w:r>
            <w:r>
              <w:rPr>
                <w:rFonts w:hint="eastAsia" w:ascii="宋体" w:hAnsi="宋体" w:eastAsia="宋体" w:cs="宋体"/>
                <w:b w:val="0"/>
                <w:bCs w:val="0"/>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w:t>
            </w:r>
            <w:r>
              <w:rPr>
                <w:rFonts w:hint="eastAsia" w:ascii="宋体" w:hAnsi="宋体" w:eastAsia="宋体" w:cs="宋体"/>
                <w:b/>
                <w:color w:val="auto"/>
                <w:szCs w:val="21"/>
                <w:highlight w:val="none"/>
                <w:lang w:val="en-US" w:eastAsia="zh-CN"/>
              </w:rPr>
              <w:t>响应文件</w:t>
            </w:r>
            <w:r>
              <w:rPr>
                <w:rFonts w:hint="eastAsia" w:ascii="宋体" w:hAnsi="宋体" w:eastAsia="宋体" w:cs="宋体"/>
                <w:b/>
                <w:color w:val="auto"/>
                <w:szCs w:val="21"/>
                <w:highlight w:val="none"/>
              </w:rPr>
              <w:t>作无效响应处理</w:t>
            </w:r>
            <w:r>
              <w:rPr>
                <w:rFonts w:hint="eastAsia" w:ascii="宋体" w:hAnsi="宋体" w:eastAsia="宋体" w:cs="宋体"/>
                <w:color w:val="auto"/>
                <w:szCs w:val="21"/>
                <w:highlight w:val="none"/>
              </w:rPr>
              <w:t>）</w:t>
            </w:r>
          </w:p>
          <w:p w14:paraId="3E7DF482">
            <w:pPr>
              <w:keepNext w:val="0"/>
              <w:keepLines w:val="0"/>
              <w:pageBreakBefore w:val="0"/>
              <w:widowControl w:val="0"/>
              <w:kinsoku/>
              <w:wordWrap/>
              <w:overflowPunct/>
              <w:topLinePunct w:val="0"/>
              <w:autoSpaceDE/>
              <w:autoSpaceDN/>
              <w:bidi w:val="0"/>
              <w:adjustRightInd/>
              <w:snapToGrid w:val="0"/>
              <w:spacing w:line="460" w:lineRule="exact"/>
              <w:ind w:left="0" w:firstLine="0" w:firstLineChars="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5.供应商直接控股、管理关系信息表；（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71D1CF6D">
            <w:pPr>
              <w:keepNext w:val="0"/>
              <w:keepLines w:val="0"/>
              <w:pageBreakBefore w:val="0"/>
              <w:widowControl w:val="0"/>
              <w:kinsoku/>
              <w:wordWrap/>
              <w:overflowPunct/>
              <w:topLinePunct w:val="0"/>
              <w:autoSpaceDE/>
              <w:autoSpaceDN/>
              <w:bidi w:val="0"/>
              <w:adjustRightInd/>
              <w:snapToGrid w:val="0"/>
              <w:spacing w:line="460" w:lineRule="exact"/>
              <w:ind w:left="0" w:firstLine="0" w:firstLineChars="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6.资格声明函；（</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27273C76">
            <w:pPr>
              <w:keepNext w:val="0"/>
              <w:keepLines w:val="0"/>
              <w:pageBreakBefore w:val="0"/>
              <w:widowControl w:val="0"/>
              <w:kinsoku/>
              <w:wordWrap/>
              <w:overflowPunct/>
              <w:topLinePunct w:val="0"/>
              <w:autoSpaceDE/>
              <w:autoSpaceDN/>
              <w:bidi w:val="0"/>
              <w:adjustRightInd/>
              <w:snapToGrid w:val="0"/>
              <w:spacing w:line="460" w:lineRule="exact"/>
              <w:ind w:left="0" w:firstLine="0" w:firstLineChars="0"/>
              <w:jc w:val="left"/>
              <w:textAlignment w:val="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7.中小企业声明函或残疾人福利性单位声明函或监狱企业证明（</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b/>
                <w:color w:val="auto"/>
                <w:szCs w:val="21"/>
                <w:highlight w:val="none"/>
                <w:lang w:eastAsia="zh-CN"/>
              </w:rPr>
              <w:t>，</w:t>
            </w:r>
            <w:r>
              <w:rPr>
                <w:rFonts w:hint="eastAsia" w:ascii="宋体" w:hAnsi="宋体" w:eastAsia="宋体" w:cs="宋体"/>
                <w:b/>
                <w:bCs/>
                <w:color w:val="auto"/>
                <w:szCs w:val="21"/>
                <w:highlight w:val="none"/>
              </w:rPr>
              <w:t>格式后附）</w:t>
            </w:r>
            <w:r>
              <w:rPr>
                <w:rFonts w:hint="eastAsia" w:ascii="宋体" w:hAnsi="宋体" w:eastAsia="宋体" w:cs="宋体"/>
                <w:color w:val="auto"/>
                <w:szCs w:val="21"/>
                <w:highlight w:val="none"/>
              </w:rPr>
              <w:t>。</w:t>
            </w:r>
          </w:p>
          <w:p w14:paraId="790C09B0">
            <w:pPr>
              <w:keepNext w:val="0"/>
              <w:keepLines w:val="0"/>
              <w:pageBreakBefore w:val="0"/>
              <w:widowControl w:val="0"/>
              <w:kinsoku/>
              <w:wordWrap/>
              <w:overflowPunct/>
              <w:topLinePunct w:val="0"/>
              <w:autoSpaceDE/>
              <w:autoSpaceDN/>
              <w:bidi w:val="0"/>
              <w:adjustRightInd/>
              <w:snapToGrid w:val="0"/>
              <w:spacing w:line="460" w:lineRule="exact"/>
              <w:ind w:left="0" w:firstLine="0" w:firstLineChars="0"/>
              <w:jc w:val="left"/>
              <w:textAlignment w:val="auto"/>
              <w:rPr>
                <w:rFonts w:hint="eastAsia" w:ascii="宋体" w:hAnsi="宋体" w:eastAsia="宋体" w:cs="宋体"/>
                <w:color w:val="auto"/>
                <w:highlight w:val="none"/>
              </w:rPr>
            </w:pPr>
            <w:r>
              <w:rPr>
                <w:rFonts w:hint="eastAsia" w:ascii="宋体" w:hAnsi="宋体" w:eastAsia="宋体" w:cs="宋体"/>
                <w:b/>
                <w:color w:val="auto"/>
                <w:szCs w:val="21"/>
                <w:highlight w:val="none"/>
              </w:rPr>
              <w:t>注：以上标明“必须提供”的材料属于复印件的扫描件的，必须加盖供应商电子公章，否则响应文件按无效响应处理。</w:t>
            </w:r>
          </w:p>
        </w:tc>
      </w:tr>
      <w:tr w14:paraId="329813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9" w:type="dxa"/>
            <w:vMerge w:val="restart"/>
            <w:noWrap w:val="0"/>
            <w:vAlign w:val="center"/>
          </w:tcPr>
          <w:p w14:paraId="3A9EDC8B">
            <w:pPr>
              <w:keepNext w:val="0"/>
              <w:keepLines w:val="0"/>
              <w:pageBreakBefore w:val="0"/>
              <w:widowControl w:val="0"/>
              <w:kinsoku/>
              <w:wordWrap/>
              <w:overflowPunct/>
              <w:topLinePunct w:val="0"/>
              <w:autoSpaceDE/>
              <w:autoSpaceDN/>
              <w:bidi w:val="0"/>
              <w:adjustRightInd/>
              <w:spacing w:line="460" w:lineRule="exact"/>
              <w:ind w:left="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p>
        </w:tc>
        <w:tc>
          <w:tcPr>
            <w:tcW w:w="1971" w:type="dxa"/>
            <w:noWrap w:val="0"/>
            <w:vAlign w:val="center"/>
          </w:tcPr>
          <w:p w14:paraId="614ACF1C">
            <w:pPr>
              <w:keepNext w:val="0"/>
              <w:keepLines w:val="0"/>
              <w:pageBreakBefore w:val="0"/>
              <w:widowControl w:val="0"/>
              <w:kinsoku/>
              <w:wordWrap/>
              <w:overflowPunct/>
              <w:topLinePunct w:val="0"/>
              <w:autoSpaceDE/>
              <w:autoSpaceDN/>
              <w:bidi w:val="0"/>
              <w:adjustRightInd/>
              <w:spacing w:line="460" w:lineRule="exact"/>
              <w:ind w:left="0" w:firstLine="0" w:firstLineChars="0"/>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商务文件组成</w:t>
            </w:r>
          </w:p>
        </w:tc>
        <w:tc>
          <w:tcPr>
            <w:tcW w:w="7085" w:type="dxa"/>
            <w:noWrap w:val="0"/>
            <w:vAlign w:val="center"/>
          </w:tcPr>
          <w:p w14:paraId="73C86701">
            <w:pPr>
              <w:keepNext w:val="0"/>
              <w:keepLines w:val="0"/>
              <w:pageBreakBefore w:val="0"/>
              <w:widowControl w:val="0"/>
              <w:kinsoku/>
              <w:wordWrap/>
              <w:overflowPunct/>
              <w:topLinePunct w:val="0"/>
              <w:autoSpaceDE/>
              <w:autoSpaceDN/>
              <w:bidi w:val="0"/>
              <w:adjustRightInd/>
              <w:spacing w:line="460" w:lineRule="exact"/>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1</w:t>
            </w:r>
            <w:r>
              <w:rPr>
                <w:rFonts w:hint="eastAsia" w:ascii="宋体" w:hAnsi="宋体" w:eastAsia="宋体" w:cs="宋体"/>
                <w:color w:val="auto"/>
                <w:highlight w:val="none"/>
              </w:rPr>
              <w:t>.无串通竞标行为的承诺函</w:t>
            </w:r>
            <w:r>
              <w:rPr>
                <w:rFonts w:hint="eastAsia" w:ascii="宋体" w:hAnsi="宋体" w:eastAsia="宋体" w:cs="宋体"/>
                <w:b/>
                <w:bCs/>
                <w:color w:val="auto"/>
                <w:highlight w:val="none"/>
                <w:lang w:eastAsia="zh-CN"/>
              </w:rPr>
              <w:t>及磋商保证金缴纳凭证</w:t>
            </w:r>
            <w:r>
              <w:rPr>
                <w:rFonts w:hint="eastAsia" w:ascii="宋体" w:hAnsi="宋体" w:eastAsia="宋体" w:cs="宋体"/>
                <w:color w:val="auto"/>
                <w:highlight w:val="none"/>
              </w:rPr>
              <w:t>；（</w:t>
            </w:r>
            <w:r>
              <w:rPr>
                <w:rFonts w:hint="eastAsia" w:ascii="宋体" w:hAnsi="宋体" w:eastAsia="宋体" w:cs="宋体"/>
                <w:b/>
                <w:color w:val="auto"/>
                <w:highlight w:val="none"/>
              </w:rPr>
              <w:t>必须提供，否则响应文件按无效响应处理</w:t>
            </w:r>
            <w:r>
              <w:rPr>
                <w:rFonts w:hint="eastAsia" w:ascii="宋体" w:hAnsi="宋体" w:eastAsia="宋体" w:cs="宋体"/>
                <w:color w:val="auto"/>
                <w:highlight w:val="none"/>
              </w:rPr>
              <w:t>）</w:t>
            </w:r>
          </w:p>
          <w:p w14:paraId="38909338">
            <w:pPr>
              <w:keepNext w:val="0"/>
              <w:keepLines w:val="0"/>
              <w:pageBreakBefore w:val="0"/>
              <w:widowControl w:val="0"/>
              <w:kinsoku/>
              <w:wordWrap/>
              <w:overflowPunct/>
              <w:topLinePunct w:val="0"/>
              <w:autoSpaceDE/>
              <w:autoSpaceDN/>
              <w:bidi w:val="0"/>
              <w:adjustRightInd/>
              <w:snapToGrid w:val="0"/>
              <w:spacing w:line="460" w:lineRule="exact"/>
              <w:ind w:left="0"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2.法定代表人身份证明书及法定代表人有效身份证正反面复印件；（</w:t>
            </w:r>
            <w:r>
              <w:rPr>
                <w:rFonts w:hint="eastAsia" w:ascii="宋体" w:hAnsi="宋体" w:eastAsia="宋体" w:cs="宋体"/>
                <w:b/>
                <w:bCs/>
                <w:color w:val="auto"/>
                <w:highlight w:val="none"/>
              </w:rPr>
              <w:t>除自然人竞标外</w:t>
            </w:r>
            <w:r>
              <w:rPr>
                <w:rFonts w:hint="eastAsia" w:ascii="宋体" w:hAnsi="宋体" w:eastAsia="宋体" w:cs="宋体"/>
                <w:b/>
                <w:color w:val="auto"/>
                <w:highlight w:val="none"/>
              </w:rPr>
              <w:t>必须提供，否则响应文件按无效响应处理</w:t>
            </w:r>
            <w:r>
              <w:rPr>
                <w:rFonts w:hint="eastAsia" w:ascii="宋体" w:hAnsi="宋体" w:eastAsia="宋体" w:cs="宋体"/>
                <w:color w:val="auto"/>
                <w:highlight w:val="none"/>
              </w:rPr>
              <w:t>）</w:t>
            </w:r>
          </w:p>
          <w:p w14:paraId="00ECACAD">
            <w:pPr>
              <w:keepNext w:val="0"/>
              <w:keepLines w:val="0"/>
              <w:pageBreakBefore w:val="0"/>
              <w:widowControl w:val="0"/>
              <w:kinsoku/>
              <w:wordWrap/>
              <w:overflowPunct/>
              <w:topLinePunct w:val="0"/>
              <w:autoSpaceDE/>
              <w:autoSpaceDN/>
              <w:bidi w:val="0"/>
              <w:adjustRightInd/>
              <w:spacing w:line="460" w:lineRule="exact"/>
              <w:ind w:left="0" w:firstLine="0" w:firstLineChars="0"/>
              <w:textAlignment w:val="auto"/>
              <w:rPr>
                <w:rFonts w:hint="eastAsia" w:ascii="宋体" w:hAnsi="宋体" w:eastAsia="宋体" w:cs="宋体"/>
                <w:b/>
                <w:color w:val="auto"/>
                <w:highlight w:val="none"/>
              </w:rPr>
            </w:pPr>
            <w:r>
              <w:rPr>
                <w:rFonts w:hint="eastAsia" w:ascii="宋体" w:hAnsi="宋体" w:eastAsia="宋体" w:cs="宋体"/>
                <w:color w:val="auto"/>
                <w:highlight w:val="none"/>
              </w:rPr>
              <w:t>3.法定代表人授权委托书及委托代理人有效身份证正反面复印件；（</w:t>
            </w:r>
            <w:r>
              <w:rPr>
                <w:rFonts w:hint="eastAsia" w:ascii="宋体" w:hAnsi="宋体" w:eastAsia="宋体" w:cs="宋体"/>
                <w:b/>
                <w:color w:val="auto"/>
                <w:highlight w:val="none"/>
              </w:rPr>
              <w:t>委托时必须提供，否则响应文件按无效响应处理</w:t>
            </w:r>
            <w:r>
              <w:rPr>
                <w:rFonts w:hint="eastAsia" w:ascii="宋体" w:hAnsi="宋体" w:eastAsia="宋体" w:cs="宋体"/>
                <w:color w:val="auto"/>
                <w:highlight w:val="none"/>
              </w:rPr>
              <w:t>）</w:t>
            </w:r>
          </w:p>
          <w:p w14:paraId="43F43672">
            <w:pPr>
              <w:keepNext w:val="0"/>
              <w:keepLines w:val="0"/>
              <w:pageBreakBefore w:val="0"/>
              <w:widowControl w:val="0"/>
              <w:kinsoku/>
              <w:wordWrap/>
              <w:overflowPunct/>
              <w:topLinePunct w:val="0"/>
              <w:autoSpaceDE/>
              <w:autoSpaceDN/>
              <w:bidi w:val="0"/>
              <w:adjustRightInd/>
              <w:spacing w:line="460" w:lineRule="exact"/>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4.商务条款偏离表；（</w:t>
            </w:r>
            <w:r>
              <w:rPr>
                <w:rFonts w:hint="eastAsia" w:ascii="宋体" w:hAnsi="宋体" w:eastAsia="宋体" w:cs="宋体"/>
                <w:b/>
                <w:color w:val="auto"/>
                <w:highlight w:val="none"/>
              </w:rPr>
              <w:t>必须提供，否则响应文件按无效响应处理</w:t>
            </w:r>
            <w:r>
              <w:rPr>
                <w:rFonts w:hint="eastAsia" w:ascii="宋体" w:hAnsi="宋体" w:eastAsia="宋体" w:cs="宋体"/>
                <w:color w:val="auto"/>
                <w:highlight w:val="none"/>
              </w:rPr>
              <w:t>）</w:t>
            </w:r>
          </w:p>
          <w:p w14:paraId="26E4BBC9">
            <w:pPr>
              <w:keepNext w:val="0"/>
              <w:keepLines w:val="0"/>
              <w:pageBreakBefore w:val="0"/>
              <w:widowControl w:val="0"/>
              <w:kinsoku/>
              <w:wordWrap/>
              <w:overflowPunct/>
              <w:topLinePunct w:val="0"/>
              <w:autoSpaceDE/>
              <w:autoSpaceDN/>
              <w:bidi w:val="0"/>
              <w:adjustRightInd/>
              <w:spacing w:line="460" w:lineRule="exact"/>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.供应商类似的业绩证明文件（如有要求）。</w:t>
            </w:r>
          </w:p>
          <w:p w14:paraId="5EB0251E">
            <w:pPr>
              <w:keepNext w:val="0"/>
              <w:keepLines w:val="0"/>
              <w:pageBreakBefore w:val="0"/>
              <w:widowControl w:val="0"/>
              <w:kinsoku/>
              <w:wordWrap/>
              <w:overflowPunct/>
              <w:topLinePunct w:val="0"/>
              <w:autoSpaceDE/>
              <w:autoSpaceDN/>
              <w:bidi w:val="0"/>
              <w:adjustRightInd/>
              <w:snapToGrid w:val="0"/>
              <w:spacing w:line="460" w:lineRule="exact"/>
              <w:ind w:left="0" w:firstLine="0" w:firstLineChars="0"/>
              <w:jc w:val="left"/>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 xml:space="preserve">注： </w:t>
            </w:r>
          </w:p>
          <w:p w14:paraId="3E708FA3">
            <w:pPr>
              <w:keepNext w:val="0"/>
              <w:keepLines w:val="0"/>
              <w:pageBreakBefore w:val="0"/>
              <w:widowControl w:val="0"/>
              <w:tabs>
                <w:tab w:val="left" w:pos="459"/>
              </w:tabs>
              <w:kinsoku/>
              <w:wordWrap/>
              <w:overflowPunct/>
              <w:topLinePunct w:val="0"/>
              <w:autoSpaceDE/>
              <w:autoSpaceDN/>
              <w:bidi w:val="0"/>
              <w:adjustRightInd/>
              <w:snapToGrid w:val="0"/>
              <w:spacing w:line="460" w:lineRule="exact"/>
              <w:ind w:left="0" w:firstLine="0" w:firstLineChars="0"/>
              <w:jc w:val="left"/>
              <w:textAlignment w:val="auto"/>
              <w:rPr>
                <w:rFonts w:hint="eastAsia" w:ascii="宋体" w:hAnsi="宋体" w:eastAsia="宋体" w:cs="宋体"/>
                <w:b/>
                <w:bCs/>
                <w:color w:val="auto"/>
                <w:szCs w:val="21"/>
                <w:highlight w:val="none"/>
              </w:rPr>
            </w:pPr>
            <w:r>
              <w:rPr>
                <w:rFonts w:hint="eastAsia" w:ascii="宋体" w:hAnsi="宋体" w:eastAsia="宋体" w:cs="宋体"/>
                <w:b/>
                <w:color w:val="auto"/>
                <w:highlight w:val="none"/>
              </w:rPr>
              <w:t>1.法定代表人和委托代理人必须在授权委托书上</w:t>
            </w:r>
            <w:r>
              <w:rPr>
                <w:rFonts w:hint="eastAsia" w:ascii="宋体" w:hAnsi="宋体" w:eastAsia="宋体" w:cs="宋体"/>
                <w:b/>
                <w:color w:val="auto"/>
                <w:highlight w:val="none"/>
                <w:lang w:eastAsia="zh-CN"/>
              </w:rPr>
              <w:t>签字</w:t>
            </w:r>
            <w:r>
              <w:rPr>
                <w:rFonts w:hint="eastAsia" w:ascii="宋体" w:hAnsi="宋体" w:eastAsia="宋体" w:cs="宋体"/>
                <w:b/>
                <w:bCs/>
                <w:color w:val="auto"/>
                <w:szCs w:val="21"/>
                <w:highlight w:val="none"/>
              </w:rPr>
              <w:t>，并加盖供应商公章，否则响应文件按无效响应处理。</w:t>
            </w:r>
          </w:p>
          <w:p w14:paraId="60510C06">
            <w:pPr>
              <w:keepNext w:val="0"/>
              <w:keepLines w:val="0"/>
              <w:pageBreakBefore w:val="0"/>
              <w:widowControl w:val="0"/>
              <w:kinsoku/>
              <w:wordWrap/>
              <w:overflowPunct/>
              <w:topLinePunct w:val="0"/>
              <w:autoSpaceDE/>
              <w:autoSpaceDN/>
              <w:bidi w:val="0"/>
              <w:adjustRightInd/>
              <w:spacing w:line="460" w:lineRule="exact"/>
              <w:ind w:left="0" w:firstLine="0" w:firstLineChars="0"/>
              <w:textAlignment w:val="auto"/>
              <w:rPr>
                <w:rFonts w:hint="eastAsia" w:ascii="宋体" w:hAnsi="宋体" w:eastAsia="宋体" w:cs="宋体"/>
                <w:color w:val="auto"/>
                <w:highlight w:val="none"/>
              </w:rPr>
            </w:pPr>
            <w:r>
              <w:rPr>
                <w:rFonts w:hint="eastAsia" w:ascii="宋体" w:hAnsi="宋体" w:eastAsia="宋体" w:cs="宋体"/>
                <w:b/>
                <w:color w:val="auto"/>
                <w:highlight w:val="none"/>
              </w:rPr>
              <w:t>2.以上标明“必须提供”的材料属于复印件的扫描件的，必须加盖供应商电子公章，否则响应文件按无效响应处理。</w:t>
            </w:r>
          </w:p>
        </w:tc>
      </w:tr>
      <w:tr w14:paraId="18B480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9" w:type="dxa"/>
            <w:vMerge w:val="continue"/>
            <w:noWrap w:val="0"/>
            <w:vAlign w:val="center"/>
          </w:tcPr>
          <w:p w14:paraId="361AD84B">
            <w:pPr>
              <w:keepNext w:val="0"/>
              <w:keepLines w:val="0"/>
              <w:pageBreakBefore w:val="0"/>
              <w:widowControl w:val="0"/>
              <w:kinsoku/>
              <w:wordWrap/>
              <w:overflowPunct/>
              <w:topLinePunct w:val="0"/>
              <w:autoSpaceDE/>
              <w:autoSpaceDN/>
              <w:bidi w:val="0"/>
              <w:adjustRightInd/>
              <w:spacing w:line="460" w:lineRule="exact"/>
              <w:ind w:left="0" w:firstLine="0" w:firstLineChars="0"/>
              <w:jc w:val="center"/>
              <w:textAlignment w:val="auto"/>
              <w:rPr>
                <w:rFonts w:hint="eastAsia" w:ascii="宋体" w:hAnsi="宋体" w:eastAsia="宋体" w:cs="宋体"/>
                <w:color w:val="auto"/>
                <w:szCs w:val="21"/>
                <w:highlight w:val="none"/>
              </w:rPr>
            </w:pPr>
          </w:p>
        </w:tc>
        <w:tc>
          <w:tcPr>
            <w:tcW w:w="1971" w:type="dxa"/>
            <w:noWrap w:val="0"/>
            <w:vAlign w:val="center"/>
          </w:tcPr>
          <w:p w14:paraId="6D5E4EC3">
            <w:pPr>
              <w:keepNext w:val="0"/>
              <w:keepLines w:val="0"/>
              <w:pageBreakBefore w:val="0"/>
              <w:widowControl w:val="0"/>
              <w:kinsoku/>
              <w:wordWrap/>
              <w:overflowPunct/>
              <w:topLinePunct w:val="0"/>
              <w:autoSpaceDE/>
              <w:autoSpaceDN/>
              <w:bidi w:val="0"/>
              <w:adjustRightInd/>
              <w:spacing w:line="460" w:lineRule="exact"/>
              <w:ind w:left="0" w:firstLine="0" w:firstLineChars="0"/>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技术文件组成</w:t>
            </w:r>
          </w:p>
        </w:tc>
        <w:tc>
          <w:tcPr>
            <w:tcW w:w="7085" w:type="dxa"/>
            <w:noWrap w:val="0"/>
            <w:vAlign w:val="center"/>
          </w:tcPr>
          <w:p w14:paraId="76C0F5D2">
            <w:pPr>
              <w:keepNext w:val="0"/>
              <w:keepLines w:val="0"/>
              <w:pageBreakBefore w:val="0"/>
              <w:widowControl w:val="0"/>
              <w:kinsoku/>
              <w:wordWrap/>
              <w:overflowPunct/>
              <w:topLinePunct w:val="0"/>
              <w:autoSpaceDE/>
              <w:autoSpaceDN/>
              <w:bidi w:val="0"/>
              <w:adjustRightInd/>
              <w:spacing w:line="460" w:lineRule="exact"/>
              <w:ind w:left="0" w:firstLine="0" w:firstLineChars="0"/>
              <w:textAlignment w:val="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技术需求偏离表</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（必须提供，否则响应文件按无效响应处理）</w:t>
            </w:r>
          </w:p>
          <w:p w14:paraId="1A52B427">
            <w:pPr>
              <w:keepNext w:val="0"/>
              <w:keepLines w:val="0"/>
              <w:pageBreakBefore w:val="0"/>
              <w:widowControl w:val="0"/>
              <w:kinsoku/>
              <w:wordWrap/>
              <w:overflowPunct/>
              <w:topLinePunct w:val="0"/>
              <w:autoSpaceDE/>
              <w:autoSpaceDN/>
              <w:bidi w:val="0"/>
              <w:adjustRightInd/>
              <w:spacing w:line="460" w:lineRule="exact"/>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2.技术方案；（由供应商根据评标办法自行编写）</w:t>
            </w:r>
          </w:p>
          <w:p w14:paraId="3D936A3E">
            <w:pPr>
              <w:keepNext w:val="0"/>
              <w:keepLines w:val="0"/>
              <w:pageBreakBefore w:val="0"/>
              <w:widowControl w:val="0"/>
              <w:kinsoku/>
              <w:wordWrap/>
              <w:overflowPunct/>
              <w:topLinePunct w:val="0"/>
              <w:autoSpaceDE/>
              <w:autoSpaceDN/>
              <w:bidi w:val="0"/>
              <w:adjustRightInd/>
              <w:spacing w:line="460" w:lineRule="exact"/>
              <w:ind w:left="0" w:firstLine="0" w:firstLineChars="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3.售后服务方案</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（由供应商根据评标办法自行编写）</w:t>
            </w:r>
          </w:p>
          <w:p w14:paraId="7F2641DD">
            <w:pPr>
              <w:keepNext w:val="0"/>
              <w:keepLines w:val="0"/>
              <w:pageBreakBefore w:val="0"/>
              <w:widowControl w:val="0"/>
              <w:kinsoku/>
              <w:wordWrap/>
              <w:overflowPunct/>
              <w:topLinePunct w:val="0"/>
              <w:autoSpaceDE/>
              <w:autoSpaceDN/>
              <w:bidi w:val="0"/>
              <w:adjustRightInd/>
              <w:spacing w:line="460" w:lineRule="exact"/>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项目实施人员一览表；（由供应商根据评标办法自行编写）</w:t>
            </w:r>
          </w:p>
          <w:p w14:paraId="787CA43B">
            <w:pPr>
              <w:keepNext w:val="0"/>
              <w:keepLines w:val="0"/>
              <w:pageBreakBefore w:val="0"/>
              <w:widowControl w:val="0"/>
              <w:kinsoku/>
              <w:wordWrap/>
              <w:overflowPunct/>
              <w:topLinePunct w:val="0"/>
              <w:autoSpaceDE/>
              <w:autoSpaceDN/>
              <w:bidi w:val="0"/>
              <w:adjustRightInd/>
              <w:spacing w:line="460" w:lineRule="exact"/>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.对应采购需求的服务需求、商务条款提供的其他文件资料；</w:t>
            </w:r>
          </w:p>
          <w:p w14:paraId="24C7B627">
            <w:pPr>
              <w:keepNext w:val="0"/>
              <w:keepLines w:val="0"/>
              <w:pageBreakBefore w:val="0"/>
              <w:widowControl w:val="0"/>
              <w:kinsoku/>
              <w:wordWrap/>
              <w:overflowPunct/>
              <w:topLinePunct w:val="0"/>
              <w:autoSpaceDE/>
              <w:autoSpaceDN/>
              <w:bidi w:val="0"/>
              <w:adjustRightInd/>
              <w:spacing w:line="460" w:lineRule="exact"/>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.供应商认为需要提供的其他有关资料（由供应商根据评标办法自行编写）。</w:t>
            </w:r>
          </w:p>
          <w:p w14:paraId="0D81A1CB">
            <w:pPr>
              <w:keepNext w:val="0"/>
              <w:keepLines w:val="0"/>
              <w:pageBreakBefore w:val="0"/>
              <w:widowControl w:val="0"/>
              <w:kinsoku/>
              <w:wordWrap/>
              <w:overflowPunct/>
              <w:topLinePunct w:val="0"/>
              <w:autoSpaceDE/>
              <w:autoSpaceDN/>
              <w:bidi w:val="0"/>
              <w:adjustRightInd/>
              <w:spacing w:line="460" w:lineRule="exact"/>
              <w:ind w:left="0" w:firstLine="0" w:firstLineChars="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w:t>
            </w:r>
          </w:p>
          <w:p w14:paraId="69298DB7">
            <w:pPr>
              <w:keepNext w:val="0"/>
              <w:keepLines w:val="0"/>
              <w:pageBreakBefore w:val="0"/>
              <w:widowControl w:val="0"/>
              <w:kinsoku/>
              <w:wordWrap/>
              <w:overflowPunct/>
              <w:topLinePunct w:val="0"/>
              <w:autoSpaceDE/>
              <w:autoSpaceDN/>
              <w:bidi w:val="0"/>
              <w:adjustRightInd/>
              <w:spacing w:line="460" w:lineRule="exact"/>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1.以上标明“必须提供”的材料属于复印件的扫描件的，必须加盖供应商电子公章，否则响应文件按无效响应处理。</w:t>
            </w:r>
          </w:p>
        </w:tc>
      </w:tr>
      <w:tr w14:paraId="41D685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9" w:type="dxa"/>
            <w:noWrap w:val="0"/>
            <w:vAlign w:val="center"/>
          </w:tcPr>
          <w:p w14:paraId="4ECC800B">
            <w:pPr>
              <w:keepNext w:val="0"/>
              <w:keepLines w:val="0"/>
              <w:pageBreakBefore w:val="0"/>
              <w:widowControl w:val="0"/>
              <w:kinsoku/>
              <w:wordWrap/>
              <w:overflowPunct/>
              <w:topLinePunct w:val="0"/>
              <w:autoSpaceDE/>
              <w:autoSpaceDN/>
              <w:bidi w:val="0"/>
              <w:adjustRightInd/>
              <w:spacing w:line="460" w:lineRule="exact"/>
              <w:ind w:left="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p>
        </w:tc>
        <w:tc>
          <w:tcPr>
            <w:tcW w:w="1971" w:type="dxa"/>
            <w:noWrap w:val="0"/>
            <w:vAlign w:val="center"/>
          </w:tcPr>
          <w:p w14:paraId="1361AEAA">
            <w:pPr>
              <w:keepNext w:val="0"/>
              <w:keepLines w:val="0"/>
              <w:pageBreakBefore w:val="0"/>
              <w:widowControl w:val="0"/>
              <w:kinsoku/>
              <w:wordWrap/>
              <w:overflowPunct/>
              <w:topLinePunct w:val="0"/>
              <w:autoSpaceDE/>
              <w:autoSpaceDN/>
              <w:bidi w:val="0"/>
              <w:adjustRightInd/>
              <w:spacing w:line="460" w:lineRule="exact"/>
              <w:ind w:left="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报价文件组成</w:t>
            </w:r>
          </w:p>
        </w:tc>
        <w:tc>
          <w:tcPr>
            <w:tcW w:w="7085" w:type="dxa"/>
            <w:noWrap w:val="0"/>
            <w:vAlign w:val="center"/>
          </w:tcPr>
          <w:p w14:paraId="2FDC396C">
            <w:pPr>
              <w:keepNext w:val="0"/>
              <w:keepLines w:val="0"/>
              <w:pageBreakBefore w:val="0"/>
              <w:widowControl w:val="0"/>
              <w:tabs>
                <w:tab w:val="left" w:pos="459"/>
              </w:tabs>
              <w:kinsoku/>
              <w:wordWrap/>
              <w:overflowPunct/>
              <w:topLinePunct w:val="0"/>
              <w:autoSpaceDE/>
              <w:autoSpaceDN/>
              <w:bidi w:val="0"/>
              <w:adjustRightInd/>
              <w:snapToGrid w:val="0"/>
              <w:spacing w:line="460" w:lineRule="exact"/>
              <w:ind w:left="0" w:firstLine="0" w:firstLineChars="0"/>
              <w:jc w:val="left"/>
              <w:textAlignment w:val="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1.响应函；</w:t>
            </w:r>
            <w:r>
              <w:rPr>
                <w:rFonts w:hint="eastAsia" w:ascii="宋体" w:hAnsi="宋体" w:eastAsia="宋体" w:cs="宋体"/>
                <w:b/>
                <w:bCs/>
                <w:color w:val="auto"/>
                <w:szCs w:val="21"/>
                <w:highlight w:val="none"/>
              </w:rPr>
              <w:t>（必须提供，否则</w:t>
            </w:r>
            <w:r>
              <w:rPr>
                <w:rFonts w:hint="eastAsia" w:ascii="宋体" w:hAnsi="宋体" w:eastAsia="宋体" w:cs="宋体"/>
                <w:b/>
                <w:color w:val="auto"/>
                <w:szCs w:val="21"/>
                <w:highlight w:val="none"/>
                <w:lang w:val="en-US" w:eastAsia="zh-CN"/>
              </w:rPr>
              <w:t>响应文件</w:t>
            </w:r>
            <w:r>
              <w:rPr>
                <w:rFonts w:hint="eastAsia" w:ascii="宋体" w:hAnsi="宋体" w:eastAsia="宋体" w:cs="宋体"/>
                <w:b/>
                <w:bCs/>
                <w:color w:val="auto"/>
                <w:szCs w:val="21"/>
                <w:highlight w:val="none"/>
              </w:rPr>
              <w:t>作无效响应处理）</w:t>
            </w:r>
          </w:p>
          <w:p w14:paraId="1BBFE3F2">
            <w:pPr>
              <w:keepNext w:val="0"/>
              <w:keepLines w:val="0"/>
              <w:pageBreakBefore w:val="0"/>
              <w:widowControl w:val="0"/>
              <w:tabs>
                <w:tab w:val="left" w:pos="459"/>
              </w:tabs>
              <w:kinsoku/>
              <w:wordWrap/>
              <w:overflowPunct/>
              <w:topLinePunct w:val="0"/>
              <w:autoSpaceDE/>
              <w:autoSpaceDN/>
              <w:bidi w:val="0"/>
              <w:adjustRightInd/>
              <w:snapToGrid w:val="0"/>
              <w:spacing w:line="460" w:lineRule="exact"/>
              <w:ind w:left="0" w:firstLine="0" w:firstLineChars="0"/>
              <w:jc w:val="left"/>
              <w:textAlignment w:val="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2.响应报价表；</w:t>
            </w:r>
            <w:r>
              <w:rPr>
                <w:rFonts w:hint="eastAsia" w:ascii="宋体" w:hAnsi="宋体" w:eastAsia="宋体" w:cs="宋体"/>
                <w:b/>
                <w:bCs/>
                <w:color w:val="auto"/>
                <w:szCs w:val="21"/>
                <w:highlight w:val="none"/>
              </w:rPr>
              <w:t>（必须提供，否则响应文件按无效响应处理）</w:t>
            </w:r>
          </w:p>
          <w:p w14:paraId="05B0B349">
            <w:pPr>
              <w:keepNext w:val="0"/>
              <w:keepLines w:val="0"/>
              <w:pageBreakBefore w:val="0"/>
              <w:widowControl w:val="0"/>
              <w:kinsoku/>
              <w:wordWrap/>
              <w:overflowPunct/>
              <w:topLinePunct w:val="0"/>
              <w:autoSpaceDE/>
              <w:autoSpaceDN/>
              <w:bidi w:val="0"/>
              <w:adjustRightInd/>
              <w:spacing w:line="460" w:lineRule="exact"/>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注：以上标明“必须提供”的材料属于复印件的扫描件的，必须加盖供应商电子公章，否则响应文件按无效响应处理。</w:t>
            </w:r>
          </w:p>
        </w:tc>
      </w:tr>
      <w:tr w14:paraId="4D8FFD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9" w:type="dxa"/>
            <w:noWrap w:val="0"/>
            <w:vAlign w:val="center"/>
          </w:tcPr>
          <w:p w14:paraId="63E7B255">
            <w:pPr>
              <w:keepNext w:val="0"/>
              <w:keepLines w:val="0"/>
              <w:pageBreakBefore w:val="0"/>
              <w:widowControl w:val="0"/>
              <w:kinsoku/>
              <w:wordWrap/>
              <w:overflowPunct/>
              <w:topLinePunct w:val="0"/>
              <w:autoSpaceDE/>
              <w:autoSpaceDN/>
              <w:bidi w:val="0"/>
              <w:adjustRightInd/>
              <w:spacing w:line="460" w:lineRule="exact"/>
              <w:ind w:left="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w:t>
            </w:r>
          </w:p>
        </w:tc>
        <w:tc>
          <w:tcPr>
            <w:tcW w:w="1971" w:type="dxa"/>
            <w:noWrap w:val="0"/>
            <w:vAlign w:val="center"/>
          </w:tcPr>
          <w:p w14:paraId="1C32641E">
            <w:pPr>
              <w:keepNext w:val="0"/>
              <w:keepLines w:val="0"/>
              <w:pageBreakBefore w:val="0"/>
              <w:widowControl w:val="0"/>
              <w:kinsoku/>
              <w:wordWrap/>
              <w:overflowPunct/>
              <w:topLinePunct w:val="0"/>
              <w:autoSpaceDE/>
              <w:autoSpaceDN/>
              <w:bidi w:val="0"/>
              <w:adjustRightInd/>
              <w:spacing w:line="460" w:lineRule="exact"/>
              <w:ind w:left="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响应文件电子版要求</w:t>
            </w:r>
          </w:p>
        </w:tc>
        <w:tc>
          <w:tcPr>
            <w:tcW w:w="7085" w:type="dxa"/>
            <w:noWrap w:val="0"/>
            <w:vAlign w:val="center"/>
          </w:tcPr>
          <w:p w14:paraId="6D5D54AC">
            <w:pPr>
              <w:keepNext w:val="0"/>
              <w:keepLines w:val="0"/>
              <w:pageBreakBefore w:val="0"/>
              <w:widowControl w:val="0"/>
              <w:kinsoku/>
              <w:wordWrap/>
              <w:overflowPunct/>
              <w:topLinePunct w:val="0"/>
              <w:autoSpaceDE/>
              <w:autoSpaceDN/>
              <w:bidi w:val="0"/>
              <w:adjustRightInd/>
              <w:snapToGrid w:val="0"/>
              <w:spacing w:line="460" w:lineRule="exact"/>
              <w:ind w:left="0" w:firstLine="0" w:firstLineChars="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1.响应文件电子版要求：按照本采购文件“第五章 响应文件格式”编写（第五章未附格式的，由供应商自行拟定），不可涂改并在规定加盖公章处加盖电子公章，</w:t>
            </w:r>
            <w:r>
              <w:rPr>
                <w:rFonts w:hint="eastAsia" w:ascii="宋体" w:hAnsi="宋体" w:eastAsia="宋体" w:cs="宋体"/>
                <w:b/>
                <w:color w:val="auto"/>
                <w:szCs w:val="21"/>
                <w:highlight w:val="none"/>
              </w:rPr>
              <w:t>否则响应文件按无效响应处理</w:t>
            </w:r>
            <w:r>
              <w:rPr>
                <w:rFonts w:hint="eastAsia" w:ascii="宋体" w:hAnsi="宋体" w:eastAsia="宋体" w:cs="宋体"/>
                <w:color w:val="auto"/>
                <w:szCs w:val="21"/>
                <w:highlight w:val="none"/>
              </w:rPr>
              <w:t>。</w:t>
            </w:r>
          </w:p>
          <w:p w14:paraId="1C9F6C7A">
            <w:pPr>
              <w:keepNext w:val="0"/>
              <w:keepLines w:val="0"/>
              <w:pageBreakBefore w:val="0"/>
              <w:widowControl w:val="0"/>
              <w:kinsoku/>
              <w:wordWrap/>
              <w:overflowPunct/>
              <w:topLinePunct w:val="0"/>
              <w:autoSpaceDE/>
              <w:autoSpaceDN/>
              <w:bidi w:val="0"/>
              <w:adjustRightInd/>
              <w:snapToGrid w:val="0"/>
              <w:spacing w:line="460" w:lineRule="exact"/>
              <w:ind w:left="0" w:firstLine="0" w:firstLineChars="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2.响应文件电子版密封方式：电子响应文件通过平台有效CA加密后在</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投送。</w:t>
            </w:r>
          </w:p>
        </w:tc>
      </w:tr>
      <w:tr w14:paraId="52904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9" w:type="dxa"/>
            <w:noWrap w:val="0"/>
            <w:vAlign w:val="center"/>
          </w:tcPr>
          <w:p w14:paraId="39DFC25D">
            <w:pPr>
              <w:keepNext w:val="0"/>
              <w:keepLines w:val="0"/>
              <w:pageBreakBefore w:val="0"/>
              <w:widowControl w:val="0"/>
              <w:kinsoku/>
              <w:wordWrap/>
              <w:overflowPunct/>
              <w:topLinePunct w:val="0"/>
              <w:autoSpaceDE/>
              <w:autoSpaceDN/>
              <w:bidi w:val="0"/>
              <w:adjustRightInd/>
              <w:spacing w:line="460" w:lineRule="exact"/>
              <w:ind w:left="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w:t>
            </w:r>
          </w:p>
        </w:tc>
        <w:tc>
          <w:tcPr>
            <w:tcW w:w="1971" w:type="dxa"/>
            <w:noWrap w:val="0"/>
            <w:vAlign w:val="center"/>
          </w:tcPr>
          <w:p w14:paraId="1F978E3A">
            <w:pPr>
              <w:keepNext w:val="0"/>
              <w:keepLines w:val="0"/>
              <w:pageBreakBefore w:val="0"/>
              <w:widowControl w:val="0"/>
              <w:kinsoku/>
              <w:wordWrap/>
              <w:overflowPunct/>
              <w:topLinePunct w:val="0"/>
              <w:autoSpaceDE/>
              <w:autoSpaceDN/>
              <w:bidi w:val="0"/>
              <w:adjustRightInd/>
              <w:spacing w:line="460" w:lineRule="exact"/>
              <w:ind w:left="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响应报价要求</w:t>
            </w:r>
          </w:p>
        </w:tc>
        <w:tc>
          <w:tcPr>
            <w:tcW w:w="7085" w:type="dxa"/>
            <w:noWrap w:val="0"/>
            <w:vAlign w:val="center"/>
          </w:tcPr>
          <w:p w14:paraId="6341CC0B">
            <w:pPr>
              <w:keepNext w:val="0"/>
              <w:keepLines w:val="0"/>
              <w:pageBreakBefore w:val="0"/>
              <w:widowControl w:val="0"/>
              <w:kinsoku/>
              <w:wordWrap/>
              <w:overflowPunct/>
              <w:topLinePunct w:val="0"/>
              <w:autoSpaceDE/>
              <w:autoSpaceDN/>
              <w:bidi w:val="0"/>
              <w:adjustRightInd/>
              <w:snapToGrid w:val="0"/>
              <w:spacing w:line="460" w:lineRule="exact"/>
              <w:ind w:left="0" w:firstLine="0" w:firstLineChars="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报价必须包含满足本次竞标全部采购需求所应提供的服务，以及伴随的货物和工程（如有）的价格；包含竞标服务、货物、工程的成本、运输（含保险）、安装（如有）、调试、检验、技术服务、培训、税费等所有费用。</w:t>
            </w:r>
            <w:r>
              <w:rPr>
                <w:rFonts w:hint="eastAsia" w:ascii="宋体" w:hAnsi="宋体" w:eastAsia="宋体" w:cs="宋体"/>
                <w:b/>
                <w:color w:val="auto"/>
                <w:szCs w:val="21"/>
                <w:highlight w:val="none"/>
              </w:rPr>
              <w:t>（采购需求另有约定的，从其约定。）</w:t>
            </w:r>
          </w:p>
        </w:tc>
      </w:tr>
      <w:tr w14:paraId="58258F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9" w:type="dxa"/>
            <w:noWrap w:val="0"/>
            <w:vAlign w:val="center"/>
          </w:tcPr>
          <w:p w14:paraId="259871F1">
            <w:pPr>
              <w:keepNext w:val="0"/>
              <w:keepLines w:val="0"/>
              <w:pageBreakBefore w:val="0"/>
              <w:widowControl w:val="0"/>
              <w:kinsoku/>
              <w:wordWrap/>
              <w:overflowPunct/>
              <w:topLinePunct w:val="0"/>
              <w:autoSpaceDE/>
              <w:autoSpaceDN/>
              <w:bidi w:val="0"/>
              <w:adjustRightInd/>
              <w:spacing w:line="460" w:lineRule="exact"/>
              <w:ind w:left="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w:t>
            </w:r>
          </w:p>
        </w:tc>
        <w:tc>
          <w:tcPr>
            <w:tcW w:w="1971" w:type="dxa"/>
            <w:noWrap w:val="0"/>
            <w:vAlign w:val="center"/>
          </w:tcPr>
          <w:p w14:paraId="39D63F3D">
            <w:pPr>
              <w:keepNext w:val="0"/>
              <w:keepLines w:val="0"/>
              <w:pageBreakBefore w:val="0"/>
              <w:widowControl w:val="0"/>
              <w:kinsoku/>
              <w:wordWrap/>
              <w:overflowPunct/>
              <w:topLinePunct w:val="0"/>
              <w:autoSpaceDE/>
              <w:autoSpaceDN/>
              <w:bidi w:val="0"/>
              <w:adjustRightInd/>
              <w:spacing w:line="460" w:lineRule="exact"/>
              <w:ind w:left="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竞标有效期</w:t>
            </w:r>
          </w:p>
        </w:tc>
        <w:tc>
          <w:tcPr>
            <w:tcW w:w="7085" w:type="dxa"/>
            <w:noWrap w:val="0"/>
            <w:vAlign w:val="center"/>
          </w:tcPr>
          <w:p w14:paraId="5C9B720A">
            <w:pPr>
              <w:pStyle w:val="9"/>
              <w:keepNext w:val="0"/>
              <w:keepLines w:val="0"/>
              <w:pageBreakBefore w:val="0"/>
              <w:widowControl w:val="0"/>
              <w:tabs>
                <w:tab w:val="clear" w:pos="454"/>
              </w:tabs>
              <w:kinsoku/>
              <w:wordWrap/>
              <w:overflowPunct/>
              <w:topLinePunct w:val="0"/>
              <w:autoSpaceDE/>
              <w:autoSpaceDN/>
              <w:bidi w:val="0"/>
              <w:adjustRightInd/>
              <w:snapToGrid w:val="0"/>
              <w:spacing w:after="0" w:afterLines="0" w:line="460" w:lineRule="exact"/>
              <w:ind w:left="0" w:firstLine="0" w:firstLineChars="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自首次响应文件提交截止之日起</w:t>
            </w:r>
            <w:r>
              <w:rPr>
                <w:rFonts w:hint="eastAsia" w:ascii="宋体" w:hAnsi="宋体" w:eastAsia="宋体" w:cs="宋体"/>
                <w:color w:val="auto"/>
                <w:kern w:val="2"/>
                <w:sz w:val="21"/>
                <w:szCs w:val="21"/>
                <w:highlight w:val="none"/>
                <w:u w:val="single"/>
              </w:rPr>
              <w:t xml:space="preserve">  90 </w:t>
            </w:r>
            <w:r>
              <w:rPr>
                <w:rFonts w:hint="eastAsia" w:ascii="宋体" w:hAnsi="宋体" w:eastAsia="宋体" w:cs="宋体"/>
                <w:color w:val="auto"/>
                <w:kern w:val="2"/>
                <w:sz w:val="21"/>
                <w:szCs w:val="21"/>
                <w:highlight w:val="none"/>
              </w:rPr>
              <w:t>日。</w:t>
            </w:r>
          </w:p>
        </w:tc>
      </w:tr>
      <w:tr w14:paraId="3CC02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9" w:type="dxa"/>
            <w:noWrap w:val="0"/>
            <w:vAlign w:val="center"/>
          </w:tcPr>
          <w:p w14:paraId="7037996D">
            <w:pPr>
              <w:keepNext w:val="0"/>
              <w:keepLines w:val="0"/>
              <w:pageBreakBefore w:val="0"/>
              <w:widowControl w:val="0"/>
              <w:kinsoku/>
              <w:wordWrap/>
              <w:overflowPunct/>
              <w:topLinePunct w:val="0"/>
              <w:autoSpaceDE/>
              <w:autoSpaceDN/>
              <w:bidi w:val="0"/>
              <w:adjustRightInd/>
              <w:spacing w:line="460" w:lineRule="exact"/>
              <w:ind w:left="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w:t>
            </w:r>
          </w:p>
        </w:tc>
        <w:tc>
          <w:tcPr>
            <w:tcW w:w="1971" w:type="dxa"/>
            <w:noWrap w:val="0"/>
            <w:vAlign w:val="center"/>
          </w:tcPr>
          <w:p w14:paraId="0D26164C">
            <w:pPr>
              <w:keepNext w:val="0"/>
              <w:keepLines w:val="0"/>
              <w:pageBreakBefore w:val="0"/>
              <w:widowControl w:val="0"/>
              <w:kinsoku/>
              <w:wordWrap/>
              <w:overflowPunct/>
              <w:topLinePunct w:val="0"/>
              <w:autoSpaceDE/>
              <w:autoSpaceDN/>
              <w:bidi w:val="0"/>
              <w:adjustRightInd/>
              <w:spacing w:line="460" w:lineRule="exact"/>
              <w:ind w:left="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磋商保证金</w:t>
            </w:r>
          </w:p>
        </w:tc>
        <w:tc>
          <w:tcPr>
            <w:tcW w:w="7085" w:type="dxa"/>
            <w:noWrap w:val="0"/>
            <w:vAlign w:val="center"/>
          </w:tcPr>
          <w:p w14:paraId="7C4F1A66">
            <w:pPr>
              <w:keepNext w:val="0"/>
              <w:keepLines w:val="0"/>
              <w:pageBreakBefore w:val="0"/>
              <w:kinsoku/>
              <w:wordWrap/>
              <w:overflowPunct/>
              <w:topLinePunct w:val="0"/>
              <w:bidi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本项目收取</w:t>
            </w:r>
            <w:r>
              <w:rPr>
                <w:rFonts w:hint="eastAsia" w:ascii="宋体" w:hAnsi="宋体" w:eastAsia="宋体" w:cs="宋体"/>
                <w:color w:val="auto"/>
                <w:sz w:val="21"/>
                <w:szCs w:val="21"/>
                <w:highlight w:val="none"/>
                <w:lang w:eastAsia="zh-CN"/>
              </w:rPr>
              <w:t>磋商保证金</w:t>
            </w:r>
            <w:r>
              <w:rPr>
                <w:rFonts w:hint="eastAsia" w:ascii="宋体" w:hAnsi="宋体" w:eastAsia="宋体" w:cs="宋体"/>
                <w:color w:val="auto"/>
                <w:sz w:val="21"/>
                <w:szCs w:val="21"/>
                <w:highlight w:val="none"/>
              </w:rPr>
              <w:t>，具体规定如下：</w:t>
            </w:r>
          </w:p>
          <w:p w14:paraId="5C2BD37B">
            <w:pPr>
              <w:keepNext w:val="0"/>
              <w:keepLines w:val="0"/>
              <w:pageBreakBefore w:val="0"/>
              <w:kinsoku/>
              <w:wordWrap/>
              <w:overflowPunct/>
              <w:topLinePunct w:val="0"/>
              <w:bidi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）磋商保证金</w:t>
            </w:r>
            <w:r>
              <w:rPr>
                <w:rFonts w:hint="eastAsia" w:ascii="宋体" w:hAnsi="宋体" w:eastAsia="宋体" w:cs="宋体"/>
                <w:color w:val="auto"/>
                <w:sz w:val="21"/>
                <w:szCs w:val="21"/>
                <w:highlight w:val="none"/>
              </w:rPr>
              <w:t>人民币：</w:t>
            </w:r>
            <w:r>
              <w:rPr>
                <w:rFonts w:hint="eastAsia" w:ascii="宋体" w:hAnsi="宋体" w:eastAsia="宋体" w:cs="宋体"/>
                <w:color w:val="auto"/>
                <w:sz w:val="21"/>
                <w:szCs w:val="21"/>
                <w:highlight w:val="none"/>
                <w:u w:val="single"/>
                <w:lang w:val="en-US" w:eastAsia="zh-CN"/>
              </w:rPr>
              <w:t>15000</w:t>
            </w:r>
            <w:r>
              <w:rPr>
                <w:rFonts w:hint="eastAsia" w:ascii="宋体" w:hAnsi="宋体" w:eastAsia="宋体" w:cs="宋体"/>
                <w:color w:val="auto"/>
                <w:sz w:val="21"/>
                <w:szCs w:val="21"/>
                <w:highlight w:val="none"/>
              </w:rPr>
              <w:t>元</w:t>
            </w:r>
          </w:p>
          <w:p w14:paraId="09125A9F">
            <w:pPr>
              <w:keepNext w:val="0"/>
              <w:keepLines w:val="0"/>
              <w:pageBreakBefore w:val="0"/>
              <w:widowControl w:val="0"/>
              <w:kinsoku/>
              <w:wordWrap/>
              <w:overflowPunct/>
              <w:topLinePunct w:val="0"/>
              <w:bidi w:val="0"/>
              <w:adjustRightInd/>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）磋商保证金</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缴纳</w:t>
            </w:r>
            <w:r>
              <w:rPr>
                <w:rFonts w:hint="eastAsia" w:ascii="宋体" w:hAnsi="宋体" w:eastAsia="宋体" w:cs="宋体"/>
                <w:color w:val="auto"/>
                <w:sz w:val="21"/>
                <w:szCs w:val="21"/>
                <w:highlight w:val="none"/>
              </w:rPr>
              <w:t>方式：</w:t>
            </w:r>
            <w:r>
              <w:rPr>
                <w:rFonts w:hint="eastAsia" w:ascii="宋体" w:hAnsi="宋体" w:eastAsia="宋体" w:cs="宋体"/>
                <w:color w:val="auto"/>
                <w:kern w:val="2"/>
                <w:sz w:val="21"/>
                <w:szCs w:val="21"/>
                <w:highlight w:val="none"/>
                <w:lang w:val="en-US" w:eastAsia="zh-CN" w:bidi="ar-SA"/>
              </w:rPr>
              <w:t>银行电汇、网上银行</w:t>
            </w:r>
            <w:r>
              <w:rPr>
                <w:rFonts w:hint="eastAsia" w:ascii="宋体" w:hAnsi="宋体" w:eastAsia="宋体" w:cs="宋体"/>
                <w:color w:val="auto"/>
                <w:sz w:val="21"/>
                <w:szCs w:val="21"/>
                <w:highlight w:val="none"/>
              </w:rPr>
              <w:t>、支票、汇票、本票或者银行、保险机构出具的保函（包含电子保函）</w:t>
            </w:r>
            <w:r>
              <w:rPr>
                <w:rFonts w:hint="eastAsia" w:ascii="宋体" w:hAnsi="宋体" w:eastAsia="宋体" w:cs="宋体"/>
                <w:color w:val="auto"/>
                <w:kern w:val="2"/>
                <w:sz w:val="21"/>
                <w:szCs w:val="21"/>
                <w:highlight w:val="none"/>
                <w:lang w:val="en-US" w:eastAsia="zh-CN" w:bidi="ar-SA"/>
              </w:rPr>
              <w:t>等非现金形式缴纳或提交</w:t>
            </w:r>
            <w:r>
              <w:rPr>
                <w:rFonts w:hint="eastAsia" w:ascii="宋体" w:hAnsi="宋体" w:eastAsia="宋体" w:cs="宋体"/>
                <w:color w:val="auto"/>
                <w:sz w:val="21"/>
                <w:szCs w:val="21"/>
                <w:highlight w:val="none"/>
              </w:rPr>
              <w:t>。采用</w:t>
            </w:r>
            <w:r>
              <w:rPr>
                <w:rFonts w:hint="eastAsia" w:ascii="宋体" w:hAnsi="宋体" w:eastAsia="宋体" w:cs="宋体"/>
                <w:color w:val="auto"/>
                <w:kern w:val="2"/>
                <w:sz w:val="21"/>
                <w:szCs w:val="21"/>
                <w:highlight w:val="none"/>
                <w:lang w:val="en-US" w:eastAsia="zh-CN" w:bidi="ar-SA"/>
              </w:rPr>
              <w:t>银行电汇、网上银行</w:t>
            </w:r>
            <w:r>
              <w:rPr>
                <w:rFonts w:hint="eastAsia" w:ascii="宋体" w:hAnsi="宋体" w:eastAsia="宋体" w:cs="宋体"/>
                <w:color w:val="auto"/>
                <w:sz w:val="21"/>
                <w:szCs w:val="21"/>
                <w:highlight w:val="none"/>
              </w:rPr>
              <w:t>方式的，在</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提交截止时间前交至指定账户并且到账（办理</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保证金手续时，请务必在</w:t>
            </w:r>
            <w:r>
              <w:rPr>
                <w:rFonts w:hint="eastAsia" w:ascii="宋体" w:hAnsi="宋体" w:eastAsia="宋体" w:cs="宋体"/>
                <w:color w:val="auto"/>
                <w:kern w:val="2"/>
                <w:sz w:val="21"/>
                <w:szCs w:val="21"/>
                <w:highlight w:val="none"/>
                <w:lang w:val="en-US" w:eastAsia="zh-CN" w:bidi="ar-SA"/>
              </w:rPr>
              <w:t>银行电汇单或网上银行转账单</w:t>
            </w:r>
            <w:r>
              <w:rPr>
                <w:rFonts w:hint="eastAsia" w:ascii="宋体" w:hAnsi="宋体" w:eastAsia="宋体" w:cs="宋体"/>
                <w:color w:val="auto"/>
                <w:sz w:val="21"/>
                <w:szCs w:val="21"/>
                <w:highlight w:val="none"/>
              </w:rPr>
              <w:t>的用途或空白栏上注明项目编号）【开户名称：广西华东招标有限公司</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开户银行：中国工商银行南宁市民族支行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银行账号：2102109009300307465】；采用支票、汇票、本票或者保函等方式的，在</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提交截止时间前，供应商必须提交单独密封的支票、汇票、本票或者保函原件。否则视为无效</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保证金。</w:t>
            </w:r>
          </w:p>
          <w:p w14:paraId="4AAFF1EC">
            <w:pPr>
              <w:keepNext w:val="0"/>
              <w:keepLines w:val="0"/>
              <w:pageBreakBefore w:val="0"/>
              <w:widowControl w:val="0"/>
              <w:kinsoku/>
              <w:wordWrap/>
              <w:overflowPunct/>
              <w:topLinePunct w:val="0"/>
              <w:bidi w:val="0"/>
              <w:adjustRightInd/>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相关要求：</w:t>
            </w:r>
          </w:p>
          <w:p w14:paraId="06DF8721">
            <w:pPr>
              <w:keepNext w:val="0"/>
              <w:keepLines w:val="0"/>
              <w:pageBreakBefore w:val="0"/>
              <w:kinsoku/>
              <w:wordWrap/>
              <w:overflowPunct/>
              <w:topLinePunct w:val="0"/>
              <w:bidi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保证金采用</w:t>
            </w:r>
            <w:r>
              <w:rPr>
                <w:rFonts w:hint="eastAsia" w:ascii="宋体" w:hAnsi="宋体" w:eastAsia="宋体" w:cs="宋体"/>
                <w:color w:val="auto"/>
                <w:kern w:val="2"/>
                <w:sz w:val="21"/>
                <w:szCs w:val="21"/>
                <w:highlight w:val="none"/>
                <w:lang w:val="en-US" w:eastAsia="zh-CN" w:bidi="ar-SA"/>
              </w:rPr>
              <w:t>银行电汇、网上银行</w:t>
            </w:r>
            <w:r>
              <w:rPr>
                <w:rFonts w:hint="eastAsia" w:ascii="宋体" w:hAnsi="宋体" w:eastAsia="宋体" w:cs="宋体"/>
                <w:color w:val="auto"/>
                <w:sz w:val="21"/>
                <w:szCs w:val="21"/>
                <w:highlight w:val="none"/>
                <w:lang w:eastAsia="zh-CN"/>
              </w:rPr>
              <w:t>缴纳</w:t>
            </w:r>
            <w:r>
              <w:rPr>
                <w:rFonts w:hint="eastAsia" w:ascii="宋体" w:hAnsi="宋体" w:eastAsia="宋体" w:cs="宋体"/>
                <w:color w:val="auto"/>
                <w:sz w:val="21"/>
                <w:szCs w:val="21"/>
                <w:highlight w:val="none"/>
              </w:rPr>
              <w:t>方式的，在</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提交截止时间前交至指定账户并且到账，供应商应将</w:t>
            </w:r>
            <w:r>
              <w:rPr>
                <w:rFonts w:hint="eastAsia" w:ascii="宋体" w:hAnsi="宋体" w:eastAsia="宋体" w:cs="宋体"/>
                <w:color w:val="auto"/>
                <w:kern w:val="2"/>
                <w:sz w:val="21"/>
                <w:szCs w:val="21"/>
                <w:highlight w:val="none"/>
                <w:lang w:val="en-US" w:eastAsia="zh-CN" w:bidi="ar-SA"/>
              </w:rPr>
              <w:t>银行电汇单、网上银行</w:t>
            </w:r>
            <w:r>
              <w:rPr>
                <w:rFonts w:hint="eastAsia" w:ascii="宋体" w:hAnsi="宋体" w:eastAsia="宋体" w:cs="宋体"/>
                <w:color w:val="auto"/>
                <w:sz w:val="21"/>
                <w:szCs w:val="21"/>
                <w:highlight w:val="none"/>
              </w:rPr>
              <w:t>转账底单的复印件作为</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保证金提交凭证，放置于</w:t>
            </w:r>
            <w:r>
              <w:rPr>
                <w:rFonts w:hint="eastAsia" w:ascii="宋体" w:hAnsi="宋体" w:eastAsia="宋体" w:cs="宋体"/>
                <w:color w:val="auto"/>
                <w:sz w:val="21"/>
                <w:szCs w:val="21"/>
                <w:highlight w:val="none"/>
                <w:lang w:eastAsia="zh-CN"/>
              </w:rPr>
              <w:t>商务技术文件</w:t>
            </w:r>
            <w:r>
              <w:rPr>
                <w:rFonts w:hint="eastAsia" w:ascii="宋体" w:hAnsi="宋体" w:eastAsia="宋体" w:cs="宋体"/>
                <w:color w:val="auto"/>
                <w:sz w:val="21"/>
                <w:szCs w:val="21"/>
                <w:highlight w:val="none"/>
              </w:rPr>
              <w:t>中，</w:t>
            </w:r>
            <w:r>
              <w:rPr>
                <w:rFonts w:hint="eastAsia" w:ascii="宋体" w:hAnsi="宋体" w:eastAsia="宋体" w:cs="宋体"/>
                <w:b/>
                <w:color w:val="auto"/>
                <w:sz w:val="21"/>
                <w:szCs w:val="21"/>
                <w:highlight w:val="none"/>
              </w:rPr>
              <w:t>否则</w:t>
            </w:r>
            <w:r>
              <w:rPr>
                <w:rFonts w:hint="eastAsia" w:ascii="宋体" w:hAnsi="宋体" w:eastAsia="宋体" w:cs="宋体"/>
                <w:b/>
                <w:color w:val="auto"/>
                <w:sz w:val="21"/>
                <w:szCs w:val="21"/>
                <w:highlight w:val="none"/>
                <w:lang w:eastAsia="zh-CN"/>
              </w:rPr>
              <w:t>响应文件</w:t>
            </w:r>
            <w:r>
              <w:rPr>
                <w:rFonts w:hint="eastAsia" w:ascii="宋体" w:hAnsi="宋体" w:eastAsia="宋体" w:cs="宋体"/>
                <w:b/>
                <w:color w:val="auto"/>
                <w:sz w:val="21"/>
                <w:szCs w:val="21"/>
                <w:highlight w:val="none"/>
              </w:rPr>
              <w:t>按无效处理</w:t>
            </w:r>
            <w:r>
              <w:rPr>
                <w:rFonts w:hint="eastAsia" w:ascii="宋体" w:hAnsi="宋体" w:eastAsia="宋体" w:cs="宋体"/>
                <w:color w:val="auto"/>
                <w:sz w:val="21"/>
                <w:szCs w:val="21"/>
                <w:highlight w:val="none"/>
              </w:rPr>
              <w:t>。</w:t>
            </w:r>
          </w:p>
          <w:p w14:paraId="48E41E36">
            <w:pPr>
              <w:keepNext w:val="0"/>
              <w:keepLines w:val="0"/>
              <w:pageBreakBefore w:val="0"/>
              <w:kinsoku/>
              <w:wordWrap/>
              <w:overflowPunct/>
              <w:topLinePunct w:val="0"/>
              <w:bidi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lang w:eastAsia="zh-CN"/>
              </w:rPr>
              <w:t>磋商保证金</w:t>
            </w:r>
            <w:r>
              <w:rPr>
                <w:rFonts w:hint="eastAsia" w:ascii="宋体" w:hAnsi="宋体" w:eastAsia="宋体" w:cs="宋体"/>
                <w:color w:val="auto"/>
                <w:sz w:val="21"/>
                <w:szCs w:val="21"/>
                <w:highlight w:val="none"/>
              </w:rPr>
              <w:t>采用支票、汇票、本票或者银行、保险机构出具的保函（包含电子保函）</w:t>
            </w:r>
            <w:r>
              <w:rPr>
                <w:rFonts w:hint="eastAsia" w:ascii="宋体" w:hAnsi="宋体" w:eastAsia="宋体" w:cs="宋体"/>
                <w:color w:val="auto"/>
                <w:sz w:val="21"/>
                <w:szCs w:val="21"/>
                <w:highlight w:val="none"/>
                <w:lang w:eastAsia="zh-CN"/>
              </w:rPr>
              <w:t>缴纳</w:t>
            </w:r>
            <w:r>
              <w:rPr>
                <w:rFonts w:hint="eastAsia" w:ascii="宋体" w:hAnsi="宋体" w:eastAsia="宋体" w:cs="宋体"/>
                <w:color w:val="auto"/>
                <w:sz w:val="21"/>
                <w:szCs w:val="21"/>
                <w:highlight w:val="none"/>
              </w:rPr>
              <w:t>方式的，供应商应将支票、汇票、本票或者银行、保险机构出具的保函（包含电子保函）的复印件作为</w:t>
            </w:r>
            <w:r>
              <w:rPr>
                <w:rFonts w:hint="eastAsia" w:ascii="宋体" w:hAnsi="宋体" w:eastAsia="宋体" w:cs="宋体"/>
                <w:color w:val="auto"/>
                <w:sz w:val="21"/>
                <w:szCs w:val="21"/>
                <w:highlight w:val="none"/>
                <w:lang w:eastAsia="zh-CN"/>
              </w:rPr>
              <w:t>磋商保证金</w:t>
            </w:r>
            <w:r>
              <w:rPr>
                <w:rFonts w:hint="eastAsia" w:ascii="宋体" w:hAnsi="宋体" w:eastAsia="宋体" w:cs="宋体"/>
                <w:color w:val="auto"/>
                <w:sz w:val="21"/>
                <w:szCs w:val="21"/>
                <w:highlight w:val="none"/>
              </w:rPr>
              <w:t>提交凭证，放置于</w:t>
            </w:r>
            <w:r>
              <w:rPr>
                <w:rFonts w:hint="eastAsia" w:ascii="宋体" w:hAnsi="宋体" w:eastAsia="宋体" w:cs="宋体"/>
                <w:color w:val="auto"/>
                <w:sz w:val="21"/>
                <w:szCs w:val="21"/>
                <w:highlight w:val="none"/>
                <w:lang w:eastAsia="zh-CN"/>
              </w:rPr>
              <w:t>商务技术</w:t>
            </w:r>
            <w:r>
              <w:rPr>
                <w:rFonts w:hint="eastAsia" w:ascii="宋体" w:hAnsi="宋体" w:eastAsia="宋体" w:cs="宋体"/>
                <w:color w:val="auto"/>
                <w:sz w:val="21"/>
                <w:szCs w:val="21"/>
                <w:highlight w:val="none"/>
              </w:rPr>
              <w:t>文件中，</w:t>
            </w:r>
            <w:r>
              <w:rPr>
                <w:rFonts w:hint="eastAsia" w:ascii="宋体" w:hAnsi="宋体" w:eastAsia="宋体" w:cs="宋体"/>
                <w:b/>
                <w:color w:val="auto"/>
                <w:sz w:val="21"/>
                <w:szCs w:val="21"/>
                <w:highlight w:val="none"/>
              </w:rPr>
              <w:t>否则响应文件按无效处理</w:t>
            </w:r>
            <w:r>
              <w:rPr>
                <w:rFonts w:hint="eastAsia" w:ascii="宋体" w:hAnsi="宋体" w:eastAsia="宋体" w:cs="宋体"/>
                <w:color w:val="auto"/>
                <w:sz w:val="21"/>
                <w:szCs w:val="21"/>
                <w:highlight w:val="none"/>
              </w:rPr>
              <w:t>。供应商必须在响应文件提交截止时间前采用现场或邮寄方式</w:t>
            </w:r>
            <w:r>
              <w:rPr>
                <w:rFonts w:hint="eastAsia" w:ascii="宋体" w:hAnsi="宋体" w:eastAsia="宋体" w:cs="宋体"/>
                <w:b/>
                <w:bCs/>
                <w:color w:val="auto"/>
                <w:sz w:val="21"/>
                <w:szCs w:val="21"/>
                <w:highlight w:val="none"/>
              </w:rPr>
              <w:t>（现场提交地址：</w:t>
            </w:r>
            <w:r>
              <w:rPr>
                <w:rFonts w:hint="eastAsia" w:ascii="宋体" w:hAnsi="宋体" w:eastAsia="宋体" w:cs="宋体"/>
                <w:b/>
                <w:bCs/>
                <w:color w:val="auto"/>
                <w:sz w:val="21"/>
                <w:szCs w:val="21"/>
                <w:highlight w:val="none"/>
                <w:u w:val="single"/>
              </w:rPr>
              <w:t>广西华东招标有限公司(南宁市江南区白沙大道36-1号浩天花园综合楼1210-1212号房)</w:t>
            </w:r>
            <w:r>
              <w:rPr>
                <w:rFonts w:hint="eastAsia" w:ascii="宋体" w:hAnsi="宋体" w:eastAsia="宋体" w:cs="宋体"/>
                <w:b/>
                <w:bCs/>
                <w:color w:val="auto"/>
                <w:sz w:val="21"/>
                <w:szCs w:val="21"/>
                <w:highlight w:val="none"/>
              </w:rPr>
              <w:t>；邮寄地址：南宁市江南区白沙大道36-1号浩天花园综合楼1210-1212号房，收件人：</w:t>
            </w:r>
            <w:r>
              <w:rPr>
                <w:rFonts w:hint="eastAsia" w:ascii="宋体" w:hAnsi="宋体" w:eastAsia="宋体" w:cs="宋体"/>
                <w:b/>
                <w:bCs/>
                <w:color w:val="auto"/>
                <w:sz w:val="21"/>
                <w:szCs w:val="21"/>
                <w:highlight w:val="none"/>
                <w:u w:val="single"/>
                <w:lang w:eastAsia="zh-CN"/>
              </w:rPr>
              <w:t>宾晓连</w:t>
            </w:r>
            <w:r>
              <w:rPr>
                <w:rFonts w:hint="eastAsia" w:ascii="宋体" w:hAnsi="宋体" w:eastAsia="宋体" w:cs="宋体"/>
                <w:b/>
                <w:bCs/>
                <w:color w:val="auto"/>
                <w:sz w:val="21"/>
                <w:szCs w:val="21"/>
                <w:highlight w:val="none"/>
              </w:rPr>
              <w:t>，联系方式：</w:t>
            </w:r>
            <w:r>
              <w:rPr>
                <w:rFonts w:hint="eastAsia" w:ascii="宋体" w:hAnsi="宋体" w:eastAsia="宋体" w:cs="宋体"/>
                <w:b/>
                <w:bCs/>
                <w:color w:val="auto"/>
                <w:sz w:val="21"/>
                <w:szCs w:val="21"/>
                <w:highlight w:val="none"/>
                <w:u w:val="single"/>
                <w:lang w:val="en-US" w:eastAsia="zh-CN"/>
              </w:rPr>
              <w:t>0771-5885139</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将单独密封的支票、汇票、本票或者银行、保险机构出具的保函原件提交给采购人或者采购代理机构，由采购人或者采购代理机构向供应商出具回执（邮寄方式的除外），并妥善保管。</w:t>
            </w:r>
          </w:p>
          <w:p w14:paraId="64263615">
            <w:pPr>
              <w:keepNext w:val="0"/>
              <w:keepLines w:val="0"/>
              <w:pageBreakBefore w:val="0"/>
              <w:kinsoku/>
              <w:wordWrap/>
              <w:overflowPunct/>
              <w:topLinePunct w:val="0"/>
              <w:bidi w:val="0"/>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③供应商为联合体的，可以由联合体中的一方或者多方共同</w:t>
            </w:r>
            <w:r>
              <w:rPr>
                <w:rFonts w:hint="eastAsia" w:ascii="宋体" w:hAnsi="宋体" w:eastAsia="宋体" w:cs="宋体"/>
                <w:color w:val="auto"/>
                <w:sz w:val="21"/>
                <w:szCs w:val="21"/>
                <w:highlight w:val="none"/>
                <w:lang w:eastAsia="zh-CN"/>
              </w:rPr>
              <w:t>缴纳</w:t>
            </w:r>
            <w:r>
              <w:rPr>
                <w:rFonts w:hint="eastAsia" w:ascii="宋体" w:hAnsi="宋体" w:eastAsia="宋体" w:cs="宋体"/>
                <w:color w:val="auto"/>
                <w:sz w:val="21"/>
                <w:szCs w:val="21"/>
                <w:highlight w:val="none"/>
              </w:rPr>
              <w:t>谈判保证金，其</w:t>
            </w:r>
            <w:r>
              <w:rPr>
                <w:rFonts w:hint="eastAsia" w:ascii="宋体" w:hAnsi="宋体" w:eastAsia="宋体" w:cs="宋体"/>
                <w:color w:val="auto"/>
                <w:sz w:val="21"/>
                <w:szCs w:val="21"/>
                <w:highlight w:val="none"/>
                <w:lang w:eastAsia="zh-CN"/>
              </w:rPr>
              <w:t>缴纳</w:t>
            </w:r>
            <w:r>
              <w:rPr>
                <w:rFonts w:hint="eastAsia" w:ascii="宋体" w:hAnsi="宋体" w:eastAsia="宋体" w:cs="宋体"/>
                <w:color w:val="auto"/>
                <w:sz w:val="21"/>
                <w:szCs w:val="21"/>
                <w:highlight w:val="none"/>
              </w:rPr>
              <w:t>的保证金对联合体各方均具有约束力。</w:t>
            </w:r>
          </w:p>
          <w:p w14:paraId="6665E69D">
            <w:pPr>
              <w:keepNext w:val="0"/>
              <w:keepLines w:val="0"/>
              <w:pageBreakBefore w:val="0"/>
              <w:kinsoku/>
              <w:wordWrap/>
              <w:overflowPunct/>
              <w:topLinePunct w:val="0"/>
              <w:bidi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p w14:paraId="21EF4FF6">
            <w:pPr>
              <w:keepNext w:val="0"/>
              <w:keepLines w:val="0"/>
              <w:pageBreakBefore w:val="0"/>
              <w:kinsoku/>
              <w:wordWrap/>
              <w:overflowPunct/>
              <w:topLinePunct w:val="0"/>
              <w:bidi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1. </w:t>
            </w:r>
            <w:r>
              <w:rPr>
                <w:rFonts w:hint="eastAsia" w:ascii="宋体" w:hAnsi="宋体" w:eastAsia="宋体" w:cs="宋体"/>
                <w:b/>
                <w:color w:val="auto"/>
                <w:sz w:val="21"/>
                <w:szCs w:val="21"/>
                <w:highlight w:val="none"/>
                <w:lang w:eastAsia="zh-CN"/>
              </w:rPr>
              <w:t>磋商保证金</w:t>
            </w:r>
            <w:r>
              <w:rPr>
                <w:rFonts w:hint="eastAsia" w:ascii="宋体" w:hAnsi="宋体" w:eastAsia="宋体" w:cs="宋体"/>
                <w:b/>
                <w:color w:val="auto"/>
                <w:sz w:val="21"/>
                <w:szCs w:val="21"/>
                <w:highlight w:val="none"/>
              </w:rPr>
              <w:t>在响应文件提交截止时间后提交的，或者不按规定</w:t>
            </w:r>
            <w:r>
              <w:rPr>
                <w:rFonts w:hint="eastAsia" w:ascii="宋体" w:hAnsi="宋体" w:eastAsia="宋体" w:cs="宋体"/>
                <w:b/>
                <w:color w:val="auto"/>
                <w:sz w:val="21"/>
                <w:szCs w:val="21"/>
                <w:highlight w:val="none"/>
                <w:lang w:eastAsia="zh-CN"/>
              </w:rPr>
              <w:t>缴纳</w:t>
            </w:r>
            <w:r>
              <w:rPr>
                <w:rFonts w:hint="eastAsia" w:ascii="宋体" w:hAnsi="宋体" w:eastAsia="宋体" w:cs="宋体"/>
                <w:b/>
                <w:color w:val="auto"/>
                <w:sz w:val="21"/>
                <w:szCs w:val="21"/>
                <w:highlight w:val="none"/>
              </w:rPr>
              <w:t>方式</w:t>
            </w:r>
            <w:r>
              <w:rPr>
                <w:rFonts w:hint="eastAsia" w:ascii="宋体" w:hAnsi="宋体" w:eastAsia="宋体" w:cs="宋体"/>
                <w:b/>
                <w:color w:val="auto"/>
                <w:sz w:val="21"/>
                <w:szCs w:val="21"/>
                <w:highlight w:val="none"/>
                <w:lang w:eastAsia="zh-CN"/>
              </w:rPr>
              <w:t>缴纳</w:t>
            </w:r>
            <w:r>
              <w:rPr>
                <w:rFonts w:hint="eastAsia" w:ascii="宋体" w:hAnsi="宋体" w:eastAsia="宋体" w:cs="宋体"/>
                <w:b/>
                <w:color w:val="auto"/>
                <w:sz w:val="21"/>
                <w:szCs w:val="21"/>
                <w:highlight w:val="none"/>
              </w:rPr>
              <w:t>的，或者未足额</w:t>
            </w:r>
            <w:r>
              <w:rPr>
                <w:rFonts w:hint="eastAsia" w:ascii="宋体" w:hAnsi="宋体" w:eastAsia="宋体" w:cs="宋体"/>
                <w:b/>
                <w:color w:val="auto"/>
                <w:sz w:val="21"/>
                <w:szCs w:val="21"/>
                <w:highlight w:val="none"/>
                <w:lang w:eastAsia="zh-CN"/>
              </w:rPr>
              <w:t>缴纳</w:t>
            </w:r>
            <w:r>
              <w:rPr>
                <w:rFonts w:hint="eastAsia" w:ascii="宋体" w:hAnsi="宋体" w:eastAsia="宋体" w:cs="宋体"/>
                <w:b/>
                <w:color w:val="auto"/>
                <w:sz w:val="21"/>
                <w:szCs w:val="21"/>
                <w:highlight w:val="none"/>
              </w:rPr>
              <w:t>的（包含保函额度不足的），视为无效</w:t>
            </w:r>
            <w:r>
              <w:rPr>
                <w:rFonts w:hint="eastAsia" w:ascii="宋体" w:hAnsi="宋体" w:eastAsia="宋体" w:cs="宋体"/>
                <w:b/>
                <w:color w:val="auto"/>
                <w:sz w:val="21"/>
                <w:szCs w:val="21"/>
                <w:highlight w:val="none"/>
                <w:lang w:eastAsia="zh-CN"/>
              </w:rPr>
              <w:t>磋商保证金</w:t>
            </w:r>
            <w:r>
              <w:rPr>
                <w:rFonts w:hint="eastAsia" w:ascii="宋体" w:hAnsi="宋体" w:eastAsia="宋体" w:cs="宋体"/>
                <w:b/>
                <w:color w:val="auto"/>
                <w:sz w:val="21"/>
                <w:szCs w:val="21"/>
                <w:highlight w:val="none"/>
              </w:rPr>
              <w:t>。</w:t>
            </w:r>
          </w:p>
          <w:p w14:paraId="3B26CA54">
            <w:pPr>
              <w:keepNext w:val="0"/>
              <w:keepLines w:val="0"/>
              <w:pageBreakBefore w:val="0"/>
              <w:kinsoku/>
              <w:wordWrap/>
              <w:overflowPunct/>
              <w:topLinePunct w:val="0"/>
              <w:bidi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2.供应商采用现钞方式或者从个人账户（自然人竞标除外）转出的</w:t>
            </w:r>
            <w:r>
              <w:rPr>
                <w:rFonts w:hint="eastAsia" w:ascii="宋体" w:hAnsi="宋体" w:eastAsia="宋体" w:cs="宋体"/>
                <w:b/>
                <w:color w:val="auto"/>
                <w:sz w:val="21"/>
                <w:szCs w:val="21"/>
                <w:highlight w:val="none"/>
                <w:lang w:eastAsia="zh-CN"/>
              </w:rPr>
              <w:t>磋商保证金</w:t>
            </w:r>
            <w:r>
              <w:rPr>
                <w:rFonts w:hint="eastAsia" w:ascii="宋体" w:hAnsi="宋体" w:eastAsia="宋体" w:cs="宋体"/>
                <w:b/>
                <w:color w:val="auto"/>
                <w:sz w:val="21"/>
                <w:szCs w:val="21"/>
                <w:highlight w:val="none"/>
              </w:rPr>
              <w:t>，视为无效</w:t>
            </w:r>
            <w:r>
              <w:rPr>
                <w:rFonts w:hint="eastAsia" w:ascii="宋体" w:hAnsi="宋体" w:eastAsia="宋体" w:cs="宋体"/>
                <w:b/>
                <w:color w:val="auto"/>
                <w:sz w:val="21"/>
                <w:szCs w:val="21"/>
                <w:highlight w:val="none"/>
                <w:lang w:eastAsia="zh-CN"/>
              </w:rPr>
              <w:t>磋商保证金</w:t>
            </w:r>
            <w:r>
              <w:rPr>
                <w:rFonts w:hint="eastAsia" w:ascii="宋体" w:hAnsi="宋体" w:eastAsia="宋体" w:cs="宋体"/>
                <w:b/>
                <w:color w:val="auto"/>
                <w:sz w:val="21"/>
                <w:szCs w:val="21"/>
                <w:highlight w:val="none"/>
              </w:rPr>
              <w:t>。</w:t>
            </w:r>
          </w:p>
          <w:p w14:paraId="7C1C0215">
            <w:pPr>
              <w:keepNext w:val="0"/>
              <w:keepLines w:val="0"/>
              <w:pageBreakBefore w:val="0"/>
              <w:kinsoku/>
              <w:wordWrap/>
              <w:overflowPunct/>
              <w:topLinePunct w:val="0"/>
              <w:bidi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3.支票、汇票或者本票出现无效或者背书情形的，视为无效</w:t>
            </w:r>
            <w:r>
              <w:rPr>
                <w:rFonts w:hint="eastAsia" w:ascii="宋体" w:hAnsi="宋体" w:eastAsia="宋体" w:cs="宋体"/>
                <w:b/>
                <w:color w:val="auto"/>
                <w:sz w:val="21"/>
                <w:szCs w:val="21"/>
                <w:highlight w:val="none"/>
                <w:lang w:eastAsia="zh-CN"/>
              </w:rPr>
              <w:t>磋商保证金</w:t>
            </w:r>
            <w:r>
              <w:rPr>
                <w:rFonts w:hint="eastAsia" w:ascii="宋体" w:hAnsi="宋体" w:eastAsia="宋体" w:cs="宋体"/>
                <w:b/>
                <w:color w:val="auto"/>
                <w:sz w:val="21"/>
                <w:szCs w:val="21"/>
                <w:highlight w:val="none"/>
              </w:rPr>
              <w:t>。</w:t>
            </w:r>
          </w:p>
          <w:p w14:paraId="39865E66">
            <w:pPr>
              <w:keepNext w:val="0"/>
              <w:keepLines w:val="0"/>
              <w:pageBreakBefore w:val="0"/>
              <w:kinsoku/>
              <w:wordWrap/>
              <w:overflowPunct/>
              <w:topLinePunct w:val="0"/>
              <w:bidi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4.保函有效期低于竞标有效期的，视为无效</w:t>
            </w:r>
            <w:r>
              <w:rPr>
                <w:rFonts w:hint="eastAsia" w:ascii="宋体" w:hAnsi="宋体" w:eastAsia="宋体" w:cs="宋体"/>
                <w:b/>
                <w:color w:val="auto"/>
                <w:sz w:val="21"/>
                <w:szCs w:val="21"/>
                <w:highlight w:val="none"/>
                <w:lang w:eastAsia="zh-CN"/>
              </w:rPr>
              <w:t>磋商保证金</w:t>
            </w:r>
            <w:r>
              <w:rPr>
                <w:rFonts w:hint="eastAsia" w:ascii="宋体" w:hAnsi="宋体" w:eastAsia="宋体" w:cs="宋体"/>
                <w:b/>
                <w:color w:val="auto"/>
                <w:sz w:val="21"/>
                <w:szCs w:val="21"/>
                <w:highlight w:val="none"/>
              </w:rPr>
              <w:t>。</w:t>
            </w:r>
          </w:p>
          <w:p w14:paraId="4229FEE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w:t>
            </w:r>
            <w:r>
              <w:rPr>
                <w:rFonts w:hint="eastAsia" w:ascii="宋体" w:hAnsi="宋体" w:eastAsia="宋体" w:cs="宋体"/>
                <w:b/>
                <w:color w:val="auto"/>
                <w:sz w:val="21"/>
                <w:szCs w:val="21"/>
                <w:highlight w:val="none"/>
                <w:lang w:eastAsia="zh-CN"/>
              </w:rPr>
              <w:t>磋商保证金</w:t>
            </w:r>
            <w:r>
              <w:rPr>
                <w:rFonts w:hint="eastAsia" w:ascii="宋体" w:hAnsi="宋体" w:eastAsia="宋体" w:cs="宋体"/>
                <w:b/>
                <w:color w:val="auto"/>
                <w:sz w:val="21"/>
                <w:szCs w:val="21"/>
                <w:highlight w:val="none"/>
              </w:rPr>
              <w:t>采用银行、保险机构出具的保函为有条件保函的，视为无效</w:t>
            </w:r>
            <w:r>
              <w:rPr>
                <w:rFonts w:hint="eastAsia" w:ascii="宋体" w:hAnsi="宋体" w:eastAsia="宋体" w:cs="宋体"/>
                <w:b/>
                <w:color w:val="auto"/>
                <w:sz w:val="21"/>
                <w:szCs w:val="21"/>
                <w:highlight w:val="none"/>
                <w:lang w:eastAsia="zh-CN"/>
              </w:rPr>
              <w:t>磋商保证金</w:t>
            </w:r>
            <w:r>
              <w:rPr>
                <w:rFonts w:hint="eastAsia" w:ascii="宋体" w:hAnsi="宋体" w:eastAsia="宋体" w:cs="宋体"/>
                <w:b/>
                <w:color w:val="auto"/>
                <w:sz w:val="21"/>
                <w:szCs w:val="21"/>
                <w:highlight w:val="none"/>
              </w:rPr>
              <w:t>。</w:t>
            </w:r>
          </w:p>
          <w:p w14:paraId="371C55CD">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lang w:eastAsia="zh-CN"/>
              </w:rPr>
              <w:t>供应商</w:t>
            </w:r>
            <w:r>
              <w:rPr>
                <w:rFonts w:hint="eastAsia" w:ascii="宋体" w:hAnsi="宋体" w:eastAsia="宋体" w:cs="宋体"/>
                <w:b/>
                <w:bCs/>
                <w:color w:val="auto"/>
                <w:sz w:val="21"/>
                <w:szCs w:val="21"/>
                <w:highlight w:val="none"/>
              </w:rPr>
              <w:t>有下列情形之一的，</w:t>
            </w:r>
            <w:r>
              <w:rPr>
                <w:rFonts w:hint="eastAsia" w:ascii="宋体" w:hAnsi="宋体" w:eastAsia="宋体" w:cs="宋体"/>
                <w:b/>
                <w:color w:val="auto"/>
                <w:sz w:val="21"/>
                <w:szCs w:val="21"/>
                <w:highlight w:val="none"/>
                <w:lang w:eastAsia="zh-CN"/>
              </w:rPr>
              <w:t>磋商保证金</w:t>
            </w:r>
            <w:r>
              <w:rPr>
                <w:rFonts w:hint="eastAsia" w:ascii="宋体" w:hAnsi="宋体" w:eastAsia="宋体" w:cs="宋体"/>
                <w:b/>
                <w:bCs/>
                <w:color w:val="auto"/>
                <w:sz w:val="21"/>
                <w:szCs w:val="21"/>
                <w:highlight w:val="none"/>
              </w:rPr>
              <w:t>将不予退还：</w:t>
            </w:r>
          </w:p>
          <w:p w14:paraId="229E9732">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（1）供应商在提交响应文件截止时间后撤回响应文件的；</w:t>
            </w:r>
          </w:p>
          <w:p w14:paraId="7DD808C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（2）未按规定提交履约保证金的；</w:t>
            </w:r>
          </w:p>
          <w:p w14:paraId="509E436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（3）供应商在响应文件中提供虚假材料的；</w:t>
            </w:r>
          </w:p>
          <w:p w14:paraId="5FBD5A1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（4）除因不可抗力或者磋商文件认可的情形以外，成交供应商不与采购人签订合同的；</w:t>
            </w:r>
          </w:p>
          <w:p w14:paraId="6C27AB9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（5）供应商与采购人、其他供应商或者采购代理机构恶意串通的；</w:t>
            </w:r>
          </w:p>
          <w:p w14:paraId="5CC71A9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（6）法律法规规定的其他情形。</w:t>
            </w:r>
          </w:p>
          <w:p w14:paraId="6431770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（7）拒绝履行合同义务的。</w:t>
            </w:r>
          </w:p>
        </w:tc>
      </w:tr>
      <w:tr w14:paraId="6A470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889" w:type="dxa"/>
            <w:vMerge w:val="restart"/>
            <w:noWrap w:val="0"/>
            <w:vAlign w:val="center"/>
          </w:tcPr>
          <w:p w14:paraId="30CBF8A3">
            <w:pPr>
              <w:keepNext w:val="0"/>
              <w:keepLines w:val="0"/>
              <w:pageBreakBefore w:val="0"/>
              <w:widowControl w:val="0"/>
              <w:kinsoku/>
              <w:wordWrap/>
              <w:overflowPunct/>
              <w:topLinePunct w:val="0"/>
              <w:autoSpaceDE/>
              <w:autoSpaceDN/>
              <w:bidi w:val="0"/>
              <w:adjustRightInd/>
              <w:spacing w:line="460" w:lineRule="exact"/>
              <w:ind w:left="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w:t>
            </w:r>
          </w:p>
        </w:tc>
        <w:tc>
          <w:tcPr>
            <w:tcW w:w="1971" w:type="dxa"/>
            <w:noWrap w:val="0"/>
            <w:vAlign w:val="center"/>
          </w:tcPr>
          <w:p w14:paraId="6AE12976">
            <w:pPr>
              <w:keepNext w:val="0"/>
              <w:keepLines w:val="0"/>
              <w:pageBreakBefore w:val="0"/>
              <w:widowControl w:val="0"/>
              <w:kinsoku/>
              <w:wordWrap/>
              <w:overflowPunct/>
              <w:topLinePunct w:val="0"/>
              <w:autoSpaceDE/>
              <w:autoSpaceDN/>
              <w:bidi w:val="0"/>
              <w:adjustRightInd/>
              <w:spacing w:line="460" w:lineRule="exact"/>
              <w:ind w:left="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首次响应文件提交起止时间</w:t>
            </w:r>
          </w:p>
        </w:tc>
        <w:tc>
          <w:tcPr>
            <w:tcW w:w="7085" w:type="dxa"/>
            <w:noWrap w:val="0"/>
            <w:vAlign w:val="center"/>
          </w:tcPr>
          <w:p w14:paraId="5C9F215E">
            <w:pPr>
              <w:keepNext w:val="0"/>
              <w:keepLines w:val="0"/>
              <w:pageBreakBefore w:val="0"/>
              <w:widowControl w:val="0"/>
              <w:kinsoku/>
              <w:wordWrap/>
              <w:overflowPunct/>
              <w:topLinePunct w:val="0"/>
              <w:autoSpaceDE/>
              <w:autoSpaceDN/>
              <w:bidi w:val="0"/>
              <w:adjustRightInd/>
              <w:snapToGrid w:val="0"/>
              <w:spacing w:line="460" w:lineRule="exact"/>
              <w:ind w:left="0" w:firstLine="0" w:firstLineChars="0"/>
              <w:jc w:val="left"/>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14:paraId="6AE552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889" w:type="dxa"/>
            <w:vMerge w:val="continue"/>
            <w:noWrap w:val="0"/>
            <w:vAlign w:val="center"/>
          </w:tcPr>
          <w:p w14:paraId="331E92DE">
            <w:pPr>
              <w:keepNext w:val="0"/>
              <w:keepLines w:val="0"/>
              <w:pageBreakBefore w:val="0"/>
              <w:widowControl w:val="0"/>
              <w:kinsoku/>
              <w:wordWrap/>
              <w:overflowPunct/>
              <w:topLinePunct w:val="0"/>
              <w:autoSpaceDE/>
              <w:autoSpaceDN/>
              <w:bidi w:val="0"/>
              <w:adjustRightInd/>
              <w:spacing w:line="460" w:lineRule="exact"/>
              <w:ind w:left="0" w:firstLine="0" w:firstLineChars="0"/>
              <w:jc w:val="center"/>
              <w:textAlignment w:val="auto"/>
              <w:rPr>
                <w:rFonts w:hint="eastAsia" w:ascii="宋体" w:hAnsi="宋体" w:eastAsia="宋体" w:cs="宋体"/>
                <w:color w:val="auto"/>
                <w:szCs w:val="21"/>
                <w:highlight w:val="none"/>
              </w:rPr>
            </w:pPr>
          </w:p>
        </w:tc>
        <w:tc>
          <w:tcPr>
            <w:tcW w:w="1971" w:type="dxa"/>
            <w:noWrap w:val="0"/>
            <w:vAlign w:val="center"/>
          </w:tcPr>
          <w:p w14:paraId="5F2BD5FC">
            <w:pPr>
              <w:keepNext w:val="0"/>
              <w:keepLines w:val="0"/>
              <w:pageBreakBefore w:val="0"/>
              <w:widowControl w:val="0"/>
              <w:kinsoku/>
              <w:wordWrap/>
              <w:overflowPunct/>
              <w:topLinePunct w:val="0"/>
              <w:autoSpaceDE/>
              <w:autoSpaceDN/>
              <w:bidi w:val="0"/>
              <w:adjustRightInd/>
              <w:spacing w:line="460" w:lineRule="exact"/>
              <w:ind w:left="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首次响应文件提交地点</w:t>
            </w:r>
          </w:p>
        </w:tc>
        <w:tc>
          <w:tcPr>
            <w:tcW w:w="7085" w:type="dxa"/>
            <w:noWrap w:val="0"/>
            <w:vAlign w:val="center"/>
          </w:tcPr>
          <w:p w14:paraId="3846CFF1">
            <w:pPr>
              <w:keepNext w:val="0"/>
              <w:keepLines w:val="0"/>
              <w:pageBreakBefore w:val="0"/>
              <w:widowControl w:val="0"/>
              <w:kinsoku/>
              <w:wordWrap/>
              <w:overflowPunct/>
              <w:topLinePunct w:val="0"/>
              <w:autoSpaceDE/>
              <w:autoSpaceDN/>
              <w:bidi w:val="0"/>
              <w:adjustRightInd/>
              <w:snapToGrid w:val="0"/>
              <w:spacing w:line="460" w:lineRule="exact"/>
              <w:ind w:left="0" w:firstLine="0" w:firstLineChars="0"/>
              <w:jc w:val="left"/>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14:paraId="0F816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889" w:type="dxa"/>
            <w:noWrap w:val="0"/>
            <w:vAlign w:val="center"/>
          </w:tcPr>
          <w:p w14:paraId="7E2F0F1F">
            <w:pPr>
              <w:keepNext w:val="0"/>
              <w:keepLines w:val="0"/>
              <w:pageBreakBefore w:val="0"/>
              <w:widowControl w:val="0"/>
              <w:kinsoku/>
              <w:wordWrap/>
              <w:overflowPunct/>
              <w:topLinePunct w:val="0"/>
              <w:autoSpaceDE/>
              <w:autoSpaceDN/>
              <w:bidi w:val="0"/>
              <w:adjustRightInd/>
              <w:spacing w:line="460" w:lineRule="exact"/>
              <w:ind w:left="0" w:leftChars="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20.6</w:t>
            </w:r>
          </w:p>
        </w:tc>
        <w:tc>
          <w:tcPr>
            <w:tcW w:w="1971" w:type="dxa"/>
            <w:noWrap w:val="0"/>
            <w:vAlign w:val="center"/>
          </w:tcPr>
          <w:p w14:paraId="2FE0F0A7">
            <w:pPr>
              <w:keepNext w:val="0"/>
              <w:keepLines w:val="0"/>
              <w:pageBreakBefore w:val="0"/>
              <w:widowControl w:val="0"/>
              <w:kinsoku/>
              <w:wordWrap/>
              <w:overflowPunct/>
              <w:topLinePunct w:val="0"/>
              <w:autoSpaceDE/>
              <w:autoSpaceDN/>
              <w:bidi w:val="0"/>
              <w:adjustRightInd/>
              <w:spacing w:line="460" w:lineRule="exact"/>
              <w:ind w:left="0" w:leftChars="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备份响应文件</w:t>
            </w:r>
          </w:p>
        </w:tc>
        <w:tc>
          <w:tcPr>
            <w:tcW w:w="7085" w:type="dxa"/>
            <w:noWrap w:val="0"/>
            <w:vAlign w:val="center"/>
          </w:tcPr>
          <w:p w14:paraId="5223A723">
            <w:pPr>
              <w:pStyle w:val="10"/>
              <w:keepNext w:val="0"/>
              <w:keepLines w:val="0"/>
              <w:pageBreakBefore w:val="0"/>
              <w:widowControl w:val="0"/>
              <w:kinsoku/>
              <w:wordWrap/>
              <w:overflowPunct/>
              <w:topLinePunct w:val="0"/>
              <w:autoSpaceDE/>
              <w:autoSpaceDN/>
              <w:bidi w:val="0"/>
              <w:adjustRightInd/>
              <w:spacing w:line="460" w:lineRule="exact"/>
              <w:ind w:left="0" w:firstLine="0" w:firstLine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本项目不接受</w:t>
            </w:r>
            <w:r>
              <w:rPr>
                <w:rFonts w:hint="eastAsia" w:ascii="宋体" w:hAnsi="宋体" w:eastAsia="宋体" w:cs="宋体"/>
                <w:color w:val="auto"/>
                <w:spacing w:val="-3"/>
                <w:sz w:val="21"/>
                <w:highlight w:val="none"/>
              </w:rPr>
              <w:t>以介质存储的数据电文形式的电子备份响应文件</w:t>
            </w:r>
            <w:r>
              <w:rPr>
                <w:rFonts w:hint="eastAsia" w:ascii="宋体" w:hAnsi="宋体" w:eastAsia="宋体" w:cs="宋体"/>
                <w:color w:val="auto"/>
                <w:spacing w:val="-3"/>
                <w:sz w:val="21"/>
                <w:highlight w:val="none"/>
                <w:lang w:eastAsia="zh-CN"/>
              </w:rPr>
              <w:t>。</w:t>
            </w:r>
          </w:p>
          <w:p w14:paraId="02071746">
            <w:pPr>
              <w:pStyle w:val="10"/>
              <w:keepNext w:val="0"/>
              <w:keepLines w:val="0"/>
              <w:pageBreakBefore w:val="0"/>
              <w:widowControl w:val="0"/>
              <w:kinsoku/>
              <w:wordWrap/>
              <w:overflowPunct/>
              <w:topLinePunct w:val="0"/>
              <w:autoSpaceDE/>
              <w:autoSpaceDN/>
              <w:bidi w:val="0"/>
              <w:adjustRightInd/>
              <w:spacing w:line="460" w:lineRule="exact"/>
              <w:ind w:left="0" w:firstLine="0" w:firstLineChars="0"/>
              <w:textAlignment w:val="auto"/>
              <w:rPr>
                <w:rFonts w:hint="eastAsia" w:ascii="宋体" w:hAnsi="宋体" w:eastAsia="宋体" w:cs="宋体"/>
                <w:color w:val="auto"/>
                <w:spacing w:val="-3"/>
                <w:sz w:val="21"/>
                <w:highlight w:val="none"/>
              </w:rPr>
            </w:pP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本项目接受</w:t>
            </w:r>
            <w:r>
              <w:rPr>
                <w:rFonts w:hint="eastAsia" w:ascii="宋体" w:hAnsi="宋体" w:eastAsia="宋体" w:cs="宋体"/>
                <w:color w:val="auto"/>
                <w:spacing w:val="-3"/>
                <w:sz w:val="21"/>
                <w:highlight w:val="none"/>
              </w:rPr>
              <w:t>以介质存储的数据电文形式的电子备份响应文件</w:t>
            </w:r>
            <w:r>
              <w:rPr>
                <w:rFonts w:hint="eastAsia" w:ascii="宋体" w:hAnsi="宋体" w:eastAsia="宋体" w:cs="宋体"/>
                <w:color w:val="auto"/>
                <w:szCs w:val="21"/>
                <w:highlight w:val="none"/>
                <w:lang w:eastAsia="zh-CN"/>
              </w:rPr>
              <w:t>。</w:t>
            </w:r>
            <w:r>
              <w:rPr>
                <w:rFonts w:hint="eastAsia" w:ascii="宋体" w:hAnsi="宋体" w:eastAsia="宋体" w:cs="宋体"/>
                <w:color w:val="auto"/>
                <w:spacing w:val="-3"/>
                <w:sz w:val="21"/>
                <w:highlight w:val="none"/>
              </w:rPr>
              <w:t>供应商</w:t>
            </w:r>
            <w:r>
              <w:rPr>
                <w:rFonts w:hint="eastAsia" w:ascii="宋体" w:hAnsi="宋体" w:eastAsia="宋体" w:cs="宋体"/>
                <w:color w:val="auto"/>
                <w:spacing w:val="-3"/>
                <w:sz w:val="21"/>
                <w:highlight w:val="none"/>
                <w:lang w:eastAsia="zh-CN"/>
              </w:rPr>
              <w:t>可根据自身情况自行准备</w:t>
            </w:r>
            <w:r>
              <w:rPr>
                <w:rFonts w:hint="eastAsia" w:ascii="宋体" w:hAnsi="宋体" w:eastAsia="宋体" w:cs="宋体"/>
                <w:color w:val="auto"/>
                <w:spacing w:val="-3"/>
                <w:sz w:val="21"/>
                <w:highlight w:val="none"/>
              </w:rPr>
              <w:t xml:space="preserve">以介质存储的数据电文形式的电子备份响应文件： </w:t>
            </w:r>
          </w:p>
          <w:p w14:paraId="7D0B613D">
            <w:pPr>
              <w:pStyle w:val="10"/>
              <w:keepNext w:val="0"/>
              <w:keepLines w:val="0"/>
              <w:pageBreakBefore w:val="0"/>
              <w:widowControl w:val="0"/>
              <w:kinsoku/>
              <w:wordWrap/>
              <w:overflowPunct/>
              <w:topLinePunct w:val="0"/>
              <w:autoSpaceDE/>
              <w:autoSpaceDN/>
              <w:bidi w:val="0"/>
              <w:adjustRightInd/>
              <w:spacing w:line="460" w:lineRule="exact"/>
              <w:ind w:left="0" w:firstLine="0" w:firstLineChars="0"/>
              <w:textAlignment w:val="auto"/>
              <w:rPr>
                <w:rFonts w:hint="eastAsia" w:ascii="宋体" w:hAnsi="宋体" w:eastAsia="宋体" w:cs="宋体"/>
                <w:color w:val="auto"/>
                <w:spacing w:val="-3"/>
                <w:sz w:val="21"/>
                <w:highlight w:val="none"/>
              </w:rPr>
            </w:pPr>
            <w:r>
              <w:rPr>
                <w:rFonts w:hint="eastAsia" w:ascii="宋体" w:hAnsi="宋体" w:eastAsia="宋体" w:cs="宋体"/>
                <w:color w:val="auto"/>
                <w:spacing w:val="-5"/>
                <w:sz w:val="21"/>
                <w:highlight w:val="none"/>
                <w:lang w:val="en-US" w:eastAsia="zh-CN"/>
              </w:rPr>
              <w:t>（1）</w:t>
            </w:r>
            <w:r>
              <w:rPr>
                <w:rFonts w:hint="eastAsia" w:ascii="宋体" w:hAnsi="宋体" w:eastAsia="宋体" w:cs="宋体"/>
                <w:color w:val="auto"/>
                <w:spacing w:val="-3"/>
                <w:sz w:val="21"/>
                <w:highlight w:val="none"/>
              </w:rPr>
              <w:t>以介质存储的数据电文形式的电子备份响应文件，</w:t>
            </w:r>
            <w:r>
              <w:rPr>
                <w:rFonts w:hint="eastAsia" w:ascii="宋体" w:hAnsi="宋体" w:eastAsia="宋体" w:cs="宋体"/>
                <w:color w:val="auto"/>
                <w:spacing w:val="-7"/>
                <w:sz w:val="21"/>
                <w:highlight w:val="none"/>
              </w:rPr>
              <w:t>以</w:t>
            </w:r>
            <w:r>
              <w:rPr>
                <w:rFonts w:hint="eastAsia" w:ascii="宋体" w:hAnsi="宋体" w:eastAsia="宋体" w:cs="宋体"/>
                <w:color w:val="auto"/>
                <w:spacing w:val="-7"/>
                <w:sz w:val="21"/>
                <w:highlight w:val="none"/>
                <w:lang w:eastAsia="zh-CN"/>
              </w:rPr>
              <w:t>邮件</w:t>
            </w:r>
            <w:r>
              <w:rPr>
                <w:rFonts w:hint="eastAsia" w:ascii="宋体" w:hAnsi="宋体" w:eastAsia="宋体" w:cs="宋体"/>
                <w:color w:val="auto"/>
                <w:spacing w:val="-10"/>
                <w:sz w:val="21"/>
                <w:highlight w:val="none"/>
              </w:rPr>
              <w:t>形式提供。数量</w:t>
            </w:r>
            <w:r>
              <w:rPr>
                <w:rFonts w:hint="eastAsia" w:ascii="宋体" w:hAnsi="宋体" w:eastAsia="宋体" w:cs="宋体"/>
                <w:color w:val="auto"/>
                <w:spacing w:val="-3"/>
                <w:sz w:val="21"/>
                <w:highlight w:val="none"/>
              </w:rPr>
              <w:t>为1份。</w:t>
            </w:r>
          </w:p>
          <w:p w14:paraId="3DE4E1E5">
            <w:pPr>
              <w:pStyle w:val="10"/>
              <w:keepNext w:val="0"/>
              <w:keepLines w:val="0"/>
              <w:pageBreakBefore w:val="0"/>
              <w:widowControl w:val="0"/>
              <w:kinsoku/>
              <w:wordWrap/>
              <w:overflowPunct/>
              <w:topLinePunct w:val="0"/>
              <w:autoSpaceDE/>
              <w:autoSpaceDN/>
              <w:bidi w:val="0"/>
              <w:adjustRightInd/>
              <w:spacing w:line="460" w:lineRule="exact"/>
              <w:ind w:left="0" w:firstLine="0" w:firstLineChars="0"/>
              <w:textAlignment w:val="auto"/>
              <w:rPr>
                <w:rFonts w:hint="eastAsia" w:ascii="宋体" w:hAnsi="宋体" w:eastAsia="宋体" w:cs="宋体"/>
                <w:b w:val="0"/>
                <w:bCs w:val="0"/>
                <w:color w:val="auto"/>
                <w:spacing w:val="-3"/>
                <w:sz w:val="21"/>
                <w:highlight w:val="none"/>
                <w:lang w:eastAsia="zh-CN"/>
              </w:rPr>
            </w:pPr>
            <w:r>
              <w:rPr>
                <w:rFonts w:hint="eastAsia" w:ascii="宋体" w:hAnsi="宋体" w:eastAsia="宋体" w:cs="宋体"/>
                <w:b w:val="0"/>
                <w:bCs w:val="0"/>
                <w:color w:val="auto"/>
                <w:spacing w:val="-3"/>
                <w:sz w:val="21"/>
                <w:highlight w:val="none"/>
                <w:lang w:eastAsia="zh-CN"/>
              </w:rPr>
              <w:t>（</w:t>
            </w:r>
            <w:r>
              <w:rPr>
                <w:rFonts w:hint="eastAsia" w:ascii="宋体" w:hAnsi="宋体" w:eastAsia="宋体" w:cs="宋体"/>
                <w:b w:val="0"/>
                <w:bCs w:val="0"/>
                <w:color w:val="auto"/>
                <w:spacing w:val="-3"/>
                <w:sz w:val="21"/>
                <w:highlight w:val="none"/>
                <w:lang w:val="en-US" w:eastAsia="zh-CN"/>
              </w:rPr>
              <w:t>2</w:t>
            </w:r>
            <w:r>
              <w:rPr>
                <w:rFonts w:hint="eastAsia" w:ascii="宋体" w:hAnsi="宋体" w:eastAsia="宋体" w:cs="宋体"/>
                <w:b w:val="0"/>
                <w:bCs w:val="0"/>
                <w:color w:val="auto"/>
                <w:spacing w:val="-3"/>
                <w:sz w:val="21"/>
                <w:highlight w:val="none"/>
                <w:lang w:eastAsia="zh-CN"/>
              </w:rPr>
              <w:t>）递交时间：出现电子加密响应文件（</w:t>
            </w:r>
            <w:r>
              <w:rPr>
                <w:rFonts w:hint="eastAsia" w:ascii="宋体" w:hAnsi="宋体" w:eastAsia="宋体" w:cs="宋体"/>
                <w:color w:val="auto"/>
                <w:spacing w:val="-9"/>
                <w:sz w:val="21"/>
                <w:highlight w:val="none"/>
              </w:rPr>
              <w:t>按</w:t>
            </w:r>
            <w:r>
              <w:rPr>
                <w:rFonts w:hint="eastAsia" w:ascii="宋体" w:hAnsi="宋体" w:eastAsia="宋体" w:cs="宋体"/>
                <w:color w:val="auto"/>
                <w:spacing w:val="-9"/>
                <w:sz w:val="21"/>
                <w:highlight w:val="none"/>
                <w:lang w:eastAsia="zh-CN"/>
              </w:rPr>
              <w:t>广西政府采购云平台</w:t>
            </w:r>
            <w:r>
              <w:rPr>
                <w:rFonts w:hint="eastAsia" w:ascii="宋体" w:hAnsi="宋体" w:eastAsia="宋体" w:cs="宋体"/>
                <w:color w:val="auto"/>
                <w:spacing w:val="-9"/>
                <w:sz w:val="21"/>
                <w:highlight w:val="none"/>
              </w:rPr>
              <w:t>要求及本</w:t>
            </w:r>
            <w:r>
              <w:rPr>
                <w:rFonts w:hint="eastAsia" w:ascii="宋体" w:hAnsi="宋体" w:eastAsia="宋体" w:cs="宋体"/>
                <w:color w:val="auto"/>
                <w:spacing w:val="-9"/>
                <w:sz w:val="21"/>
                <w:highlight w:val="none"/>
                <w:lang w:eastAsia="zh-CN"/>
              </w:rPr>
              <w:t>竞争性磋商</w:t>
            </w:r>
            <w:r>
              <w:rPr>
                <w:rFonts w:hint="eastAsia" w:ascii="宋体" w:hAnsi="宋体" w:eastAsia="宋体" w:cs="宋体"/>
                <w:color w:val="auto"/>
                <w:spacing w:val="-9"/>
                <w:sz w:val="21"/>
                <w:highlight w:val="none"/>
              </w:rPr>
              <w:t>要求制作、加</w:t>
            </w:r>
            <w:r>
              <w:rPr>
                <w:rFonts w:hint="eastAsia" w:ascii="宋体" w:hAnsi="宋体" w:eastAsia="宋体" w:cs="宋体"/>
                <w:color w:val="auto"/>
                <w:spacing w:val="-5"/>
                <w:sz w:val="21"/>
                <w:highlight w:val="none"/>
              </w:rPr>
              <w:t>密并递交</w:t>
            </w:r>
            <w:r>
              <w:rPr>
                <w:rFonts w:hint="eastAsia" w:ascii="宋体" w:hAnsi="宋体" w:eastAsia="宋体" w:cs="宋体"/>
                <w:b w:val="0"/>
                <w:bCs w:val="0"/>
                <w:color w:val="auto"/>
                <w:spacing w:val="-3"/>
                <w:sz w:val="21"/>
                <w:highlight w:val="none"/>
                <w:lang w:eastAsia="zh-CN"/>
              </w:rPr>
              <w:t>）无法按时在</w:t>
            </w:r>
            <w:r>
              <w:rPr>
                <w:rFonts w:hint="eastAsia" w:ascii="宋体" w:hAnsi="宋体" w:eastAsia="宋体" w:cs="宋体"/>
                <w:b w:val="0"/>
                <w:bCs w:val="0"/>
                <w:color w:val="auto"/>
                <w:sz w:val="21"/>
                <w:highlight w:val="none"/>
              </w:rPr>
              <w:t>30分钟</w:t>
            </w:r>
            <w:r>
              <w:rPr>
                <w:rFonts w:hint="eastAsia" w:ascii="宋体" w:hAnsi="宋体" w:eastAsia="宋体" w:cs="宋体"/>
                <w:b w:val="0"/>
                <w:bCs w:val="0"/>
                <w:color w:val="auto"/>
                <w:sz w:val="21"/>
                <w:highlight w:val="none"/>
                <w:lang w:eastAsia="zh-CN"/>
              </w:rPr>
              <w:t>内完成在线</w:t>
            </w:r>
            <w:r>
              <w:rPr>
                <w:rFonts w:hint="eastAsia" w:ascii="宋体" w:hAnsi="宋体" w:eastAsia="宋体" w:cs="宋体"/>
                <w:b w:val="0"/>
                <w:bCs w:val="0"/>
                <w:color w:val="auto"/>
                <w:sz w:val="21"/>
                <w:highlight w:val="none"/>
              </w:rPr>
              <w:t>解密</w:t>
            </w:r>
            <w:r>
              <w:rPr>
                <w:rFonts w:hint="eastAsia" w:ascii="宋体" w:hAnsi="宋体" w:eastAsia="宋体" w:cs="宋体"/>
                <w:b w:val="0"/>
                <w:bCs w:val="0"/>
                <w:color w:val="auto"/>
                <w:sz w:val="21"/>
                <w:highlight w:val="none"/>
                <w:lang w:eastAsia="zh-CN"/>
              </w:rPr>
              <w:t>的</w:t>
            </w:r>
            <w:r>
              <w:rPr>
                <w:rFonts w:hint="eastAsia" w:ascii="宋体" w:hAnsi="宋体" w:eastAsia="宋体" w:cs="宋体"/>
                <w:b w:val="0"/>
                <w:bCs w:val="0"/>
                <w:color w:val="auto"/>
                <w:spacing w:val="-3"/>
                <w:sz w:val="21"/>
                <w:highlight w:val="none"/>
                <w:lang w:eastAsia="zh-CN"/>
              </w:rPr>
              <w:t>，</w:t>
            </w:r>
            <w:r>
              <w:rPr>
                <w:rFonts w:hint="eastAsia" w:ascii="宋体" w:hAnsi="宋体" w:eastAsia="宋体" w:cs="宋体"/>
                <w:b/>
                <w:bCs/>
                <w:color w:val="auto"/>
                <w:spacing w:val="-3"/>
                <w:sz w:val="21"/>
                <w:highlight w:val="none"/>
                <w:lang w:eastAsia="zh-CN"/>
              </w:rPr>
              <w:t>在采购代理机构电话通知递交</w:t>
            </w:r>
            <w:r>
              <w:rPr>
                <w:rFonts w:hint="eastAsia" w:ascii="宋体" w:hAnsi="宋体" w:eastAsia="宋体" w:cs="宋体"/>
                <w:b/>
                <w:bCs/>
                <w:color w:val="auto"/>
                <w:spacing w:val="-3"/>
                <w:sz w:val="21"/>
                <w:highlight w:val="none"/>
              </w:rPr>
              <w:t>电子备份响应文件</w:t>
            </w:r>
            <w:r>
              <w:rPr>
                <w:rFonts w:hint="eastAsia" w:ascii="宋体" w:hAnsi="宋体" w:eastAsia="宋体" w:cs="宋体"/>
                <w:b/>
                <w:bCs/>
                <w:color w:val="auto"/>
                <w:spacing w:val="-3"/>
                <w:sz w:val="21"/>
                <w:highlight w:val="none"/>
                <w:lang w:eastAsia="zh-CN"/>
              </w:rPr>
              <w:t>之时起</w:t>
            </w:r>
            <w:r>
              <w:rPr>
                <w:rFonts w:hint="eastAsia" w:ascii="宋体" w:hAnsi="宋体" w:eastAsia="宋体" w:cs="宋体"/>
                <w:b/>
                <w:bCs/>
                <w:color w:val="auto"/>
                <w:spacing w:val="-3"/>
                <w:sz w:val="21"/>
                <w:highlight w:val="none"/>
                <w:lang w:val="en-US" w:eastAsia="zh-CN"/>
              </w:rPr>
              <w:t>15</w:t>
            </w:r>
            <w:r>
              <w:rPr>
                <w:rFonts w:hint="eastAsia" w:ascii="宋体" w:hAnsi="宋体" w:eastAsia="宋体" w:cs="宋体"/>
                <w:b/>
                <w:bCs/>
                <w:color w:val="auto"/>
                <w:spacing w:val="-3"/>
                <w:sz w:val="21"/>
                <w:highlight w:val="none"/>
                <w:lang w:eastAsia="zh-CN"/>
              </w:rPr>
              <w:t>分钟内递交，否则，竞标无效。</w:t>
            </w:r>
          </w:p>
          <w:p w14:paraId="169162E1">
            <w:pPr>
              <w:pStyle w:val="22"/>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3</w:t>
            </w:r>
            <w:r>
              <w:rPr>
                <w:rFonts w:hint="eastAsia" w:ascii="宋体" w:hAnsi="宋体" w:eastAsia="宋体" w:cs="宋体"/>
                <w:b w:val="0"/>
                <w:bCs w:val="0"/>
                <w:color w:val="auto"/>
                <w:szCs w:val="21"/>
                <w:highlight w:val="none"/>
                <w:lang w:eastAsia="zh-CN"/>
              </w:rPr>
              <w:t>）供应商邮件发送的内容如下：</w:t>
            </w:r>
          </w:p>
          <w:p w14:paraId="61D34DDC">
            <w:pPr>
              <w:pStyle w:val="22"/>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ascii="宋体" w:hAnsi="宋体" w:eastAsia="宋体" w:cs="宋体"/>
                <w:color w:val="auto"/>
                <w:spacing w:val="0"/>
                <w:sz w:val="21"/>
                <w:szCs w:val="21"/>
                <w:highlight w:val="none"/>
                <w:u w:val="thick"/>
                <w:lang w:val="en-US" w:eastAsia="zh-CN"/>
              </w:rPr>
            </w:pPr>
            <w:r>
              <w:rPr>
                <w:rFonts w:hint="eastAsia" w:ascii="宋体" w:hAnsi="宋体" w:eastAsia="宋体" w:cs="宋体"/>
                <w:color w:val="auto"/>
                <w:spacing w:val="0"/>
                <w:sz w:val="21"/>
                <w:szCs w:val="21"/>
                <w:highlight w:val="none"/>
                <w:lang w:eastAsia="zh-CN"/>
              </w:rPr>
              <w:t>项目名称：</w:t>
            </w:r>
            <w:r>
              <w:rPr>
                <w:rFonts w:hint="eastAsia" w:ascii="宋体" w:hAnsi="宋体" w:eastAsia="宋体" w:cs="宋体"/>
                <w:color w:val="auto"/>
                <w:spacing w:val="0"/>
                <w:sz w:val="21"/>
                <w:szCs w:val="21"/>
                <w:highlight w:val="none"/>
                <w:u w:val="thick"/>
                <w:lang w:val="en-US" w:eastAsia="zh-CN"/>
              </w:rPr>
              <w:t xml:space="preserve">                 </w:t>
            </w:r>
          </w:p>
          <w:p w14:paraId="45E33EC1">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ascii="宋体" w:hAnsi="宋体" w:eastAsia="宋体" w:cs="宋体"/>
                <w:color w:val="auto"/>
                <w:spacing w:val="0"/>
                <w:sz w:val="21"/>
                <w:szCs w:val="21"/>
                <w:highlight w:val="none"/>
                <w:lang w:eastAsia="zh-CN"/>
              </w:rPr>
            </w:pPr>
            <w:r>
              <w:rPr>
                <w:rFonts w:hint="eastAsia" w:ascii="宋体" w:hAnsi="宋体" w:eastAsia="宋体" w:cs="宋体"/>
                <w:color w:val="auto"/>
                <w:spacing w:val="0"/>
                <w:sz w:val="21"/>
                <w:szCs w:val="21"/>
                <w:highlight w:val="none"/>
                <w:lang w:eastAsia="zh-CN"/>
              </w:rPr>
              <w:t>项目编号：</w:t>
            </w:r>
            <w:r>
              <w:rPr>
                <w:rFonts w:hint="eastAsia" w:ascii="宋体" w:hAnsi="宋体" w:eastAsia="宋体" w:cs="宋体"/>
                <w:color w:val="auto"/>
                <w:spacing w:val="0"/>
                <w:sz w:val="21"/>
                <w:szCs w:val="21"/>
                <w:highlight w:val="none"/>
                <w:u w:val="thick"/>
                <w:lang w:val="en-US" w:eastAsia="zh-CN"/>
              </w:rPr>
              <w:t xml:space="preserve">                 </w:t>
            </w:r>
          </w:p>
          <w:p w14:paraId="572B050E">
            <w:pPr>
              <w:pStyle w:val="22"/>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ascii="宋体" w:hAnsi="宋体" w:eastAsia="宋体" w:cs="宋体"/>
                <w:color w:val="auto"/>
                <w:spacing w:val="0"/>
                <w:sz w:val="21"/>
                <w:szCs w:val="21"/>
                <w:highlight w:val="none"/>
                <w:lang w:eastAsia="zh-CN"/>
              </w:rPr>
            </w:pPr>
            <w:r>
              <w:rPr>
                <w:rFonts w:hint="eastAsia" w:ascii="宋体" w:hAnsi="宋体" w:eastAsia="宋体" w:cs="宋体"/>
                <w:color w:val="auto"/>
                <w:spacing w:val="0"/>
                <w:sz w:val="21"/>
                <w:szCs w:val="21"/>
                <w:highlight w:val="none"/>
                <w:lang w:eastAsia="zh-CN"/>
              </w:rPr>
              <w:t>标段（如有）：</w:t>
            </w:r>
            <w:r>
              <w:rPr>
                <w:rFonts w:hint="eastAsia" w:ascii="宋体" w:hAnsi="宋体" w:eastAsia="宋体" w:cs="宋体"/>
                <w:color w:val="auto"/>
                <w:spacing w:val="0"/>
                <w:sz w:val="21"/>
                <w:szCs w:val="21"/>
                <w:highlight w:val="none"/>
                <w:u w:val="thick"/>
                <w:lang w:val="en-US" w:eastAsia="zh-CN"/>
              </w:rPr>
              <w:t xml:space="preserve">                 </w:t>
            </w:r>
          </w:p>
          <w:p w14:paraId="3D84D6E3">
            <w:pPr>
              <w:pStyle w:val="22"/>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ascii="宋体" w:hAnsi="宋体" w:eastAsia="宋体" w:cs="宋体"/>
                <w:color w:val="auto"/>
                <w:spacing w:val="0"/>
                <w:sz w:val="21"/>
                <w:szCs w:val="21"/>
                <w:highlight w:val="none"/>
                <w:u w:val="thick"/>
                <w:lang w:val="en-US" w:eastAsia="zh-CN"/>
              </w:rPr>
            </w:pPr>
            <w:r>
              <w:rPr>
                <w:rFonts w:hint="eastAsia" w:ascii="宋体" w:hAnsi="宋体" w:eastAsia="宋体" w:cs="宋体"/>
                <w:color w:val="auto"/>
                <w:spacing w:val="0"/>
                <w:sz w:val="21"/>
                <w:szCs w:val="21"/>
                <w:highlight w:val="none"/>
                <w:lang w:eastAsia="zh-CN"/>
              </w:rPr>
              <w:t>供应商名称：</w:t>
            </w:r>
            <w:r>
              <w:rPr>
                <w:rFonts w:hint="eastAsia" w:ascii="宋体" w:hAnsi="宋体" w:eastAsia="宋体" w:cs="宋体"/>
                <w:color w:val="auto"/>
                <w:spacing w:val="0"/>
                <w:sz w:val="21"/>
                <w:szCs w:val="21"/>
                <w:highlight w:val="none"/>
                <w:u w:val="thick"/>
                <w:lang w:val="en-US" w:eastAsia="zh-CN"/>
              </w:rPr>
              <w:t xml:space="preserve">                 </w:t>
            </w:r>
          </w:p>
          <w:p w14:paraId="29553158">
            <w:pPr>
              <w:keepNext w:val="0"/>
              <w:keepLines w:val="0"/>
              <w:pageBreakBefore w:val="0"/>
              <w:widowControl w:val="0"/>
              <w:kinsoku/>
              <w:wordWrap/>
              <w:overflowPunct/>
              <w:topLinePunct w:val="0"/>
              <w:autoSpaceDE/>
              <w:autoSpaceDN/>
              <w:bidi w:val="0"/>
              <w:adjustRightInd/>
              <w:snapToGrid w:val="0"/>
              <w:spacing w:line="460" w:lineRule="exact"/>
              <w:ind w:left="0" w:firstLine="0" w:firstLineChars="0"/>
              <w:jc w:val="left"/>
              <w:textAlignment w:val="auto"/>
              <w:rPr>
                <w:rFonts w:hint="eastAsia" w:ascii="宋体" w:hAnsi="宋体" w:eastAsia="宋体" w:cs="宋体"/>
                <w:color w:val="auto"/>
                <w:spacing w:val="0"/>
                <w:sz w:val="21"/>
                <w:szCs w:val="21"/>
                <w:highlight w:val="none"/>
                <w:u w:val="none"/>
                <w:lang w:val="en-US" w:eastAsia="zh-CN"/>
              </w:rPr>
            </w:pPr>
            <w:r>
              <w:rPr>
                <w:rFonts w:hint="eastAsia" w:ascii="宋体" w:hAnsi="宋体" w:eastAsia="宋体" w:cs="宋体"/>
                <w:color w:val="auto"/>
                <w:spacing w:val="0"/>
                <w:sz w:val="21"/>
                <w:szCs w:val="21"/>
                <w:highlight w:val="none"/>
                <w:u w:val="none"/>
                <w:lang w:val="en-US" w:eastAsia="zh-CN"/>
              </w:rPr>
              <w:t>法定代表人或其委托代理人姓名：</w:t>
            </w:r>
            <w:r>
              <w:rPr>
                <w:rFonts w:hint="eastAsia" w:ascii="宋体" w:hAnsi="宋体" w:eastAsia="宋体" w:cs="宋体"/>
                <w:color w:val="auto"/>
                <w:spacing w:val="0"/>
                <w:sz w:val="21"/>
                <w:szCs w:val="21"/>
                <w:highlight w:val="none"/>
                <w:u w:val="thick"/>
                <w:lang w:val="en-US" w:eastAsia="zh-CN"/>
              </w:rPr>
              <w:t xml:space="preserve">                 </w:t>
            </w:r>
            <w:r>
              <w:rPr>
                <w:rFonts w:hint="eastAsia" w:ascii="宋体" w:hAnsi="宋体" w:eastAsia="宋体" w:cs="宋体"/>
                <w:color w:val="auto"/>
                <w:spacing w:val="0"/>
                <w:sz w:val="21"/>
                <w:szCs w:val="21"/>
                <w:highlight w:val="none"/>
                <w:u w:val="none"/>
                <w:lang w:val="en-US" w:eastAsia="zh-CN"/>
              </w:rPr>
              <w:t xml:space="preserve"> </w:t>
            </w:r>
          </w:p>
          <w:p w14:paraId="08D4DB1E">
            <w:pPr>
              <w:keepNext w:val="0"/>
              <w:keepLines w:val="0"/>
              <w:pageBreakBefore w:val="0"/>
              <w:widowControl w:val="0"/>
              <w:kinsoku/>
              <w:wordWrap/>
              <w:overflowPunct/>
              <w:topLinePunct w:val="0"/>
              <w:autoSpaceDE/>
              <w:autoSpaceDN/>
              <w:bidi w:val="0"/>
              <w:adjustRightInd/>
              <w:snapToGrid w:val="0"/>
              <w:spacing w:line="460" w:lineRule="exact"/>
              <w:ind w:left="0" w:firstLine="0" w:firstLineChars="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pacing w:val="0"/>
                <w:sz w:val="21"/>
                <w:szCs w:val="21"/>
                <w:highlight w:val="none"/>
                <w:u w:val="none"/>
                <w:lang w:val="en-US" w:eastAsia="zh-CN"/>
              </w:rPr>
              <w:t>法定代表人或其委托代理人手机号码：</w:t>
            </w:r>
            <w:r>
              <w:rPr>
                <w:rFonts w:hint="eastAsia" w:ascii="宋体" w:hAnsi="宋体" w:eastAsia="宋体" w:cs="宋体"/>
                <w:color w:val="auto"/>
                <w:spacing w:val="0"/>
                <w:sz w:val="21"/>
                <w:szCs w:val="21"/>
                <w:highlight w:val="none"/>
                <w:u w:val="thick"/>
                <w:lang w:val="en-US" w:eastAsia="zh-CN"/>
              </w:rPr>
              <w:t xml:space="preserve">                 </w:t>
            </w:r>
            <w:r>
              <w:rPr>
                <w:rFonts w:hint="eastAsia" w:ascii="宋体" w:hAnsi="宋体" w:eastAsia="宋体" w:cs="宋体"/>
                <w:color w:val="auto"/>
                <w:spacing w:val="0"/>
                <w:sz w:val="21"/>
                <w:szCs w:val="21"/>
                <w:highlight w:val="none"/>
                <w:u w:val="none"/>
                <w:lang w:val="en-US" w:eastAsia="zh-CN"/>
              </w:rPr>
              <w:t xml:space="preserve"> </w:t>
            </w:r>
          </w:p>
          <w:p w14:paraId="567C7C74">
            <w:pPr>
              <w:pStyle w:val="10"/>
              <w:keepNext w:val="0"/>
              <w:keepLines w:val="0"/>
              <w:pageBreakBefore w:val="0"/>
              <w:widowControl w:val="0"/>
              <w:kinsoku/>
              <w:wordWrap/>
              <w:overflowPunct/>
              <w:topLinePunct w:val="0"/>
              <w:autoSpaceDE/>
              <w:autoSpaceDN/>
              <w:bidi w:val="0"/>
              <w:adjustRightInd/>
              <w:spacing w:line="460" w:lineRule="exact"/>
              <w:ind w:left="0" w:leftChars="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pacing w:val="-3"/>
                <w:sz w:val="21"/>
                <w:highlight w:val="none"/>
                <w:lang w:eastAsia="zh-CN"/>
              </w:rPr>
              <w:t>（</w:t>
            </w:r>
            <w:r>
              <w:rPr>
                <w:rFonts w:hint="eastAsia" w:ascii="宋体" w:hAnsi="宋体" w:eastAsia="宋体" w:cs="宋体"/>
                <w:color w:val="auto"/>
                <w:spacing w:val="-3"/>
                <w:sz w:val="21"/>
                <w:highlight w:val="none"/>
                <w:lang w:val="en-US" w:eastAsia="zh-CN"/>
              </w:rPr>
              <w:t>4</w:t>
            </w:r>
            <w:r>
              <w:rPr>
                <w:rFonts w:hint="eastAsia" w:ascii="宋体" w:hAnsi="宋体" w:eastAsia="宋体" w:cs="宋体"/>
                <w:color w:val="auto"/>
                <w:spacing w:val="-3"/>
                <w:sz w:val="21"/>
                <w:highlight w:val="none"/>
                <w:lang w:eastAsia="zh-CN"/>
              </w:rPr>
              <w:t>）</w:t>
            </w:r>
            <w:r>
              <w:rPr>
                <w:rFonts w:hint="eastAsia" w:ascii="宋体" w:hAnsi="宋体" w:eastAsia="宋体" w:cs="宋体"/>
                <w:color w:val="auto"/>
                <w:spacing w:val="-3"/>
                <w:sz w:val="21"/>
                <w:highlight w:val="none"/>
              </w:rPr>
              <w:t>响应文件启用顺序和效力：响应文件的启用，按先后顺位分别为电子响应文件、以介质存储的数据电文形式的电子备份响应文件。顺位在先的响应文件已按时解密的</w:t>
            </w:r>
            <w:r>
              <w:rPr>
                <w:rFonts w:hint="eastAsia" w:ascii="宋体" w:hAnsi="宋体" w:eastAsia="宋体" w:cs="宋体"/>
                <w:color w:val="auto"/>
                <w:spacing w:val="-3"/>
                <w:sz w:val="21"/>
                <w:highlight w:val="none"/>
                <w:lang w:eastAsia="zh-CN"/>
              </w:rPr>
              <w:t>，</w:t>
            </w:r>
            <w:r>
              <w:rPr>
                <w:rFonts w:hint="eastAsia" w:ascii="宋体" w:hAnsi="宋体" w:eastAsia="宋体" w:cs="宋体"/>
                <w:color w:val="auto"/>
                <w:spacing w:val="-3"/>
                <w:sz w:val="21"/>
                <w:highlight w:val="none"/>
              </w:rPr>
              <w:t>下一顺位响应文件自动失效。在下一顺位的响应文件启用时，前一顺位的响应文件自动失效。</w:t>
            </w:r>
          </w:p>
        </w:tc>
      </w:tr>
      <w:tr w14:paraId="79A1C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889" w:type="dxa"/>
            <w:noWrap w:val="0"/>
            <w:vAlign w:val="center"/>
          </w:tcPr>
          <w:p w14:paraId="7ABD7AED">
            <w:pPr>
              <w:keepNext w:val="0"/>
              <w:keepLines w:val="0"/>
              <w:pageBreakBefore w:val="0"/>
              <w:widowControl w:val="0"/>
              <w:kinsoku/>
              <w:wordWrap/>
              <w:overflowPunct/>
              <w:topLinePunct w:val="0"/>
              <w:autoSpaceDE/>
              <w:autoSpaceDN/>
              <w:bidi w:val="0"/>
              <w:adjustRightInd/>
              <w:spacing w:line="460" w:lineRule="exact"/>
              <w:ind w:left="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1971" w:type="dxa"/>
            <w:noWrap w:val="0"/>
            <w:vAlign w:val="center"/>
          </w:tcPr>
          <w:p w14:paraId="2633F401">
            <w:pPr>
              <w:keepNext w:val="0"/>
              <w:keepLines w:val="0"/>
              <w:pageBreakBefore w:val="0"/>
              <w:widowControl w:val="0"/>
              <w:kinsoku/>
              <w:wordWrap/>
              <w:overflowPunct/>
              <w:topLinePunct w:val="0"/>
              <w:autoSpaceDE/>
              <w:autoSpaceDN/>
              <w:bidi w:val="0"/>
              <w:adjustRightInd/>
              <w:spacing w:line="460" w:lineRule="exact"/>
              <w:ind w:left="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首次响应文件的退回</w:t>
            </w:r>
          </w:p>
        </w:tc>
        <w:tc>
          <w:tcPr>
            <w:tcW w:w="7085" w:type="dxa"/>
            <w:noWrap w:val="0"/>
            <w:vAlign w:val="center"/>
          </w:tcPr>
          <w:p w14:paraId="334F5ECF">
            <w:pPr>
              <w:keepNext w:val="0"/>
              <w:keepLines w:val="0"/>
              <w:pageBreakBefore w:val="0"/>
              <w:widowControl w:val="0"/>
              <w:kinsoku/>
              <w:wordWrap/>
              <w:overflowPunct/>
              <w:topLinePunct w:val="0"/>
              <w:autoSpaceDE/>
              <w:autoSpaceDN/>
              <w:bidi w:val="0"/>
              <w:adjustRightInd/>
              <w:snapToGrid w:val="0"/>
              <w:spacing w:line="460" w:lineRule="exact"/>
              <w:ind w:left="0" w:firstLine="0" w:firstLineChars="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详见竞争性磋商公告。</w:t>
            </w:r>
          </w:p>
        </w:tc>
      </w:tr>
      <w:tr w14:paraId="457C3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889" w:type="dxa"/>
            <w:vMerge w:val="restart"/>
            <w:noWrap w:val="0"/>
            <w:vAlign w:val="center"/>
          </w:tcPr>
          <w:p w14:paraId="0060778A">
            <w:pPr>
              <w:keepNext w:val="0"/>
              <w:keepLines w:val="0"/>
              <w:pageBreakBefore w:val="0"/>
              <w:widowControl w:val="0"/>
              <w:kinsoku/>
              <w:wordWrap/>
              <w:overflowPunct/>
              <w:topLinePunct w:val="0"/>
              <w:autoSpaceDE/>
              <w:autoSpaceDN/>
              <w:bidi w:val="0"/>
              <w:adjustRightInd/>
              <w:spacing w:line="460" w:lineRule="exact"/>
              <w:ind w:left="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w:t>
            </w:r>
          </w:p>
        </w:tc>
        <w:tc>
          <w:tcPr>
            <w:tcW w:w="1971" w:type="dxa"/>
            <w:noWrap w:val="0"/>
            <w:vAlign w:val="center"/>
          </w:tcPr>
          <w:p w14:paraId="5A830B34">
            <w:pPr>
              <w:keepNext w:val="0"/>
              <w:keepLines w:val="0"/>
              <w:pageBreakBefore w:val="0"/>
              <w:widowControl w:val="0"/>
              <w:kinsoku/>
              <w:wordWrap/>
              <w:overflowPunct/>
              <w:topLinePunct w:val="0"/>
              <w:autoSpaceDE/>
              <w:autoSpaceDN/>
              <w:bidi w:val="0"/>
              <w:adjustRightInd/>
              <w:spacing w:line="460" w:lineRule="exact"/>
              <w:ind w:left="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负偏离要求</w:t>
            </w:r>
          </w:p>
        </w:tc>
        <w:tc>
          <w:tcPr>
            <w:tcW w:w="7085" w:type="dxa"/>
            <w:noWrap w:val="0"/>
            <w:vAlign w:val="center"/>
          </w:tcPr>
          <w:p w14:paraId="43657ABA">
            <w:pPr>
              <w:keepNext w:val="0"/>
              <w:keepLines w:val="0"/>
              <w:pageBreakBefore w:val="0"/>
              <w:widowControl w:val="0"/>
              <w:kinsoku/>
              <w:wordWrap/>
              <w:overflowPunct/>
              <w:topLinePunct w:val="0"/>
              <w:autoSpaceDE/>
              <w:autoSpaceDN/>
              <w:bidi w:val="0"/>
              <w:adjustRightInd/>
              <w:snapToGrid w:val="0"/>
              <w:spacing w:line="460" w:lineRule="exact"/>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商务条款评审中允许负偏离的非实质性条款数为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1</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p w14:paraId="6FCA1A0C">
            <w:pPr>
              <w:keepNext w:val="0"/>
              <w:keepLines w:val="0"/>
              <w:pageBreakBefore w:val="0"/>
              <w:widowControl w:val="0"/>
              <w:kinsoku/>
              <w:wordWrap/>
              <w:overflowPunct/>
              <w:topLinePunct w:val="0"/>
              <w:autoSpaceDE/>
              <w:autoSpaceDN/>
              <w:bidi w:val="0"/>
              <w:adjustRightInd/>
              <w:snapToGrid w:val="0"/>
              <w:spacing w:line="460" w:lineRule="exact"/>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服务需求评审中允许负偏离的非实质性条款数为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1</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tc>
      </w:tr>
      <w:tr w14:paraId="44776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9" w:type="dxa"/>
            <w:vMerge w:val="continue"/>
            <w:noWrap w:val="0"/>
            <w:vAlign w:val="center"/>
          </w:tcPr>
          <w:p w14:paraId="68D2B3BD">
            <w:pPr>
              <w:keepNext w:val="0"/>
              <w:keepLines w:val="0"/>
              <w:pageBreakBefore w:val="0"/>
              <w:widowControl w:val="0"/>
              <w:kinsoku/>
              <w:wordWrap/>
              <w:overflowPunct/>
              <w:topLinePunct w:val="0"/>
              <w:autoSpaceDE/>
              <w:autoSpaceDN/>
              <w:bidi w:val="0"/>
              <w:adjustRightInd/>
              <w:spacing w:line="460" w:lineRule="exact"/>
              <w:ind w:left="0" w:firstLine="0" w:firstLineChars="0"/>
              <w:jc w:val="center"/>
              <w:textAlignment w:val="auto"/>
              <w:rPr>
                <w:rFonts w:hint="eastAsia" w:ascii="宋体" w:hAnsi="宋体" w:eastAsia="宋体" w:cs="宋体"/>
                <w:color w:val="auto"/>
                <w:szCs w:val="21"/>
                <w:highlight w:val="none"/>
              </w:rPr>
            </w:pPr>
          </w:p>
        </w:tc>
        <w:tc>
          <w:tcPr>
            <w:tcW w:w="1971" w:type="dxa"/>
            <w:noWrap w:val="0"/>
            <w:vAlign w:val="center"/>
          </w:tcPr>
          <w:p w14:paraId="75FC33EF">
            <w:pPr>
              <w:keepNext w:val="0"/>
              <w:keepLines w:val="0"/>
              <w:pageBreakBefore w:val="0"/>
              <w:widowControl w:val="0"/>
              <w:kinsoku/>
              <w:wordWrap/>
              <w:overflowPunct/>
              <w:topLinePunct w:val="0"/>
              <w:autoSpaceDE/>
              <w:autoSpaceDN/>
              <w:bidi w:val="0"/>
              <w:adjustRightInd/>
              <w:snapToGrid w:val="0"/>
              <w:spacing w:line="460" w:lineRule="exact"/>
              <w:ind w:left="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磋商的顺序</w:t>
            </w:r>
          </w:p>
          <w:p w14:paraId="785791AF">
            <w:pPr>
              <w:keepNext w:val="0"/>
              <w:keepLines w:val="0"/>
              <w:pageBreakBefore w:val="0"/>
              <w:widowControl w:val="0"/>
              <w:kinsoku/>
              <w:wordWrap/>
              <w:overflowPunct/>
              <w:topLinePunct w:val="0"/>
              <w:autoSpaceDE/>
              <w:autoSpaceDN/>
              <w:bidi w:val="0"/>
              <w:adjustRightInd/>
              <w:spacing w:line="460" w:lineRule="exact"/>
              <w:ind w:left="0" w:firstLine="0" w:firstLineChars="0"/>
              <w:jc w:val="center"/>
              <w:textAlignment w:val="auto"/>
              <w:rPr>
                <w:rFonts w:hint="eastAsia" w:ascii="宋体" w:hAnsi="宋体" w:eastAsia="宋体" w:cs="宋体"/>
                <w:color w:val="auto"/>
                <w:szCs w:val="21"/>
                <w:highlight w:val="none"/>
              </w:rPr>
            </w:pPr>
          </w:p>
        </w:tc>
        <w:tc>
          <w:tcPr>
            <w:tcW w:w="7085" w:type="dxa"/>
            <w:noWrap w:val="0"/>
            <w:vAlign w:val="center"/>
          </w:tcPr>
          <w:p w14:paraId="1931696C">
            <w:pPr>
              <w:keepNext w:val="0"/>
              <w:keepLines w:val="0"/>
              <w:pageBreakBefore w:val="0"/>
              <w:widowControl w:val="0"/>
              <w:kinsoku/>
              <w:wordWrap/>
              <w:overflowPunct/>
              <w:topLinePunct w:val="0"/>
              <w:autoSpaceDE/>
              <w:autoSpaceDN/>
              <w:bidi w:val="0"/>
              <w:adjustRightInd/>
              <w:snapToGrid w:val="0"/>
              <w:spacing w:line="460" w:lineRule="exact"/>
              <w:ind w:left="0" w:firstLine="0" w:firstLine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系统自动提取的顺序</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通知磋商时，若某供应商不在通知现场，该供应商排序到最后磋商，按照</w:t>
            </w:r>
            <w:r>
              <w:rPr>
                <w:rFonts w:hint="eastAsia" w:ascii="宋体" w:hAnsi="宋体" w:eastAsia="宋体" w:cs="宋体"/>
                <w:color w:val="auto"/>
                <w:szCs w:val="21"/>
                <w:highlight w:val="none"/>
              </w:rPr>
              <w:t>系统自动提取的顺序</w:t>
            </w:r>
            <w:r>
              <w:rPr>
                <w:rFonts w:hint="eastAsia" w:ascii="宋体" w:hAnsi="宋体" w:eastAsia="宋体" w:cs="宋体"/>
                <w:color w:val="auto"/>
                <w:szCs w:val="21"/>
                <w:highlight w:val="none"/>
                <w:lang w:val="en-US" w:eastAsia="zh-CN"/>
              </w:rPr>
              <w:t>由其下一位供应商先参与磋商。</w:t>
            </w:r>
          </w:p>
        </w:tc>
      </w:tr>
      <w:tr w14:paraId="28583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9" w:type="dxa"/>
            <w:noWrap w:val="0"/>
            <w:vAlign w:val="center"/>
          </w:tcPr>
          <w:p w14:paraId="3F03C6AA">
            <w:pPr>
              <w:keepNext w:val="0"/>
              <w:keepLines w:val="0"/>
              <w:pageBreakBefore w:val="0"/>
              <w:widowControl w:val="0"/>
              <w:kinsoku/>
              <w:wordWrap/>
              <w:overflowPunct/>
              <w:topLinePunct w:val="0"/>
              <w:autoSpaceDE/>
              <w:autoSpaceDN/>
              <w:bidi w:val="0"/>
              <w:adjustRightInd/>
              <w:spacing w:line="460" w:lineRule="exact"/>
              <w:ind w:left="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p>
        </w:tc>
        <w:tc>
          <w:tcPr>
            <w:tcW w:w="1971" w:type="dxa"/>
            <w:noWrap w:val="0"/>
            <w:vAlign w:val="center"/>
          </w:tcPr>
          <w:p w14:paraId="57109F6F">
            <w:pPr>
              <w:keepNext w:val="0"/>
              <w:keepLines w:val="0"/>
              <w:pageBreakBefore w:val="0"/>
              <w:widowControl w:val="0"/>
              <w:kinsoku/>
              <w:wordWrap/>
              <w:overflowPunct/>
              <w:topLinePunct w:val="0"/>
              <w:bidi w:val="0"/>
              <w:adjustRightInd/>
              <w:spacing w:line="460" w:lineRule="exact"/>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7085" w:type="dxa"/>
            <w:noWrap w:val="0"/>
            <w:vAlign w:val="center"/>
          </w:tcPr>
          <w:p w14:paraId="682DEF00">
            <w:pPr>
              <w:keepNext w:val="0"/>
              <w:keepLines w:val="0"/>
              <w:pageBreakBefore w:val="0"/>
              <w:widowControl w:val="0"/>
              <w:kinsoku/>
              <w:wordWrap/>
              <w:overflowPunct/>
              <w:topLinePunct w:val="0"/>
              <w:autoSpaceDE w:val="0"/>
              <w:autoSpaceDN w:val="0"/>
              <w:bidi w:val="0"/>
              <w:snapToGrid w:val="0"/>
              <w:spacing w:line="360" w:lineRule="auto"/>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□本项目不收取履约保证金。</w:t>
            </w:r>
          </w:p>
          <w:p w14:paraId="5E7E607D">
            <w:pPr>
              <w:keepNext w:val="0"/>
              <w:keepLines w:val="0"/>
              <w:pageBreakBefore w:val="0"/>
              <w:widowControl w:val="0"/>
              <w:kinsoku/>
              <w:wordWrap/>
              <w:overflowPunct/>
              <w:topLinePunct w:val="0"/>
              <w:autoSpaceDE w:val="0"/>
              <w:autoSpaceDN w:val="0"/>
              <w:bidi w:val="0"/>
              <w:snapToGrid w:val="0"/>
              <w:spacing w:line="360" w:lineRule="auto"/>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sz w:val="21"/>
                <w:szCs w:val="21"/>
                <w:highlight w:val="none"/>
              </w:rPr>
              <w:t>本项目收取履约保证金，具体规定如下：</w:t>
            </w:r>
          </w:p>
          <w:p w14:paraId="6350C374">
            <w:pPr>
              <w:keepNext w:val="0"/>
              <w:keepLines w:val="0"/>
              <w:pageBreakBefore w:val="0"/>
              <w:widowControl w:val="0"/>
              <w:kinsoku/>
              <w:wordWrap/>
              <w:overflowPunct/>
              <w:topLinePunct w:val="0"/>
              <w:autoSpaceDE w:val="0"/>
              <w:autoSpaceDN w:val="0"/>
              <w:bidi w:val="0"/>
              <w:snapToGrid w:val="0"/>
              <w:spacing w:line="360" w:lineRule="auto"/>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（1）提交履约保证金形式：银行电汇、网上银行、</w:t>
            </w:r>
            <w:r>
              <w:rPr>
                <w:rFonts w:hint="eastAsia" w:ascii="宋体" w:hAnsi="宋体" w:eastAsia="宋体" w:cs="宋体"/>
                <w:color w:val="auto"/>
                <w:sz w:val="21"/>
                <w:szCs w:val="21"/>
                <w:highlight w:val="none"/>
              </w:rPr>
              <w:t>支票、汇票、本票或者银行、保险机构出具的保函（包含电子保函）</w:t>
            </w:r>
            <w:r>
              <w:rPr>
                <w:rFonts w:hint="eastAsia" w:ascii="宋体" w:hAnsi="宋体" w:eastAsia="宋体" w:cs="宋体"/>
                <w:color w:val="auto"/>
                <w:kern w:val="2"/>
                <w:sz w:val="21"/>
                <w:szCs w:val="21"/>
                <w:highlight w:val="none"/>
                <w:lang w:val="en-US" w:eastAsia="zh-CN" w:bidi="ar-SA"/>
              </w:rPr>
              <w:t>等非现金形式缴纳或提交</w:t>
            </w:r>
            <w:r>
              <w:rPr>
                <w:rFonts w:hint="eastAsia" w:ascii="宋体" w:hAnsi="宋体" w:eastAsia="宋体" w:cs="宋体"/>
                <w:color w:val="auto"/>
                <w:sz w:val="21"/>
                <w:szCs w:val="21"/>
                <w:highlight w:val="none"/>
              </w:rPr>
              <w:t>。</w:t>
            </w:r>
          </w:p>
          <w:p w14:paraId="756D7640">
            <w:pPr>
              <w:keepNext w:val="0"/>
              <w:keepLines w:val="0"/>
              <w:pageBreakBefore w:val="0"/>
              <w:widowControl w:val="0"/>
              <w:kinsoku/>
              <w:wordWrap/>
              <w:overflowPunct/>
              <w:topLinePunct w:val="0"/>
              <w:autoSpaceDE w:val="0"/>
              <w:autoSpaceDN w:val="0"/>
              <w:bidi w:val="0"/>
              <w:snapToGrid w:val="0"/>
              <w:spacing w:line="360" w:lineRule="auto"/>
              <w:textAlignment w:val="bottom"/>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（2）收取履约保证金金额：政府采购合同金额的2%。</w:t>
            </w:r>
          </w:p>
          <w:p w14:paraId="51917FA0">
            <w:pPr>
              <w:keepNext w:val="0"/>
              <w:keepLines w:val="0"/>
              <w:pageBreakBefore w:val="0"/>
              <w:widowControl w:val="0"/>
              <w:kinsoku/>
              <w:wordWrap/>
              <w:overflowPunct/>
              <w:topLinePunct w:val="0"/>
              <w:autoSpaceDE w:val="0"/>
              <w:autoSpaceDN w:val="0"/>
              <w:bidi w:val="0"/>
              <w:snapToGrid w:val="0"/>
              <w:spacing w:line="360" w:lineRule="auto"/>
              <w:textAlignment w:val="bottom"/>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（3）履约保证金缴纳时间：成交人收到成交通知书后5个工作日内。</w:t>
            </w:r>
          </w:p>
          <w:p w14:paraId="00D13405">
            <w:pPr>
              <w:keepNext w:val="0"/>
              <w:keepLines w:val="0"/>
              <w:pageBreakBefore w:val="0"/>
              <w:widowControl w:val="0"/>
              <w:kinsoku/>
              <w:wordWrap/>
              <w:overflowPunct/>
              <w:topLinePunct w:val="0"/>
              <w:autoSpaceDE w:val="0"/>
              <w:autoSpaceDN w:val="0"/>
              <w:bidi w:val="0"/>
              <w:snapToGrid w:val="0"/>
              <w:spacing w:line="360" w:lineRule="auto"/>
              <w:textAlignment w:val="bottom"/>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（4）履约保证金退还时间：</w:t>
            </w:r>
            <w:r>
              <w:rPr>
                <w:rFonts w:hint="eastAsia" w:ascii="Cambria Math" w:hAnsi="Cambria Math"/>
                <w:color w:val="auto"/>
                <w:szCs w:val="21"/>
                <w:highlight w:val="none"/>
              </w:rPr>
              <w:t>履约保证金在项目履约完成（按合同约定履行完合同所有内容，包括但不限于承诺的</w:t>
            </w:r>
            <w:r>
              <w:rPr>
                <w:rFonts w:hint="eastAsia" w:ascii="Cambria Math" w:hAnsi="Cambria Math"/>
                <w:color w:val="auto"/>
                <w:szCs w:val="21"/>
                <w:highlight w:val="none"/>
                <w:lang w:eastAsia="zh-CN"/>
              </w:rPr>
              <w:t>售后服务、质量保证等</w:t>
            </w:r>
            <w:r>
              <w:rPr>
                <w:rFonts w:hint="eastAsia" w:ascii="Cambria Math" w:hAnsi="Cambria Math"/>
                <w:color w:val="auto"/>
                <w:szCs w:val="21"/>
                <w:highlight w:val="none"/>
              </w:rPr>
              <w:t>）后</w:t>
            </w:r>
            <w:r>
              <w:rPr>
                <w:rFonts w:hint="eastAsia" w:ascii="宋体" w:hAnsi="宋体" w:eastAsia="宋体" w:cs="宋体"/>
                <w:color w:val="auto"/>
                <w:kern w:val="2"/>
                <w:sz w:val="21"/>
                <w:szCs w:val="21"/>
                <w:highlight w:val="none"/>
                <w:lang w:val="en-US" w:eastAsia="zh-CN" w:bidi="ar-SA"/>
              </w:rPr>
              <w:t>，采购人收到成交人退付申请后在5个工作日内一次性无息退还。</w:t>
            </w:r>
          </w:p>
          <w:p w14:paraId="53FAD3A3">
            <w:pPr>
              <w:keepNext w:val="0"/>
              <w:keepLines w:val="0"/>
              <w:pageBreakBefore w:val="0"/>
              <w:widowControl w:val="0"/>
              <w:kinsoku/>
              <w:wordWrap/>
              <w:overflowPunct/>
              <w:topLinePunct w:val="0"/>
              <w:autoSpaceDE w:val="0"/>
              <w:autoSpaceDN w:val="0"/>
              <w:bidi w:val="0"/>
              <w:snapToGrid w:val="0"/>
              <w:spacing w:line="360" w:lineRule="auto"/>
              <w:textAlignment w:val="bottom"/>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（5）履约保证金退还方式：与成交人缴纳或提交履约保证金的方式相同。</w:t>
            </w:r>
          </w:p>
          <w:p w14:paraId="014D116C">
            <w:pPr>
              <w:keepNext w:val="0"/>
              <w:keepLines w:val="0"/>
              <w:pageBreakBefore w:val="0"/>
              <w:widowControl w:val="0"/>
              <w:kinsoku/>
              <w:wordWrap/>
              <w:overflowPunct/>
              <w:topLinePunct w:val="0"/>
              <w:autoSpaceDE w:val="0"/>
              <w:autoSpaceDN w:val="0"/>
              <w:bidi w:val="0"/>
              <w:snapToGrid w:val="0"/>
              <w:spacing w:line="360" w:lineRule="auto"/>
              <w:textAlignment w:val="bottom"/>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履约保证金不予退还及违约责任承担的规定：在合同执行过程中，若发生以下情形之一，导致合同未能按照既定条款顺利履行，则成交人已缴纳的履约保证金将不予退还，并需进一步承担相应的违约责任及赔偿义务：</w:t>
            </w:r>
          </w:p>
          <w:p w14:paraId="4DDDB612">
            <w:pPr>
              <w:keepNext w:val="0"/>
              <w:keepLines w:val="0"/>
              <w:pageBreakBefore w:val="0"/>
              <w:widowControl w:val="0"/>
              <w:kinsoku/>
              <w:wordWrap/>
              <w:overflowPunct/>
              <w:topLinePunct w:val="0"/>
              <w:autoSpaceDE w:val="0"/>
              <w:autoSpaceDN w:val="0"/>
              <w:bidi w:val="0"/>
              <w:snapToGrid w:val="0"/>
              <w:spacing w:line="360" w:lineRule="auto"/>
              <w:textAlignment w:val="bottom"/>
              <w:rPr>
                <w:rFonts w:hint="eastAsia"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①</w:t>
            </w:r>
            <w:r>
              <w:rPr>
                <w:rFonts w:hint="eastAsia" w:ascii="宋体" w:hAnsi="宋体" w:eastAsia="宋体" w:cs="宋体"/>
                <w:color w:val="auto"/>
                <w:kern w:val="2"/>
                <w:sz w:val="21"/>
                <w:szCs w:val="21"/>
                <w:highlight w:val="none"/>
                <w:lang w:val="en-US" w:eastAsia="zh-CN" w:bidi="ar-SA"/>
              </w:rPr>
              <w:t>验收结果与合同约定不符：经采购人组织验收，确认项目成果或服务质量未达到合同约定的标准或要求，视为验收不合格。</w:t>
            </w:r>
          </w:p>
          <w:p w14:paraId="7E7A8F33">
            <w:pPr>
              <w:keepNext w:val="0"/>
              <w:keepLines w:val="0"/>
              <w:pageBreakBefore w:val="0"/>
              <w:widowControl w:val="0"/>
              <w:kinsoku/>
              <w:wordWrap/>
              <w:overflowPunct/>
              <w:topLinePunct w:val="0"/>
              <w:autoSpaceDE w:val="0"/>
              <w:autoSpaceDN w:val="0"/>
              <w:bidi w:val="0"/>
              <w:snapToGrid w:val="0"/>
              <w:spacing w:line="360" w:lineRule="auto"/>
              <w:textAlignment w:val="bottom"/>
              <w:rPr>
                <w:rFonts w:hint="eastAsia"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②</w:t>
            </w:r>
            <w:r>
              <w:rPr>
                <w:rFonts w:hint="eastAsia" w:ascii="宋体" w:hAnsi="宋体" w:eastAsia="宋体" w:cs="宋体"/>
                <w:color w:val="auto"/>
                <w:kern w:val="2"/>
                <w:sz w:val="21"/>
                <w:szCs w:val="21"/>
                <w:highlight w:val="none"/>
                <w:lang w:val="en-US" w:eastAsia="zh-CN" w:bidi="ar-SA"/>
              </w:rPr>
              <w:t>成交人原因导致合同无法履行：因成交人自身原因，包括但不限于技术能力不足、资金短缺、管理不善等，导致无法按合同约定时间、质量、数量等要求完成合同义务。</w:t>
            </w:r>
          </w:p>
          <w:p w14:paraId="1FEE31EB">
            <w:pPr>
              <w:keepNext w:val="0"/>
              <w:keepLines w:val="0"/>
              <w:pageBreakBefore w:val="0"/>
              <w:widowControl w:val="0"/>
              <w:kinsoku/>
              <w:wordWrap/>
              <w:overflowPunct/>
              <w:topLinePunct w:val="0"/>
              <w:autoSpaceDE w:val="0"/>
              <w:autoSpaceDN w:val="0"/>
              <w:bidi w:val="0"/>
              <w:snapToGrid w:val="0"/>
              <w:spacing w:line="360" w:lineRule="auto"/>
              <w:textAlignment w:val="bottom"/>
              <w:rPr>
                <w:rFonts w:hint="eastAsia"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③</w:t>
            </w:r>
            <w:r>
              <w:rPr>
                <w:rFonts w:hint="eastAsia" w:ascii="宋体" w:hAnsi="宋体" w:eastAsia="宋体" w:cs="宋体"/>
                <w:color w:val="auto"/>
                <w:kern w:val="2"/>
                <w:sz w:val="21"/>
                <w:szCs w:val="21"/>
                <w:highlight w:val="none"/>
                <w:lang w:val="en-US" w:eastAsia="zh-CN" w:bidi="ar-SA"/>
              </w:rPr>
              <w:t>合同履行期间发生重大安全事故：在合同执行期间，因成交人过错引发重大安全事故，不仅给采购人带来不良社会影响，且造成采购人重大经济损失的。</w:t>
            </w:r>
          </w:p>
          <w:p w14:paraId="7F26CCA8">
            <w:pPr>
              <w:keepNext w:val="0"/>
              <w:keepLines w:val="0"/>
              <w:pageBreakBefore w:val="0"/>
              <w:widowControl w:val="0"/>
              <w:kinsoku/>
              <w:wordWrap/>
              <w:overflowPunct/>
              <w:topLinePunct w:val="0"/>
              <w:autoSpaceDE w:val="0"/>
              <w:autoSpaceDN w:val="0"/>
              <w:bidi w:val="0"/>
              <w:snapToGrid w:val="0"/>
              <w:spacing w:line="360" w:lineRule="auto"/>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针对上述任一情形，成交人除需接受履约保证金不予退还的处理外，还需按合同标的额的百分之三十（30%）向采购人支付违约金。同时，成交人应全面承担采购人为实现合同权利而支出的所有合理费用，包括但不限于聘请律师的代理费用、提起诉讼或仲裁所产生的诉讼费用、财产保全费用、诉讼财产保全责任保险费用、公证服务费用、鉴定评估费用等，以及其他根据法律规定或合同约定应由违约方承担的费用。</w:t>
            </w:r>
          </w:p>
          <w:p w14:paraId="74B33BA3">
            <w:pPr>
              <w:keepNext w:val="0"/>
              <w:keepLines w:val="0"/>
              <w:pageBreakBefore w:val="0"/>
              <w:widowControl w:val="0"/>
              <w:kinsoku/>
              <w:wordWrap/>
              <w:overflowPunct/>
              <w:topLinePunct w:val="0"/>
              <w:autoSpaceDE w:val="0"/>
              <w:autoSpaceDN w:val="0"/>
              <w:bidi w:val="0"/>
              <w:snapToGrid w:val="0"/>
              <w:spacing w:line="360" w:lineRule="auto"/>
              <w:textAlignment w:val="bottom"/>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采购人逾期退还履约保证金的违约责任：采购人在约定时间内未能如期退还履约保证金的，将构成违约，并需承担相应的违约责任。自逾期之日起，采购人应每日按履约保证金总额的千分之二（即0.2%）向成交人支付违约金，直至履约保证金全额退还完毕及所有违约金清偿之日止。</w:t>
            </w:r>
          </w:p>
          <w:p w14:paraId="18636F45">
            <w:pPr>
              <w:keepNext w:val="0"/>
              <w:keepLines w:val="0"/>
              <w:pageBreakBefore w:val="0"/>
              <w:widowControl w:val="0"/>
              <w:kinsoku/>
              <w:wordWrap/>
              <w:overflowPunct/>
              <w:topLinePunct w:val="0"/>
              <w:bidi w:val="0"/>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（8）</w:t>
            </w:r>
            <w:r>
              <w:rPr>
                <w:rFonts w:hint="eastAsia" w:ascii="宋体" w:hAnsi="宋体" w:eastAsia="宋体" w:cs="宋体"/>
                <w:color w:val="auto"/>
                <w:sz w:val="21"/>
                <w:szCs w:val="21"/>
                <w:highlight w:val="none"/>
              </w:rPr>
              <w:t>履约保证金缴纳的账号信息：</w:t>
            </w:r>
          </w:p>
          <w:p w14:paraId="65008FB0">
            <w:pPr>
              <w:widowControl/>
              <w:spacing w:line="360" w:lineRule="auto"/>
              <w:jc w:val="left"/>
              <w:textAlignment w:val="center"/>
              <w:rPr>
                <w:rFonts w:ascii="宋体" w:hAnsi="宋体" w:cs="宋体"/>
                <w:bCs/>
                <w:color w:val="auto"/>
                <w:kern w:val="0"/>
                <w:szCs w:val="21"/>
                <w:highlight w:val="none"/>
                <w:lang w:bidi="ar"/>
              </w:rPr>
            </w:pPr>
            <w:r>
              <w:rPr>
                <w:rFonts w:hint="eastAsia" w:ascii="宋体" w:hAnsi="宋体" w:cs="宋体"/>
                <w:bCs/>
                <w:color w:val="auto"/>
                <w:kern w:val="0"/>
                <w:szCs w:val="21"/>
                <w:highlight w:val="none"/>
                <w:lang w:bidi="ar"/>
              </w:rPr>
              <w:t>开户名称：广西工业职业技术学院</w:t>
            </w:r>
          </w:p>
          <w:p w14:paraId="090B55D4">
            <w:pPr>
              <w:widowControl/>
              <w:spacing w:line="360" w:lineRule="auto"/>
              <w:jc w:val="left"/>
              <w:textAlignment w:val="center"/>
              <w:rPr>
                <w:rFonts w:ascii="宋体" w:hAnsi="宋体" w:cs="宋体"/>
                <w:bCs/>
                <w:color w:val="auto"/>
                <w:kern w:val="0"/>
                <w:szCs w:val="21"/>
                <w:highlight w:val="none"/>
                <w:lang w:bidi="ar"/>
              </w:rPr>
            </w:pPr>
            <w:r>
              <w:rPr>
                <w:rFonts w:hint="eastAsia" w:ascii="宋体" w:hAnsi="宋体" w:cs="宋体"/>
                <w:bCs/>
                <w:color w:val="auto"/>
                <w:kern w:val="0"/>
                <w:szCs w:val="21"/>
                <w:highlight w:val="none"/>
                <w:lang w:bidi="ar"/>
              </w:rPr>
              <w:t>银行账号：1702012200017200</w:t>
            </w:r>
          </w:p>
          <w:p w14:paraId="797A7E81">
            <w:pPr>
              <w:widowControl/>
              <w:spacing w:line="360" w:lineRule="auto"/>
              <w:jc w:val="left"/>
              <w:textAlignment w:val="center"/>
              <w:rPr>
                <w:rFonts w:hint="eastAsia" w:ascii="宋体" w:hAnsi="宋体" w:eastAsia="宋体" w:cs="宋体"/>
                <w:color w:val="auto"/>
                <w:sz w:val="21"/>
                <w:szCs w:val="21"/>
                <w:highlight w:val="none"/>
              </w:rPr>
            </w:pPr>
            <w:r>
              <w:rPr>
                <w:rFonts w:hint="eastAsia" w:ascii="宋体" w:hAnsi="宋体" w:cs="宋体"/>
                <w:bCs/>
                <w:color w:val="auto"/>
                <w:kern w:val="0"/>
                <w:szCs w:val="21"/>
                <w:highlight w:val="none"/>
                <w:lang w:bidi="ar"/>
              </w:rPr>
              <w:t>开户银行：广西北部湾银行南宁市衡阳路支行</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p>
          <w:p w14:paraId="62E609F2">
            <w:pPr>
              <w:keepNext w:val="0"/>
              <w:keepLines w:val="0"/>
              <w:pageBreakBefore w:val="0"/>
              <w:widowControl w:val="0"/>
              <w:kinsoku/>
              <w:wordWrap/>
              <w:overflowPunct/>
              <w:topLinePunct w:val="0"/>
              <w:bidi w:val="0"/>
              <w:adjustRightInd w:val="0"/>
              <w:snapToGrid w:val="0"/>
              <w:spacing w:line="360" w:lineRule="auto"/>
              <w:jc w:val="left"/>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备注：</w:t>
            </w:r>
          </w:p>
          <w:p w14:paraId="458D94DC">
            <w:pPr>
              <w:keepNext w:val="0"/>
              <w:keepLines w:val="0"/>
              <w:pageBreakBefore w:val="0"/>
              <w:widowControl w:val="0"/>
              <w:kinsoku/>
              <w:wordWrap/>
              <w:overflowPunct/>
              <w:topLinePunct w:val="0"/>
              <w:bidi w:val="0"/>
              <w:adjustRightInd w:val="0"/>
              <w:snapToGrid w:val="0"/>
              <w:spacing w:line="360" w:lineRule="auto"/>
              <w:jc w:val="left"/>
              <w:rPr>
                <w:rFonts w:hint="eastAsia" w:ascii="宋体" w:hAnsi="宋体"/>
                <w:b/>
                <w:color w:val="auto"/>
                <w:sz w:val="21"/>
                <w:szCs w:val="21"/>
                <w:highlight w:val="none"/>
              </w:rPr>
            </w:pPr>
            <w:r>
              <w:rPr>
                <w:rFonts w:hint="eastAsia" w:ascii="宋体" w:hAnsi="宋体" w:cs="宋体"/>
                <w:b/>
                <w:color w:val="auto"/>
                <w:sz w:val="21"/>
                <w:szCs w:val="21"/>
                <w:highlight w:val="none"/>
              </w:rPr>
              <w:t>1.</w:t>
            </w:r>
            <w:r>
              <w:rPr>
                <w:rFonts w:hint="eastAsia" w:ascii="宋体" w:hAnsi="宋体"/>
                <w:b/>
                <w:color w:val="auto"/>
                <w:sz w:val="21"/>
                <w:szCs w:val="21"/>
                <w:highlight w:val="none"/>
              </w:rPr>
              <w:t>根据《广西壮族自治区财政厅关于持续优化政府采购营商环境推动高质量发展的通知》（桂财采〔2024〕55号）规定，采购人要求</w:t>
            </w:r>
            <w:r>
              <w:rPr>
                <w:rFonts w:hint="eastAsia" w:ascii="宋体" w:hAnsi="宋体"/>
                <w:b/>
                <w:color w:val="auto"/>
                <w:sz w:val="21"/>
                <w:szCs w:val="21"/>
                <w:highlight w:val="none"/>
                <w:lang w:eastAsia="zh-CN"/>
              </w:rPr>
              <w:t>成交人</w:t>
            </w:r>
            <w:r>
              <w:rPr>
                <w:rFonts w:hint="eastAsia" w:ascii="宋体" w:hAnsi="宋体"/>
                <w:b/>
                <w:color w:val="auto"/>
                <w:sz w:val="21"/>
                <w:szCs w:val="21"/>
                <w:highlight w:val="none"/>
              </w:rPr>
              <w:t>提交履约保证金的，履约保证金数额不得超过政府采购合同金额的5%，对中小企业收取的履约保证金数额不得超过政府采购合同金额的2%。</w:t>
            </w:r>
          </w:p>
          <w:p w14:paraId="4FE8061D">
            <w:pPr>
              <w:keepNext w:val="0"/>
              <w:keepLines w:val="0"/>
              <w:pageBreakBefore w:val="0"/>
              <w:widowControl w:val="0"/>
              <w:kinsoku/>
              <w:wordWrap/>
              <w:overflowPunct/>
              <w:topLinePunct w:val="0"/>
              <w:bidi w:val="0"/>
              <w:adjustRightInd w:val="0"/>
              <w:snapToGrid w:val="0"/>
              <w:spacing w:line="360" w:lineRule="auto"/>
              <w:jc w:val="left"/>
              <w:rPr>
                <w:rFonts w:hint="eastAsia" w:ascii="宋体" w:hAnsi="宋体" w:cs="宋体"/>
                <w:b/>
                <w:color w:val="auto"/>
                <w:sz w:val="21"/>
                <w:szCs w:val="21"/>
                <w:highlight w:val="none"/>
              </w:rPr>
            </w:pPr>
            <w:r>
              <w:rPr>
                <w:rFonts w:hint="eastAsia" w:ascii="宋体" w:hAnsi="宋体" w:cs="宋体"/>
                <w:b/>
                <w:color w:val="auto"/>
                <w:sz w:val="21"/>
                <w:szCs w:val="21"/>
                <w:highlight w:val="none"/>
              </w:rPr>
              <w:t>2.履约保证金不足额缴纳的，或者银行、保险机构出具的保函额度不足的或者保函有效期低于合同履行期限（即签订采购合同之日起至履行完合同约定的权利及义务之日止）的，不予签订合同。</w:t>
            </w:r>
          </w:p>
          <w:p w14:paraId="588DFF9B">
            <w:pPr>
              <w:keepNext w:val="0"/>
              <w:keepLines w:val="0"/>
              <w:pageBreakBefore w:val="0"/>
              <w:widowControl w:val="0"/>
              <w:kinsoku/>
              <w:wordWrap/>
              <w:overflowPunct/>
              <w:topLinePunct w:val="0"/>
              <w:bidi w:val="0"/>
              <w:adjustRightInd w:val="0"/>
              <w:snapToGrid w:val="0"/>
              <w:spacing w:line="360" w:lineRule="auto"/>
              <w:jc w:val="left"/>
              <w:rPr>
                <w:rFonts w:hint="eastAsia" w:ascii="宋体" w:hAnsi="宋体" w:cs="宋体"/>
                <w:b/>
                <w:color w:val="auto"/>
                <w:sz w:val="21"/>
                <w:szCs w:val="21"/>
                <w:highlight w:val="none"/>
              </w:rPr>
            </w:pPr>
            <w:r>
              <w:rPr>
                <w:rFonts w:hint="eastAsia" w:ascii="宋体" w:hAnsi="宋体" w:cs="宋体"/>
                <w:b/>
                <w:color w:val="auto"/>
                <w:sz w:val="21"/>
                <w:szCs w:val="21"/>
                <w:highlight w:val="none"/>
              </w:rPr>
              <w:t>3.采用银行、保险机构出具的保函的，必须为无条件保函，否则不予签订合同。</w:t>
            </w:r>
          </w:p>
          <w:p w14:paraId="021DE303">
            <w:pPr>
              <w:keepNext w:val="0"/>
              <w:keepLines w:val="0"/>
              <w:pageBreakBefore w:val="0"/>
              <w:widowControl w:val="0"/>
              <w:kinsoku/>
              <w:wordWrap/>
              <w:overflowPunct/>
              <w:topLinePunct w:val="0"/>
              <w:autoSpaceDE w:val="0"/>
              <w:autoSpaceDN w:val="0"/>
              <w:bidi w:val="0"/>
              <w:snapToGrid w:val="0"/>
              <w:spacing w:line="360" w:lineRule="auto"/>
              <w:textAlignment w:val="bottom"/>
              <w:rPr>
                <w:rFonts w:hint="eastAsia" w:ascii="宋体" w:hAnsi="宋体" w:cs="宋体"/>
                <w:b/>
                <w:color w:val="auto"/>
                <w:kern w:val="2"/>
                <w:sz w:val="21"/>
                <w:szCs w:val="21"/>
                <w:highlight w:val="none"/>
                <w:lang w:val="en-US" w:eastAsia="zh-CN" w:bidi="ar-SA"/>
              </w:rPr>
            </w:pPr>
            <w:r>
              <w:rPr>
                <w:rFonts w:hint="eastAsia" w:ascii="宋体" w:hAnsi="宋体" w:cs="宋体"/>
                <w:b/>
                <w:color w:val="auto"/>
                <w:sz w:val="21"/>
                <w:szCs w:val="21"/>
                <w:highlight w:val="none"/>
              </w:rPr>
              <w:t>4.供应商为联合体的，由联合体任意一方按规定提交的履约保证金，视为有效履约保证金。</w:t>
            </w:r>
          </w:p>
        </w:tc>
      </w:tr>
      <w:tr w14:paraId="30938D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9" w:type="dxa"/>
            <w:noWrap w:val="0"/>
            <w:vAlign w:val="center"/>
          </w:tcPr>
          <w:p w14:paraId="0DB96B84">
            <w:pPr>
              <w:keepNext w:val="0"/>
              <w:keepLines w:val="0"/>
              <w:pageBreakBefore w:val="0"/>
              <w:widowControl w:val="0"/>
              <w:kinsoku/>
              <w:wordWrap/>
              <w:overflowPunct/>
              <w:topLinePunct w:val="0"/>
              <w:autoSpaceDE/>
              <w:autoSpaceDN/>
              <w:bidi w:val="0"/>
              <w:adjustRightInd/>
              <w:spacing w:line="460" w:lineRule="exact"/>
              <w:ind w:left="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29.5</w:t>
            </w:r>
          </w:p>
        </w:tc>
        <w:tc>
          <w:tcPr>
            <w:tcW w:w="1971" w:type="dxa"/>
            <w:noWrap w:val="0"/>
            <w:vAlign w:val="center"/>
          </w:tcPr>
          <w:p w14:paraId="362CF40F">
            <w:pPr>
              <w:keepNext w:val="0"/>
              <w:keepLines w:val="0"/>
              <w:pageBreakBefore w:val="0"/>
              <w:widowControl w:val="0"/>
              <w:kinsoku/>
              <w:wordWrap/>
              <w:overflowPunct/>
              <w:topLinePunct w:val="0"/>
              <w:autoSpaceDE/>
              <w:autoSpaceDN/>
              <w:bidi w:val="0"/>
              <w:adjustRightInd/>
              <w:spacing w:line="460" w:lineRule="exact"/>
              <w:ind w:left="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签订合同携带的材料</w:t>
            </w:r>
          </w:p>
        </w:tc>
        <w:tc>
          <w:tcPr>
            <w:tcW w:w="7085" w:type="dxa"/>
            <w:noWrap w:val="0"/>
            <w:vAlign w:val="center"/>
          </w:tcPr>
          <w:p w14:paraId="0D2BEE92">
            <w:pPr>
              <w:keepNext w:val="0"/>
              <w:keepLines w:val="0"/>
              <w:pageBreakBefore w:val="0"/>
              <w:widowControl w:val="0"/>
              <w:kinsoku/>
              <w:wordWrap/>
              <w:overflowPunct/>
              <w:topLinePunct w:val="0"/>
              <w:autoSpaceDE/>
              <w:autoSpaceDN/>
              <w:bidi w:val="0"/>
              <w:adjustRightInd/>
              <w:snapToGrid w:val="0"/>
              <w:spacing w:line="460" w:lineRule="exact"/>
              <w:ind w:left="0" w:firstLine="0" w:firstLineChars="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无</w:t>
            </w:r>
          </w:p>
        </w:tc>
      </w:tr>
      <w:tr w14:paraId="208E79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9" w:type="dxa"/>
            <w:vMerge w:val="restart"/>
            <w:noWrap w:val="0"/>
            <w:vAlign w:val="center"/>
          </w:tcPr>
          <w:p w14:paraId="76C72DC3">
            <w:pPr>
              <w:keepNext w:val="0"/>
              <w:keepLines w:val="0"/>
              <w:pageBreakBefore w:val="0"/>
              <w:widowControl w:val="0"/>
              <w:kinsoku/>
              <w:wordWrap/>
              <w:overflowPunct/>
              <w:topLinePunct w:val="0"/>
              <w:autoSpaceDE/>
              <w:autoSpaceDN/>
              <w:bidi w:val="0"/>
              <w:adjustRightInd/>
              <w:spacing w:line="460" w:lineRule="exact"/>
              <w:ind w:left="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w:t>
            </w:r>
          </w:p>
        </w:tc>
        <w:tc>
          <w:tcPr>
            <w:tcW w:w="1971" w:type="dxa"/>
            <w:noWrap w:val="0"/>
            <w:vAlign w:val="center"/>
          </w:tcPr>
          <w:p w14:paraId="6A345261">
            <w:pPr>
              <w:keepNext w:val="0"/>
              <w:keepLines w:val="0"/>
              <w:pageBreakBefore w:val="0"/>
              <w:widowControl w:val="0"/>
              <w:kinsoku/>
              <w:wordWrap/>
              <w:overflowPunct/>
              <w:topLinePunct w:val="0"/>
              <w:autoSpaceDE/>
              <w:autoSpaceDN/>
              <w:bidi w:val="0"/>
              <w:adjustRightInd/>
              <w:spacing w:line="460" w:lineRule="exact"/>
              <w:ind w:left="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接收质疑函方式</w:t>
            </w:r>
          </w:p>
        </w:tc>
        <w:tc>
          <w:tcPr>
            <w:tcW w:w="7085" w:type="dxa"/>
            <w:noWrap w:val="0"/>
            <w:vAlign w:val="center"/>
          </w:tcPr>
          <w:p w14:paraId="5FE3C74A">
            <w:pPr>
              <w:keepNext w:val="0"/>
              <w:keepLines w:val="0"/>
              <w:pageBreakBefore w:val="0"/>
              <w:widowControl w:val="0"/>
              <w:kinsoku/>
              <w:wordWrap/>
              <w:overflowPunct/>
              <w:topLinePunct w:val="0"/>
              <w:autoSpaceDE/>
              <w:autoSpaceDN/>
              <w:bidi w:val="0"/>
              <w:adjustRightInd/>
              <w:snapToGrid w:val="0"/>
              <w:spacing w:line="460" w:lineRule="exact"/>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以书面形式</w:t>
            </w:r>
          </w:p>
        </w:tc>
      </w:tr>
      <w:tr w14:paraId="2934ED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9" w:type="dxa"/>
            <w:vMerge w:val="continue"/>
            <w:noWrap w:val="0"/>
            <w:vAlign w:val="center"/>
          </w:tcPr>
          <w:p w14:paraId="29A860AD">
            <w:pPr>
              <w:keepNext w:val="0"/>
              <w:keepLines w:val="0"/>
              <w:pageBreakBefore w:val="0"/>
              <w:widowControl w:val="0"/>
              <w:kinsoku/>
              <w:wordWrap/>
              <w:overflowPunct/>
              <w:topLinePunct w:val="0"/>
              <w:autoSpaceDE/>
              <w:autoSpaceDN/>
              <w:bidi w:val="0"/>
              <w:adjustRightInd/>
              <w:spacing w:line="460" w:lineRule="exact"/>
              <w:ind w:left="0" w:firstLine="0" w:firstLineChars="0"/>
              <w:jc w:val="center"/>
              <w:textAlignment w:val="auto"/>
              <w:rPr>
                <w:rFonts w:hint="eastAsia" w:ascii="宋体" w:hAnsi="宋体" w:eastAsia="宋体" w:cs="宋体"/>
                <w:color w:val="auto"/>
                <w:szCs w:val="21"/>
                <w:highlight w:val="none"/>
              </w:rPr>
            </w:pPr>
          </w:p>
        </w:tc>
        <w:tc>
          <w:tcPr>
            <w:tcW w:w="1971" w:type="dxa"/>
            <w:noWrap w:val="0"/>
            <w:vAlign w:val="center"/>
          </w:tcPr>
          <w:p w14:paraId="232F73F7">
            <w:pPr>
              <w:keepNext w:val="0"/>
              <w:keepLines w:val="0"/>
              <w:pageBreakBefore w:val="0"/>
              <w:widowControl w:val="0"/>
              <w:kinsoku/>
              <w:wordWrap/>
              <w:overflowPunct/>
              <w:topLinePunct w:val="0"/>
              <w:autoSpaceDE/>
              <w:autoSpaceDN/>
              <w:bidi w:val="0"/>
              <w:adjustRightInd/>
              <w:spacing w:line="460" w:lineRule="exact"/>
              <w:ind w:left="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质疑联系部门及联系方式</w:t>
            </w:r>
          </w:p>
        </w:tc>
        <w:tc>
          <w:tcPr>
            <w:tcW w:w="7085" w:type="dxa"/>
            <w:noWrap w:val="0"/>
            <w:vAlign w:val="center"/>
          </w:tcPr>
          <w:p w14:paraId="2305444A">
            <w:pPr>
              <w:keepNext w:val="0"/>
              <w:keepLines w:val="0"/>
              <w:pageBreakBefore w:val="0"/>
              <w:widowControl w:val="0"/>
              <w:kinsoku/>
              <w:wordWrap/>
              <w:overflowPunct/>
              <w:topLinePunct w:val="0"/>
              <w:autoSpaceDE/>
              <w:autoSpaceDN/>
              <w:bidi w:val="0"/>
              <w:adjustRightInd/>
              <w:snapToGrid w:val="0"/>
              <w:spacing w:line="460" w:lineRule="exact"/>
              <w:ind w:left="0" w:firstLine="0" w:firstLineChars="0"/>
              <w:textAlignment w:val="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（1）</w:t>
            </w:r>
            <w:r>
              <w:rPr>
                <w:rFonts w:hint="eastAsia" w:ascii="宋体" w:hAnsi="宋体" w:eastAsia="宋体" w:cs="宋体"/>
                <w:color w:val="auto"/>
                <w:szCs w:val="21"/>
                <w:highlight w:val="none"/>
                <w:u w:val="none"/>
                <w:lang w:eastAsia="zh-CN"/>
              </w:rPr>
              <w:t>广西华东招标有限公司</w:t>
            </w:r>
          </w:p>
          <w:p w14:paraId="565B4E4D">
            <w:pPr>
              <w:keepNext w:val="0"/>
              <w:keepLines w:val="0"/>
              <w:pageBreakBefore w:val="0"/>
              <w:widowControl w:val="0"/>
              <w:kinsoku/>
              <w:wordWrap/>
              <w:overflowPunct/>
              <w:topLinePunct w:val="0"/>
              <w:autoSpaceDE/>
              <w:autoSpaceDN/>
              <w:bidi w:val="0"/>
              <w:adjustRightInd/>
              <w:snapToGrid w:val="0"/>
              <w:spacing w:line="460" w:lineRule="exact"/>
              <w:ind w:left="0" w:firstLine="0" w:firstLineChars="0"/>
              <w:textAlignment w:val="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联系电话：</w:t>
            </w:r>
            <w:r>
              <w:rPr>
                <w:rFonts w:hint="eastAsia" w:ascii="宋体" w:hAnsi="宋体" w:eastAsia="宋体" w:cs="宋体"/>
                <w:color w:val="auto"/>
                <w:szCs w:val="21"/>
                <w:highlight w:val="none"/>
                <w:u w:val="none"/>
                <w:lang w:eastAsia="zh-CN"/>
              </w:rPr>
              <w:t>0771-5885139</w:t>
            </w:r>
          </w:p>
          <w:p w14:paraId="54AD1597">
            <w:pPr>
              <w:keepNext w:val="0"/>
              <w:keepLines w:val="0"/>
              <w:pageBreakBefore w:val="0"/>
              <w:widowControl w:val="0"/>
              <w:kinsoku/>
              <w:wordWrap/>
              <w:overflowPunct/>
              <w:topLinePunct w:val="0"/>
              <w:autoSpaceDE/>
              <w:autoSpaceDN/>
              <w:bidi w:val="0"/>
              <w:adjustRightInd/>
              <w:snapToGrid w:val="0"/>
              <w:spacing w:line="460" w:lineRule="exact"/>
              <w:ind w:left="0" w:firstLine="0" w:firstLineChars="0"/>
              <w:textAlignment w:val="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通讯地址：</w:t>
            </w:r>
            <w:r>
              <w:rPr>
                <w:rFonts w:hint="eastAsia" w:ascii="宋体" w:hAnsi="宋体" w:eastAsia="宋体" w:cs="宋体"/>
                <w:color w:val="auto"/>
                <w:szCs w:val="21"/>
                <w:highlight w:val="none"/>
                <w:u w:val="none"/>
                <w:lang w:eastAsia="zh-CN"/>
              </w:rPr>
              <w:t>南宁市江南区白沙大道36-1号浩天花园综合楼1210-1212号房</w:t>
            </w:r>
            <w:r>
              <w:rPr>
                <w:rFonts w:hint="eastAsia" w:ascii="宋体" w:hAnsi="宋体" w:eastAsia="宋体" w:cs="宋体"/>
                <w:color w:val="auto"/>
                <w:szCs w:val="21"/>
                <w:highlight w:val="none"/>
                <w:u w:val="none"/>
              </w:rPr>
              <w:t xml:space="preserve">  </w:t>
            </w:r>
          </w:p>
          <w:p w14:paraId="28349FF1">
            <w:pPr>
              <w:keepNext w:val="0"/>
              <w:keepLines w:val="0"/>
              <w:pageBreakBefore w:val="0"/>
              <w:widowControl w:val="0"/>
              <w:kinsoku/>
              <w:wordWrap/>
              <w:overflowPunct/>
              <w:topLinePunct w:val="0"/>
              <w:autoSpaceDE/>
              <w:autoSpaceDN/>
              <w:bidi w:val="0"/>
              <w:adjustRightInd/>
              <w:snapToGrid w:val="0"/>
              <w:spacing w:line="460" w:lineRule="exact"/>
              <w:ind w:left="0" w:firstLine="0" w:firstLineChars="0"/>
              <w:textAlignment w:val="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（2）监督部门：广西壮族自治区财政厅政府采购监督管理处</w:t>
            </w:r>
          </w:p>
          <w:p w14:paraId="41395268">
            <w:pPr>
              <w:keepNext w:val="0"/>
              <w:keepLines w:val="0"/>
              <w:pageBreakBefore w:val="0"/>
              <w:widowControl w:val="0"/>
              <w:kinsoku/>
              <w:wordWrap/>
              <w:overflowPunct/>
              <w:topLinePunct w:val="0"/>
              <w:autoSpaceDE/>
              <w:autoSpaceDN/>
              <w:bidi w:val="0"/>
              <w:adjustRightInd/>
              <w:snapToGrid w:val="0"/>
              <w:spacing w:line="460" w:lineRule="exact"/>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none"/>
              </w:rPr>
              <w:t>联系电话：0771-5331544</w:t>
            </w:r>
          </w:p>
        </w:tc>
      </w:tr>
      <w:tr w14:paraId="1C05A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9" w:type="dxa"/>
            <w:vMerge w:val="continue"/>
            <w:noWrap w:val="0"/>
            <w:vAlign w:val="center"/>
          </w:tcPr>
          <w:p w14:paraId="36822D97">
            <w:pPr>
              <w:keepNext w:val="0"/>
              <w:keepLines w:val="0"/>
              <w:pageBreakBefore w:val="0"/>
              <w:widowControl w:val="0"/>
              <w:kinsoku/>
              <w:wordWrap/>
              <w:overflowPunct/>
              <w:topLinePunct w:val="0"/>
              <w:autoSpaceDE/>
              <w:autoSpaceDN/>
              <w:bidi w:val="0"/>
              <w:adjustRightInd/>
              <w:spacing w:line="460" w:lineRule="exact"/>
              <w:ind w:left="0" w:firstLine="0" w:firstLineChars="0"/>
              <w:jc w:val="center"/>
              <w:textAlignment w:val="auto"/>
              <w:rPr>
                <w:rFonts w:hint="eastAsia" w:ascii="宋体" w:hAnsi="宋体" w:eastAsia="宋体" w:cs="宋体"/>
                <w:color w:val="auto"/>
                <w:szCs w:val="21"/>
                <w:highlight w:val="none"/>
              </w:rPr>
            </w:pPr>
          </w:p>
        </w:tc>
        <w:tc>
          <w:tcPr>
            <w:tcW w:w="1971" w:type="dxa"/>
            <w:noWrap w:val="0"/>
            <w:vAlign w:val="center"/>
          </w:tcPr>
          <w:p w14:paraId="1587EA49">
            <w:pPr>
              <w:keepNext w:val="0"/>
              <w:keepLines w:val="0"/>
              <w:pageBreakBefore w:val="0"/>
              <w:widowControl w:val="0"/>
              <w:kinsoku/>
              <w:wordWrap/>
              <w:overflowPunct/>
              <w:topLinePunct w:val="0"/>
              <w:autoSpaceDE/>
              <w:autoSpaceDN/>
              <w:bidi w:val="0"/>
              <w:adjustRightInd/>
              <w:spacing w:line="460" w:lineRule="exact"/>
              <w:ind w:left="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现场提交质疑办理业务时间</w:t>
            </w:r>
          </w:p>
        </w:tc>
        <w:tc>
          <w:tcPr>
            <w:tcW w:w="7085" w:type="dxa"/>
            <w:noWrap w:val="0"/>
            <w:vAlign w:val="center"/>
          </w:tcPr>
          <w:p w14:paraId="491FF190">
            <w:pPr>
              <w:keepNext w:val="0"/>
              <w:keepLines w:val="0"/>
              <w:pageBreakBefore w:val="0"/>
              <w:widowControl w:val="0"/>
              <w:kinsoku/>
              <w:wordWrap/>
              <w:overflowPunct/>
              <w:topLinePunct w:val="0"/>
              <w:autoSpaceDE/>
              <w:autoSpaceDN/>
              <w:bidi w:val="0"/>
              <w:adjustRightInd/>
              <w:snapToGrid w:val="0"/>
              <w:spacing w:line="460" w:lineRule="exact"/>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质疑期内每个工作日</w:t>
            </w:r>
            <w:r>
              <w:rPr>
                <w:rFonts w:hint="eastAsia" w:ascii="宋体" w:hAnsi="宋体" w:eastAsia="宋体" w:cs="宋体"/>
                <w:color w:val="auto"/>
                <w:highlight w:val="none"/>
                <w:u w:val="single"/>
              </w:rPr>
              <w:t>08</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12</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w:t>
            </w:r>
            <w:r>
              <w:rPr>
                <w:rFonts w:hint="eastAsia" w:ascii="宋体" w:hAnsi="宋体" w:eastAsia="宋体" w:cs="宋体"/>
                <w:color w:val="auto"/>
                <w:highlight w:val="none"/>
                <w:u w:val="single"/>
              </w:rPr>
              <w:t>15</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18</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w:t>
            </w:r>
          </w:p>
        </w:tc>
      </w:tr>
      <w:tr w14:paraId="56518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9" w:type="dxa"/>
            <w:noWrap w:val="0"/>
            <w:vAlign w:val="center"/>
          </w:tcPr>
          <w:p w14:paraId="3571E330">
            <w:pPr>
              <w:keepNext w:val="0"/>
              <w:keepLines w:val="0"/>
              <w:pageBreakBefore w:val="0"/>
              <w:widowControl w:val="0"/>
              <w:kinsoku/>
              <w:wordWrap/>
              <w:overflowPunct/>
              <w:topLinePunct w:val="0"/>
              <w:autoSpaceDE/>
              <w:autoSpaceDN/>
              <w:bidi w:val="0"/>
              <w:adjustRightInd/>
              <w:spacing w:line="460" w:lineRule="exact"/>
              <w:ind w:left="0" w:leftChars="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31.6</w:t>
            </w:r>
          </w:p>
        </w:tc>
        <w:tc>
          <w:tcPr>
            <w:tcW w:w="1971" w:type="dxa"/>
            <w:noWrap w:val="0"/>
            <w:vAlign w:val="center"/>
          </w:tcPr>
          <w:p w14:paraId="1D7F998D">
            <w:pPr>
              <w:keepNext w:val="0"/>
              <w:keepLines w:val="0"/>
              <w:pageBreakBefore w:val="0"/>
              <w:widowControl w:val="0"/>
              <w:kinsoku/>
              <w:wordWrap/>
              <w:overflowPunct/>
              <w:topLinePunct w:val="0"/>
              <w:autoSpaceDE/>
              <w:autoSpaceDN/>
              <w:bidi w:val="0"/>
              <w:adjustRightInd/>
              <w:spacing w:line="460" w:lineRule="exact"/>
              <w:ind w:left="0" w:leftChars="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受理投诉方式</w:t>
            </w:r>
          </w:p>
        </w:tc>
        <w:tc>
          <w:tcPr>
            <w:tcW w:w="7085" w:type="dxa"/>
            <w:noWrap w:val="0"/>
            <w:vAlign w:val="center"/>
          </w:tcPr>
          <w:p w14:paraId="04CB2BA4">
            <w:pPr>
              <w:keepNext w:val="0"/>
              <w:keepLines w:val="0"/>
              <w:pageBreakBefore w:val="0"/>
              <w:widowControl w:val="0"/>
              <w:kinsoku/>
              <w:wordWrap/>
              <w:overflowPunct/>
              <w:topLinePunct w:val="0"/>
              <w:autoSpaceDE/>
              <w:autoSpaceDN/>
              <w:bidi w:val="0"/>
              <w:adjustRightInd/>
              <w:snapToGrid w:val="0"/>
              <w:spacing w:line="460" w:lineRule="exact"/>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1、受理方式：纸质方式受理，投诉书正、副本（经过质疑的事项才可投诉）。</w:t>
            </w:r>
          </w:p>
          <w:p w14:paraId="76CAA266">
            <w:pPr>
              <w:keepNext w:val="0"/>
              <w:keepLines w:val="0"/>
              <w:pageBreakBefore w:val="0"/>
              <w:widowControl w:val="0"/>
              <w:kinsoku/>
              <w:wordWrap/>
              <w:overflowPunct/>
              <w:topLinePunct w:val="0"/>
              <w:autoSpaceDE/>
              <w:autoSpaceDN/>
              <w:bidi w:val="0"/>
              <w:adjustRightInd/>
              <w:snapToGrid w:val="0"/>
              <w:spacing w:line="460" w:lineRule="exact"/>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2、邮寄地址：</w:t>
            </w:r>
          </w:p>
          <w:p w14:paraId="40785C4C">
            <w:pPr>
              <w:keepNext w:val="0"/>
              <w:keepLines w:val="0"/>
              <w:pageBreakBefore w:val="0"/>
              <w:widowControl w:val="0"/>
              <w:kinsoku/>
              <w:wordWrap/>
              <w:overflowPunct/>
              <w:topLinePunct w:val="0"/>
              <w:autoSpaceDE/>
              <w:autoSpaceDN/>
              <w:bidi w:val="0"/>
              <w:adjustRightInd/>
              <w:snapToGrid w:val="0"/>
              <w:spacing w:line="460" w:lineRule="exact"/>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名</w:t>
            </w:r>
            <w:r>
              <w:rPr>
                <w:rFonts w:hint="eastAsia" w:ascii="宋体" w:hAnsi="宋体" w:eastAsia="宋体" w:cs="宋体"/>
                <w:color w:val="auto"/>
                <w:szCs w:val="21"/>
                <w:highlight w:val="none"/>
              </w:rPr>
              <w:t>称：广西壮族自治区财政厅政府采购监督管理处</w:t>
            </w:r>
          </w:p>
          <w:p w14:paraId="3FC41C36">
            <w:pPr>
              <w:keepNext w:val="0"/>
              <w:keepLines w:val="0"/>
              <w:pageBreakBefore w:val="0"/>
              <w:widowControl w:val="0"/>
              <w:kinsoku/>
              <w:wordWrap/>
              <w:overflowPunct/>
              <w:topLinePunct w:val="0"/>
              <w:autoSpaceDE/>
              <w:autoSpaceDN/>
              <w:bidi w:val="0"/>
              <w:adjustRightInd/>
              <w:snapToGrid w:val="0"/>
              <w:spacing w:line="460" w:lineRule="exact"/>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 南宁市青秀区桃源路69号广西财政大厦</w:t>
            </w:r>
          </w:p>
          <w:p w14:paraId="47D3F46E">
            <w:pPr>
              <w:keepNext w:val="0"/>
              <w:keepLines w:val="0"/>
              <w:pageBreakBefore w:val="0"/>
              <w:widowControl w:val="0"/>
              <w:kinsoku/>
              <w:wordWrap/>
              <w:overflowPunct/>
              <w:topLinePunct w:val="0"/>
              <w:autoSpaceDE/>
              <w:autoSpaceDN/>
              <w:bidi w:val="0"/>
              <w:adjustRightInd/>
              <w:snapToGrid w:val="0"/>
              <w:spacing w:line="460" w:lineRule="exact"/>
              <w:ind w:left="0" w:leftChars="0" w:firstLine="0" w:firstLineChars="0"/>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Cs w:val="21"/>
                <w:highlight w:val="none"/>
              </w:rPr>
              <w:t>联系电话：0771-5331544</w:t>
            </w:r>
          </w:p>
        </w:tc>
      </w:tr>
      <w:tr w14:paraId="12971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9" w:type="dxa"/>
            <w:noWrap w:val="0"/>
            <w:vAlign w:val="center"/>
          </w:tcPr>
          <w:p w14:paraId="0D953942">
            <w:pPr>
              <w:keepNext w:val="0"/>
              <w:keepLines w:val="0"/>
              <w:pageBreakBefore w:val="0"/>
              <w:widowControl w:val="0"/>
              <w:kinsoku/>
              <w:wordWrap/>
              <w:overflowPunct/>
              <w:topLinePunct w:val="0"/>
              <w:autoSpaceDE/>
              <w:autoSpaceDN/>
              <w:bidi w:val="0"/>
              <w:adjustRightInd/>
              <w:spacing w:line="460" w:lineRule="exact"/>
              <w:ind w:left="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33</w:t>
            </w:r>
          </w:p>
        </w:tc>
        <w:tc>
          <w:tcPr>
            <w:tcW w:w="1971" w:type="dxa"/>
            <w:noWrap w:val="0"/>
            <w:vAlign w:val="center"/>
          </w:tcPr>
          <w:p w14:paraId="6CEC17AB">
            <w:pPr>
              <w:keepNext w:val="0"/>
              <w:keepLines w:val="0"/>
              <w:pageBreakBefore w:val="0"/>
              <w:widowControl w:val="0"/>
              <w:kinsoku/>
              <w:wordWrap/>
              <w:overflowPunct/>
              <w:topLinePunct w:val="0"/>
              <w:autoSpaceDE/>
              <w:autoSpaceDN/>
              <w:bidi w:val="0"/>
              <w:adjustRightInd/>
              <w:spacing w:line="460" w:lineRule="exact"/>
              <w:ind w:left="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采购代理费</w:t>
            </w:r>
          </w:p>
        </w:tc>
        <w:tc>
          <w:tcPr>
            <w:tcW w:w="7085" w:type="dxa"/>
            <w:noWrap w:val="0"/>
            <w:vAlign w:val="center"/>
          </w:tcPr>
          <w:p w14:paraId="5B0C0216">
            <w:pPr>
              <w:pStyle w:val="16"/>
              <w:keepNext w:val="0"/>
              <w:keepLines w:val="0"/>
              <w:pageBreakBefore w:val="0"/>
              <w:widowControl w:val="0"/>
              <w:kinsoku/>
              <w:wordWrap/>
              <w:overflowPunct/>
              <w:topLinePunct w:val="0"/>
              <w:autoSpaceDE/>
              <w:autoSpaceDN/>
              <w:bidi w:val="0"/>
              <w:adjustRightInd/>
              <w:snapToGrid w:val="0"/>
              <w:spacing w:line="460" w:lineRule="exact"/>
              <w:ind w:left="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是否收取采购代理费：</w:t>
            </w:r>
          </w:p>
          <w:p w14:paraId="3369E40D">
            <w:pPr>
              <w:pStyle w:val="16"/>
              <w:keepNext w:val="0"/>
              <w:keepLines w:val="0"/>
              <w:pageBreakBefore w:val="0"/>
              <w:widowControl w:val="0"/>
              <w:kinsoku/>
              <w:wordWrap/>
              <w:overflowPunct/>
              <w:topLinePunct w:val="0"/>
              <w:autoSpaceDE/>
              <w:autoSpaceDN/>
              <w:bidi w:val="0"/>
              <w:adjustRightInd/>
              <w:snapToGrid w:val="0"/>
              <w:spacing w:line="460" w:lineRule="exact"/>
              <w:ind w:left="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☑是    □ 否</w:t>
            </w:r>
          </w:p>
          <w:p w14:paraId="0F8EA857">
            <w:pPr>
              <w:pStyle w:val="16"/>
              <w:keepNext w:val="0"/>
              <w:keepLines w:val="0"/>
              <w:pageBreakBefore w:val="0"/>
              <w:widowControl w:val="0"/>
              <w:kinsoku/>
              <w:wordWrap/>
              <w:overflowPunct/>
              <w:topLinePunct w:val="0"/>
              <w:autoSpaceDE/>
              <w:autoSpaceDN/>
              <w:bidi w:val="0"/>
              <w:adjustRightInd/>
              <w:snapToGrid w:val="0"/>
              <w:spacing w:line="460" w:lineRule="exact"/>
              <w:ind w:left="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2.采购代理费支付方式：</w:t>
            </w:r>
          </w:p>
          <w:p w14:paraId="487F1310">
            <w:pPr>
              <w:pStyle w:val="16"/>
              <w:keepNext w:val="0"/>
              <w:keepLines w:val="0"/>
              <w:pageBreakBefore w:val="0"/>
              <w:widowControl w:val="0"/>
              <w:kinsoku/>
              <w:wordWrap/>
              <w:overflowPunct/>
              <w:topLinePunct w:val="0"/>
              <w:autoSpaceDE/>
              <w:autoSpaceDN/>
              <w:bidi w:val="0"/>
              <w:adjustRightInd/>
              <w:snapToGrid w:val="0"/>
              <w:spacing w:line="460" w:lineRule="exact"/>
              <w:ind w:left="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☑本项目代理服务费由</w:t>
            </w:r>
            <w:r>
              <w:rPr>
                <w:rFonts w:hint="eastAsia" w:ascii="宋体" w:hAnsi="宋体" w:eastAsia="宋体" w:cs="宋体"/>
                <w:color w:val="auto"/>
                <w:sz w:val="21"/>
                <w:szCs w:val="21"/>
                <w:highlight w:val="none"/>
                <w:u w:val="single"/>
                <w:lang w:val="en-US" w:eastAsia="zh-CN"/>
              </w:rPr>
              <w:t>成交供应商</w:t>
            </w:r>
            <w:r>
              <w:rPr>
                <w:rFonts w:hint="eastAsia" w:ascii="宋体" w:hAnsi="宋体" w:eastAsia="宋体" w:cs="宋体"/>
                <w:color w:val="auto"/>
                <w:sz w:val="21"/>
                <w:szCs w:val="21"/>
                <w:highlight w:val="none"/>
                <w:lang w:val="en-US" w:eastAsia="zh-CN"/>
              </w:rPr>
              <w:t>一次性向采购代理机构支付。</w:t>
            </w:r>
          </w:p>
          <w:p w14:paraId="450EC46C">
            <w:pPr>
              <w:pStyle w:val="16"/>
              <w:keepNext w:val="0"/>
              <w:keepLines w:val="0"/>
              <w:pageBreakBefore w:val="0"/>
              <w:widowControl w:val="0"/>
              <w:kinsoku/>
              <w:wordWrap/>
              <w:overflowPunct/>
              <w:topLinePunct w:val="0"/>
              <w:autoSpaceDE/>
              <w:autoSpaceDN/>
              <w:bidi w:val="0"/>
              <w:adjustRightInd/>
              <w:snapToGrid w:val="0"/>
              <w:spacing w:line="460" w:lineRule="exact"/>
              <w:ind w:left="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□采购人支付。</w:t>
            </w:r>
          </w:p>
          <w:p w14:paraId="0BCAA9F6">
            <w:pPr>
              <w:pStyle w:val="16"/>
              <w:keepNext w:val="0"/>
              <w:keepLines w:val="0"/>
              <w:pageBreakBefore w:val="0"/>
              <w:widowControl w:val="0"/>
              <w:kinsoku/>
              <w:wordWrap/>
              <w:overflowPunct/>
              <w:topLinePunct w:val="0"/>
              <w:autoSpaceDE/>
              <w:autoSpaceDN/>
              <w:bidi w:val="0"/>
              <w:adjustRightInd/>
              <w:snapToGrid w:val="0"/>
              <w:spacing w:line="460" w:lineRule="exact"/>
              <w:ind w:left="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3.采购代理费收取标准：</w:t>
            </w:r>
          </w:p>
          <w:p w14:paraId="447594EE">
            <w:pPr>
              <w:pStyle w:val="16"/>
              <w:keepNext w:val="0"/>
              <w:keepLines w:val="0"/>
              <w:pageBreakBefore w:val="0"/>
              <w:widowControl w:val="0"/>
              <w:kinsoku/>
              <w:wordWrap/>
              <w:overflowPunct/>
              <w:topLinePunct w:val="0"/>
              <w:autoSpaceDE/>
              <w:autoSpaceDN/>
              <w:bidi w:val="0"/>
              <w:adjustRightInd/>
              <w:snapToGrid w:val="0"/>
              <w:spacing w:line="460" w:lineRule="exact"/>
              <w:ind w:left="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☑本次采购代理服务费实行市场调节价并参照国家计委《招标代理服务收费管理暂行办法》（计价格[2002]1980 号文）“</w:t>
            </w:r>
            <w:r>
              <w:rPr>
                <w:rFonts w:hint="eastAsia" w:hAnsi="宋体" w:eastAsia="宋体" w:cs="宋体"/>
                <w:color w:val="auto"/>
                <w:sz w:val="21"/>
                <w:szCs w:val="21"/>
                <w:highlight w:val="none"/>
                <w:lang w:val="en-US" w:eastAsia="zh-CN"/>
              </w:rPr>
              <w:t>服务类</w:t>
            </w:r>
            <w:r>
              <w:rPr>
                <w:rFonts w:hint="eastAsia" w:ascii="宋体" w:hAnsi="宋体" w:eastAsia="宋体" w:cs="宋体"/>
                <w:color w:val="auto"/>
                <w:sz w:val="21"/>
                <w:szCs w:val="21"/>
                <w:highlight w:val="none"/>
                <w:lang w:val="en-US" w:eastAsia="zh-CN"/>
              </w:rPr>
              <w:t>”规定标准，按差额定率累进法计算，计算基数为成交金额收取。</w:t>
            </w:r>
          </w:p>
          <w:p w14:paraId="7648CB42">
            <w:pPr>
              <w:pStyle w:val="16"/>
              <w:keepNext w:val="0"/>
              <w:keepLines w:val="0"/>
              <w:pageBreakBefore w:val="0"/>
              <w:widowControl w:val="0"/>
              <w:kinsoku/>
              <w:wordWrap/>
              <w:overflowPunct/>
              <w:topLinePunct w:val="0"/>
              <w:autoSpaceDE/>
              <w:autoSpaceDN/>
              <w:bidi w:val="0"/>
              <w:adjustRightInd/>
              <w:snapToGrid w:val="0"/>
              <w:spacing w:line="460" w:lineRule="exact"/>
              <w:ind w:left="0" w:firstLine="0" w:firstLineChars="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val="en-US" w:eastAsia="zh-CN"/>
              </w:rPr>
              <w:t>□固定采购代理收费</w:t>
            </w:r>
            <w:r>
              <w:rPr>
                <w:rFonts w:hint="eastAsia" w:ascii="宋体" w:hAnsi="宋体" w:eastAsia="宋体" w:cs="宋体"/>
                <w:color w:val="auto"/>
                <w:sz w:val="21"/>
                <w:szCs w:val="21"/>
                <w:highlight w:val="none"/>
                <w:u w:val="single"/>
                <w:lang w:val="en-US" w:eastAsia="zh-CN"/>
              </w:rPr>
              <w:t xml:space="preserve">             。</w:t>
            </w:r>
          </w:p>
          <w:p w14:paraId="0D114809">
            <w:pPr>
              <w:pStyle w:val="16"/>
              <w:keepNext w:val="0"/>
              <w:keepLines w:val="0"/>
              <w:pageBreakBefore w:val="0"/>
              <w:widowControl w:val="0"/>
              <w:kinsoku/>
              <w:wordWrap/>
              <w:overflowPunct/>
              <w:topLinePunct w:val="0"/>
              <w:autoSpaceDE/>
              <w:autoSpaceDN/>
              <w:bidi w:val="0"/>
              <w:adjustRightInd/>
              <w:snapToGrid w:val="0"/>
              <w:spacing w:line="460" w:lineRule="exact"/>
              <w:ind w:left="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采购代理费收取银行账户</w:t>
            </w:r>
          </w:p>
          <w:p w14:paraId="2344FDFE">
            <w:pPr>
              <w:pStyle w:val="16"/>
              <w:keepNext w:val="0"/>
              <w:keepLines w:val="0"/>
              <w:pageBreakBefore w:val="0"/>
              <w:widowControl w:val="0"/>
              <w:kinsoku/>
              <w:wordWrap/>
              <w:overflowPunct/>
              <w:topLinePunct w:val="0"/>
              <w:autoSpaceDE/>
              <w:autoSpaceDN/>
              <w:bidi w:val="0"/>
              <w:adjustRightInd/>
              <w:snapToGrid w:val="0"/>
              <w:spacing w:line="460" w:lineRule="exact"/>
              <w:ind w:left="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开户名称：广西华东招标有限公司</w:t>
            </w:r>
          </w:p>
          <w:p w14:paraId="5E0DECD7">
            <w:pPr>
              <w:pStyle w:val="16"/>
              <w:keepNext w:val="0"/>
              <w:keepLines w:val="0"/>
              <w:pageBreakBefore w:val="0"/>
              <w:widowControl w:val="0"/>
              <w:kinsoku/>
              <w:wordWrap/>
              <w:overflowPunct/>
              <w:topLinePunct w:val="0"/>
              <w:autoSpaceDE/>
              <w:autoSpaceDN/>
              <w:bidi w:val="0"/>
              <w:adjustRightInd/>
              <w:snapToGrid w:val="0"/>
              <w:spacing w:line="460" w:lineRule="exact"/>
              <w:ind w:left="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开户银行：中国工商银行南宁市民族支行</w:t>
            </w:r>
          </w:p>
          <w:p w14:paraId="5310A669">
            <w:pPr>
              <w:pStyle w:val="16"/>
              <w:keepNext w:val="0"/>
              <w:keepLines w:val="0"/>
              <w:pageBreakBefore w:val="0"/>
              <w:widowControl w:val="0"/>
              <w:kinsoku/>
              <w:wordWrap/>
              <w:overflowPunct/>
              <w:topLinePunct w:val="0"/>
              <w:autoSpaceDE/>
              <w:autoSpaceDN/>
              <w:bidi w:val="0"/>
              <w:adjustRightInd/>
              <w:snapToGrid w:val="0"/>
              <w:spacing w:line="460" w:lineRule="exact"/>
              <w:ind w:left="0" w:leftChars="0" w:firstLine="0" w:firstLineChars="0"/>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szCs w:val="21"/>
                <w:highlight w:val="none"/>
                <w:lang w:val="en-US" w:eastAsia="zh-CN"/>
              </w:rPr>
              <w:t>银行账号：2102109009300307465</w:t>
            </w:r>
          </w:p>
        </w:tc>
      </w:tr>
      <w:tr w14:paraId="1B3DA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9" w:type="dxa"/>
            <w:noWrap w:val="0"/>
            <w:vAlign w:val="center"/>
          </w:tcPr>
          <w:p w14:paraId="2B5DFC1F">
            <w:pPr>
              <w:keepNext w:val="0"/>
              <w:keepLines w:val="0"/>
              <w:pageBreakBefore w:val="0"/>
              <w:widowControl w:val="0"/>
              <w:kinsoku/>
              <w:wordWrap/>
              <w:overflowPunct/>
              <w:topLinePunct w:val="0"/>
              <w:autoSpaceDE/>
              <w:autoSpaceDN/>
              <w:bidi w:val="0"/>
              <w:adjustRightInd/>
              <w:spacing w:line="460" w:lineRule="exact"/>
              <w:ind w:left="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w:t>
            </w:r>
          </w:p>
        </w:tc>
        <w:tc>
          <w:tcPr>
            <w:tcW w:w="1971" w:type="dxa"/>
            <w:noWrap w:val="0"/>
            <w:vAlign w:val="center"/>
          </w:tcPr>
          <w:p w14:paraId="59ED0299">
            <w:pPr>
              <w:keepNext w:val="0"/>
              <w:keepLines w:val="0"/>
              <w:pageBreakBefore w:val="0"/>
              <w:widowControl w:val="0"/>
              <w:kinsoku/>
              <w:wordWrap/>
              <w:overflowPunct/>
              <w:topLinePunct w:val="0"/>
              <w:autoSpaceDE/>
              <w:autoSpaceDN/>
              <w:bidi w:val="0"/>
              <w:adjustRightInd/>
              <w:spacing w:line="460" w:lineRule="exact"/>
              <w:ind w:left="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解释</w:t>
            </w:r>
          </w:p>
        </w:tc>
        <w:tc>
          <w:tcPr>
            <w:tcW w:w="7085" w:type="dxa"/>
            <w:noWrap w:val="0"/>
            <w:vAlign w:val="center"/>
          </w:tcPr>
          <w:p w14:paraId="2E14E2C1">
            <w:pPr>
              <w:pStyle w:val="16"/>
              <w:keepNext w:val="0"/>
              <w:keepLines w:val="0"/>
              <w:pageBreakBefore w:val="0"/>
              <w:widowControl w:val="0"/>
              <w:kinsoku/>
              <w:wordWrap/>
              <w:overflowPunct/>
              <w:topLinePunct w:val="0"/>
              <w:autoSpaceDE/>
              <w:autoSpaceDN/>
              <w:bidi w:val="0"/>
              <w:adjustRightInd/>
              <w:snapToGrid w:val="0"/>
              <w:spacing w:line="460" w:lineRule="exact"/>
              <w:ind w:left="0" w:firstLine="0" w:firstLineChars="0"/>
              <w:textAlignment w:val="auto"/>
              <w:rPr>
                <w:rFonts w:hint="eastAsia" w:ascii="宋体" w:hAnsi="宋体" w:eastAsia="宋体" w:cs="宋体"/>
                <w:b/>
                <w:color w:val="auto"/>
                <w:sz w:val="21"/>
                <w:highlight w:val="none"/>
                <w:lang w:val="en-US" w:eastAsia="zh-CN"/>
              </w:rPr>
            </w:pPr>
            <w:r>
              <w:rPr>
                <w:rFonts w:hint="eastAsia" w:ascii="宋体" w:hAnsi="宋体" w:eastAsia="宋体" w:cs="宋体"/>
                <w:b/>
                <w:color w:val="auto"/>
                <w:sz w:val="21"/>
                <w:highlight w:val="none"/>
                <w:lang w:val="en-US" w:eastAsia="zh-CN"/>
              </w:rPr>
              <w:t>解释权：</w:t>
            </w:r>
            <w:r>
              <w:rPr>
                <w:rFonts w:hint="eastAsia" w:ascii="宋体" w:hAnsi="宋体" w:eastAsia="宋体" w:cs="宋体"/>
                <w:color w:val="auto"/>
                <w:sz w:val="21"/>
                <w:highlight w:val="none"/>
                <w:lang w:val="en-US" w:eastAsia="zh-CN"/>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ascii="宋体" w:hAnsi="宋体" w:eastAsia="宋体" w:cs="宋体"/>
                <w:b/>
                <w:color w:val="auto"/>
                <w:sz w:val="21"/>
                <w:highlight w:val="none"/>
                <w:lang w:val="en-US" w:eastAsia="zh-CN"/>
              </w:rPr>
              <w:t>由采购人或者采购代理机构负责解释。</w:t>
            </w:r>
          </w:p>
          <w:p w14:paraId="04A7F587">
            <w:pPr>
              <w:pStyle w:val="16"/>
              <w:keepNext w:val="0"/>
              <w:keepLines w:val="0"/>
              <w:pageBreakBefore w:val="0"/>
              <w:widowControl w:val="0"/>
              <w:kinsoku/>
              <w:wordWrap/>
              <w:overflowPunct/>
              <w:topLinePunct w:val="0"/>
              <w:autoSpaceDE/>
              <w:autoSpaceDN/>
              <w:bidi w:val="0"/>
              <w:adjustRightInd/>
              <w:snapToGrid w:val="0"/>
              <w:spacing w:line="460" w:lineRule="exact"/>
              <w:ind w:left="0" w:firstLine="0" w:firstLineChars="0"/>
              <w:textAlignment w:val="auto"/>
              <w:rPr>
                <w:rFonts w:hint="eastAsia" w:ascii="宋体" w:hAnsi="宋体" w:eastAsia="宋体" w:cs="宋体"/>
                <w:color w:val="auto"/>
                <w:kern w:val="2"/>
                <w:sz w:val="21"/>
                <w:highlight w:val="none"/>
                <w:lang w:val="en-US" w:eastAsia="zh-CN"/>
              </w:rPr>
            </w:pPr>
            <w:r>
              <w:rPr>
                <w:rFonts w:hint="eastAsia" w:ascii="宋体" w:hAnsi="宋体" w:eastAsia="宋体" w:cs="宋体"/>
                <w:b/>
                <w:color w:val="auto"/>
                <w:sz w:val="21"/>
                <w:highlight w:val="none"/>
                <w:lang w:val="en-US" w:eastAsia="zh-CN"/>
              </w:rPr>
              <w:t>法律责任：</w:t>
            </w:r>
            <w:r>
              <w:rPr>
                <w:rFonts w:hint="eastAsia" w:ascii="宋体" w:hAnsi="宋体" w:eastAsia="宋体" w:cs="宋体"/>
                <w:color w:val="auto"/>
                <w:sz w:val="21"/>
                <w:highlight w:val="none"/>
                <w:lang w:val="en-US" w:eastAsia="zh-CN"/>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tc>
      </w:tr>
      <w:tr w14:paraId="5A0145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9" w:type="dxa"/>
            <w:noWrap w:val="0"/>
            <w:vAlign w:val="center"/>
          </w:tcPr>
          <w:p w14:paraId="751FF07F">
            <w:pPr>
              <w:keepNext w:val="0"/>
              <w:keepLines w:val="0"/>
              <w:pageBreakBefore w:val="0"/>
              <w:widowControl w:val="0"/>
              <w:kinsoku/>
              <w:wordWrap/>
              <w:overflowPunct/>
              <w:topLinePunct w:val="0"/>
              <w:autoSpaceDE/>
              <w:autoSpaceDN/>
              <w:bidi w:val="0"/>
              <w:adjustRightInd/>
              <w:spacing w:line="460" w:lineRule="exact"/>
              <w:ind w:left="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w:t>
            </w:r>
          </w:p>
        </w:tc>
        <w:tc>
          <w:tcPr>
            <w:tcW w:w="1971" w:type="dxa"/>
            <w:noWrap w:val="0"/>
            <w:vAlign w:val="center"/>
          </w:tcPr>
          <w:p w14:paraId="72490207">
            <w:pPr>
              <w:keepNext w:val="0"/>
              <w:keepLines w:val="0"/>
              <w:pageBreakBefore w:val="0"/>
              <w:widowControl w:val="0"/>
              <w:kinsoku/>
              <w:wordWrap/>
              <w:overflowPunct/>
              <w:topLinePunct w:val="0"/>
              <w:autoSpaceDE/>
              <w:autoSpaceDN/>
              <w:bidi w:val="0"/>
              <w:adjustRightInd/>
              <w:spacing w:line="460" w:lineRule="exact"/>
              <w:ind w:left="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7085" w:type="dxa"/>
            <w:noWrap w:val="0"/>
            <w:vAlign w:val="center"/>
          </w:tcPr>
          <w:p w14:paraId="2FDE03E8">
            <w:pPr>
              <w:pStyle w:val="16"/>
              <w:keepNext w:val="0"/>
              <w:keepLines w:val="0"/>
              <w:pageBreakBefore w:val="0"/>
              <w:widowControl w:val="0"/>
              <w:kinsoku/>
              <w:wordWrap/>
              <w:overflowPunct/>
              <w:topLinePunct w:val="0"/>
              <w:autoSpaceDE/>
              <w:autoSpaceDN/>
              <w:bidi w:val="0"/>
              <w:adjustRightInd/>
              <w:snapToGrid w:val="0"/>
              <w:spacing w:line="460" w:lineRule="exact"/>
              <w:ind w:left="0" w:firstLine="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本磋商文件中描述供应商的“公章”是指根据我国对公章的管理规定，用磋商供应商法定主体行为名称制作的印章[含磋商供应商通过指定电子化政府采购平台办理数字证书（CA认证）获得的以法定主体行为名称制作的电子印章]，除本磋商文件有特殊规定外，磋商供应商的财务章、部门章、分公司章、工会章、合同章、投标专用章、业务专用章及银行的转账章、现金收讫章、现金付讫章等其他形式印章均不能代替公章。</w:t>
            </w:r>
          </w:p>
          <w:p w14:paraId="66ACE1B3">
            <w:pPr>
              <w:pStyle w:val="16"/>
              <w:keepNext w:val="0"/>
              <w:keepLines w:val="0"/>
              <w:pageBreakBefore w:val="0"/>
              <w:widowControl w:val="0"/>
              <w:kinsoku/>
              <w:wordWrap/>
              <w:overflowPunct/>
              <w:topLinePunct w:val="0"/>
              <w:autoSpaceDE/>
              <w:autoSpaceDN/>
              <w:bidi w:val="0"/>
              <w:adjustRightInd/>
              <w:snapToGrid w:val="0"/>
              <w:spacing w:line="460" w:lineRule="exact"/>
              <w:ind w:left="0" w:firstLine="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59097CE5">
            <w:pPr>
              <w:pStyle w:val="16"/>
              <w:keepNext w:val="0"/>
              <w:keepLines w:val="0"/>
              <w:pageBreakBefore w:val="0"/>
              <w:widowControl w:val="0"/>
              <w:kinsoku/>
              <w:wordWrap/>
              <w:overflowPunct/>
              <w:topLinePunct w:val="0"/>
              <w:autoSpaceDE/>
              <w:autoSpaceDN/>
              <w:bidi w:val="0"/>
              <w:adjustRightInd/>
              <w:snapToGrid w:val="0"/>
              <w:spacing w:line="460" w:lineRule="exact"/>
              <w:ind w:left="0" w:firstLine="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本磋商文件中描述供应商的“签字”是指磋商供应商的法定代表人或者委托代理人亲自在文件规定签署处亲笔写上个人的名字的行为[含磋商供应商通过指定电子化政府采购平台办理数字证书（CA认证）获得的以磋商供应商法定代表人或者委托代理人姓名制作的电子印章或手写签字]，私章、签字章、印鉴、影印等其他形式均不能代替亲笔签字。</w:t>
            </w:r>
          </w:p>
          <w:p w14:paraId="3DFD32ED">
            <w:pPr>
              <w:pStyle w:val="16"/>
              <w:keepNext w:val="0"/>
              <w:keepLines w:val="0"/>
              <w:pageBreakBefore w:val="0"/>
              <w:widowControl w:val="0"/>
              <w:kinsoku/>
              <w:wordWrap/>
              <w:overflowPunct/>
              <w:topLinePunct w:val="0"/>
              <w:autoSpaceDE/>
              <w:autoSpaceDN/>
              <w:bidi w:val="0"/>
              <w:adjustRightInd/>
              <w:snapToGrid w:val="0"/>
              <w:spacing w:line="460" w:lineRule="exact"/>
              <w:ind w:left="0" w:firstLine="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4.自然人竞标的，磋商文件规定盖公章处由自然人摁手指指印。</w:t>
            </w:r>
          </w:p>
          <w:p w14:paraId="00A402D8">
            <w:pPr>
              <w:pStyle w:val="16"/>
              <w:keepNext w:val="0"/>
              <w:keepLines w:val="0"/>
              <w:pageBreakBefore w:val="0"/>
              <w:widowControl w:val="0"/>
              <w:kinsoku/>
              <w:wordWrap/>
              <w:overflowPunct/>
              <w:topLinePunct w:val="0"/>
              <w:autoSpaceDE/>
              <w:autoSpaceDN/>
              <w:bidi w:val="0"/>
              <w:adjustRightInd/>
              <w:snapToGrid w:val="0"/>
              <w:spacing w:line="460" w:lineRule="exact"/>
              <w:ind w:left="0" w:firstLine="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5.本磋商文件所称的“以上”“以下”“以内”“届满”，包括本数；所称的“不满”“超过”“以外”，不包括本数。</w:t>
            </w:r>
          </w:p>
        </w:tc>
      </w:tr>
      <w:tr w14:paraId="22B5B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9" w:type="dxa"/>
            <w:noWrap w:val="0"/>
            <w:vAlign w:val="center"/>
          </w:tcPr>
          <w:p w14:paraId="23AA02AD">
            <w:pPr>
              <w:keepNext w:val="0"/>
              <w:keepLines w:val="0"/>
              <w:pageBreakBefore w:val="0"/>
              <w:widowControl w:val="0"/>
              <w:kinsoku/>
              <w:wordWrap/>
              <w:overflowPunct/>
              <w:topLinePunct w:val="0"/>
              <w:autoSpaceDE/>
              <w:autoSpaceDN/>
              <w:bidi w:val="0"/>
              <w:adjustRightInd/>
              <w:spacing w:line="460" w:lineRule="exact"/>
              <w:ind w:left="0" w:leftChars="0" w:firstLine="0" w:firstLineChars="0"/>
              <w:jc w:val="center"/>
              <w:textAlignment w:val="auto"/>
              <w:rPr>
                <w:rFonts w:hint="eastAsia" w:ascii="宋体" w:hAnsi="宋体" w:eastAsia="宋体" w:cs="宋体"/>
                <w:color w:val="auto"/>
                <w:szCs w:val="21"/>
                <w:highlight w:val="none"/>
              </w:rPr>
            </w:pPr>
          </w:p>
        </w:tc>
        <w:tc>
          <w:tcPr>
            <w:tcW w:w="1971" w:type="dxa"/>
            <w:noWrap w:val="0"/>
            <w:vAlign w:val="center"/>
          </w:tcPr>
          <w:p w14:paraId="1FF4AA40">
            <w:pPr>
              <w:keepNext w:val="0"/>
              <w:keepLines w:val="0"/>
              <w:pageBreakBefore w:val="0"/>
              <w:widowControl w:val="0"/>
              <w:kinsoku/>
              <w:wordWrap/>
              <w:overflowPunct/>
              <w:topLinePunct w:val="0"/>
              <w:autoSpaceDE/>
              <w:autoSpaceDN/>
              <w:bidi w:val="0"/>
              <w:adjustRightInd/>
              <w:spacing w:line="460" w:lineRule="exact"/>
              <w:ind w:left="0" w:leftChars="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b/>
                <w:color w:val="auto"/>
                <w:spacing w:val="0"/>
                <w:szCs w:val="21"/>
                <w:highlight w:val="none"/>
              </w:rPr>
              <w:t>特别说明</w:t>
            </w:r>
          </w:p>
        </w:tc>
        <w:tc>
          <w:tcPr>
            <w:tcW w:w="7085" w:type="dxa"/>
            <w:noWrap w:val="0"/>
            <w:vAlign w:val="center"/>
          </w:tcPr>
          <w:p w14:paraId="0D267C2E">
            <w:pPr>
              <w:keepNext w:val="0"/>
              <w:keepLines w:val="0"/>
              <w:pageBreakBefore w:val="0"/>
              <w:widowControl w:val="0"/>
              <w:kinsoku/>
              <w:wordWrap/>
              <w:overflowPunct/>
              <w:topLinePunct w:val="0"/>
              <w:autoSpaceDE/>
              <w:autoSpaceDN/>
              <w:bidi w:val="0"/>
              <w:adjustRightInd/>
              <w:spacing w:line="460" w:lineRule="exact"/>
              <w:ind w:firstLine="0" w:firstLineChars="0"/>
              <w:jc w:val="left"/>
              <w:textAlignment w:val="auto"/>
              <w:rPr>
                <w:rFonts w:hint="eastAsia" w:ascii="宋体" w:hAnsi="宋体" w:eastAsia="宋体" w:cs="宋体"/>
                <w:b/>
                <w:bCs w:val="0"/>
                <w:color w:val="auto"/>
                <w:highlight w:val="none"/>
                <w:lang w:val="en-US" w:eastAsia="zh-CN"/>
              </w:rPr>
            </w:pPr>
            <w:r>
              <w:rPr>
                <w:rFonts w:hint="eastAsia" w:ascii="宋体" w:hAnsi="宋体" w:eastAsia="宋体" w:cs="宋体"/>
                <w:b/>
                <w:bCs w:val="0"/>
                <w:color w:val="auto"/>
                <w:highlight w:val="none"/>
                <w:lang w:val="en-US" w:eastAsia="zh-CN"/>
              </w:rPr>
              <w:t>1.根据《中华人民共和国政府采购法》第二十二条规定，政府采购的供应商应当具有独立承担民事责任的能力，而分公司不能独立承担民事责任，其民事责任由其总公司承担。因此，分公司参加本项目的竞标，必须提供总公司授权书，否则竞标无效；对于某些政策允许的特殊行业或企业，例如银行、保险、电信、石油石化、电力、邮政、铁路等行业，必须出具能够证明总公司授权其独立开展业务的有关文件或制度等证明，否则竞标无效。</w:t>
            </w:r>
          </w:p>
          <w:p w14:paraId="268EC90E">
            <w:pPr>
              <w:keepNext w:val="0"/>
              <w:keepLines w:val="0"/>
              <w:pageBreakBefore w:val="0"/>
              <w:widowControl w:val="0"/>
              <w:kinsoku/>
              <w:wordWrap/>
              <w:overflowPunct/>
              <w:topLinePunct w:val="0"/>
              <w:autoSpaceDE/>
              <w:autoSpaceDN/>
              <w:bidi w:val="0"/>
              <w:adjustRightInd/>
              <w:spacing w:line="460" w:lineRule="exact"/>
              <w:ind w:firstLine="0" w:firstLineChars="0"/>
              <w:jc w:val="left"/>
              <w:textAlignment w:val="auto"/>
              <w:rPr>
                <w:rFonts w:hint="eastAsia" w:ascii="宋体" w:hAnsi="宋体" w:eastAsia="宋体" w:cs="宋体"/>
                <w:color w:val="auto"/>
                <w:sz w:val="21"/>
                <w:highlight w:val="none"/>
                <w:lang w:val="en-US" w:eastAsia="zh-CN"/>
              </w:rPr>
            </w:pPr>
            <w:r>
              <w:rPr>
                <w:rFonts w:hint="eastAsia" w:ascii="宋体" w:hAnsi="宋体" w:eastAsia="宋体" w:cs="宋体"/>
                <w:b/>
                <w:bCs w:val="0"/>
                <w:color w:val="auto"/>
                <w:spacing w:val="0"/>
                <w:sz w:val="21"/>
                <w:szCs w:val="21"/>
                <w:highlight w:val="none"/>
                <w:lang w:val="en-US" w:eastAsia="zh-CN"/>
              </w:rPr>
              <w:t>2.</w:t>
            </w:r>
            <w:r>
              <w:rPr>
                <w:rFonts w:hint="eastAsia" w:ascii="宋体" w:hAnsi="宋体" w:eastAsia="宋体" w:cs="宋体"/>
                <w:b/>
                <w:color w:val="auto"/>
                <w:spacing w:val="0"/>
                <w:position w:val="0"/>
                <w:szCs w:val="21"/>
                <w:highlight w:val="none"/>
              </w:rPr>
              <w:t>政府采购电子保函</w:t>
            </w:r>
            <w:r>
              <w:rPr>
                <w:rFonts w:hint="eastAsia" w:ascii="宋体" w:hAnsi="宋体" w:eastAsia="宋体" w:cs="宋体"/>
                <w:b/>
                <w:color w:val="auto"/>
                <w:spacing w:val="0"/>
                <w:position w:val="0"/>
                <w:szCs w:val="21"/>
                <w:highlight w:val="none"/>
                <w:lang w:eastAsia="zh-CN"/>
              </w:rPr>
              <w:t>：供应商可通过“广西政府采购金融服务平台”（https://jinrong.zcygov.cn/finance/gx）在线方式完成磋商保证金、履约保证金和预付款保函申请、递交、验收和索赔等全流程电子化操作，电子保函有关业务操作流程和手册可从“广西政府采购金融服务平台”查阅下载，供应商在电子保函的申请、使用、查看应用过程中遇到问题可咨询技术支撑方：400-903-9583。</w:t>
            </w:r>
          </w:p>
        </w:tc>
      </w:tr>
    </w:tbl>
    <w:p w14:paraId="16BD45BF">
      <w:pPr>
        <w:pStyle w:val="3"/>
        <w:spacing w:line="420" w:lineRule="exact"/>
        <w:jc w:val="center"/>
        <w:rPr>
          <w:rFonts w:hint="eastAsia" w:ascii="宋体" w:hAnsi="宋体"/>
          <w:b w:val="0"/>
          <w:color w:val="auto"/>
          <w:highlight w:val="none"/>
        </w:rPr>
      </w:pPr>
      <w:r>
        <w:rPr>
          <w:rFonts w:ascii="宋体" w:hAnsi="宋体"/>
          <w:b w:val="0"/>
          <w:color w:val="auto"/>
          <w:highlight w:val="none"/>
        </w:rPr>
        <w:br w:type="page"/>
      </w:r>
      <w:bookmarkStart w:id="32" w:name="_Toc20996"/>
      <w:r>
        <w:rPr>
          <w:rFonts w:hint="eastAsia" w:ascii="宋体" w:hAnsi="宋体"/>
          <w:b w:val="0"/>
          <w:color w:val="auto"/>
          <w:highlight w:val="none"/>
        </w:rPr>
        <w:t>第二节 供应商须知正文</w:t>
      </w:r>
      <w:bookmarkEnd w:id="32"/>
    </w:p>
    <w:p w14:paraId="261A495C">
      <w:pPr>
        <w:pStyle w:val="4"/>
        <w:pageBreakBefore w:val="0"/>
        <w:widowControl w:val="0"/>
        <w:kinsoku/>
        <w:wordWrap/>
        <w:overflowPunct/>
        <w:topLinePunct w:val="0"/>
        <w:autoSpaceDE/>
        <w:autoSpaceDN/>
        <w:bidi w:val="0"/>
        <w:spacing w:before="0" w:after="0" w:line="360" w:lineRule="auto"/>
        <w:ind w:left="0" w:leftChars="0" w:firstLine="419" w:firstLineChars="131"/>
        <w:rPr>
          <w:rFonts w:hint="eastAsia" w:ascii="宋体" w:hAnsi="宋体"/>
          <w:b w:val="0"/>
          <w:color w:val="auto"/>
          <w:highlight w:val="none"/>
        </w:rPr>
      </w:pPr>
      <w:bookmarkStart w:id="33" w:name="_Toc25941"/>
      <w:r>
        <w:rPr>
          <w:rFonts w:hint="eastAsia" w:ascii="宋体" w:hAnsi="宋体"/>
          <w:b w:val="0"/>
          <w:color w:val="auto"/>
          <w:highlight w:val="none"/>
        </w:rPr>
        <w:t>一、总则</w:t>
      </w:r>
      <w:bookmarkEnd w:id="33"/>
    </w:p>
    <w:p w14:paraId="655546E2">
      <w:pPr>
        <w:pageBreakBefore w:val="0"/>
        <w:widowControl w:val="0"/>
        <w:kinsoku/>
        <w:wordWrap/>
        <w:overflowPunct/>
        <w:topLinePunct w:val="0"/>
        <w:autoSpaceDE/>
        <w:autoSpaceDN/>
        <w:bidi w:val="0"/>
        <w:spacing w:line="360" w:lineRule="auto"/>
        <w:ind w:left="0" w:leftChars="0" w:firstLine="316" w:firstLineChars="131"/>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1.适用范围</w:t>
      </w:r>
    </w:p>
    <w:p w14:paraId="5B0832F8">
      <w:pPr>
        <w:pageBreakBefore w:val="0"/>
        <w:widowControl w:val="0"/>
        <w:kinsoku/>
        <w:wordWrap/>
        <w:overflowPunct/>
        <w:topLinePunct w:val="0"/>
        <w:autoSpaceDE/>
        <w:autoSpaceDN/>
        <w:bidi w:val="0"/>
        <w:spacing w:line="360" w:lineRule="auto"/>
        <w:ind w:left="0" w:leftChars="0" w:firstLine="275" w:firstLineChars="131"/>
        <w:rPr>
          <w:rFonts w:hint="eastAsia"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w:t>
      </w:r>
      <w:r>
        <w:rPr>
          <w:rFonts w:hint="eastAsia" w:ascii="宋体" w:hAnsi="宋体"/>
          <w:color w:val="auto"/>
          <w:szCs w:val="21"/>
          <w:highlight w:val="none"/>
        </w:rPr>
        <w:t>《政府采购竞争性磋商采购方式管理暂行办法》《财政部关于政府采购竞争性磋商采购方式管理暂行办法有关问题的补充通知》</w:t>
      </w:r>
      <w:r>
        <w:rPr>
          <w:rFonts w:hint="eastAsia" w:ascii="宋体" w:hAnsi="宋体" w:cs="宋体"/>
          <w:color w:val="auto"/>
          <w:szCs w:val="21"/>
          <w:highlight w:val="none"/>
        </w:rPr>
        <w:t>及本项目本级和上级财政部门政府采购有关规定的约束和保护。</w:t>
      </w:r>
    </w:p>
    <w:p w14:paraId="3A1FE932">
      <w:pPr>
        <w:pageBreakBefore w:val="0"/>
        <w:widowControl w:val="0"/>
        <w:kinsoku/>
        <w:wordWrap/>
        <w:overflowPunct/>
        <w:topLinePunct w:val="0"/>
        <w:autoSpaceDE/>
        <w:autoSpaceDN/>
        <w:bidi w:val="0"/>
        <w:spacing w:line="360" w:lineRule="auto"/>
        <w:ind w:left="0" w:leftChars="0" w:firstLine="275" w:firstLineChars="131"/>
        <w:rPr>
          <w:rFonts w:hint="eastAsia"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本竞争性磋商文件（以下简称磋商文件）适用于本项目的所有采购程序和环节（法律、法规另有规定的，从其规定）。</w:t>
      </w:r>
    </w:p>
    <w:p w14:paraId="257F949D">
      <w:pPr>
        <w:pageBreakBefore w:val="0"/>
        <w:widowControl w:val="0"/>
        <w:kinsoku/>
        <w:wordWrap/>
        <w:overflowPunct/>
        <w:topLinePunct w:val="0"/>
        <w:autoSpaceDE/>
        <w:autoSpaceDN/>
        <w:bidi w:val="0"/>
        <w:spacing w:line="360" w:lineRule="auto"/>
        <w:ind w:left="0" w:leftChars="0" w:firstLine="316" w:firstLineChars="131"/>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2.定义</w:t>
      </w:r>
    </w:p>
    <w:p w14:paraId="553EEAA4">
      <w:pPr>
        <w:pageBreakBefore w:val="0"/>
        <w:widowControl w:val="0"/>
        <w:kinsoku/>
        <w:wordWrap/>
        <w:overflowPunct/>
        <w:topLinePunct w:val="0"/>
        <w:autoSpaceDE/>
        <w:autoSpaceDN/>
        <w:bidi w:val="0"/>
        <w:spacing w:line="360" w:lineRule="auto"/>
        <w:ind w:left="0" w:leftChars="0" w:firstLine="275" w:firstLineChars="131"/>
        <w:rPr>
          <w:rFonts w:hint="eastAsia"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14:paraId="38CE65C0">
      <w:pPr>
        <w:pageBreakBefore w:val="0"/>
        <w:widowControl w:val="0"/>
        <w:kinsoku/>
        <w:wordWrap/>
        <w:overflowPunct/>
        <w:topLinePunct w:val="0"/>
        <w:autoSpaceDE/>
        <w:autoSpaceDN/>
        <w:bidi w:val="0"/>
        <w:spacing w:line="360" w:lineRule="auto"/>
        <w:ind w:left="0" w:leftChars="0" w:firstLine="275" w:firstLineChars="131"/>
        <w:rPr>
          <w:rFonts w:hint="eastAsia" w:ascii="宋体" w:hAnsi="宋体" w:cs="宋体"/>
          <w:color w:val="auto"/>
          <w:szCs w:val="21"/>
          <w:highlight w:val="none"/>
          <w:u w:val="single"/>
        </w:rPr>
      </w:pPr>
      <w:r>
        <w:rPr>
          <w:rFonts w:hint="eastAsia" w:ascii="宋体" w:hAnsi="宋体" w:cs="宋体"/>
          <w:color w:val="auto"/>
          <w:szCs w:val="21"/>
          <w:highlight w:val="none"/>
        </w:rPr>
        <w:t>2.2“采购代理机构”是指政府采购集中采购机构和集中采购机构以外的采购代理机构。</w:t>
      </w:r>
    </w:p>
    <w:p w14:paraId="4C11F31D">
      <w:pPr>
        <w:pageBreakBefore w:val="0"/>
        <w:widowControl w:val="0"/>
        <w:kinsoku/>
        <w:wordWrap/>
        <w:overflowPunct/>
        <w:topLinePunct w:val="0"/>
        <w:autoSpaceDE/>
        <w:autoSpaceDN/>
        <w:bidi w:val="0"/>
        <w:spacing w:line="360" w:lineRule="auto"/>
        <w:ind w:left="0" w:leftChars="0" w:firstLine="275" w:firstLineChars="131"/>
        <w:rPr>
          <w:rFonts w:hint="eastAsia"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7951EC3B">
      <w:pPr>
        <w:pageBreakBefore w:val="0"/>
        <w:widowControl w:val="0"/>
        <w:kinsoku/>
        <w:wordWrap/>
        <w:overflowPunct/>
        <w:topLinePunct w:val="0"/>
        <w:autoSpaceDE/>
        <w:autoSpaceDN/>
        <w:bidi w:val="0"/>
        <w:spacing w:line="360" w:lineRule="auto"/>
        <w:ind w:left="0" w:leftChars="0" w:firstLine="275" w:firstLineChars="131"/>
        <w:rPr>
          <w:rFonts w:hint="eastAsia" w:ascii="宋体" w:hAnsi="宋体" w:cs="宋体"/>
          <w:color w:val="auto"/>
          <w:szCs w:val="21"/>
          <w:highlight w:val="none"/>
        </w:rPr>
      </w:pPr>
      <w:r>
        <w:rPr>
          <w:rFonts w:hint="eastAsia" w:ascii="宋体" w:hAnsi="宋体"/>
          <w:color w:val="auto"/>
          <w:szCs w:val="21"/>
          <w:highlight w:val="none"/>
        </w:rPr>
        <w:t>2.4“服务”是指除货物和工程以外的其他政府采购对象。</w:t>
      </w:r>
    </w:p>
    <w:p w14:paraId="3088454B">
      <w:pPr>
        <w:pageBreakBefore w:val="0"/>
        <w:widowControl w:val="0"/>
        <w:kinsoku/>
        <w:wordWrap/>
        <w:overflowPunct/>
        <w:topLinePunct w:val="0"/>
        <w:autoSpaceDE/>
        <w:autoSpaceDN/>
        <w:bidi w:val="0"/>
        <w:spacing w:line="360" w:lineRule="auto"/>
        <w:ind w:left="0" w:leftChars="0" w:firstLine="275" w:firstLineChars="131"/>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r>
        <w:rPr>
          <w:rFonts w:hint="eastAsia" w:ascii="宋体" w:hAnsi="宋体" w:cs="宋体"/>
          <w:color w:val="auto"/>
          <w:szCs w:val="21"/>
          <w:highlight w:val="none"/>
        </w:rPr>
        <w:t>“竞标”是指供应商按照本项目竞争性磋商公告或者邀请函规定的方式获取磋商文件、提交响应文件并希望获得标的的行为。</w:t>
      </w:r>
    </w:p>
    <w:p w14:paraId="58FBDDCF">
      <w:pPr>
        <w:pageBreakBefore w:val="0"/>
        <w:widowControl w:val="0"/>
        <w:kinsoku/>
        <w:wordWrap/>
        <w:overflowPunct/>
        <w:topLinePunct w:val="0"/>
        <w:autoSpaceDE/>
        <w:autoSpaceDN/>
        <w:bidi w:val="0"/>
        <w:spacing w:line="360" w:lineRule="auto"/>
        <w:ind w:left="0" w:leftChars="0" w:firstLine="275" w:firstLineChars="131"/>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w:t>
      </w:r>
      <w:r>
        <w:rPr>
          <w:rFonts w:hint="eastAsia" w:ascii="宋体" w:hAnsi="宋体" w:cs="宋体"/>
          <w:color w:val="auto"/>
          <w:szCs w:val="21"/>
          <w:highlight w:val="none"/>
        </w:rPr>
        <w:t>“响应文件”</w:t>
      </w:r>
      <w:r>
        <w:rPr>
          <w:rFonts w:hint="eastAsia" w:ascii="宋体" w:hAnsi="宋体" w:cs="宋体"/>
          <w:color w:val="auto"/>
          <w:spacing w:val="-6"/>
          <w:szCs w:val="21"/>
          <w:highlight w:val="none"/>
        </w:rPr>
        <w:t>是指：供应商根据本磋商文件要求，编制包含资格证明、报价商务技术等所有内容的文件。</w:t>
      </w:r>
    </w:p>
    <w:p w14:paraId="1752C8BE">
      <w:pPr>
        <w:pageBreakBefore w:val="0"/>
        <w:widowControl w:val="0"/>
        <w:kinsoku/>
        <w:wordWrap/>
        <w:overflowPunct/>
        <w:topLinePunct w:val="0"/>
        <w:autoSpaceDE/>
        <w:autoSpaceDN/>
        <w:bidi w:val="0"/>
        <w:spacing w:line="360" w:lineRule="auto"/>
        <w:ind w:left="0" w:leftChars="0" w:firstLine="276" w:firstLineChars="131"/>
        <w:rPr>
          <w:rFonts w:hint="eastAsia" w:ascii="宋体" w:hAnsi="宋体" w:cs="宋体"/>
          <w:b/>
          <w:bCs/>
          <w:color w:val="auto"/>
          <w:szCs w:val="21"/>
          <w:highlight w:val="none"/>
        </w:rPr>
      </w:pPr>
      <w:r>
        <w:rPr>
          <w:rFonts w:hint="eastAsia" w:ascii="宋体" w:hAnsi="宋体" w:cs="宋体"/>
          <w:b/>
          <w:bCs/>
          <w:color w:val="auto"/>
          <w:szCs w:val="21"/>
          <w:highlight w:val="none"/>
        </w:rPr>
        <w:t>2.</w:t>
      </w:r>
      <w:r>
        <w:rPr>
          <w:rFonts w:ascii="宋体" w:hAnsi="宋体" w:cs="宋体"/>
          <w:b/>
          <w:bCs/>
          <w:color w:val="auto"/>
          <w:szCs w:val="21"/>
          <w:highlight w:val="none"/>
        </w:rPr>
        <w:t>7</w:t>
      </w:r>
      <w:r>
        <w:rPr>
          <w:rFonts w:hint="eastAsia" w:ascii="宋体" w:hAnsi="宋体" w:cs="宋体"/>
          <w:b/>
          <w:bCs/>
          <w:color w:val="auto"/>
          <w:szCs w:val="21"/>
          <w:highlight w:val="none"/>
        </w:rPr>
        <w:t>“实质性要求”是指磋商文件中已经指明不满足则响应文件按无效响应处理的条款，或者不能负偏离的条款，或者采购需求中带“▲”的条款。</w:t>
      </w:r>
    </w:p>
    <w:p w14:paraId="252E65C9">
      <w:pPr>
        <w:pageBreakBefore w:val="0"/>
        <w:widowControl w:val="0"/>
        <w:kinsoku/>
        <w:wordWrap/>
        <w:overflowPunct/>
        <w:topLinePunct w:val="0"/>
        <w:autoSpaceDE/>
        <w:autoSpaceDN/>
        <w:bidi w:val="0"/>
        <w:spacing w:line="360" w:lineRule="auto"/>
        <w:ind w:left="0" w:leftChars="0" w:firstLine="275" w:firstLineChars="131"/>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8</w:t>
      </w:r>
      <w:r>
        <w:rPr>
          <w:rFonts w:hint="eastAsia" w:ascii="宋体" w:hAnsi="宋体" w:cs="宋体"/>
          <w:color w:val="auto"/>
          <w:szCs w:val="21"/>
          <w:highlight w:val="none"/>
        </w:rPr>
        <w:t>“正偏离”，是指响应文件对磋商文件“采购需求”中有关条款作出的响应优于条款要求并有利于采购人的情形。</w:t>
      </w:r>
    </w:p>
    <w:p w14:paraId="700B395F">
      <w:pPr>
        <w:pageBreakBefore w:val="0"/>
        <w:widowControl w:val="0"/>
        <w:kinsoku/>
        <w:wordWrap/>
        <w:overflowPunct/>
        <w:topLinePunct w:val="0"/>
        <w:autoSpaceDE/>
        <w:autoSpaceDN/>
        <w:bidi w:val="0"/>
        <w:spacing w:line="360" w:lineRule="auto"/>
        <w:ind w:left="0" w:leftChars="0" w:firstLine="275" w:firstLineChars="131"/>
        <w:rPr>
          <w:rFonts w:hint="eastAsia" w:ascii="宋体" w:hAnsi="宋体" w:cs="宋体"/>
          <w:color w:val="auto"/>
          <w:szCs w:val="21"/>
          <w:highlight w:val="none"/>
        </w:rPr>
      </w:pPr>
      <w:r>
        <w:rPr>
          <w:rFonts w:ascii="宋体" w:hAnsi="宋体" w:cs="宋体"/>
          <w:color w:val="auto"/>
          <w:szCs w:val="21"/>
          <w:highlight w:val="none"/>
        </w:rPr>
        <w:t>2.9</w:t>
      </w:r>
      <w:r>
        <w:rPr>
          <w:rFonts w:hint="eastAsia" w:ascii="宋体" w:hAnsi="宋体" w:cs="宋体"/>
          <w:color w:val="auto"/>
          <w:szCs w:val="21"/>
          <w:highlight w:val="none"/>
        </w:rPr>
        <w:t>“负偏离”，是指响应文件对磋商文件“采购需求”中有关条款作出的响应不满足条款要求，导致采购人要求不能得到满足的情形。</w:t>
      </w:r>
    </w:p>
    <w:p w14:paraId="6A4C436F">
      <w:pPr>
        <w:pageBreakBefore w:val="0"/>
        <w:widowControl w:val="0"/>
        <w:kinsoku/>
        <w:wordWrap/>
        <w:overflowPunct/>
        <w:topLinePunct w:val="0"/>
        <w:autoSpaceDE/>
        <w:autoSpaceDN/>
        <w:bidi w:val="0"/>
        <w:spacing w:line="360" w:lineRule="auto"/>
        <w:ind w:left="0" w:leftChars="0" w:firstLine="275" w:firstLineChars="131"/>
        <w:rPr>
          <w:rFonts w:hint="eastAsia" w:ascii="宋体" w:hAnsi="宋体" w:cs="宋体"/>
          <w:color w:val="auto"/>
          <w:szCs w:val="21"/>
          <w:highlight w:val="none"/>
        </w:rPr>
      </w:pPr>
      <w:r>
        <w:rPr>
          <w:rFonts w:hint="eastAsia" w:ascii="宋体" w:hAnsi="宋体" w:cs="宋体"/>
          <w:color w:val="auto"/>
          <w:szCs w:val="21"/>
          <w:highlight w:val="none"/>
        </w:rPr>
        <w:t>2.10“允许负偏离的条款”是指采购需求中的不属于“实质性要求”的条款。</w:t>
      </w:r>
    </w:p>
    <w:p w14:paraId="735E475B">
      <w:pPr>
        <w:pageBreakBefore w:val="0"/>
        <w:widowControl w:val="0"/>
        <w:kinsoku/>
        <w:wordWrap/>
        <w:overflowPunct/>
        <w:topLinePunct w:val="0"/>
        <w:autoSpaceDE/>
        <w:autoSpaceDN/>
        <w:bidi w:val="0"/>
        <w:spacing w:line="360" w:lineRule="auto"/>
        <w:ind w:left="0" w:leftChars="0" w:firstLine="275" w:firstLineChars="131"/>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11</w:t>
      </w:r>
      <w:r>
        <w:rPr>
          <w:rFonts w:hint="eastAsia" w:ascii="宋体" w:hAnsi="宋体" w:cs="宋体"/>
          <w:color w:val="auto"/>
          <w:szCs w:val="21"/>
          <w:highlight w:val="none"/>
        </w:rPr>
        <w:t>“书面形式”是指合同书、信件和数据电文（包括电报、电传、传真、电子数据交换和电子邮件）等可以有形地表现所载内容的形式。</w:t>
      </w:r>
    </w:p>
    <w:p w14:paraId="4DA00F05">
      <w:pPr>
        <w:pageBreakBefore w:val="0"/>
        <w:widowControl w:val="0"/>
        <w:kinsoku/>
        <w:wordWrap/>
        <w:overflowPunct/>
        <w:topLinePunct w:val="0"/>
        <w:autoSpaceDE/>
        <w:autoSpaceDN/>
        <w:bidi w:val="0"/>
        <w:spacing w:line="360" w:lineRule="auto"/>
        <w:ind w:left="0" w:leftChars="0" w:firstLine="275" w:firstLineChars="131"/>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12</w:t>
      </w:r>
      <w:r>
        <w:rPr>
          <w:rFonts w:hint="eastAsia" w:ascii="宋体" w:hAnsi="宋体" w:cs="宋体"/>
          <w:color w:val="auto"/>
          <w:szCs w:val="21"/>
          <w:highlight w:val="none"/>
        </w:rPr>
        <w:t>“首次报价”是指供应商提交的首次响应文件中的报价。</w:t>
      </w:r>
    </w:p>
    <w:p w14:paraId="7AE93F34">
      <w:pPr>
        <w:pageBreakBefore w:val="0"/>
        <w:widowControl w:val="0"/>
        <w:kinsoku/>
        <w:wordWrap/>
        <w:overflowPunct/>
        <w:topLinePunct w:val="0"/>
        <w:autoSpaceDE/>
        <w:autoSpaceDN/>
        <w:bidi w:val="0"/>
        <w:spacing w:line="360" w:lineRule="auto"/>
        <w:ind w:left="0" w:leftChars="0" w:firstLine="275" w:firstLineChars="131"/>
        <w:rPr>
          <w:rFonts w:hint="eastAsia" w:ascii="宋体" w:hAnsi="宋体" w:cs="宋体"/>
          <w:color w:val="auto"/>
          <w:szCs w:val="21"/>
          <w:highlight w:val="none"/>
        </w:rPr>
      </w:pPr>
      <w:r>
        <w:rPr>
          <w:rFonts w:hint="eastAsia" w:ascii="宋体" w:hAnsi="宋体" w:cs="宋体"/>
          <w:color w:val="auto"/>
          <w:szCs w:val="21"/>
          <w:highlight w:val="none"/>
        </w:rPr>
        <w:t>2.1</w:t>
      </w:r>
      <w:r>
        <w:rPr>
          <w:rFonts w:ascii="宋体" w:hAnsi="宋体" w:cs="宋体"/>
          <w:color w:val="auto"/>
          <w:szCs w:val="21"/>
          <w:highlight w:val="none"/>
        </w:rPr>
        <w:t>3</w:t>
      </w:r>
      <w:r>
        <w:rPr>
          <w:rFonts w:hint="eastAsia" w:ascii="宋体" w:hAnsi="宋体" w:cs="宋体"/>
          <w:color w:val="auto"/>
          <w:szCs w:val="21"/>
          <w:highlight w:val="none"/>
        </w:rPr>
        <w:t>“评审报价”是指供应商提交的最后报价并经修正（如有）和政策功能价格扣除（如有）后的价格。</w:t>
      </w:r>
    </w:p>
    <w:p w14:paraId="6D72E19C">
      <w:pPr>
        <w:pageBreakBefore w:val="0"/>
        <w:widowControl w:val="0"/>
        <w:kinsoku/>
        <w:wordWrap/>
        <w:overflowPunct/>
        <w:topLinePunct w:val="0"/>
        <w:autoSpaceDE/>
        <w:autoSpaceDN/>
        <w:bidi w:val="0"/>
        <w:spacing w:line="360" w:lineRule="auto"/>
        <w:ind w:left="0" w:leftChars="0" w:firstLine="316" w:firstLineChars="131"/>
        <w:rPr>
          <w:rFonts w:ascii="黑体" w:hAnsi="黑体" w:eastAsia="黑体" w:cs="宋体"/>
          <w:b/>
          <w:bCs/>
          <w:color w:val="auto"/>
          <w:sz w:val="24"/>
          <w:highlight w:val="none"/>
        </w:rPr>
      </w:pPr>
      <w:r>
        <w:rPr>
          <w:rFonts w:hint="eastAsia" w:ascii="黑体" w:hAnsi="黑体" w:eastAsia="黑体" w:cs="宋体"/>
          <w:b/>
          <w:bCs/>
          <w:color w:val="auto"/>
          <w:sz w:val="24"/>
          <w:highlight w:val="none"/>
        </w:rPr>
        <w:t>3.供应商的资格条件</w:t>
      </w:r>
    </w:p>
    <w:p w14:paraId="6E121BA0">
      <w:pPr>
        <w:pageBreakBefore w:val="0"/>
        <w:widowControl w:val="0"/>
        <w:kinsoku/>
        <w:wordWrap/>
        <w:overflowPunct/>
        <w:topLinePunct w:val="0"/>
        <w:autoSpaceDE/>
        <w:autoSpaceDN/>
        <w:bidi w:val="0"/>
        <w:spacing w:line="360" w:lineRule="auto"/>
        <w:ind w:left="0" w:leftChars="0" w:firstLine="275" w:firstLineChars="131"/>
        <w:rPr>
          <w:rFonts w:hint="eastAsia"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256A9F9E">
      <w:pPr>
        <w:pageBreakBefore w:val="0"/>
        <w:widowControl w:val="0"/>
        <w:kinsoku/>
        <w:wordWrap/>
        <w:overflowPunct/>
        <w:topLinePunct w:val="0"/>
        <w:autoSpaceDE/>
        <w:autoSpaceDN/>
        <w:bidi w:val="0"/>
        <w:spacing w:line="360" w:lineRule="auto"/>
        <w:ind w:left="0" w:leftChars="0" w:firstLine="316" w:firstLineChars="131"/>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4.磋商费用</w:t>
      </w:r>
    </w:p>
    <w:p w14:paraId="038D26FF">
      <w:pPr>
        <w:pageBreakBefore w:val="0"/>
        <w:widowControl w:val="0"/>
        <w:kinsoku/>
        <w:wordWrap/>
        <w:overflowPunct/>
        <w:topLinePunct w:val="0"/>
        <w:autoSpaceDE/>
        <w:autoSpaceDN/>
        <w:bidi w:val="0"/>
        <w:spacing w:line="360" w:lineRule="auto"/>
        <w:ind w:left="0" w:leftChars="0" w:firstLine="275" w:firstLineChars="131"/>
        <w:rPr>
          <w:rFonts w:hint="eastAsia"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供应商应承担参与本次采购活动有关的所有费用，包括但不限于、勘查现场、编制和提交响应文件、参加磋商与应答、签订合同等，不论竞标结果如何，均应自行承担。</w:t>
      </w:r>
    </w:p>
    <w:p w14:paraId="277DE90B">
      <w:pPr>
        <w:pageBreakBefore w:val="0"/>
        <w:widowControl w:val="0"/>
        <w:kinsoku/>
        <w:wordWrap/>
        <w:overflowPunct/>
        <w:topLinePunct w:val="0"/>
        <w:autoSpaceDE/>
        <w:autoSpaceDN/>
        <w:bidi w:val="0"/>
        <w:spacing w:line="360" w:lineRule="auto"/>
        <w:ind w:left="0" w:leftChars="0" w:firstLine="316" w:firstLineChars="131"/>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5.联合体竞标</w:t>
      </w:r>
    </w:p>
    <w:p w14:paraId="0472E6A1">
      <w:pPr>
        <w:pageBreakBefore w:val="0"/>
        <w:widowControl w:val="0"/>
        <w:kinsoku/>
        <w:wordWrap/>
        <w:overflowPunct/>
        <w:topLinePunct w:val="0"/>
        <w:autoSpaceDE/>
        <w:autoSpaceDN/>
        <w:bidi w:val="0"/>
        <w:spacing w:line="360" w:lineRule="auto"/>
        <w:ind w:left="0" w:leftChars="0" w:firstLine="275" w:firstLineChars="131"/>
        <w:rPr>
          <w:rFonts w:hint="eastAsia"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14:paraId="70EDA7A2">
      <w:pPr>
        <w:pageBreakBefore w:val="0"/>
        <w:widowControl w:val="0"/>
        <w:kinsoku/>
        <w:wordWrap/>
        <w:overflowPunct/>
        <w:topLinePunct w:val="0"/>
        <w:autoSpaceDE/>
        <w:autoSpaceDN/>
        <w:bidi w:val="0"/>
        <w:spacing w:line="360" w:lineRule="auto"/>
        <w:ind w:left="0" w:leftChars="0" w:firstLine="275" w:firstLineChars="131"/>
        <w:rPr>
          <w:rFonts w:hint="eastAsia"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olor w:val="auto"/>
          <w:highlight w:val="none"/>
        </w:rPr>
        <w:t>如接受联合体竞标，</w:t>
      </w:r>
      <w:r>
        <w:rPr>
          <w:rFonts w:hint="eastAsia" w:ascii="宋体" w:hAnsi="宋体" w:cs="宋体"/>
          <w:color w:val="auto"/>
          <w:szCs w:val="21"/>
          <w:highlight w:val="none"/>
        </w:rPr>
        <w:t>联合体竞标要求详见“供应商须知前附表”。</w:t>
      </w:r>
    </w:p>
    <w:p w14:paraId="71D8C81B">
      <w:pPr>
        <w:pageBreakBefore w:val="0"/>
        <w:widowControl w:val="0"/>
        <w:kinsoku/>
        <w:wordWrap/>
        <w:overflowPunct/>
        <w:topLinePunct w:val="0"/>
        <w:autoSpaceDE/>
        <w:autoSpaceDN/>
        <w:bidi w:val="0"/>
        <w:spacing w:line="360" w:lineRule="auto"/>
        <w:ind w:left="0" w:leftChars="0" w:firstLine="275" w:firstLineChars="131"/>
        <w:rPr>
          <w:rFonts w:hint="eastAsia" w:ascii="宋体" w:hAnsi="宋体"/>
          <w:bCs/>
          <w:color w:val="auto"/>
          <w:szCs w:val="21"/>
          <w:highlight w:val="none"/>
        </w:rPr>
      </w:pPr>
      <w:r>
        <w:rPr>
          <w:rFonts w:hint="eastAsia" w:ascii="宋体" w:hAnsi="宋体" w:cs="宋体"/>
          <w:color w:val="auto"/>
          <w:szCs w:val="21"/>
          <w:highlight w:val="none"/>
        </w:rPr>
        <w:t>5.3根据《政府采购促进中小企业发展管理办法》（财库[2020]46号）第九条及《广西壮族自治区财政厅关于进一步发挥政府采购政策功能促进企业发展的通知》（桂财采〔2022〕30号）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38298C89">
      <w:pPr>
        <w:pageBreakBefore w:val="0"/>
        <w:widowControl w:val="0"/>
        <w:kinsoku/>
        <w:wordWrap/>
        <w:overflowPunct/>
        <w:topLinePunct w:val="0"/>
        <w:autoSpaceDE/>
        <w:autoSpaceDN/>
        <w:bidi w:val="0"/>
        <w:spacing w:line="360" w:lineRule="auto"/>
        <w:ind w:left="0" w:leftChars="0" w:firstLine="316" w:firstLineChars="131"/>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 xml:space="preserve">6.转包与分包             </w:t>
      </w:r>
    </w:p>
    <w:p w14:paraId="65F53DD6">
      <w:pPr>
        <w:pageBreakBefore w:val="0"/>
        <w:widowControl w:val="0"/>
        <w:kinsoku/>
        <w:wordWrap/>
        <w:overflowPunct/>
        <w:topLinePunct w:val="0"/>
        <w:autoSpaceDE/>
        <w:autoSpaceDN/>
        <w:bidi w:val="0"/>
        <w:spacing w:line="360" w:lineRule="auto"/>
        <w:ind w:left="0" w:leftChars="0" w:firstLine="275" w:firstLineChars="131"/>
        <w:rPr>
          <w:rFonts w:hint="eastAsia" w:ascii="宋体" w:hAnsi="宋体" w:cs="宋体"/>
          <w:color w:val="auto"/>
          <w:szCs w:val="21"/>
          <w:highlight w:val="none"/>
        </w:rPr>
      </w:pPr>
      <w:r>
        <w:rPr>
          <w:rFonts w:hint="eastAsia" w:ascii="宋体" w:hAnsi="宋体" w:cs="宋体"/>
          <w:color w:val="auto"/>
          <w:szCs w:val="21"/>
          <w:highlight w:val="none"/>
        </w:rPr>
        <w:t>6.1本项目是否允许分包详见“供应商须知前附表”，本项目不允许违法分包。</w:t>
      </w:r>
    </w:p>
    <w:p w14:paraId="6A2AFA87">
      <w:pPr>
        <w:pageBreakBefore w:val="0"/>
        <w:widowControl w:val="0"/>
        <w:kinsoku/>
        <w:wordWrap/>
        <w:overflowPunct/>
        <w:topLinePunct w:val="0"/>
        <w:autoSpaceDE/>
        <w:autoSpaceDN/>
        <w:bidi w:val="0"/>
        <w:spacing w:line="360" w:lineRule="auto"/>
        <w:ind w:left="0" w:leftChars="0" w:firstLine="275" w:firstLineChars="131"/>
        <w:rPr>
          <w:rFonts w:hint="eastAsia" w:ascii="宋体" w:hAnsi="宋体" w:cs="宋体"/>
          <w:color w:val="auto"/>
          <w:szCs w:val="21"/>
          <w:highlight w:val="none"/>
        </w:rPr>
      </w:pPr>
      <w:bookmarkStart w:id="34" w:name="_Toc254970673"/>
      <w:bookmarkStart w:id="35" w:name="_Toc254970532"/>
      <w:r>
        <w:rPr>
          <w:rFonts w:hint="eastAsia" w:ascii="宋体" w:hAnsi="宋体" w:cs="宋体"/>
          <w:color w:val="auto"/>
          <w:szCs w:val="21"/>
          <w:highlight w:val="none"/>
        </w:rPr>
        <w:t>6.2根据《政府采购促进中小企业发展管理办法》（财库[2020]46号）第九条及《广西壮族自治区财政厅关于进一步发挥政府采购政策功能促进企业发展的通知》（桂财采〔2022〕30号）规定，允许大中型企业向一家或者多家小微企业分包的采购项目，对于分包意向协议约定小微企业的合同份额占到合同总金额 30%以上的，采购人、采购代理机构应当对大中型企业的报价给予 4%-6%（工程项目为 1%—2%）的扣除，用扣除后的价格参加评审。接受分包的小微企业与分包企业之间存在直接控股、管理关系的，不享受价格扣除优惠政策。</w:t>
      </w:r>
    </w:p>
    <w:p w14:paraId="0415626F">
      <w:pPr>
        <w:pageBreakBefore w:val="0"/>
        <w:widowControl w:val="0"/>
        <w:kinsoku/>
        <w:wordWrap/>
        <w:overflowPunct/>
        <w:topLinePunct w:val="0"/>
        <w:autoSpaceDE/>
        <w:autoSpaceDN/>
        <w:bidi w:val="0"/>
        <w:spacing w:line="360" w:lineRule="auto"/>
        <w:ind w:left="0" w:leftChars="0" w:firstLine="316" w:firstLineChars="131"/>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7.特别说明</w:t>
      </w:r>
      <w:bookmarkEnd w:id="34"/>
      <w:bookmarkEnd w:id="35"/>
    </w:p>
    <w:p w14:paraId="5E0C0CB4">
      <w:pPr>
        <w:pageBreakBefore w:val="0"/>
        <w:widowControl w:val="0"/>
        <w:kinsoku/>
        <w:wordWrap/>
        <w:overflowPunct/>
        <w:topLinePunct w:val="0"/>
        <w:autoSpaceDE/>
        <w:autoSpaceDN/>
        <w:bidi w:val="0"/>
        <w:spacing w:line="360" w:lineRule="auto"/>
        <w:ind w:left="0" w:leftChars="0" w:firstLine="276" w:firstLineChars="131"/>
        <w:rPr>
          <w:rFonts w:hint="eastAsia" w:ascii="宋体" w:hAnsi="宋体" w:eastAsia="宋体" w:cs="宋体"/>
          <w:b/>
          <w:bCs/>
          <w:color w:val="auto"/>
          <w:szCs w:val="21"/>
          <w:highlight w:val="none"/>
          <w:lang w:eastAsia="zh-CN"/>
        </w:rPr>
      </w:pPr>
      <w:bookmarkStart w:id="36" w:name="_8.1提供相同品牌产品且通过资格审查、符合性审查的不同投标人参加同一合"/>
      <w:bookmarkEnd w:id="36"/>
      <w:r>
        <w:rPr>
          <w:rFonts w:hint="eastAsia" w:ascii="宋体" w:hAnsi="宋体" w:cs="宋体"/>
          <w:b/>
          <w:bCs/>
          <w:color w:val="auto"/>
          <w:szCs w:val="21"/>
          <w:highlight w:val="none"/>
        </w:rPr>
        <w:t>7.</w:t>
      </w:r>
      <w:r>
        <w:rPr>
          <w:rFonts w:ascii="宋体" w:hAnsi="宋体" w:cs="宋体"/>
          <w:b/>
          <w:bCs/>
          <w:color w:val="auto"/>
          <w:szCs w:val="21"/>
          <w:highlight w:val="none"/>
        </w:rPr>
        <w:t>1</w:t>
      </w:r>
      <w:bookmarkStart w:id="37" w:name="_Hlk65832145"/>
      <w:r>
        <w:rPr>
          <w:rFonts w:hint="eastAsia" w:ascii="宋体" w:hAnsi="宋体"/>
          <w:b/>
          <w:bCs/>
          <w:color w:val="auto"/>
          <w:szCs w:val="21"/>
          <w:highlight w:val="none"/>
        </w:rPr>
        <w:t>如果本磋商文件要求提供供应商或制造商的资格、信誉、荣誉、业绩与企业认证等材料的，资格、信誉、荣誉、业绩与企业认证等必须为供应商或者制造商所拥有或自身获得</w:t>
      </w:r>
      <w:r>
        <w:rPr>
          <w:rFonts w:hint="eastAsia" w:ascii="宋体" w:hAnsi="宋体"/>
          <w:b/>
          <w:bCs/>
          <w:color w:val="auto"/>
          <w:szCs w:val="21"/>
          <w:highlight w:val="none"/>
          <w:lang w:eastAsia="zh-CN"/>
        </w:rPr>
        <w:t>。</w:t>
      </w:r>
    </w:p>
    <w:bookmarkEnd w:id="37"/>
    <w:p w14:paraId="230C052C">
      <w:pPr>
        <w:pageBreakBefore w:val="0"/>
        <w:widowControl w:val="0"/>
        <w:kinsoku/>
        <w:wordWrap/>
        <w:overflowPunct/>
        <w:topLinePunct w:val="0"/>
        <w:autoSpaceDE/>
        <w:autoSpaceDN/>
        <w:bidi w:val="0"/>
        <w:spacing w:line="360" w:lineRule="auto"/>
        <w:ind w:left="0" w:leftChars="0" w:firstLine="276" w:firstLineChars="131"/>
        <w:rPr>
          <w:rFonts w:hint="eastAsia" w:ascii="宋体" w:hAnsi="宋体" w:cs="宋体"/>
          <w:b/>
          <w:bCs/>
          <w:color w:val="auto"/>
          <w:szCs w:val="21"/>
          <w:highlight w:val="none"/>
        </w:rPr>
      </w:pPr>
      <w:r>
        <w:rPr>
          <w:rFonts w:hint="eastAsia" w:ascii="宋体" w:hAnsi="宋体" w:cs="宋体"/>
          <w:b/>
          <w:bCs/>
          <w:color w:val="auto"/>
          <w:szCs w:val="21"/>
          <w:highlight w:val="none"/>
        </w:rPr>
        <w:t>7.</w:t>
      </w:r>
      <w:r>
        <w:rPr>
          <w:rFonts w:ascii="宋体" w:hAnsi="宋体" w:cs="宋体"/>
          <w:b/>
          <w:bCs/>
          <w:color w:val="auto"/>
          <w:szCs w:val="21"/>
          <w:highlight w:val="none"/>
        </w:rPr>
        <w:t>2</w:t>
      </w:r>
      <w:r>
        <w:rPr>
          <w:rFonts w:hint="eastAsia" w:ascii="宋体" w:hAnsi="宋体" w:cs="宋体"/>
          <w:b/>
          <w:bCs/>
          <w:color w:val="auto"/>
          <w:szCs w:val="21"/>
          <w:highlight w:val="none"/>
        </w:rPr>
        <w:t>供应商应仔细阅读磋商文件的所有内容，按照磋商文件的要求提交响应文件，并对所提供的全部资料的真实性承担法律责任。</w:t>
      </w:r>
    </w:p>
    <w:p w14:paraId="66281087">
      <w:pPr>
        <w:pageBreakBefore w:val="0"/>
        <w:widowControl w:val="0"/>
        <w:kinsoku/>
        <w:wordWrap/>
        <w:overflowPunct/>
        <w:topLinePunct w:val="0"/>
        <w:autoSpaceDE/>
        <w:autoSpaceDN/>
        <w:bidi w:val="0"/>
        <w:spacing w:line="360" w:lineRule="auto"/>
        <w:ind w:left="0" w:leftChars="0" w:firstLine="276" w:firstLineChars="131"/>
        <w:rPr>
          <w:rFonts w:hint="eastAsia" w:ascii="宋体" w:hAnsi="宋体" w:cs="宋体"/>
          <w:b/>
          <w:bCs/>
          <w:color w:val="auto"/>
          <w:szCs w:val="21"/>
          <w:highlight w:val="none"/>
        </w:rPr>
      </w:pPr>
      <w:r>
        <w:rPr>
          <w:rFonts w:hint="eastAsia" w:ascii="宋体" w:hAnsi="宋体" w:cs="宋体"/>
          <w:b/>
          <w:bCs/>
          <w:color w:val="auto"/>
          <w:szCs w:val="21"/>
          <w:highlight w:val="none"/>
        </w:rPr>
        <w:t>7.</w:t>
      </w:r>
      <w:r>
        <w:rPr>
          <w:rFonts w:ascii="宋体" w:hAnsi="宋体" w:cs="宋体"/>
          <w:b/>
          <w:bCs/>
          <w:color w:val="auto"/>
          <w:szCs w:val="21"/>
          <w:highlight w:val="none"/>
        </w:rPr>
        <w:t>3</w:t>
      </w:r>
      <w:r>
        <w:rPr>
          <w:rFonts w:hint="eastAsia" w:ascii="宋体" w:hAnsi="宋体" w:cs="宋体"/>
          <w:b/>
          <w:bCs/>
          <w:color w:val="auto"/>
          <w:szCs w:val="21"/>
          <w:highlight w:val="none"/>
        </w:rPr>
        <w:t>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6D8FC874">
      <w:pPr>
        <w:pageBreakBefore w:val="0"/>
        <w:widowControl w:val="0"/>
        <w:kinsoku/>
        <w:wordWrap/>
        <w:overflowPunct/>
        <w:topLinePunct w:val="0"/>
        <w:autoSpaceDE/>
        <w:autoSpaceDN/>
        <w:bidi w:val="0"/>
        <w:spacing w:line="360" w:lineRule="auto"/>
        <w:ind w:left="0" w:leftChars="0" w:firstLine="276" w:firstLineChars="131"/>
        <w:rPr>
          <w:rFonts w:hint="eastAsia" w:ascii="宋体" w:hAnsi="宋体" w:cs="宋体"/>
          <w:b/>
          <w:bCs/>
          <w:color w:val="auto"/>
          <w:szCs w:val="21"/>
          <w:highlight w:val="none"/>
        </w:rPr>
      </w:pPr>
      <w:r>
        <w:rPr>
          <w:rFonts w:hint="eastAsia" w:ascii="宋体" w:hAnsi="宋体" w:cs="宋体"/>
          <w:b/>
          <w:bCs/>
          <w:color w:val="auto"/>
          <w:szCs w:val="21"/>
          <w:highlight w:val="none"/>
        </w:rPr>
        <w:t>7.</w:t>
      </w:r>
      <w:r>
        <w:rPr>
          <w:rFonts w:ascii="宋体" w:hAnsi="宋体" w:cs="宋体"/>
          <w:b/>
          <w:bCs/>
          <w:color w:val="auto"/>
          <w:szCs w:val="21"/>
          <w:highlight w:val="none"/>
        </w:rPr>
        <w:t>4</w:t>
      </w:r>
      <w:r>
        <w:rPr>
          <w:rFonts w:hint="eastAsia" w:ascii="宋体" w:hAnsi="宋体" w:cs="宋体"/>
          <w:b/>
          <w:bCs/>
          <w:color w:val="auto"/>
          <w:szCs w:val="21"/>
          <w:highlight w:val="none"/>
        </w:rPr>
        <w:t>在政府采购活动中，采购人员及相关人员与供应商有下列利害关系之一的，应当回避：</w:t>
      </w:r>
    </w:p>
    <w:p w14:paraId="21985BF3">
      <w:pPr>
        <w:pageBreakBefore w:val="0"/>
        <w:widowControl w:val="0"/>
        <w:kinsoku/>
        <w:wordWrap/>
        <w:overflowPunct/>
        <w:topLinePunct w:val="0"/>
        <w:autoSpaceDE/>
        <w:autoSpaceDN/>
        <w:bidi w:val="0"/>
        <w:spacing w:line="360" w:lineRule="auto"/>
        <w:ind w:left="0" w:leftChars="0" w:firstLine="275" w:firstLineChars="131"/>
        <w:rPr>
          <w:rFonts w:hint="eastAsia"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04226FBA">
      <w:pPr>
        <w:pageBreakBefore w:val="0"/>
        <w:widowControl w:val="0"/>
        <w:kinsoku/>
        <w:wordWrap/>
        <w:overflowPunct/>
        <w:topLinePunct w:val="0"/>
        <w:autoSpaceDE/>
        <w:autoSpaceDN/>
        <w:bidi w:val="0"/>
        <w:spacing w:line="360" w:lineRule="auto"/>
        <w:ind w:left="0" w:leftChars="0" w:firstLine="275" w:firstLineChars="131"/>
        <w:rPr>
          <w:rFonts w:hint="eastAsia"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09848B90">
      <w:pPr>
        <w:pageBreakBefore w:val="0"/>
        <w:widowControl w:val="0"/>
        <w:kinsoku/>
        <w:wordWrap/>
        <w:overflowPunct/>
        <w:topLinePunct w:val="0"/>
        <w:autoSpaceDE/>
        <w:autoSpaceDN/>
        <w:bidi w:val="0"/>
        <w:spacing w:line="360" w:lineRule="auto"/>
        <w:ind w:left="0" w:leftChars="0" w:firstLine="275" w:firstLineChars="131"/>
        <w:rPr>
          <w:rFonts w:hint="eastAsia"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74F2D148">
      <w:pPr>
        <w:pageBreakBefore w:val="0"/>
        <w:widowControl w:val="0"/>
        <w:kinsoku/>
        <w:wordWrap/>
        <w:overflowPunct/>
        <w:topLinePunct w:val="0"/>
        <w:autoSpaceDE/>
        <w:autoSpaceDN/>
        <w:bidi w:val="0"/>
        <w:spacing w:line="360" w:lineRule="auto"/>
        <w:ind w:left="0" w:leftChars="0" w:firstLine="275" w:firstLineChars="131"/>
        <w:rPr>
          <w:rFonts w:hint="eastAsia"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49B55987">
      <w:pPr>
        <w:pageBreakBefore w:val="0"/>
        <w:widowControl w:val="0"/>
        <w:kinsoku/>
        <w:wordWrap/>
        <w:overflowPunct/>
        <w:topLinePunct w:val="0"/>
        <w:autoSpaceDE/>
        <w:autoSpaceDN/>
        <w:bidi w:val="0"/>
        <w:spacing w:line="360" w:lineRule="auto"/>
        <w:ind w:left="0" w:leftChars="0" w:firstLine="275" w:firstLineChars="131"/>
        <w:rPr>
          <w:rFonts w:hint="eastAsia"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4DEEE096">
      <w:pPr>
        <w:pageBreakBefore w:val="0"/>
        <w:widowControl w:val="0"/>
        <w:kinsoku/>
        <w:wordWrap/>
        <w:overflowPunct/>
        <w:topLinePunct w:val="0"/>
        <w:autoSpaceDE/>
        <w:autoSpaceDN/>
        <w:bidi w:val="0"/>
        <w:spacing w:line="360" w:lineRule="auto"/>
        <w:ind w:left="0" w:leftChars="0" w:firstLine="275" w:firstLineChars="131"/>
        <w:rPr>
          <w:rFonts w:hint="eastAsia"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1C202C2C">
      <w:pPr>
        <w:pageBreakBefore w:val="0"/>
        <w:widowControl w:val="0"/>
        <w:kinsoku/>
        <w:wordWrap/>
        <w:overflowPunct/>
        <w:topLinePunct w:val="0"/>
        <w:autoSpaceDE/>
        <w:autoSpaceDN/>
        <w:bidi w:val="0"/>
        <w:spacing w:line="360" w:lineRule="auto"/>
        <w:ind w:left="0" w:leftChars="0" w:firstLine="276" w:firstLineChars="131"/>
        <w:rPr>
          <w:rFonts w:hint="eastAsia" w:ascii="宋体" w:hAnsi="宋体" w:cs="宋体"/>
          <w:b/>
          <w:bCs/>
          <w:color w:val="auto"/>
          <w:szCs w:val="21"/>
          <w:highlight w:val="none"/>
        </w:rPr>
      </w:pPr>
      <w:r>
        <w:rPr>
          <w:rFonts w:hint="eastAsia" w:ascii="宋体" w:hAnsi="宋体" w:cs="宋体"/>
          <w:b/>
          <w:bCs/>
          <w:color w:val="auto"/>
          <w:szCs w:val="21"/>
          <w:highlight w:val="none"/>
        </w:rPr>
        <w:t>7.</w:t>
      </w:r>
      <w:r>
        <w:rPr>
          <w:rFonts w:ascii="宋体" w:hAnsi="宋体" w:cs="宋体"/>
          <w:b/>
          <w:bCs/>
          <w:color w:val="auto"/>
          <w:szCs w:val="21"/>
          <w:highlight w:val="none"/>
        </w:rPr>
        <w:t>5</w:t>
      </w:r>
      <w:r>
        <w:rPr>
          <w:rFonts w:hint="eastAsia" w:ascii="宋体" w:hAnsi="宋体" w:cs="宋体"/>
          <w:b/>
          <w:bCs/>
          <w:color w:val="auto"/>
          <w:szCs w:val="21"/>
          <w:highlight w:val="none"/>
        </w:rPr>
        <w:t>有下列情形之一的视为供应商相互串通竞标，响应文件将被视为无效：</w:t>
      </w:r>
    </w:p>
    <w:p w14:paraId="7D05BB48">
      <w:pPr>
        <w:pageBreakBefore w:val="0"/>
        <w:widowControl w:val="0"/>
        <w:kinsoku/>
        <w:wordWrap/>
        <w:overflowPunct/>
        <w:topLinePunct w:val="0"/>
        <w:autoSpaceDE/>
        <w:autoSpaceDN/>
        <w:bidi w:val="0"/>
        <w:spacing w:line="360" w:lineRule="auto"/>
        <w:ind w:left="0" w:leftChars="0" w:firstLine="275" w:firstLineChars="131"/>
        <w:rPr>
          <w:rFonts w:hint="eastAsia" w:ascii="宋体" w:hAnsi="宋体" w:cs="宋体"/>
          <w:color w:val="auto"/>
          <w:szCs w:val="21"/>
          <w:highlight w:val="none"/>
        </w:rPr>
      </w:pPr>
      <w:r>
        <w:rPr>
          <w:rFonts w:hint="eastAsia" w:ascii="宋体" w:hAnsi="宋体" w:cs="宋体"/>
          <w:color w:val="auto"/>
          <w:szCs w:val="21"/>
          <w:highlight w:val="none"/>
        </w:rPr>
        <w:t xml:space="preserve">（1）不同供应商的响应文件由同一单位或者个人编制； </w:t>
      </w:r>
    </w:p>
    <w:p w14:paraId="41C42700">
      <w:pPr>
        <w:pageBreakBefore w:val="0"/>
        <w:widowControl w:val="0"/>
        <w:kinsoku/>
        <w:wordWrap/>
        <w:overflowPunct/>
        <w:topLinePunct w:val="0"/>
        <w:autoSpaceDE/>
        <w:autoSpaceDN/>
        <w:bidi w:val="0"/>
        <w:spacing w:line="360" w:lineRule="auto"/>
        <w:ind w:left="0" w:leftChars="0" w:firstLine="275" w:firstLineChars="131"/>
        <w:rPr>
          <w:rFonts w:hint="eastAsia"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06839485">
      <w:pPr>
        <w:pageBreakBefore w:val="0"/>
        <w:widowControl w:val="0"/>
        <w:kinsoku/>
        <w:wordWrap/>
        <w:overflowPunct/>
        <w:topLinePunct w:val="0"/>
        <w:autoSpaceDE/>
        <w:autoSpaceDN/>
        <w:bidi w:val="0"/>
        <w:spacing w:line="360" w:lineRule="auto"/>
        <w:ind w:left="0" w:leftChars="0" w:firstLine="276" w:firstLineChars="131"/>
        <w:rPr>
          <w:rFonts w:hint="eastAsia" w:ascii="宋体" w:hAnsi="宋体" w:cs="宋体"/>
          <w:b/>
          <w:bCs/>
          <w:color w:val="auto"/>
          <w:szCs w:val="21"/>
          <w:highlight w:val="none"/>
        </w:rPr>
      </w:pPr>
      <w:r>
        <w:rPr>
          <w:rFonts w:hint="eastAsia" w:ascii="宋体" w:hAnsi="宋体" w:cs="宋体"/>
          <w:b/>
          <w:bCs/>
          <w:color w:val="auto"/>
          <w:szCs w:val="21"/>
          <w:highlight w:val="none"/>
        </w:rPr>
        <w:t>（3）不同的供应商的响应文件载明的项目管理员为同一个人；</w:t>
      </w:r>
    </w:p>
    <w:p w14:paraId="29C71417">
      <w:pPr>
        <w:pageBreakBefore w:val="0"/>
        <w:widowControl w:val="0"/>
        <w:kinsoku/>
        <w:wordWrap/>
        <w:overflowPunct/>
        <w:topLinePunct w:val="0"/>
        <w:autoSpaceDE/>
        <w:autoSpaceDN/>
        <w:bidi w:val="0"/>
        <w:spacing w:line="360" w:lineRule="auto"/>
        <w:ind w:left="0" w:leftChars="0" w:firstLine="276" w:firstLineChars="131"/>
        <w:rPr>
          <w:rFonts w:hint="eastAsia" w:ascii="宋体" w:hAnsi="宋体" w:cs="宋体"/>
          <w:b/>
          <w:bCs/>
          <w:color w:val="auto"/>
          <w:szCs w:val="21"/>
          <w:highlight w:val="none"/>
        </w:rPr>
      </w:pPr>
      <w:r>
        <w:rPr>
          <w:rFonts w:hint="eastAsia" w:ascii="宋体" w:hAnsi="宋体" w:cs="宋体"/>
          <w:b/>
          <w:bCs/>
          <w:color w:val="auto"/>
          <w:szCs w:val="21"/>
          <w:highlight w:val="none"/>
        </w:rPr>
        <w:t>（4）不同供应商的响应文件异常一致或者报价呈规律性差异；</w:t>
      </w:r>
    </w:p>
    <w:p w14:paraId="24180A17">
      <w:pPr>
        <w:pageBreakBefore w:val="0"/>
        <w:widowControl w:val="0"/>
        <w:kinsoku/>
        <w:wordWrap/>
        <w:overflowPunct/>
        <w:topLinePunct w:val="0"/>
        <w:autoSpaceDE/>
        <w:autoSpaceDN/>
        <w:bidi w:val="0"/>
        <w:spacing w:line="360" w:lineRule="auto"/>
        <w:ind w:left="0" w:leftChars="0" w:firstLine="275" w:firstLineChars="131"/>
        <w:rPr>
          <w:rFonts w:hint="eastAsia"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36FACC20">
      <w:pPr>
        <w:pageBreakBefore w:val="0"/>
        <w:widowControl w:val="0"/>
        <w:tabs>
          <w:tab w:val="left" w:pos="6931"/>
        </w:tabs>
        <w:kinsoku/>
        <w:wordWrap/>
        <w:overflowPunct/>
        <w:topLinePunct w:val="0"/>
        <w:autoSpaceDE/>
        <w:autoSpaceDN/>
        <w:bidi w:val="0"/>
        <w:spacing w:line="360" w:lineRule="auto"/>
        <w:ind w:left="0" w:leftChars="0" w:firstLine="275" w:firstLineChars="131"/>
        <w:rPr>
          <w:rFonts w:hint="eastAsia"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r>
        <w:rPr>
          <w:rFonts w:ascii="宋体" w:hAnsi="宋体" w:cs="宋体"/>
          <w:color w:val="auto"/>
          <w:szCs w:val="21"/>
          <w:highlight w:val="none"/>
        </w:rPr>
        <w:tab/>
      </w:r>
    </w:p>
    <w:p w14:paraId="7F7BE0B9">
      <w:pPr>
        <w:pageBreakBefore w:val="0"/>
        <w:widowControl w:val="0"/>
        <w:kinsoku/>
        <w:wordWrap/>
        <w:overflowPunct/>
        <w:topLinePunct w:val="0"/>
        <w:autoSpaceDE/>
        <w:autoSpaceDN/>
        <w:bidi w:val="0"/>
        <w:spacing w:line="360" w:lineRule="auto"/>
        <w:ind w:left="0" w:leftChars="0" w:firstLine="276" w:firstLineChars="131"/>
        <w:rPr>
          <w:rFonts w:hint="eastAsia" w:ascii="宋体" w:hAnsi="宋体" w:cs="宋体"/>
          <w:b/>
          <w:bCs/>
          <w:color w:val="auto"/>
          <w:szCs w:val="21"/>
          <w:highlight w:val="none"/>
        </w:rPr>
      </w:pPr>
      <w:r>
        <w:rPr>
          <w:rFonts w:hint="eastAsia" w:ascii="宋体" w:hAnsi="宋体" w:cs="宋体"/>
          <w:b/>
          <w:bCs/>
          <w:color w:val="auto"/>
          <w:szCs w:val="21"/>
          <w:highlight w:val="none"/>
        </w:rPr>
        <w:t>7.</w:t>
      </w:r>
      <w:r>
        <w:rPr>
          <w:rFonts w:ascii="宋体" w:hAnsi="宋体" w:cs="宋体"/>
          <w:b/>
          <w:bCs/>
          <w:color w:val="auto"/>
          <w:szCs w:val="21"/>
          <w:highlight w:val="none"/>
        </w:rPr>
        <w:t>6</w:t>
      </w:r>
      <w:r>
        <w:rPr>
          <w:rFonts w:hint="eastAsia" w:ascii="宋体" w:hAnsi="宋体" w:cs="宋体"/>
          <w:b/>
          <w:bCs/>
          <w:color w:val="auto"/>
          <w:szCs w:val="21"/>
          <w:highlight w:val="none"/>
        </w:rPr>
        <w:t>供应商有下列情形之一的，属于恶意串通行为，将报同级监督管理部门：</w:t>
      </w:r>
    </w:p>
    <w:p w14:paraId="1F03A431">
      <w:pPr>
        <w:pageBreakBefore w:val="0"/>
        <w:widowControl w:val="0"/>
        <w:kinsoku/>
        <w:wordWrap/>
        <w:overflowPunct/>
        <w:topLinePunct w:val="0"/>
        <w:autoSpaceDE/>
        <w:autoSpaceDN/>
        <w:bidi w:val="0"/>
        <w:spacing w:line="360" w:lineRule="auto"/>
        <w:ind w:left="0" w:leftChars="0" w:firstLine="275" w:firstLineChars="131"/>
        <w:rPr>
          <w:rFonts w:hint="eastAsia"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16C8DCB9">
      <w:pPr>
        <w:pageBreakBefore w:val="0"/>
        <w:widowControl w:val="0"/>
        <w:kinsoku/>
        <w:wordWrap/>
        <w:overflowPunct/>
        <w:topLinePunct w:val="0"/>
        <w:autoSpaceDE/>
        <w:autoSpaceDN/>
        <w:bidi w:val="0"/>
        <w:spacing w:line="360" w:lineRule="auto"/>
        <w:ind w:left="0" w:leftChars="0" w:firstLine="275" w:firstLineChars="131"/>
        <w:rPr>
          <w:rFonts w:hint="eastAsia"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2EB3D707">
      <w:pPr>
        <w:pageBreakBefore w:val="0"/>
        <w:widowControl w:val="0"/>
        <w:kinsoku/>
        <w:wordWrap/>
        <w:overflowPunct/>
        <w:topLinePunct w:val="0"/>
        <w:autoSpaceDE/>
        <w:autoSpaceDN/>
        <w:bidi w:val="0"/>
        <w:spacing w:line="360" w:lineRule="auto"/>
        <w:ind w:left="0" w:leftChars="0" w:firstLine="275" w:firstLineChars="131"/>
        <w:rPr>
          <w:rFonts w:hint="eastAsia"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3337D25C">
      <w:pPr>
        <w:pageBreakBefore w:val="0"/>
        <w:widowControl w:val="0"/>
        <w:kinsoku/>
        <w:wordWrap/>
        <w:overflowPunct/>
        <w:topLinePunct w:val="0"/>
        <w:autoSpaceDE/>
        <w:autoSpaceDN/>
        <w:bidi w:val="0"/>
        <w:spacing w:line="360" w:lineRule="auto"/>
        <w:ind w:left="0" w:leftChars="0" w:firstLine="275" w:firstLineChars="131"/>
        <w:rPr>
          <w:rFonts w:hint="eastAsia"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57744C44">
      <w:pPr>
        <w:pageBreakBefore w:val="0"/>
        <w:widowControl w:val="0"/>
        <w:kinsoku/>
        <w:wordWrap/>
        <w:overflowPunct/>
        <w:topLinePunct w:val="0"/>
        <w:autoSpaceDE/>
        <w:autoSpaceDN/>
        <w:bidi w:val="0"/>
        <w:spacing w:line="360" w:lineRule="auto"/>
        <w:ind w:left="0" w:leftChars="0" w:firstLine="275" w:firstLineChars="131"/>
        <w:rPr>
          <w:rFonts w:hint="eastAsia"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79E590FB">
      <w:pPr>
        <w:pageBreakBefore w:val="0"/>
        <w:widowControl w:val="0"/>
        <w:kinsoku/>
        <w:wordWrap/>
        <w:overflowPunct/>
        <w:topLinePunct w:val="0"/>
        <w:autoSpaceDE/>
        <w:autoSpaceDN/>
        <w:bidi w:val="0"/>
        <w:spacing w:line="360" w:lineRule="auto"/>
        <w:ind w:left="0" w:leftChars="0" w:firstLine="275" w:firstLineChars="131"/>
        <w:rPr>
          <w:rFonts w:hint="eastAsia"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51607119">
      <w:pPr>
        <w:pageBreakBefore w:val="0"/>
        <w:widowControl w:val="0"/>
        <w:kinsoku/>
        <w:wordWrap/>
        <w:overflowPunct/>
        <w:topLinePunct w:val="0"/>
        <w:autoSpaceDE/>
        <w:autoSpaceDN/>
        <w:bidi w:val="0"/>
        <w:spacing w:line="360" w:lineRule="auto"/>
        <w:ind w:left="0" w:leftChars="0" w:firstLine="275" w:firstLineChars="131"/>
        <w:rPr>
          <w:rFonts w:hint="eastAsia"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36666134">
      <w:pPr>
        <w:pStyle w:val="4"/>
        <w:pageBreakBefore w:val="0"/>
        <w:widowControl w:val="0"/>
        <w:kinsoku/>
        <w:wordWrap/>
        <w:overflowPunct/>
        <w:topLinePunct w:val="0"/>
        <w:autoSpaceDE/>
        <w:autoSpaceDN/>
        <w:bidi w:val="0"/>
        <w:spacing w:before="0" w:after="0" w:line="360" w:lineRule="auto"/>
        <w:ind w:left="0" w:leftChars="0" w:firstLine="419" w:firstLineChars="131"/>
        <w:rPr>
          <w:rFonts w:hint="eastAsia" w:ascii="宋体" w:hAnsi="宋体"/>
          <w:b w:val="0"/>
          <w:bCs w:val="0"/>
          <w:color w:val="auto"/>
          <w:highlight w:val="none"/>
        </w:rPr>
      </w:pPr>
      <w:bookmarkStart w:id="38" w:name="_Toc254970675"/>
      <w:bookmarkStart w:id="39" w:name="_Toc14355"/>
      <w:bookmarkStart w:id="40" w:name="_Toc254970534"/>
      <w:r>
        <w:rPr>
          <w:rFonts w:hint="eastAsia" w:ascii="宋体" w:hAnsi="宋体"/>
          <w:b w:val="0"/>
          <w:bCs w:val="0"/>
          <w:color w:val="auto"/>
          <w:highlight w:val="none"/>
        </w:rPr>
        <w:t>二、磋商文件</w:t>
      </w:r>
      <w:bookmarkEnd w:id="38"/>
      <w:bookmarkEnd w:id="39"/>
      <w:bookmarkEnd w:id="40"/>
    </w:p>
    <w:p w14:paraId="419F83B4">
      <w:pPr>
        <w:pageBreakBefore w:val="0"/>
        <w:widowControl w:val="0"/>
        <w:kinsoku/>
        <w:wordWrap/>
        <w:overflowPunct/>
        <w:topLinePunct w:val="0"/>
        <w:autoSpaceDE/>
        <w:autoSpaceDN/>
        <w:bidi w:val="0"/>
        <w:spacing w:line="360" w:lineRule="auto"/>
        <w:ind w:left="0" w:leftChars="0" w:firstLine="316" w:firstLineChars="131"/>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8.磋商文件的构成</w:t>
      </w:r>
    </w:p>
    <w:p w14:paraId="0E14FA0F">
      <w:pPr>
        <w:pageBreakBefore w:val="0"/>
        <w:widowControl w:val="0"/>
        <w:kinsoku/>
        <w:wordWrap/>
        <w:overflowPunct/>
        <w:topLinePunct w:val="0"/>
        <w:autoSpaceDE/>
        <w:autoSpaceDN/>
        <w:bidi w:val="0"/>
        <w:spacing w:line="360" w:lineRule="auto"/>
        <w:ind w:left="0" w:leftChars="0" w:firstLine="275" w:firstLineChars="131"/>
        <w:jc w:val="left"/>
        <w:rPr>
          <w:rFonts w:hint="eastAsia" w:ascii="宋体" w:hAnsi="宋体"/>
          <w:color w:val="auto"/>
          <w:szCs w:val="21"/>
          <w:highlight w:val="none"/>
        </w:rPr>
      </w:pPr>
      <w:r>
        <w:rPr>
          <w:rFonts w:hint="eastAsia" w:ascii="宋体" w:hAnsi="宋体"/>
          <w:color w:val="auto"/>
          <w:szCs w:val="21"/>
          <w:highlight w:val="none"/>
        </w:rPr>
        <w:t>第一章 竞争性磋商公告；</w:t>
      </w:r>
    </w:p>
    <w:p w14:paraId="5A487E93">
      <w:pPr>
        <w:pageBreakBefore w:val="0"/>
        <w:widowControl w:val="0"/>
        <w:kinsoku/>
        <w:wordWrap/>
        <w:overflowPunct/>
        <w:topLinePunct w:val="0"/>
        <w:autoSpaceDE/>
        <w:autoSpaceDN/>
        <w:bidi w:val="0"/>
        <w:spacing w:line="360" w:lineRule="auto"/>
        <w:ind w:left="0" w:leftChars="0" w:firstLine="275" w:firstLineChars="131"/>
        <w:jc w:val="left"/>
        <w:rPr>
          <w:rFonts w:hint="eastAsia" w:ascii="宋体" w:hAnsi="宋体"/>
          <w:color w:val="auto"/>
          <w:szCs w:val="21"/>
          <w:highlight w:val="none"/>
        </w:rPr>
      </w:pPr>
      <w:r>
        <w:rPr>
          <w:rFonts w:hint="eastAsia" w:ascii="宋体" w:hAnsi="宋体"/>
          <w:color w:val="auto"/>
          <w:szCs w:val="21"/>
          <w:highlight w:val="none"/>
        </w:rPr>
        <w:t>第二章 采购需求；</w:t>
      </w:r>
    </w:p>
    <w:p w14:paraId="02B6D066">
      <w:pPr>
        <w:pageBreakBefore w:val="0"/>
        <w:widowControl w:val="0"/>
        <w:kinsoku/>
        <w:wordWrap/>
        <w:overflowPunct/>
        <w:topLinePunct w:val="0"/>
        <w:autoSpaceDE/>
        <w:autoSpaceDN/>
        <w:bidi w:val="0"/>
        <w:spacing w:line="360" w:lineRule="auto"/>
        <w:ind w:left="0" w:leftChars="0" w:firstLine="275" w:firstLineChars="131"/>
        <w:jc w:val="left"/>
        <w:rPr>
          <w:rFonts w:hint="eastAsia" w:ascii="宋体" w:hAnsi="宋体"/>
          <w:color w:val="auto"/>
          <w:szCs w:val="21"/>
          <w:highlight w:val="none"/>
        </w:rPr>
      </w:pPr>
      <w:r>
        <w:rPr>
          <w:rFonts w:hint="eastAsia" w:ascii="宋体" w:hAnsi="宋体"/>
          <w:color w:val="auto"/>
          <w:szCs w:val="21"/>
          <w:highlight w:val="none"/>
        </w:rPr>
        <w:t xml:space="preserve">第三章 供应商须知； </w:t>
      </w:r>
    </w:p>
    <w:p w14:paraId="7F16ADD1">
      <w:pPr>
        <w:pageBreakBefore w:val="0"/>
        <w:widowControl w:val="0"/>
        <w:kinsoku/>
        <w:wordWrap/>
        <w:overflowPunct/>
        <w:topLinePunct w:val="0"/>
        <w:autoSpaceDE/>
        <w:autoSpaceDN/>
        <w:bidi w:val="0"/>
        <w:spacing w:line="360" w:lineRule="auto"/>
        <w:ind w:left="0" w:leftChars="0" w:firstLine="275" w:firstLineChars="131"/>
        <w:jc w:val="left"/>
        <w:rPr>
          <w:rFonts w:hint="eastAsia" w:ascii="宋体" w:hAnsi="宋体"/>
          <w:color w:val="auto"/>
          <w:szCs w:val="21"/>
          <w:highlight w:val="none"/>
        </w:rPr>
      </w:pPr>
      <w:r>
        <w:rPr>
          <w:rFonts w:hint="eastAsia" w:ascii="宋体" w:hAnsi="宋体"/>
          <w:color w:val="auto"/>
          <w:szCs w:val="21"/>
          <w:highlight w:val="none"/>
        </w:rPr>
        <w:t>第四章 评审程序、评审方法和评审标准；</w:t>
      </w:r>
    </w:p>
    <w:p w14:paraId="42FE0EB1">
      <w:pPr>
        <w:pageBreakBefore w:val="0"/>
        <w:widowControl w:val="0"/>
        <w:kinsoku/>
        <w:wordWrap/>
        <w:overflowPunct/>
        <w:topLinePunct w:val="0"/>
        <w:autoSpaceDE/>
        <w:autoSpaceDN/>
        <w:bidi w:val="0"/>
        <w:spacing w:line="360" w:lineRule="auto"/>
        <w:ind w:left="0" w:leftChars="0" w:firstLine="275" w:firstLineChars="131"/>
        <w:jc w:val="left"/>
        <w:rPr>
          <w:rFonts w:hint="eastAsia" w:ascii="宋体" w:hAnsi="宋体"/>
          <w:color w:val="auto"/>
          <w:szCs w:val="21"/>
          <w:highlight w:val="none"/>
        </w:rPr>
      </w:pPr>
      <w:r>
        <w:rPr>
          <w:rFonts w:hint="eastAsia" w:ascii="宋体" w:hAnsi="宋体"/>
          <w:color w:val="auto"/>
          <w:szCs w:val="21"/>
          <w:highlight w:val="none"/>
        </w:rPr>
        <w:t>第五章 响应文件格式；</w:t>
      </w:r>
    </w:p>
    <w:p w14:paraId="65BBD626">
      <w:pPr>
        <w:pageBreakBefore w:val="0"/>
        <w:widowControl w:val="0"/>
        <w:kinsoku/>
        <w:wordWrap/>
        <w:overflowPunct/>
        <w:topLinePunct w:val="0"/>
        <w:autoSpaceDE/>
        <w:autoSpaceDN/>
        <w:bidi w:val="0"/>
        <w:spacing w:line="360" w:lineRule="auto"/>
        <w:ind w:left="0" w:leftChars="0" w:firstLine="275" w:firstLineChars="131"/>
        <w:jc w:val="left"/>
        <w:rPr>
          <w:rFonts w:hint="eastAsia" w:ascii="宋体" w:hAnsi="宋体"/>
          <w:color w:val="auto"/>
          <w:szCs w:val="21"/>
          <w:highlight w:val="none"/>
        </w:rPr>
      </w:pPr>
      <w:r>
        <w:rPr>
          <w:rFonts w:hint="eastAsia" w:ascii="宋体" w:hAnsi="宋体"/>
          <w:color w:val="auto"/>
          <w:szCs w:val="21"/>
          <w:highlight w:val="none"/>
        </w:rPr>
        <w:t>第六章 合同文本；</w:t>
      </w:r>
    </w:p>
    <w:p w14:paraId="288B8B56">
      <w:pPr>
        <w:pageBreakBefore w:val="0"/>
        <w:widowControl w:val="0"/>
        <w:kinsoku/>
        <w:wordWrap/>
        <w:overflowPunct/>
        <w:topLinePunct w:val="0"/>
        <w:autoSpaceDE/>
        <w:autoSpaceDN/>
        <w:bidi w:val="0"/>
        <w:spacing w:line="360" w:lineRule="auto"/>
        <w:ind w:left="0" w:leftChars="0" w:firstLine="275" w:firstLineChars="131"/>
        <w:jc w:val="left"/>
        <w:rPr>
          <w:rFonts w:hint="eastAsia" w:ascii="宋体" w:hAnsi="宋体"/>
          <w:color w:val="auto"/>
          <w:szCs w:val="21"/>
          <w:highlight w:val="none"/>
        </w:rPr>
      </w:pPr>
      <w:r>
        <w:rPr>
          <w:rFonts w:hint="eastAsia" w:ascii="宋体" w:hAnsi="宋体"/>
          <w:color w:val="auto"/>
          <w:szCs w:val="21"/>
          <w:highlight w:val="none"/>
        </w:rPr>
        <w:t>第七章 质疑、投诉材料格式。</w:t>
      </w:r>
    </w:p>
    <w:p w14:paraId="61E893DD">
      <w:pPr>
        <w:pageBreakBefore w:val="0"/>
        <w:widowControl w:val="0"/>
        <w:kinsoku/>
        <w:wordWrap/>
        <w:overflowPunct/>
        <w:topLinePunct w:val="0"/>
        <w:autoSpaceDE/>
        <w:autoSpaceDN/>
        <w:bidi w:val="0"/>
        <w:spacing w:line="360" w:lineRule="auto"/>
        <w:ind w:left="0" w:leftChars="0" w:firstLine="316" w:firstLineChars="131"/>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9.供应商的询问</w:t>
      </w:r>
    </w:p>
    <w:p w14:paraId="371481D8">
      <w:pPr>
        <w:pageBreakBefore w:val="0"/>
        <w:widowControl w:val="0"/>
        <w:kinsoku/>
        <w:wordWrap/>
        <w:overflowPunct/>
        <w:topLinePunct w:val="0"/>
        <w:autoSpaceDE/>
        <w:autoSpaceDN/>
        <w:bidi w:val="0"/>
        <w:spacing w:line="360" w:lineRule="auto"/>
        <w:ind w:left="0" w:leftChars="0" w:firstLine="275" w:firstLineChars="131"/>
        <w:rPr>
          <w:rFonts w:hint="eastAsia" w:ascii="宋体" w:hAnsi="宋体"/>
          <w:color w:val="auto"/>
          <w:szCs w:val="21"/>
          <w:highlight w:val="none"/>
        </w:rPr>
      </w:pPr>
      <w:r>
        <w:rPr>
          <w:rFonts w:hint="eastAsia" w:ascii="宋体" w:hAnsi="宋体"/>
          <w:color w:val="auto"/>
          <w:szCs w:val="21"/>
          <w:highlight w:val="none"/>
        </w:rPr>
        <w:t>供应商应认真阅读磋商文件的采购需求，如供应商对磋商文件有疑问的，如要求采购人作出澄清或者修改的，供应商尽应在</w:t>
      </w:r>
      <w:r>
        <w:rPr>
          <w:rFonts w:ascii="宋体" w:hAnsi="宋体"/>
          <w:color w:val="auto"/>
          <w:szCs w:val="21"/>
          <w:highlight w:val="none"/>
        </w:rPr>
        <w:t>提交首次响应文件截止之日前</w:t>
      </w:r>
      <w:r>
        <w:rPr>
          <w:rFonts w:hint="eastAsia" w:ascii="宋体" w:hAnsi="宋体"/>
          <w:color w:val="auto"/>
          <w:szCs w:val="21"/>
          <w:highlight w:val="none"/>
        </w:rPr>
        <w:t>，以书面形式向</w:t>
      </w:r>
      <w:r>
        <w:rPr>
          <w:rFonts w:ascii="宋体" w:hAnsi="宋体"/>
          <w:color w:val="auto"/>
          <w:szCs w:val="21"/>
          <w:highlight w:val="none"/>
        </w:rPr>
        <w:t>采购人、采购代理机构</w:t>
      </w:r>
      <w:r>
        <w:rPr>
          <w:rFonts w:hint="eastAsia" w:ascii="宋体" w:hAnsi="宋体"/>
          <w:color w:val="auto"/>
          <w:szCs w:val="21"/>
          <w:highlight w:val="none"/>
        </w:rPr>
        <w:t>提出。</w:t>
      </w:r>
    </w:p>
    <w:p w14:paraId="35B6B6A0">
      <w:pPr>
        <w:pageBreakBefore w:val="0"/>
        <w:widowControl w:val="0"/>
        <w:kinsoku/>
        <w:wordWrap/>
        <w:overflowPunct/>
        <w:topLinePunct w:val="0"/>
        <w:autoSpaceDE/>
        <w:autoSpaceDN/>
        <w:bidi w:val="0"/>
        <w:spacing w:line="360" w:lineRule="auto"/>
        <w:ind w:left="0" w:leftChars="0" w:firstLine="316" w:firstLineChars="131"/>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10.磋商文件的澄清和修改</w:t>
      </w:r>
    </w:p>
    <w:p w14:paraId="430B0178">
      <w:pPr>
        <w:pageBreakBefore w:val="0"/>
        <w:widowControl w:val="0"/>
        <w:kinsoku/>
        <w:wordWrap/>
        <w:overflowPunct/>
        <w:topLinePunct w:val="0"/>
        <w:autoSpaceDE/>
        <w:autoSpaceDN/>
        <w:bidi w:val="0"/>
        <w:spacing w:line="360" w:lineRule="auto"/>
        <w:ind w:left="0" w:leftChars="0" w:firstLine="275" w:firstLineChars="131"/>
        <w:rPr>
          <w:rFonts w:hint="eastAsia" w:ascii="宋体" w:hAnsi="宋体"/>
          <w:color w:val="auto"/>
          <w:szCs w:val="21"/>
          <w:highlight w:val="none"/>
        </w:rPr>
      </w:pPr>
      <w:r>
        <w:rPr>
          <w:rFonts w:hint="eastAsia" w:ascii="宋体" w:hAnsi="宋体"/>
          <w:color w:val="auto"/>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14:paraId="33620FBA">
      <w:pPr>
        <w:pageBreakBefore w:val="0"/>
        <w:widowControl w:val="0"/>
        <w:kinsoku/>
        <w:wordWrap/>
        <w:overflowPunct/>
        <w:topLinePunct w:val="0"/>
        <w:autoSpaceDE/>
        <w:autoSpaceDN/>
        <w:bidi w:val="0"/>
        <w:spacing w:line="360" w:lineRule="auto"/>
        <w:ind w:left="0" w:leftChars="0" w:firstLine="276" w:firstLineChars="131"/>
        <w:rPr>
          <w:rFonts w:hint="eastAsia" w:ascii="宋体" w:hAnsi="宋体"/>
          <w:b/>
          <w:color w:val="auto"/>
          <w:szCs w:val="21"/>
          <w:highlight w:val="none"/>
        </w:rPr>
      </w:pPr>
      <w:r>
        <w:rPr>
          <w:rFonts w:hint="eastAsia" w:ascii="宋体" w:hAnsi="宋体"/>
          <w:b/>
          <w:color w:val="auto"/>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75EE23E6">
      <w:pPr>
        <w:pageBreakBefore w:val="0"/>
        <w:widowControl w:val="0"/>
        <w:kinsoku/>
        <w:wordWrap/>
        <w:overflowPunct/>
        <w:topLinePunct w:val="0"/>
        <w:autoSpaceDE/>
        <w:autoSpaceDN/>
        <w:bidi w:val="0"/>
        <w:spacing w:line="360" w:lineRule="auto"/>
        <w:ind w:left="0" w:leftChars="0" w:firstLine="275" w:firstLineChars="131"/>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0.</w:t>
      </w:r>
      <w:r>
        <w:rPr>
          <w:rFonts w:hint="eastAsia" w:ascii="宋体" w:hAnsi="宋体"/>
          <w:color w:val="auto"/>
          <w:szCs w:val="21"/>
          <w:highlight w:val="none"/>
        </w:rPr>
        <w:t>3</w:t>
      </w:r>
      <w:r>
        <w:rPr>
          <w:rFonts w:ascii="宋体" w:hAnsi="宋体"/>
          <w:color w:val="auto"/>
          <w:szCs w:val="21"/>
          <w:highlight w:val="none"/>
        </w:rPr>
        <w:t>提交首次响应文件截止之日前，采购人、采购代理机构或者</w:t>
      </w:r>
      <w:r>
        <w:rPr>
          <w:rFonts w:hint="eastAsia" w:ascii="宋体" w:hAnsi="宋体"/>
          <w:color w:val="auto"/>
          <w:szCs w:val="21"/>
          <w:highlight w:val="none"/>
        </w:rPr>
        <w:t>磋商</w:t>
      </w:r>
      <w:r>
        <w:rPr>
          <w:rFonts w:ascii="宋体" w:hAnsi="宋体"/>
          <w:color w:val="auto"/>
          <w:szCs w:val="21"/>
          <w:highlight w:val="none"/>
        </w:rPr>
        <w:t>小组可以对已发出的磋商文件进行必要的澄清或者修改，澄清或者修改的内容作为磋商文件的组成部分。澄清或者修改的内容可能影响响应文件编制的，采购人、采购代理机构或者磋商小组在提交首次响应文件截止之日</w:t>
      </w:r>
      <w:r>
        <w:rPr>
          <w:rFonts w:hint="eastAsia" w:ascii="宋体" w:hAnsi="宋体"/>
          <w:color w:val="auto"/>
          <w:szCs w:val="21"/>
          <w:highlight w:val="none"/>
        </w:rPr>
        <w:t>5</w:t>
      </w:r>
      <w:r>
        <w:rPr>
          <w:rFonts w:ascii="宋体" w:hAnsi="宋体"/>
          <w:color w:val="auto"/>
          <w:szCs w:val="21"/>
          <w:highlight w:val="none"/>
        </w:rPr>
        <w:t>日前，以</w:t>
      </w:r>
      <w:r>
        <w:rPr>
          <w:rFonts w:hint="eastAsia" w:ascii="宋体" w:hAnsi="宋体"/>
          <w:color w:val="auto"/>
          <w:szCs w:val="21"/>
          <w:highlight w:val="none"/>
        </w:rPr>
        <w:t>书面</w:t>
      </w:r>
      <w:r>
        <w:rPr>
          <w:rFonts w:ascii="宋体" w:hAnsi="宋体"/>
          <w:color w:val="auto"/>
          <w:szCs w:val="21"/>
          <w:highlight w:val="none"/>
        </w:rPr>
        <w:t>形式</w:t>
      </w:r>
      <w:r>
        <w:rPr>
          <w:rFonts w:hint="eastAsia" w:ascii="宋体" w:hAnsi="宋体"/>
          <w:color w:val="auto"/>
          <w:szCs w:val="21"/>
          <w:highlight w:val="none"/>
        </w:rPr>
        <w:t>（目前为网上公告形式）</w:t>
      </w:r>
      <w:r>
        <w:rPr>
          <w:rFonts w:ascii="宋体" w:hAnsi="宋体"/>
          <w:color w:val="auto"/>
          <w:szCs w:val="21"/>
          <w:highlight w:val="none"/>
        </w:rPr>
        <w:t>通知所有</w:t>
      </w:r>
      <w:r>
        <w:rPr>
          <w:rFonts w:hint="eastAsia" w:ascii="宋体" w:hAnsi="宋体"/>
          <w:color w:val="auto"/>
          <w:szCs w:val="21"/>
          <w:highlight w:val="none"/>
        </w:rPr>
        <w:t>获取</w:t>
      </w:r>
      <w:r>
        <w:rPr>
          <w:rFonts w:ascii="宋体" w:hAnsi="宋体"/>
          <w:color w:val="auto"/>
          <w:szCs w:val="21"/>
          <w:highlight w:val="none"/>
        </w:rPr>
        <w:t>磋商文件的供应商，不足</w:t>
      </w:r>
      <w:r>
        <w:rPr>
          <w:rFonts w:hint="eastAsia" w:ascii="宋体" w:hAnsi="宋体"/>
          <w:color w:val="auto"/>
          <w:szCs w:val="21"/>
          <w:highlight w:val="none"/>
        </w:rPr>
        <w:t>5</w:t>
      </w:r>
      <w:r>
        <w:rPr>
          <w:rFonts w:ascii="宋体" w:hAnsi="宋体"/>
          <w:color w:val="auto"/>
          <w:szCs w:val="21"/>
          <w:highlight w:val="none"/>
        </w:rPr>
        <w:t>日的，应当顺延提交首次响应文件截止之日。</w:t>
      </w:r>
    </w:p>
    <w:p w14:paraId="47B0EFD0">
      <w:pPr>
        <w:pageBreakBefore w:val="0"/>
        <w:widowControl w:val="0"/>
        <w:kinsoku/>
        <w:wordWrap/>
        <w:overflowPunct/>
        <w:topLinePunct w:val="0"/>
        <w:autoSpaceDE/>
        <w:autoSpaceDN/>
        <w:bidi w:val="0"/>
        <w:spacing w:line="360" w:lineRule="auto"/>
        <w:ind w:left="0" w:leftChars="0" w:firstLine="275" w:firstLineChars="131"/>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0.</w:t>
      </w:r>
      <w:r>
        <w:rPr>
          <w:rFonts w:hint="eastAsia" w:ascii="宋体" w:hAnsi="宋体"/>
          <w:color w:val="auto"/>
          <w:szCs w:val="21"/>
          <w:highlight w:val="none"/>
        </w:rPr>
        <w:t>4</w:t>
      </w:r>
      <w:r>
        <w:rPr>
          <w:rFonts w:ascii="Arial" w:hAnsi="Arial" w:cs="Arial"/>
          <w:color w:val="auto"/>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728F9B83">
      <w:pPr>
        <w:pageBreakBefore w:val="0"/>
        <w:widowControl w:val="0"/>
        <w:kinsoku/>
        <w:wordWrap/>
        <w:overflowPunct/>
        <w:topLinePunct w:val="0"/>
        <w:autoSpaceDE/>
        <w:autoSpaceDN/>
        <w:bidi w:val="0"/>
        <w:spacing w:line="360" w:lineRule="auto"/>
        <w:ind w:left="0" w:leftChars="0" w:firstLine="275" w:firstLineChars="131"/>
        <w:rPr>
          <w:rFonts w:hint="eastAsia"/>
          <w:color w:val="auto"/>
          <w:highlight w:val="none"/>
        </w:rPr>
      </w:pPr>
      <w:r>
        <w:rPr>
          <w:rFonts w:hint="eastAsia" w:hAnsi="宋体"/>
          <w:color w:val="auto"/>
          <w:highlight w:val="none"/>
        </w:rPr>
        <w:t xml:space="preserve">10.5  </w:t>
      </w:r>
      <w:r>
        <w:rPr>
          <w:rFonts w:hint="eastAsia"/>
          <w:color w:val="auto"/>
          <w:highlight w:val="none"/>
        </w:rPr>
        <w:t>采购人和采购代理机构可以视采购具体情况，变更</w:t>
      </w:r>
      <w:r>
        <w:rPr>
          <w:rFonts w:hAnsi="宋体"/>
          <w:color w:val="auto"/>
          <w:highlight w:val="none"/>
        </w:rPr>
        <w:t>提交首次响应文件</w:t>
      </w:r>
      <w:r>
        <w:rPr>
          <w:rFonts w:hint="eastAsia"/>
          <w:color w:val="auto"/>
          <w:highlight w:val="none"/>
        </w:rPr>
        <w:t>截止时间和竞谈时间，将变更时间将在</w:t>
      </w:r>
      <w:r>
        <w:rPr>
          <w:rFonts w:hint="eastAsia" w:hAnsi="宋体"/>
          <w:color w:val="auto"/>
          <w:highlight w:val="none"/>
        </w:rPr>
        <w:t>“采购文件公告</w:t>
      </w:r>
      <w:r>
        <w:rPr>
          <w:rFonts w:hAnsi="宋体"/>
          <w:color w:val="auto"/>
          <w:highlight w:val="none"/>
        </w:rPr>
        <w:t>”</w:t>
      </w:r>
      <w:r>
        <w:rPr>
          <w:rFonts w:hint="eastAsia" w:hAnsi="宋体"/>
          <w:color w:val="auto"/>
          <w:highlight w:val="none"/>
        </w:rPr>
        <w:t>中“七、其他补充事宜3.网上查询地址”</w:t>
      </w:r>
      <w:r>
        <w:rPr>
          <w:rFonts w:hint="eastAsia" w:cs="宋体"/>
          <w:color w:val="auto"/>
          <w:highlight w:val="none"/>
        </w:rPr>
        <w:t>规定的政府采购信息发布媒体上</w:t>
      </w:r>
      <w:r>
        <w:rPr>
          <w:rFonts w:hint="eastAsia"/>
          <w:color w:val="auto"/>
          <w:highlight w:val="none"/>
        </w:rPr>
        <w:t>发布更正公告。</w:t>
      </w:r>
    </w:p>
    <w:p w14:paraId="74D0F66C">
      <w:pPr>
        <w:pageBreakBefore w:val="0"/>
        <w:widowControl w:val="0"/>
        <w:kinsoku/>
        <w:wordWrap/>
        <w:overflowPunct/>
        <w:topLinePunct w:val="0"/>
        <w:autoSpaceDE/>
        <w:autoSpaceDN/>
        <w:bidi w:val="0"/>
        <w:spacing w:line="360" w:lineRule="auto"/>
        <w:ind w:left="0" w:leftChars="0" w:firstLine="262" w:firstLineChars="131"/>
        <w:rPr>
          <w:rFonts w:hint="eastAsia" w:ascii="宋体" w:hAnsi="Courier New"/>
          <w:color w:val="auto"/>
          <w:kern w:val="0"/>
          <w:sz w:val="20"/>
          <w:szCs w:val="21"/>
          <w:highlight w:val="none"/>
        </w:rPr>
      </w:pPr>
      <w:r>
        <w:rPr>
          <w:rFonts w:hint="eastAsia" w:ascii="宋体" w:hAnsi="Courier New"/>
          <w:color w:val="auto"/>
          <w:kern w:val="0"/>
          <w:sz w:val="20"/>
          <w:szCs w:val="21"/>
          <w:highlight w:val="none"/>
        </w:rPr>
        <w:t>▲</w:t>
      </w:r>
      <w:r>
        <w:rPr>
          <w:rFonts w:hint="eastAsia" w:ascii="宋体" w:hAnsi="Courier New"/>
          <w:b/>
          <w:color w:val="auto"/>
          <w:kern w:val="0"/>
          <w:sz w:val="20"/>
          <w:szCs w:val="21"/>
          <w:highlight w:val="none"/>
        </w:rPr>
        <w:t>响应文件未按磋商文件的澄清、修改的内容编制，又不符合实质性要求的，其响应文件作无效处理。</w:t>
      </w:r>
    </w:p>
    <w:p w14:paraId="0D28ADE2">
      <w:pPr>
        <w:pStyle w:val="4"/>
        <w:pageBreakBefore w:val="0"/>
        <w:widowControl w:val="0"/>
        <w:kinsoku/>
        <w:wordWrap/>
        <w:overflowPunct/>
        <w:topLinePunct w:val="0"/>
        <w:autoSpaceDE/>
        <w:autoSpaceDN/>
        <w:bidi w:val="0"/>
        <w:spacing w:before="0" w:after="0" w:line="360" w:lineRule="auto"/>
        <w:ind w:left="0" w:leftChars="0" w:firstLine="419" w:firstLineChars="131"/>
        <w:rPr>
          <w:rFonts w:hint="eastAsia" w:ascii="宋体" w:hAnsi="宋体"/>
          <w:b w:val="0"/>
          <w:bCs w:val="0"/>
          <w:color w:val="auto"/>
          <w:highlight w:val="none"/>
        </w:rPr>
      </w:pPr>
      <w:bookmarkStart w:id="41" w:name="_Toc22327"/>
      <w:r>
        <w:rPr>
          <w:rFonts w:hint="eastAsia" w:ascii="宋体" w:hAnsi="宋体"/>
          <w:b w:val="0"/>
          <w:bCs w:val="0"/>
          <w:color w:val="auto"/>
          <w:highlight w:val="none"/>
        </w:rPr>
        <w:t>三、响应文件的编制</w:t>
      </w:r>
      <w:bookmarkEnd w:id="41"/>
    </w:p>
    <w:p w14:paraId="5CC11449">
      <w:pPr>
        <w:pageBreakBefore w:val="0"/>
        <w:widowControl w:val="0"/>
        <w:kinsoku/>
        <w:wordWrap/>
        <w:overflowPunct/>
        <w:topLinePunct w:val="0"/>
        <w:autoSpaceDE/>
        <w:autoSpaceDN/>
        <w:bidi w:val="0"/>
        <w:spacing w:line="360" w:lineRule="auto"/>
        <w:ind w:left="0" w:leftChars="0" w:firstLine="316" w:firstLineChars="131"/>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11.响应文件的编制原则</w:t>
      </w:r>
    </w:p>
    <w:p w14:paraId="703951C5">
      <w:pPr>
        <w:pageBreakBefore w:val="0"/>
        <w:widowControl w:val="0"/>
        <w:kinsoku/>
        <w:wordWrap/>
        <w:overflowPunct/>
        <w:topLinePunct w:val="0"/>
        <w:autoSpaceDE/>
        <w:autoSpaceDN/>
        <w:bidi w:val="0"/>
        <w:spacing w:line="360" w:lineRule="auto"/>
        <w:ind w:left="0" w:leftChars="0" w:firstLine="275" w:firstLineChars="131"/>
        <w:rPr>
          <w:rFonts w:hint="eastAsia" w:ascii="宋体" w:hAns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供应商必须按照磋商文件的要求编制响应文件，并对其提交的响应文件的真实性、合法性承担法律责任。响应文件必须对磋商文件作出实质性响应。</w:t>
      </w:r>
    </w:p>
    <w:p w14:paraId="6DE137D6">
      <w:pPr>
        <w:pageBreakBefore w:val="0"/>
        <w:widowControl w:val="0"/>
        <w:kinsoku/>
        <w:wordWrap/>
        <w:overflowPunct/>
        <w:topLinePunct w:val="0"/>
        <w:autoSpaceDE/>
        <w:autoSpaceDN/>
        <w:bidi w:val="0"/>
        <w:spacing w:line="360" w:lineRule="auto"/>
        <w:ind w:left="0" w:leftChars="0" w:firstLine="316" w:firstLineChars="131"/>
        <w:rPr>
          <w:rFonts w:ascii="黑体" w:hAnsi="黑体" w:eastAsia="黑体" w:cs="宋体"/>
          <w:b/>
          <w:bCs/>
          <w:color w:val="auto"/>
          <w:sz w:val="24"/>
          <w:highlight w:val="none"/>
        </w:rPr>
      </w:pPr>
      <w:r>
        <w:rPr>
          <w:rFonts w:hint="eastAsia" w:ascii="黑体" w:hAnsi="黑体" w:eastAsia="黑体" w:cs="宋体"/>
          <w:b/>
          <w:bCs/>
          <w:color w:val="auto"/>
          <w:sz w:val="24"/>
          <w:highlight w:val="none"/>
        </w:rPr>
        <w:t>12.响应文件的组成</w:t>
      </w:r>
    </w:p>
    <w:p w14:paraId="4DA929BE">
      <w:pPr>
        <w:pageBreakBefore w:val="0"/>
        <w:widowControl w:val="0"/>
        <w:kinsoku/>
        <w:wordWrap/>
        <w:overflowPunct/>
        <w:topLinePunct w:val="0"/>
        <w:autoSpaceDE/>
        <w:autoSpaceDN/>
        <w:bidi w:val="0"/>
        <w:spacing w:line="360" w:lineRule="auto"/>
        <w:ind w:left="0" w:leftChars="0" w:firstLine="275" w:firstLineChars="131"/>
        <w:rPr>
          <w:rFonts w:hint="eastAsia" w:ascii="宋体" w:hAnsi="宋体" w:cs="宋体"/>
          <w:color w:val="auto"/>
          <w:szCs w:val="21"/>
          <w:highlight w:val="none"/>
        </w:rPr>
      </w:pPr>
      <w:r>
        <w:rPr>
          <w:rFonts w:hint="eastAsia" w:ascii="宋体" w:hAnsi="宋体" w:cs="宋体"/>
          <w:color w:val="auto"/>
          <w:szCs w:val="21"/>
          <w:highlight w:val="none"/>
        </w:rPr>
        <w:t>12.1响应文件由资格证明文件、报价文件、商务和技术文件三部分组成。</w:t>
      </w:r>
    </w:p>
    <w:p w14:paraId="70C269C5">
      <w:pPr>
        <w:pageBreakBefore w:val="0"/>
        <w:widowControl w:val="0"/>
        <w:kinsoku/>
        <w:wordWrap/>
        <w:overflowPunct/>
        <w:topLinePunct w:val="0"/>
        <w:autoSpaceDE/>
        <w:autoSpaceDN/>
        <w:bidi w:val="0"/>
        <w:spacing w:line="360" w:lineRule="auto"/>
        <w:ind w:left="0" w:leftChars="0" w:firstLine="275" w:firstLineChars="131"/>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2.1.1</w:t>
      </w:r>
      <w:r>
        <w:rPr>
          <w:rFonts w:hint="eastAsia" w:ascii="宋体" w:hAnsi="宋体" w:cs="宋体"/>
          <w:color w:val="auto"/>
          <w:szCs w:val="21"/>
          <w:highlight w:val="none"/>
        </w:rPr>
        <w:t>资格证明文件：详见须知前附表</w:t>
      </w:r>
    </w:p>
    <w:p w14:paraId="5334C42D">
      <w:pPr>
        <w:pageBreakBefore w:val="0"/>
        <w:widowControl w:val="0"/>
        <w:kinsoku/>
        <w:wordWrap/>
        <w:overflowPunct/>
        <w:topLinePunct w:val="0"/>
        <w:autoSpaceDE/>
        <w:autoSpaceDN/>
        <w:bidi w:val="0"/>
        <w:spacing w:line="360" w:lineRule="auto"/>
        <w:ind w:left="0" w:leftChars="0" w:firstLine="275" w:firstLineChars="131"/>
        <w:rPr>
          <w:rFonts w:hint="eastAsia" w:ascii="宋体" w:hAnsi="宋体" w:cs="宋体"/>
          <w:color w:val="auto"/>
          <w:szCs w:val="21"/>
          <w:highlight w:val="none"/>
        </w:rPr>
      </w:pPr>
      <w:r>
        <w:rPr>
          <w:rFonts w:hint="eastAsia" w:ascii="宋体" w:hAnsi="宋体" w:cs="宋体"/>
          <w:color w:val="auto"/>
          <w:szCs w:val="21"/>
          <w:highlight w:val="none"/>
        </w:rPr>
        <w:t>12.1.2商务技术文件：详见须知前附表</w:t>
      </w:r>
    </w:p>
    <w:p w14:paraId="25444DB1">
      <w:pPr>
        <w:pageBreakBefore w:val="0"/>
        <w:widowControl w:val="0"/>
        <w:kinsoku/>
        <w:wordWrap/>
        <w:overflowPunct/>
        <w:topLinePunct w:val="0"/>
        <w:autoSpaceDE/>
        <w:autoSpaceDN/>
        <w:bidi w:val="0"/>
        <w:spacing w:line="360" w:lineRule="auto"/>
        <w:ind w:left="0" w:leftChars="0" w:firstLine="275" w:firstLineChars="131"/>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2.1.</w:t>
      </w:r>
      <w:r>
        <w:rPr>
          <w:rFonts w:hint="eastAsia" w:ascii="宋体" w:hAnsi="宋体" w:cs="宋体"/>
          <w:color w:val="auto"/>
          <w:szCs w:val="21"/>
          <w:highlight w:val="none"/>
        </w:rPr>
        <w:t>3报价文件：详见须知前附表</w:t>
      </w:r>
    </w:p>
    <w:p w14:paraId="311F7B41">
      <w:pPr>
        <w:pageBreakBefore w:val="0"/>
        <w:widowControl w:val="0"/>
        <w:kinsoku/>
        <w:wordWrap/>
        <w:overflowPunct/>
        <w:topLinePunct w:val="0"/>
        <w:autoSpaceDE/>
        <w:autoSpaceDN/>
        <w:bidi w:val="0"/>
        <w:spacing w:line="360" w:lineRule="auto"/>
        <w:ind w:left="0" w:leftChars="0" w:firstLine="275" w:firstLineChars="131"/>
        <w:rPr>
          <w:rFonts w:hint="eastAsia" w:ascii="宋体" w:hAnsi="宋体" w:cs="宋体"/>
          <w:color w:val="auto"/>
          <w:szCs w:val="21"/>
          <w:highlight w:val="none"/>
        </w:rPr>
      </w:pPr>
      <w:r>
        <w:rPr>
          <w:rFonts w:hint="eastAsia" w:ascii="宋体" w:hAnsi="宋体" w:cs="宋体"/>
          <w:color w:val="auto"/>
          <w:szCs w:val="21"/>
          <w:highlight w:val="none"/>
        </w:rPr>
        <w:t>12.</w:t>
      </w:r>
      <w:r>
        <w:rPr>
          <w:rFonts w:ascii="宋体" w:hAnsi="宋体" w:cs="宋体"/>
          <w:color w:val="auto"/>
          <w:szCs w:val="21"/>
          <w:highlight w:val="none"/>
        </w:rPr>
        <w:t>2</w:t>
      </w:r>
      <w:r>
        <w:rPr>
          <w:rFonts w:hint="eastAsia" w:ascii="宋体" w:hAnsi="宋体" w:cs="宋体"/>
          <w:color w:val="auto"/>
          <w:szCs w:val="21"/>
          <w:highlight w:val="none"/>
        </w:rPr>
        <w:t>响应文件电子版：详见须知前附表</w:t>
      </w:r>
    </w:p>
    <w:p w14:paraId="6B4A8A71">
      <w:pPr>
        <w:pageBreakBefore w:val="0"/>
        <w:widowControl w:val="0"/>
        <w:kinsoku/>
        <w:wordWrap/>
        <w:overflowPunct/>
        <w:topLinePunct w:val="0"/>
        <w:autoSpaceDE/>
        <w:autoSpaceDN/>
        <w:bidi w:val="0"/>
        <w:spacing w:line="360" w:lineRule="auto"/>
        <w:ind w:left="0" w:leftChars="0" w:firstLine="316" w:firstLineChars="131"/>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13.计量单位</w:t>
      </w:r>
    </w:p>
    <w:p w14:paraId="2DC12558">
      <w:pPr>
        <w:pageBreakBefore w:val="0"/>
        <w:widowControl w:val="0"/>
        <w:kinsoku/>
        <w:wordWrap/>
        <w:overflowPunct/>
        <w:topLinePunct w:val="0"/>
        <w:autoSpaceDE/>
        <w:autoSpaceDN/>
        <w:bidi w:val="0"/>
        <w:spacing w:line="360" w:lineRule="auto"/>
        <w:ind w:left="0" w:leftChars="0" w:firstLine="275" w:firstLineChars="131"/>
        <w:rPr>
          <w:rFonts w:hint="eastAsia" w:ascii="宋体" w:hAns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5F54032F">
      <w:pPr>
        <w:pageBreakBefore w:val="0"/>
        <w:widowControl w:val="0"/>
        <w:kinsoku/>
        <w:wordWrap/>
        <w:overflowPunct/>
        <w:topLinePunct w:val="0"/>
        <w:autoSpaceDE/>
        <w:autoSpaceDN/>
        <w:bidi w:val="0"/>
        <w:spacing w:line="360" w:lineRule="auto"/>
        <w:ind w:left="0" w:leftChars="0" w:firstLine="316" w:firstLineChars="131"/>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14.竞标的风险</w:t>
      </w:r>
    </w:p>
    <w:p w14:paraId="3F9F0034">
      <w:pPr>
        <w:pageBreakBefore w:val="0"/>
        <w:widowControl w:val="0"/>
        <w:kinsoku/>
        <w:wordWrap/>
        <w:overflowPunct/>
        <w:topLinePunct w:val="0"/>
        <w:autoSpaceDE/>
        <w:autoSpaceDN/>
        <w:bidi w:val="0"/>
        <w:spacing w:line="360" w:lineRule="auto"/>
        <w:ind w:left="0" w:leftChars="0" w:firstLine="275" w:firstLineChars="131"/>
        <w:rPr>
          <w:rFonts w:hint="eastAsia" w:ascii="宋体" w:hAns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3A2E4BFF">
      <w:pPr>
        <w:pageBreakBefore w:val="0"/>
        <w:widowControl w:val="0"/>
        <w:kinsoku/>
        <w:wordWrap/>
        <w:overflowPunct/>
        <w:topLinePunct w:val="0"/>
        <w:autoSpaceDE/>
        <w:autoSpaceDN/>
        <w:bidi w:val="0"/>
        <w:spacing w:line="360" w:lineRule="auto"/>
        <w:ind w:left="0" w:leftChars="0" w:firstLine="316" w:firstLineChars="131"/>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15.响应报价要求和构成</w:t>
      </w:r>
    </w:p>
    <w:p w14:paraId="5E3BDA4D">
      <w:pPr>
        <w:pageBreakBefore w:val="0"/>
        <w:widowControl w:val="0"/>
        <w:tabs>
          <w:tab w:val="left" w:pos="2492"/>
        </w:tabs>
        <w:kinsoku/>
        <w:wordWrap/>
        <w:overflowPunct/>
        <w:topLinePunct w:val="0"/>
        <w:autoSpaceDE/>
        <w:autoSpaceDN/>
        <w:bidi w:val="0"/>
        <w:spacing w:line="360" w:lineRule="auto"/>
        <w:ind w:left="0" w:leftChars="0" w:firstLine="275" w:firstLineChars="131"/>
        <w:rPr>
          <w:rFonts w:hint="eastAsia" w:ascii="宋体" w:hAnsi="宋体" w:cs="宋体"/>
          <w:color w:val="auto"/>
          <w:szCs w:val="21"/>
          <w:highlight w:val="none"/>
        </w:rPr>
      </w:pPr>
      <w:r>
        <w:rPr>
          <w:rFonts w:hint="eastAsia" w:ascii="宋体" w:hAnsi="宋体" w:cs="宋体"/>
          <w:color w:val="auto"/>
          <w:szCs w:val="21"/>
          <w:highlight w:val="none"/>
        </w:rPr>
        <w:t>15.1响应报价应按“第五章 响应文件格式”中“响应报价表”格式填写。</w:t>
      </w:r>
    </w:p>
    <w:p w14:paraId="1C7EDB7B">
      <w:pPr>
        <w:pageBreakBefore w:val="0"/>
        <w:widowControl w:val="0"/>
        <w:tabs>
          <w:tab w:val="left" w:pos="2492"/>
        </w:tabs>
        <w:kinsoku/>
        <w:wordWrap/>
        <w:overflowPunct/>
        <w:topLinePunct w:val="0"/>
        <w:autoSpaceDE/>
        <w:autoSpaceDN/>
        <w:bidi w:val="0"/>
        <w:spacing w:line="360" w:lineRule="auto"/>
        <w:ind w:left="0" w:leftChars="0" w:firstLine="275" w:firstLineChars="131"/>
        <w:rPr>
          <w:rFonts w:hint="eastAsia" w:ascii="宋体" w:hAnsi="宋体" w:cs="宋体"/>
          <w:color w:val="auto"/>
          <w:szCs w:val="21"/>
          <w:highlight w:val="none"/>
        </w:rPr>
      </w:pPr>
      <w:r>
        <w:rPr>
          <w:rFonts w:hint="eastAsia" w:ascii="宋体" w:hAnsi="宋体" w:cs="宋体"/>
          <w:color w:val="auto"/>
          <w:szCs w:val="21"/>
          <w:highlight w:val="none"/>
        </w:rPr>
        <w:t>15.2响应报价的价格构成见“供应商须知前附表”。</w:t>
      </w:r>
    </w:p>
    <w:p w14:paraId="060007DB">
      <w:pPr>
        <w:pageBreakBefore w:val="0"/>
        <w:widowControl w:val="0"/>
        <w:kinsoku/>
        <w:wordWrap/>
        <w:overflowPunct/>
        <w:topLinePunct w:val="0"/>
        <w:autoSpaceDE/>
        <w:autoSpaceDN/>
        <w:bidi w:val="0"/>
        <w:spacing w:line="360" w:lineRule="auto"/>
        <w:ind w:left="0" w:leftChars="0" w:firstLine="275" w:firstLineChars="131"/>
        <w:rPr>
          <w:rFonts w:hint="eastAsia" w:ascii="宋体" w:hAnsi="宋体" w:cs="宋体"/>
          <w:color w:val="auto"/>
          <w:szCs w:val="21"/>
          <w:highlight w:val="none"/>
        </w:rPr>
      </w:pPr>
      <w:r>
        <w:rPr>
          <w:rFonts w:hint="eastAsia" w:ascii="宋体" w:hAnsi="宋体" w:cs="宋体"/>
          <w:color w:val="auto"/>
          <w:szCs w:val="21"/>
          <w:highlight w:val="none"/>
        </w:rPr>
        <w:t>15.3响应报价要求</w:t>
      </w:r>
    </w:p>
    <w:p w14:paraId="795837FA">
      <w:pPr>
        <w:pageBreakBefore w:val="0"/>
        <w:widowControl w:val="0"/>
        <w:kinsoku/>
        <w:wordWrap/>
        <w:overflowPunct/>
        <w:topLinePunct w:val="0"/>
        <w:autoSpaceDE/>
        <w:autoSpaceDN/>
        <w:bidi w:val="0"/>
        <w:spacing w:line="360" w:lineRule="auto"/>
        <w:ind w:left="0" w:leftChars="0" w:firstLine="275" w:firstLineChars="131"/>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5.3.1</w:t>
      </w:r>
      <w:r>
        <w:rPr>
          <w:rFonts w:hint="eastAsia" w:ascii="宋体" w:hAnsi="宋体" w:cs="宋体"/>
          <w:color w:val="auto"/>
          <w:szCs w:val="21"/>
          <w:highlight w:val="none"/>
        </w:rPr>
        <w:t>供应商的响应报价应符合以下要求，否则响应文件按无效响应处理：</w:t>
      </w:r>
    </w:p>
    <w:p w14:paraId="442169DE">
      <w:pPr>
        <w:pageBreakBefore w:val="0"/>
        <w:widowControl w:val="0"/>
        <w:kinsoku/>
        <w:wordWrap/>
        <w:overflowPunct/>
        <w:topLinePunct w:val="0"/>
        <w:autoSpaceDE/>
        <w:autoSpaceDN/>
        <w:bidi w:val="0"/>
        <w:spacing w:line="360" w:lineRule="auto"/>
        <w:ind w:left="0" w:leftChars="0" w:firstLine="275" w:firstLineChars="131"/>
        <w:rPr>
          <w:rFonts w:ascii="宋体" w:hAnsi="宋体" w:cs="宋体"/>
          <w:color w:val="auto"/>
          <w:szCs w:val="21"/>
          <w:highlight w:val="none"/>
        </w:rPr>
      </w:pPr>
      <w:r>
        <w:rPr>
          <w:rFonts w:hint="eastAsia" w:ascii="宋体" w:hAnsi="宋体" w:cs="宋体"/>
          <w:color w:val="auto"/>
          <w:szCs w:val="21"/>
          <w:highlight w:val="none"/>
        </w:rPr>
        <w:t>（1）供应商必须就“采购需求”中所竞标</w:t>
      </w:r>
      <w:r>
        <w:rPr>
          <w:rFonts w:hint="eastAsia" w:ascii="宋体" w:hAnsi="宋体" w:cs="宋体"/>
          <w:color w:val="auto"/>
          <w:szCs w:val="21"/>
          <w:highlight w:val="none"/>
          <w:lang w:eastAsia="zh-CN"/>
        </w:rPr>
        <w:t>项目（或</w:t>
      </w:r>
      <w:r>
        <w:rPr>
          <w:rFonts w:hint="eastAsia" w:ascii="宋体" w:hAnsi="宋体" w:cs="宋体"/>
          <w:color w:val="auto"/>
          <w:szCs w:val="21"/>
          <w:highlight w:val="none"/>
        </w:rPr>
        <w:t>分标</w:t>
      </w:r>
      <w:r>
        <w:rPr>
          <w:rFonts w:hint="eastAsia" w:ascii="宋体" w:hAnsi="宋体" w:cs="宋体"/>
          <w:color w:val="auto"/>
          <w:szCs w:val="21"/>
          <w:highlight w:val="none"/>
          <w:lang w:eastAsia="zh-CN"/>
        </w:rPr>
        <w:t>）</w:t>
      </w:r>
      <w:r>
        <w:rPr>
          <w:rFonts w:hint="eastAsia" w:ascii="宋体" w:hAnsi="宋体" w:cs="宋体"/>
          <w:color w:val="auto"/>
          <w:szCs w:val="21"/>
          <w:highlight w:val="none"/>
        </w:rPr>
        <w:t>的全部内容分别作完整唯一总价报价，不得存在漏项报价；</w:t>
      </w:r>
    </w:p>
    <w:p w14:paraId="2399418A">
      <w:pPr>
        <w:pageBreakBefore w:val="0"/>
        <w:widowControl w:val="0"/>
        <w:kinsoku/>
        <w:wordWrap/>
        <w:overflowPunct/>
        <w:topLinePunct w:val="0"/>
        <w:autoSpaceDE/>
        <w:autoSpaceDN/>
        <w:bidi w:val="0"/>
        <w:spacing w:line="360" w:lineRule="auto"/>
        <w:ind w:left="0" w:leftChars="0" w:firstLine="275" w:firstLineChars="131"/>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）供应商必须就所竞标</w:t>
      </w:r>
      <w:r>
        <w:rPr>
          <w:rFonts w:hint="eastAsia" w:ascii="宋体" w:hAnsi="宋体" w:cs="宋体"/>
          <w:color w:val="auto"/>
          <w:szCs w:val="21"/>
          <w:highlight w:val="none"/>
          <w:lang w:eastAsia="zh-CN"/>
        </w:rPr>
        <w:t>项目（或</w:t>
      </w:r>
      <w:r>
        <w:rPr>
          <w:rFonts w:hint="eastAsia" w:ascii="宋体" w:hAnsi="宋体" w:cs="宋体"/>
          <w:color w:val="auto"/>
          <w:szCs w:val="21"/>
          <w:highlight w:val="none"/>
        </w:rPr>
        <w:t>分标</w:t>
      </w:r>
      <w:r>
        <w:rPr>
          <w:rFonts w:hint="eastAsia" w:ascii="宋体" w:hAnsi="宋体" w:cs="宋体"/>
          <w:color w:val="auto"/>
          <w:szCs w:val="21"/>
          <w:highlight w:val="none"/>
          <w:lang w:eastAsia="zh-CN"/>
        </w:rPr>
        <w:t>）</w:t>
      </w:r>
      <w:r>
        <w:rPr>
          <w:rFonts w:hint="eastAsia" w:ascii="宋体" w:hAnsi="宋体" w:cs="宋体"/>
          <w:color w:val="auto"/>
          <w:szCs w:val="21"/>
          <w:highlight w:val="none"/>
        </w:rPr>
        <w:t>的单项内容作唯一报价。</w:t>
      </w:r>
    </w:p>
    <w:p w14:paraId="4FDC5FA0">
      <w:pPr>
        <w:pageBreakBefore w:val="0"/>
        <w:widowControl w:val="0"/>
        <w:kinsoku/>
        <w:wordWrap/>
        <w:overflowPunct/>
        <w:topLinePunct w:val="0"/>
        <w:autoSpaceDE/>
        <w:autoSpaceDN/>
        <w:bidi w:val="0"/>
        <w:spacing w:line="360" w:lineRule="auto"/>
        <w:ind w:left="0" w:leftChars="0" w:firstLine="275" w:firstLineChars="131"/>
        <w:rPr>
          <w:rFonts w:hint="eastAsia" w:ascii="宋体" w:hAnsi="宋体" w:cs="宋体"/>
          <w:color w:val="auto"/>
          <w:szCs w:val="21"/>
          <w:highlight w:val="none"/>
        </w:rPr>
      </w:pPr>
      <w:r>
        <w:rPr>
          <w:rFonts w:hint="eastAsia" w:ascii="宋体" w:hAnsi="宋体" w:cs="宋体"/>
          <w:color w:val="auto"/>
          <w:szCs w:val="21"/>
          <w:highlight w:val="none"/>
        </w:rPr>
        <w:t>15.3.</w:t>
      </w:r>
      <w:r>
        <w:rPr>
          <w:rFonts w:ascii="宋体" w:hAnsi="宋体" w:cs="宋体"/>
          <w:color w:val="auto"/>
          <w:szCs w:val="21"/>
          <w:highlight w:val="none"/>
        </w:rPr>
        <w:t>2</w:t>
      </w:r>
      <w:r>
        <w:rPr>
          <w:rFonts w:hint="eastAsia" w:ascii="宋体" w:hAnsi="宋体" w:cs="宋体"/>
          <w:color w:val="auto"/>
          <w:szCs w:val="21"/>
          <w:highlight w:val="none"/>
        </w:rPr>
        <w:t>响应报价（包含首次报价、最后报价）超过所竞标</w:t>
      </w:r>
      <w:r>
        <w:rPr>
          <w:rFonts w:hint="eastAsia" w:ascii="宋体" w:hAnsi="宋体" w:cs="宋体"/>
          <w:color w:val="auto"/>
          <w:szCs w:val="21"/>
          <w:highlight w:val="none"/>
          <w:lang w:eastAsia="zh-CN"/>
        </w:rPr>
        <w:t>项目（或</w:t>
      </w:r>
      <w:r>
        <w:rPr>
          <w:rFonts w:hint="eastAsia" w:ascii="宋体" w:hAnsi="宋体" w:cs="宋体"/>
          <w:color w:val="auto"/>
          <w:szCs w:val="21"/>
          <w:highlight w:val="none"/>
        </w:rPr>
        <w:t>分标</w:t>
      </w:r>
      <w:r>
        <w:rPr>
          <w:rFonts w:hint="eastAsia" w:ascii="宋体" w:hAnsi="宋体" w:cs="宋体"/>
          <w:color w:val="auto"/>
          <w:szCs w:val="21"/>
          <w:highlight w:val="none"/>
          <w:lang w:eastAsia="zh-CN"/>
        </w:rPr>
        <w:t>）</w:t>
      </w:r>
      <w:r>
        <w:rPr>
          <w:rFonts w:hint="eastAsia" w:ascii="宋体" w:hAnsi="宋体" w:cs="宋体"/>
          <w:color w:val="auto"/>
          <w:szCs w:val="21"/>
          <w:highlight w:val="none"/>
        </w:rPr>
        <w:t>规定的采购预算金额或者最高限价的，其响应文件将作无效处理。</w:t>
      </w:r>
    </w:p>
    <w:p w14:paraId="3B00977B">
      <w:pPr>
        <w:pageBreakBefore w:val="0"/>
        <w:widowControl w:val="0"/>
        <w:kinsoku/>
        <w:wordWrap/>
        <w:overflowPunct/>
        <w:topLinePunct w:val="0"/>
        <w:autoSpaceDE/>
        <w:autoSpaceDN/>
        <w:bidi w:val="0"/>
        <w:spacing w:line="360" w:lineRule="auto"/>
        <w:ind w:left="0" w:leftChars="0" w:firstLine="316" w:firstLineChars="131"/>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16.竞标有效期</w:t>
      </w:r>
    </w:p>
    <w:p w14:paraId="6FDF06AA">
      <w:pPr>
        <w:pageBreakBefore w:val="0"/>
        <w:widowControl w:val="0"/>
        <w:kinsoku/>
        <w:wordWrap/>
        <w:overflowPunct/>
        <w:topLinePunct w:val="0"/>
        <w:autoSpaceDE/>
        <w:autoSpaceDN/>
        <w:bidi w:val="0"/>
        <w:spacing w:line="360" w:lineRule="auto"/>
        <w:ind w:left="0" w:leftChars="0" w:firstLine="275" w:firstLineChars="131"/>
        <w:rPr>
          <w:rFonts w:hint="eastAsia"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64F0C32D">
      <w:pPr>
        <w:pageBreakBefore w:val="0"/>
        <w:widowControl w:val="0"/>
        <w:kinsoku/>
        <w:wordWrap/>
        <w:overflowPunct/>
        <w:topLinePunct w:val="0"/>
        <w:autoSpaceDE/>
        <w:autoSpaceDN/>
        <w:bidi w:val="0"/>
        <w:spacing w:line="360" w:lineRule="auto"/>
        <w:ind w:left="0" w:leftChars="0" w:firstLine="275" w:firstLineChars="131"/>
        <w:rPr>
          <w:rFonts w:hint="eastAsia"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p>
    <w:p w14:paraId="64BEE990">
      <w:pPr>
        <w:pageBreakBefore w:val="0"/>
        <w:widowControl w:val="0"/>
        <w:kinsoku/>
        <w:wordWrap/>
        <w:overflowPunct/>
        <w:topLinePunct w:val="0"/>
        <w:autoSpaceDE/>
        <w:autoSpaceDN/>
        <w:bidi w:val="0"/>
        <w:spacing w:line="360" w:lineRule="auto"/>
        <w:ind w:left="0" w:leftChars="0" w:firstLine="275" w:firstLineChars="131"/>
        <w:rPr>
          <w:rFonts w:hint="eastAsia"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14:paraId="34BC215A">
      <w:pPr>
        <w:pageBreakBefore w:val="0"/>
        <w:widowControl w:val="0"/>
        <w:kinsoku/>
        <w:wordWrap/>
        <w:overflowPunct/>
        <w:topLinePunct w:val="0"/>
        <w:autoSpaceDE/>
        <w:autoSpaceDN/>
        <w:bidi w:val="0"/>
        <w:spacing w:line="360" w:lineRule="auto"/>
        <w:ind w:left="0" w:leftChars="0" w:firstLine="316" w:firstLineChars="131"/>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17.磋商保证金</w:t>
      </w:r>
    </w:p>
    <w:p w14:paraId="6C8C7E59">
      <w:pPr>
        <w:pageBreakBefore w:val="0"/>
        <w:widowControl w:val="0"/>
        <w:kinsoku/>
        <w:wordWrap/>
        <w:overflowPunct/>
        <w:topLinePunct w:val="0"/>
        <w:autoSpaceDE/>
        <w:autoSpaceDN/>
        <w:bidi w:val="0"/>
        <w:spacing w:line="360" w:lineRule="auto"/>
        <w:ind w:left="0" w:leftChars="0" w:firstLine="275" w:firstLineChars="131"/>
        <w:rPr>
          <w:rFonts w:ascii="宋体" w:hAnsi="宋体" w:cs="宋体"/>
          <w:color w:val="auto"/>
          <w:szCs w:val="21"/>
          <w:highlight w:val="none"/>
        </w:rPr>
      </w:pPr>
      <w:r>
        <w:rPr>
          <w:rFonts w:hint="eastAsia" w:ascii="宋体" w:hAnsi="宋体" w:cs="宋体"/>
          <w:color w:val="auto"/>
          <w:szCs w:val="21"/>
          <w:highlight w:val="none"/>
        </w:rPr>
        <w:t>详见“供应商须知前附表”。</w:t>
      </w:r>
    </w:p>
    <w:p w14:paraId="17A0F3B1">
      <w:pPr>
        <w:pageBreakBefore w:val="0"/>
        <w:widowControl w:val="0"/>
        <w:kinsoku/>
        <w:wordWrap/>
        <w:overflowPunct/>
        <w:topLinePunct w:val="0"/>
        <w:autoSpaceDE/>
        <w:autoSpaceDN/>
        <w:bidi w:val="0"/>
        <w:spacing w:line="360" w:lineRule="auto"/>
        <w:ind w:left="0" w:leftChars="0" w:firstLine="316" w:firstLineChars="131"/>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18.响应文件编制的要求</w:t>
      </w:r>
    </w:p>
    <w:p w14:paraId="2DE13CE8">
      <w:pPr>
        <w:pageBreakBefore w:val="0"/>
        <w:widowControl w:val="0"/>
        <w:kinsoku/>
        <w:wordWrap/>
        <w:overflowPunct/>
        <w:topLinePunct w:val="0"/>
        <w:autoSpaceDE/>
        <w:autoSpaceDN/>
        <w:bidi w:val="0"/>
        <w:spacing w:line="360" w:lineRule="auto"/>
        <w:ind w:left="0" w:leftChars="0" w:firstLine="275" w:firstLineChars="131"/>
        <w:rPr>
          <w:rFonts w:hint="eastAsia" w:ascii="宋体" w:hAnsi="宋体" w:cs="宋体"/>
          <w:color w:val="auto"/>
          <w:szCs w:val="21"/>
          <w:highlight w:val="none"/>
        </w:rPr>
      </w:pPr>
      <w:r>
        <w:rPr>
          <w:rFonts w:hint="eastAsia" w:ascii="宋体" w:hAnsi="宋体" w:cs="宋体"/>
          <w:color w:val="auto"/>
          <w:szCs w:val="21"/>
          <w:highlight w:val="none"/>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cs="宋体"/>
          <w:color w:val="auto"/>
          <w:highlight w:val="none"/>
        </w:rPr>
        <w:t>由此引发的</w:t>
      </w:r>
      <w:r>
        <w:rPr>
          <w:rFonts w:hint="eastAsia" w:ascii="宋体" w:hAnsi="宋体" w:cs="宋体"/>
          <w:color w:val="auto"/>
          <w:szCs w:val="21"/>
          <w:highlight w:val="none"/>
        </w:rPr>
        <w:t>后果由供应商承担。</w:t>
      </w:r>
    </w:p>
    <w:p w14:paraId="297A6E2B">
      <w:pPr>
        <w:pageBreakBefore w:val="0"/>
        <w:widowControl w:val="0"/>
        <w:kinsoku/>
        <w:wordWrap/>
        <w:overflowPunct/>
        <w:topLinePunct w:val="0"/>
        <w:autoSpaceDE/>
        <w:autoSpaceDN/>
        <w:bidi w:val="0"/>
        <w:spacing w:line="360" w:lineRule="auto"/>
        <w:ind w:left="0" w:leftChars="0" w:firstLine="275" w:firstLineChars="131"/>
        <w:rPr>
          <w:rFonts w:hint="eastAsia" w:ascii="宋体" w:hAnsi="宋体" w:cs="宋体"/>
          <w:color w:val="auto"/>
          <w:szCs w:val="21"/>
          <w:highlight w:val="none"/>
        </w:rPr>
      </w:pPr>
      <w:r>
        <w:rPr>
          <w:rFonts w:hint="eastAsia" w:ascii="宋体" w:hAnsi="宋体" w:cs="宋体"/>
          <w:color w:val="auto"/>
          <w:szCs w:val="21"/>
          <w:highlight w:val="none"/>
        </w:rPr>
        <w:t>18.2响应文件应按资格证明、报价分别编制，商务技术文件合并编制，本磋商只接受电子版响应文件，要求见本章“12.2响应文件电子版要求”。</w:t>
      </w:r>
    </w:p>
    <w:p w14:paraId="08B2911C">
      <w:pPr>
        <w:pageBreakBefore w:val="0"/>
        <w:widowControl w:val="0"/>
        <w:kinsoku/>
        <w:wordWrap/>
        <w:overflowPunct/>
        <w:topLinePunct w:val="0"/>
        <w:autoSpaceDE/>
        <w:autoSpaceDN/>
        <w:bidi w:val="0"/>
        <w:spacing w:line="360" w:lineRule="auto"/>
        <w:ind w:left="0" w:leftChars="0" w:firstLine="275" w:firstLineChars="131"/>
        <w:rPr>
          <w:rFonts w:hint="eastAsia" w:ascii="宋体" w:hAnsi="宋体" w:cs="宋体"/>
          <w:color w:val="auto"/>
          <w:szCs w:val="21"/>
          <w:highlight w:val="none"/>
        </w:rPr>
      </w:pPr>
      <w:r>
        <w:rPr>
          <w:rFonts w:hint="eastAsia" w:ascii="宋体" w:hAnsi="宋体" w:cs="宋体"/>
          <w:color w:val="auto"/>
          <w:szCs w:val="21"/>
          <w:highlight w:val="none"/>
        </w:rPr>
        <w:t>18.</w:t>
      </w:r>
      <w:bookmarkStart w:id="42" w:name="_Hlk65832699"/>
      <w:r>
        <w:rPr>
          <w:rFonts w:hint="eastAsia" w:ascii="宋体" w:hAnsi="宋体" w:cs="宋体"/>
          <w:color w:val="auto"/>
          <w:szCs w:val="21"/>
          <w:highlight w:val="none"/>
        </w:rPr>
        <w:t>3</w:t>
      </w:r>
      <w:r>
        <w:rPr>
          <w:rFonts w:hint="eastAsia" w:ascii="宋体" w:hAnsi="宋体"/>
          <w:color w:val="auto"/>
          <w:szCs w:val="21"/>
          <w:highlight w:val="none"/>
        </w:rPr>
        <w:t>响应文件须由供应商在</w:t>
      </w:r>
      <w:r>
        <w:rPr>
          <w:rFonts w:hint="eastAsia" w:ascii="宋体" w:hAnsi="宋体" w:cs="仿宋_GB2312"/>
          <w:color w:val="auto"/>
          <w:kern w:val="0"/>
          <w:szCs w:val="21"/>
          <w:highlight w:val="none"/>
          <w:lang w:val="zh-CN"/>
        </w:rPr>
        <w:t>“</w:t>
      </w:r>
      <w:r>
        <w:rPr>
          <w:rFonts w:hint="eastAsia" w:ascii="宋体" w:hAnsi="宋体"/>
          <w:color w:val="auto"/>
          <w:szCs w:val="21"/>
          <w:highlight w:val="none"/>
        </w:rPr>
        <w:t>第五章 响应文件格式</w:t>
      </w:r>
      <w:r>
        <w:rPr>
          <w:rFonts w:hint="eastAsia" w:ascii="宋体" w:hAnsi="宋体" w:cs="仿宋_GB2312"/>
          <w:color w:val="auto"/>
          <w:kern w:val="0"/>
          <w:szCs w:val="21"/>
          <w:highlight w:val="none"/>
          <w:lang w:val="zh-CN"/>
        </w:rPr>
        <w:t>”</w:t>
      </w:r>
      <w:r>
        <w:rPr>
          <w:rFonts w:hint="eastAsia" w:ascii="宋体" w:hAnsi="宋体"/>
          <w:color w:val="auto"/>
          <w:szCs w:val="21"/>
          <w:highlight w:val="none"/>
        </w:rPr>
        <w:t>规定位置</w:t>
      </w:r>
      <w:r>
        <w:rPr>
          <w:rFonts w:hint="eastAsia" w:ascii="宋体" w:hAnsi="宋体" w:cs="仿宋_GB2312"/>
          <w:color w:val="auto"/>
          <w:szCs w:val="21"/>
          <w:highlight w:val="none"/>
        </w:rPr>
        <w:t>进行签署、盖章</w:t>
      </w:r>
      <w:bookmarkEnd w:id="42"/>
      <w:r>
        <w:rPr>
          <w:rFonts w:hint="eastAsia" w:ascii="宋体" w:hAnsi="宋体" w:cs="宋体"/>
          <w:color w:val="auto"/>
          <w:szCs w:val="21"/>
          <w:highlight w:val="none"/>
        </w:rPr>
        <w:t>，否则其响应文件按无效响应处理。骑缝盖公章不视为在规定位置盖章。</w:t>
      </w:r>
    </w:p>
    <w:p w14:paraId="40162855">
      <w:pPr>
        <w:pageBreakBefore w:val="0"/>
        <w:widowControl w:val="0"/>
        <w:kinsoku/>
        <w:wordWrap/>
        <w:overflowPunct/>
        <w:topLinePunct w:val="0"/>
        <w:autoSpaceDE/>
        <w:autoSpaceDN/>
        <w:bidi w:val="0"/>
        <w:spacing w:line="360" w:lineRule="auto"/>
        <w:ind w:left="0" w:leftChars="0" w:firstLine="275" w:firstLineChars="131"/>
        <w:rPr>
          <w:rFonts w:hint="eastAsia" w:ascii="宋体" w:hAnsi="宋体" w:cs="宋体"/>
          <w:color w:val="auto"/>
          <w:szCs w:val="21"/>
          <w:highlight w:val="none"/>
        </w:rPr>
      </w:pPr>
      <w:r>
        <w:rPr>
          <w:rFonts w:hint="eastAsia" w:ascii="宋体" w:hAnsi="宋体" w:cs="宋体"/>
          <w:color w:val="auto"/>
          <w:szCs w:val="21"/>
          <w:highlight w:val="none"/>
        </w:rPr>
        <w:t>18.4响应文件中标注的供应商名称应与</w:t>
      </w:r>
      <w:r>
        <w:rPr>
          <w:rFonts w:hint="eastAsia" w:ascii="宋体" w:hAnsi="宋体" w:cs="宋体"/>
          <w:b/>
          <w:bCs/>
          <w:color w:val="auto"/>
          <w:szCs w:val="21"/>
          <w:highlight w:val="none"/>
        </w:rPr>
        <w:t>营业执照（事业单位法人证书、执业许可证、自然人身份证）</w:t>
      </w:r>
      <w:r>
        <w:rPr>
          <w:rFonts w:hint="eastAsia" w:ascii="宋体" w:hAnsi="宋体" w:cs="宋体"/>
          <w:color w:val="auto"/>
          <w:szCs w:val="21"/>
          <w:highlight w:val="none"/>
        </w:rPr>
        <w:t>及电子公章一致，否则其响应文件按无效响应处理。</w:t>
      </w:r>
    </w:p>
    <w:p w14:paraId="4908AD9E">
      <w:pPr>
        <w:pageBreakBefore w:val="0"/>
        <w:widowControl w:val="0"/>
        <w:kinsoku/>
        <w:wordWrap/>
        <w:overflowPunct/>
        <w:topLinePunct w:val="0"/>
        <w:autoSpaceDE/>
        <w:autoSpaceDN/>
        <w:bidi w:val="0"/>
        <w:spacing w:line="360" w:lineRule="auto"/>
        <w:ind w:left="0" w:leftChars="0" w:firstLine="275" w:firstLineChars="131"/>
        <w:rPr>
          <w:rFonts w:hint="eastAsia" w:ascii="宋体" w:hAnsi="宋体" w:cs="宋体"/>
          <w:color w:val="auto"/>
          <w:szCs w:val="21"/>
          <w:highlight w:val="none"/>
        </w:rPr>
      </w:pPr>
      <w:r>
        <w:rPr>
          <w:rFonts w:hint="eastAsia" w:ascii="宋体" w:hAnsi="宋体" w:cs="宋体"/>
          <w:color w:val="auto"/>
          <w:szCs w:val="21"/>
          <w:highlight w:val="none"/>
        </w:rPr>
        <w:t>18.5响应文件应避免涂改、行间插字或者删除，否则其响应文件按无效响应处理。</w:t>
      </w:r>
    </w:p>
    <w:p w14:paraId="181EF30D">
      <w:pPr>
        <w:pageBreakBefore w:val="0"/>
        <w:widowControl w:val="0"/>
        <w:kinsoku/>
        <w:wordWrap/>
        <w:overflowPunct/>
        <w:topLinePunct w:val="0"/>
        <w:autoSpaceDE/>
        <w:autoSpaceDN/>
        <w:bidi w:val="0"/>
        <w:spacing w:line="360" w:lineRule="auto"/>
        <w:ind w:left="0" w:leftChars="0" w:firstLine="316" w:firstLineChars="131"/>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19.响应文件的密封和标记</w:t>
      </w:r>
    </w:p>
    <w:p w14:paraId="799C5990">
      <w:pPr>
        <w:pageBreakBefore w:val="0"/>
        <w:widowControl w:val="0"/>
        <w:kinsoku/>
        <w:wordWrap/>
        <w:overflowPunct/>
        <w:topLinePunct w:val="0"/>
        <w:autoSpaceDE/>
        <w:autoSpaceDN/>
        <w:bidi w:val="0"/>
        <w:spacing w:line="360" w:lineRule="auto"/>
        <w:ind w:left="0" w:leftChars="0" w:firstLine="275" w:firstLineChars="131"/>
        <w:rPr>
          <w:rFonts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19.1供应商进行电子交易应安装客户端软件—“广西政府采购云平台投标客户端”，并按照磋商文件和电子交易平台的要求编制并加密响应文件。供应商未按规定加密的响应文件，电子交易平台将拒收并提示。</w:t>
      </w:r>
    </w:p>
    <w:p w14:paraId="1F0C16D9">
      <w:pPr>
        <w:pageBreakBefore w:val="0"/>
        <w:widowControl w:val="0"/>
        <w:kinsoku/>
        <w:wordWrap/>
        <w:overflowPunct/>
        <w:topLinePunct w:val="0"/>
        <w:autoSpaceDE/>
        <w:autoSpaceDN/>
        <w:bidi w:val="0"/>
        <w:spacing w:line="360" w:lineRule="auto"/>
        <w:ind w:left="0" w:leftChars="0" w:firstLine="275" w:firstLineChars="131"/>
        <w:rPr>
          <w:rFonts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19.2使用“广西政府采购云平台投标客户端”需要提前申领CA数字证书。</w:t>
      </w:r>
    </w:p>
    <w:p w14:paraId="73DDD359">
      <w:pPr>
        <w:pStyle w:val="16"/>
        <w:pageBreakBefore w:val="0"/>
        <w:widowControl w:val="0"/>
        <w:kinsoku/>
        <w:wordWrap/>
        <w:overflowPunct/>
        <w:topLinePunct w:val="0"/>
        <w:autoSpaceDE/>
        <w:autoSpaceDN/>
        <w:bidi w:val="0"/>
        <w:spacing w:line="360" w:lineRule="auto"/>
        <w:ind w:left="0" w:leftChars="0" w:firstLine="275" w:firstLineChars="131"/>
        <w:rPr>
          <w:rFonts w:hAnsi="宋体" w:cs="仿宋_GB2312"/>
          <w:color w:val="auto"/>
          <w:sz w:val="21"/>
          <w:highlight w:val="none"/>
        </w:rPr>
      </w:pPr>
      <w:r>
        <w:rPr>
          <w:rFonts w:hint="eastAsia" w:hAnsi="宋体" w:cs="仿宋_GB2312"/>
          <w:color w:val="auto"/>
          <w:sz w:val="21"/>
          <w:highlight w:val="none"/>
          <w:lang w:eastAsia="zh-CN"/>
        </w:rPr>
        <w:t>19</w:t>
      </w:r>
      <w:r>
        <w:rPr>
          <w:rFonts w:hint="eastAsia" w:hAnsi="宋体" w:cs="仿宋_GB2312"/>
          <w:color w:val="auto"/>
          <w:sz w:val="21"/>
          <w:highlight w:val="none"/>
        </w:rPr>
        <w:t>.</w:t>
      </w:r>
      <w:r>
        <w:rPr>
          <w:rFonts w:hint="eastAsia" w:hAnsi="宋体" w:cs="仿宋_GB2312"/>
          <w:color w:val="auto"/>
          <w:sz w:val="21"/>
          <w:highlight w:val="none"/>
          <w:lang w:eastAsia="zh-CN"/>
        </w:rPr>
        <w:t>3</w:t>
      </w:r>
      <w:r>
        <w:rPr>
          <w:rFonts w:hint="eastAsia" w:hAnsi="宋体" w:cs="仿宋_GB2312"/>
          <w:color w:val="auto"/>
          <w:sz w:val="21"/>
          <w:highlight w:val="none"/>
        </w:rPr>
        <w:t>为确保网上操作合法、有效和安全，供应商应当在响应文件提交截止时间前完成在</w:t>
      </w:r>
      <w:r>
        <w:rPr>
          <w:rFonts w:hint="eastAsia" w:hAnsi="宋体" w:cs="仿宋_GB2312"/>
          <w:color w:val="auto"/>
          <w:sz w:val="21"/>
          <w:highlight w:val="none"/>
          <w:lang w:eastAsia="zh-CN"/>
        </w:rPr>
        <w:t>“广西政府采购云平台”</w:t>
      </w:r>
      <w:r>
        <w:rPr>
          <w:rFonts w:hint="eastAsia" w:hAnsi="宋体" w:cs="仿宋_GB2312"/>
          <w:color w:val="auto"/>
          <w:sz w:val="21"/>
          <w:highlight w:val="none"/>
        </w:rPr>
        <w:t>的身份认证，确保在电子交易过程中能够对相关数据电文进行加密和使用电子签名。</w:t>
      </w:r>
    </w:p>
    <w:p w14:paraId="7C63879C">
      <w:pPr>
        <w:pageBreakBefore w:val="0"/>
        <w:widowControl w:val="0"/>
        <w:kinsoku/>
        <w:wordWrap/>
        <w:overflowPunct/>
        <w:topLinePunct w:val="0"/>
        <w:autoSpaceDE/>
        <w:autoSpaceDN/>
        <w:bidi w:val="0"/>
        <w:spacing w:line="360" w:lineRule="auto"/>
        <w:ind w:left="0" w:leftChars="0" w:firstLine="316" w:firstLineChars="131"/>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20.响应文件的提交</w:t>
      </w:r>
    </w:p>
    <w:p w14:paraId="47A16B00">
      <w:pPr>
        <w:pageBreakBefore w:val="0"/>
        <w:widowControl w:val="0"/>
        <w:kinsoku/>
        <w:wordWrap/>
        <w:overflowPunct/>
        <w:topLinePunct w:val="0"/>
        <w:autoSpaceDE/>
        <w:autoSpaceDN/>
        <w:bidi w:val="0"/>
        <w:spacing w:line="360" w:lineRule="auto"/>
        <w:ind w:left="0" w:leftChars="0" w:firstLine="275" w:firstLineChars="131"/>
        <w:rPr>
          <w:rFonts w:hint="eastAsia" w:ascii="宋体" w:hAnsi="宋体" w:cs="宋体"/>
          <w:color w:val="auto"/>
          <w:szCs w:val="21"/>
          <w:highlight w:val="none"/>
        </w:rPr>
      </w:pPr>
      <w:r>
        <w:rPr>
          <w:rFonts w:hint="eastAsia" w:ascii="宋体" w:hAnsi="宋体" w:cs="宋体"/>
          <w:color w:val="auto"/>
          <w:szCs w:val="21"/>
          <w:highlight w:val="none"/>
        </w:rPr>
        <w:t>20.1供应商必须在“供应商须知前附表”规定的时间和地点提交响应文件。</w:t>
      </w:r>
    </w:p>
    <w:p w14:paraId="0A3D4ED8">
      <w:pPr>
        <w:pageBreakBefore w:val="0"/>
        <w:widowControl w:val="0"/>
        <w:kinsoku/>
        <w:wordWrap/>
        <w:overflowPunct/>
        <w:topLinePunct w:val="0"/>
        <w:autoSpaceDE/>
        <w:autoSpaceDN/>
        <w:bidi w:val="0"/>
        <w:spacing w:line="360" w:lineRule="auto"/>
        <w:ind w:left="0" w:leftChars="0" w:firstLine="275" w:firstLineChars="131"/>
        <w:rPr>
          <w:rFonts w:ascii="宋体" w:hAnsi="宋体"/>
          <w:color w:val="auto"/>
          <w:szCs w:val="21"/>
          <w:highlight w:val="none"/>
        </w:rPr>
      </w:pPr>
      <w:r>
        <w:rPr>
          <w:rFonts w:hint="eastAsia" w:ascii="宋体" w:hAnsi="宋体" w:cs="宋体"/>
          <w:color w:val="auto"/>
          <w:szCs w:val="21"/>
          <w:highlight w:val="none"/>
        </w:rPr>
        <w:t>20</w:t>
      </w:r>
      <w:r>
        <w:rPr>
          <w:rFonts w:hint="eastAsia" w:ascii="宋体" w:hAnsi="宋体"/>
          <w:color w:val="auto"/>
          <w:szCs w:val="21"/>
          <w:highlight w:val="none"/>
        </w:rPr>
        <w:t>.2 在响应文件提交截止时间以后，不能补充、修改响应文件。</w:t>
      </w:r>
    </w:p>
    <w:p w14:paraId="3764CB5D">
      <w:pPr>
        <w:pageBreakBefore w:val="0"/>
        <w:widowControl w:val="0"/>
        <w:kinsoku/>
        <w:wordWrap/>
        <w:overflowPunct/>
        <w:topLinePunct w:val="0"/>
        <w:autoSpaceDE/>
        <w:autoSpaceDN/>
        <w:bidi w:val="0"/>
        <w:spacing w:line="360" w:lineRule="auto"/>
        <w:ind w:left="0" w:leftChars="0" w:firstLine="275" w:firstLineChars="131"/>
        <w:rPr>
          <w:rFonts w:ascii="宋体" w:hAnsi="宋体"/>
          <w:color w:val="auto"/>
          <w:szCs w:val="21"/>
          <w:highlight w:val="none"/>
        </w:rPr>
      </w:pPr>
      <w:r>
        <w:rPr>
          <w:rFonts w:hint="eastAsia" w:ascii="宋体" w:hAnsi="宋体"/>
          <w:color w:val="auto"/>
          <w:szCs w:val="21"/>
          <w:highlight w:val="none"/>
        </w:rPr>
        <w:t>20.3 在提交“最后报价”后，供应商不能退出</w:t>
      </w:r>
      <w:r>
        <w:rPr>
          <w:rFonts w:hint="eastAsia" w:ascii="宋体" w:hAnsi="宋体"/>
          <w:color w:val="auto"/>
          <w:szCs w:val="21"/>
          <w:highlight w:val="none"/>
          <w:lang w:eastAsia="zh-CN"/>
        </w:rPr>
        <w:t>磋商</w:t>
      </w:r>
      <w:r>
        <w:rPr>
          <w:rFonts w:hint="eastAsia" w:ascii="宋体" w:hAnsi="宋体"/>
          <w:color w:val="auto"/>
          <w:szCs w:val="21"/>
          <w:highlight w:val="none"/>
        </w:rPr>
        <w:t>。</w:t>
      </w:r>
    </w:p>
    <w:p w14:paraId="24C6A27E">
      <w:pPr>
        <w:pageBreakBefore w:val="0"/>
        <w:widowControl w:val="0"/>
        <w:kinsoku/>
        <w:wordWrap/>
        <w:overflowPunct/>
        <w:topLinePunct w:val="0"/>
        <w:autoSpaceDE/>
        <w:autoSpaceDN/>
        <w:bidi w:val="0"/>
        <w:spacing w:line="360" w:lineRule="auto"/>
        <w:ind w:left="0" w:leftChars="0" w:firstLine="275" w:firstLineChars="131"/>
        <w:rPr>
          <w:rFonts w:ascii="宋体" w:hAnsi="宋体"/>
          <w:color w:val="auto"/>
          <w:szCs w:val="21"/>
          <w:highlight w:val="none"/>
        </w:rPr>
      </w:pPr>
      <w:r>
        <w:rPr>
          <w:rFonts w:hint="eastAsia" w:ascii="宋体" w:hAnsi="宋体"/>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0D05450B">
      <w:pPr>
        <w:pageBreakBefore w:val="0"/>
        <w:widowControl w:val="0"/>
        <w:kinsoku/>
        <w:wordWrap/>
        <w:overflowPunct/>
        <w:topLinePunct w:val="0"/>
        <w:autoSpaceDE/>
        <w:autoSpaceDN/>
        <w:bidi w:val="0"/>
        <w:spacing w:line="360" w:lineRule="auto"/>
        <w:ind w:left="0" w:leftChars="0" w:firstLine="275" w:firstLineChars="131"/>
        <w:rPr>
          <w:rFonts w:hint="eastAsia" w:ascii="宋体" w:hAnsi="宋体"/>
          <w:color w:val="auto"/>
          <w:szCs w:val="21"/>
          <w:highlight w:val="none"/>
        </w:rPr>
      </w:pPr>
      <w:r>
        <w:rPr>
          <w:rFonts w:hint="eastAsia" w:ascii="宋体" w:hAnsi="宋体"/>
          <w:color w:val="auto"/>
          <w:szCs w:val="21"/>
          <w:highlight w:val="none"/>
        </w:rPr>
        <w:t>20.5 采购机构不可视情况延长提交响应文件的截止时间。</w:t>
      </w:r>
    </w:p>
    <w:p w14:paraId="19672C79">
      <w:pPr>
        <w:pageBreakBefore w:val="0"/>
        <w:widowControl w:val="0"/>
        <w:kinsoku/>
        <w:wordWrap/>
        <w:overflowPunct/>
        <w:topLinePunct w:val="0"/>
        <w:autoSpaceDE/>
        <w:autoSpaceDN/>
        <w:bidi w:val="0"/>
        <w:spacing w:line="360" w:lineRule="auto"/>
        <w:ind w:left="0" w:leftChars="0" w:firstLine="275" w:firstLineChars="131"/>
        <w:rPr>
          <w:rFonts w:hint="eastAsia" w:ascii="黑体" w:hAnsi="黑体" w:eastAsia="黑体"/>
          <w:color w:val="auto"/>
          <w:sz w:val="24"/>
          <w:highlight w:val="none"/>
        </w:rPr>
      </w:pPr>
      <w:r>
        <w:rPr>
          <w:rFonts w:hint="eastAsia" w:ascii="宋体" w:hAnsi="宋体"/>
          <w:color w:val="auto"/>
          <w:szCs w:val="21"/>
          <w:highlight w:val="none"/>
        </w:rPr>
        <w:t>20.6备份响应文件。</w:t>
      </w:r>
      <w:r>
        <w:rPr>
          <w:rFonts w:hint="eastAsia" w:hAnsi="宋体"/>
          <w:bCs/>
          <w:color w:val="auto"/>
          <w:szCs w:val="21"/>
          <w:highlight w:val="none"/>
        </w:rPr>
        <w:t>详见在“供应商须知前附表”。</w:t>
      </w:r>
    </w:p>
    <w:p w14:paraId="6B1184A6">
      <w:pPr>
        <w:pageBreakBefore w:val="0"/>
        <w:widowControl w:val="0"/>
        <w:kinsoku/>
        <w:wordWrap/>
        <w:overflowPunct/>
        <w:topLinePunct w:val="0"/>
        <w:autoSpaceDE/>
        <w:autoSpaceDN/>
        <w:bidi w:val="0"/>
        <w:spacing w:line="360" w:lineRule="auto"/>
        <w:ind w:left="0" w:leftChars="0" w:firstLine="316" w:firstLineChars="131"/>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21.首次响应文件的补充、修改与撤回</w:t>
      </w:r>
    </w:p>
    <w:p w14:paraId="638527AF">
      <w:pPr>
        <w:pageBreakBefore w:val="0"/>
        <w:widowControl w:val="0"/>
        <w:kinsoku/>
        <w:wordWrap/>
        <w:overflowPunct/>
        <w:topLinePunct w:val="0"/>
        <w:autoSpaceDE/>
        <w:autoSpaceDN/>
        <w:bidi w:val="0"/>
        <w:spacing w:line="360" w:lineRule="auto"/>
        <w:ind w:left="0" w:leftChars="0" w:firstLine="275" w:firstLineChars="131"/>
        <w:rPr>
          <w:rFonts w:hint="eastAsia" w:ascii="宋体" w:hAnsi="宋体" w:cs="宋体"/>
          <w:color w:val="auto"/>
          <w:szCs w:val="21"/>
          <w:highlight w:val="none"/>
        </w:rPr>
      </w:pPr>
      <w:r>
        <w:rPr>
          <w:rFonts w:hint="eastAsia" w:ascii="宋体" w:hAnsi="宋体" w:cs="宋体"/>
          <w:color w:val="auto"/>
          <w:szCs w:val="21"/>
          <w:highlight w:val="none"/>
        </w:rPr>
        <w:t>详见“供应商须知前附表”。</w:t>
      </w:r>
    </w:p>
    <w:p w14:paraId="69D2B03E">
      <w:pPr>
        <w:pageBreakBefore w:val="0"/>
        <w:widowControl w:val="0"/>
        <w:kinsoku/>
        <w:wordWrap/>
        <w:overflowPunct/>
        <w:topLinePunct w:val="0"/>
        <w:autoSpaceDE/>
        <w:autoSpaceDN/>
        <w:bidi w:val="0"/>
        <w:spacing w:line="360" w:lineRule="auto"/>
        <w:ind w:left="0" w:leftChars="0" w:firstLine="316" w:firstLineChars="131"/>
        <w:rPr>
          <w:rFonts w:ascii="黑体" w:hAnsi="黑体" w:eastAsia="黑体" w:cs="宋体"/>
          <w:b/>
          <w:bCs/>
          <w:color w:val="auto"/>
          <w:sz w:val="24"/>
          <w:highlight w:val="none"/>
        </w:rPr>
      </w:pPr>
      <w:bookmarkStart w:id="43" w:name="_Hlk45702405"/>
      <w:r>
        <w:rPr>
          <w:rFonts w:hint="eastAsia" w:ascii="黑体" w:hAnsi="黑体" w:eastAsia="黑体" w:cs="宋体"/>
          <w:b/>
          <w:bCs/>
          <w:color w:val="auto"/>
          <w:sz w:val="24"/>
          <w:highlight w:val="none"/>
        </w:rPr>
        <w:t>22. 首次响应文件的退回</w:t>
      </w:r>
    </w:p>
    <w:p w14:paraId="181F9B0E">
      <w:pPr>
        <w:pageBreakBefore w:val="0"/>
        <w:widowControl w:val="0"/>
        <w:kinsoku/>
        <w:wordWrap/>
        <w:overflowPunct/>
        <w:topLinePunct w:val="0"/>
        <w:autoSpaceDE/>
        <w:autoSpaceDN/>
        <w:bidi w:val="0"/>
        <w:spacing w:line="360" w:lineRule="auto"/>
        <w:ind w:left="0" w:leftChars="0" w:firstLine="275" w:firstLineChars="131"/>
        <w:rPr>
          <w:rFonts w:hint="eastAsia" w:ascii="宋体" w:hAnsi="宋体" w:cs="宋体"/>
          <w:color w:val="auto"/>
          <w:szCs w:val="21"/>
          <w:highlight w:val="none"/>
        </w:rPr>
      </w:pPr>
      <w:r>
        <w:rPr>
          <w:rFonts w:hint="eastAsia" w:ascii="宋体" w:hAnsi="宋体" w:cs="宋体"/>
          <w:color w:val="auto"/>
          <w:szCs w:val="21"/>
          <w:highlight w:val="none"/>
        </w:rPr>
        <w:t>在首次响应文件提交截止时间止提交响应文件的供应商不足3家时电子响应文件由代理机构在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操作退回，除此之外采购人和采购代理机构对已提交的电子响应文件概不退回。</w:t>
      </w:r>
    </w:p>
    <w:p w14:paraId="4C0281B5">
      <w:pPr>
        <w:pageBreakBefore w:val="0"/>
        <w:widowControl w:val="0"/>
        <w:kinsoku/>
        <w:wordWrap/>
        <w:overflowPunct/>
        <w:topLinePunct w:val="0"/>
        <w:autoSpaceDE/>
        <w:autoSpaceDN/>
        <w:bidi w:val="0"/>
        <w:spacing w:line="360" w:lineRule="auto"/>
        <w:ind w:left="0" w:leftChars="0" w:firstLine="316" w:firstLineChars="131"/>
        <w:rPr>
          <w:rFonts w:ascii="黑体" w:hAnsi="黑体" w:eastAsia="黑体" w:cs="宋体"/>
          <w:b/>
          <w:bCs/>
          <w:color w:val="auto"/>
          <w:sz w:val="24"/>
          <w:highlight w:val="none"/>
        </w:rPr>
      </w:pPr>
      <w:r>
        <w:rPr>
          <w:rFonts w:hint="eastAsia" w:ascii="黑体" w:hAnsi="黑体" w:eastAsia="黑体" w:cs="宋体"/>
          <w:b/>
          <w:bCs/>
          <w:color w:val="auto"/>
          <w:sz w:val="24"/>
          <w:highlight w:val="none"/>
        </w:rPr>
        <w:t>23. 截止时间后的撤回</w:t>
      </w:r>
    </w:p>
    <w:p w14:paraId="7D543AA3">
      <w:pPr>
        <w:pageBreakBefore w:val="0"/>
        <w:widowControl w:val="0"/>
        <w:kinsoku/>
        <w:wordWrap/>
        <w:overflowPunct/>
        <w:topLinePunct w:val="0"/>
        <w:autoSpaceDE/>
        <w:autoSpaceDN/>
        <w:bidi w:val="0"/>
        <w:spacing w:line="360" w:lineRule="auto"/>
        <w:ind w:left="0" w:leftChars="0" w:firstLine="275" w:firstLineChars="131"/>
        <w:rPr>
          <w:rFonts w:hint="eastAsia" w:ascii="宋体" w:hAnsi="宋体"/>
          <w:color w:val="auto"/>
          <w:szCs w:val="21"/>
          <w:highlight w:val="none"/>
        </w:rPr>
      </w:pPr>
      <w:r>
        <w:rPr>
          <w:rFonts w:hint="eastAsia" w:ascii="宋体" w:hAnsi="宋体" w:cs="宋体"/>
          <w:color w:val="auto"/>
          <w:szCs w:val="21"/>
          <w:highlight w:val="none"/>
        </w:rPr>
        <w:t>供应商在首次响应文件提交截止时间后可向采购人、采购代理机构书面申请撤回电子响应文件。</w:t>
      </w:r>
      <w:bookmarkEnd w:id="43"/>
    </w:p>
    <w:p w14:paraId="75D4389A">
      <w:pPr>
        <w:pStyle w:val="4"/>
        <w:pageBreakBefore w:val="0"/>
        <w:widowControl w:val="0"/>
        <w:kinsoku/>
        <w:wordWrap/>
        <w:overflowPunct/>
        <w:topLinePunct w:val="0"/>
        <w:autoSpaceDE/>
        <w:autoSpaceDN/>
        <w:bidi w:val="0"/>
        <w:spacing w:before="0" w:after="0" w:line="360" w:lineRule="auto"/>
        <w:ind w:left="0" w:leftChars="0" w:firstLine="419" w:firstLineChars="131"/>
        <w:rPr>
          <w:rFonts w:hint="eastAsia" w:ascii="宋体" w:hAnsi="宋体"/>
          <w:b w:val="0"/>
          <w:bCs w:val="0"/>
          <w:color w:val="auto"/>
          <w:highlight w:val="none"/>
        </w:rPr>
      </w:pPr>
      <w:r>
        <w:rPr>
          <w:rFonts w:hint="eastAsia" w:ascii="宋体" w:hAnsi="宋体"/>
          <w:b w:val="0"/>
          <w:bCs w:val="0"/>
          <w:color w:val="auto"/>
          <w:highlight w:val="none"/>
          <w:lang w:eastAsia="zh-CN"/>
        </w:rPr>
        <w:t xml:space="preserve">  </w:t>
      </w:r>
      <w:bookmarkStart w:id="44" w:name="_Toc15200"/>
      <w:r>
        <w:rPr>
          <w:rFonts w:hint="eastAsia" w:ascii="宋体" w:hAnsi="宋体"/>
          <w:b w:val="0"/>
          <w:bCs w:val="0"/>
          <w:color w:val="auto"/>
          <w:highlight w:val="none"/>
        </w:rPr>
        <w:t>四、评审及磋商</w:t>
      </w:r>
      <w:bookmarkEnd w:id="44"/>
    </w:p>
    <w:p w14:paraId="2BC247CB">
      <w:pPr>
        <w:pageBreakBefore w:val="0"/>
        <w:widowControl w:val="0"/>
        <w:kinsoku/>
        <w:wordWrap/>
        <w:overflowPunct/>
        <w:topLinePunct w:val="0"/>
        <w:autoSpaceDE/>
        <w:autoSpaceDN/>
        <w:bidi w:val="0"/>
        <w:spacing w:line="360" w:lineRule="auto"/>
        <w:ind w:left="0" w:leftChars="0" w:firstLine="316" w:firstLineChars="131"/>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24.磋商小组成立</w:t>
      </w:r>
    </w:p>
    <w:p w14:paraId="5D40A773">
      <w:pPr>
        <w:pageBreakBefore w:val="0"/>
        <w:widowControl w:val="0"/>
        <w:kinsoku/>
        <w:wordWrap/>
        <w:overflowPunct/>
        <w:topLinePunct w:val="0"/>
        <w:autoSpaceDE/>
        <w:autoSpaceDN/>
        <w:bidi w:val="0"/>
        <w:spacing w:line="360" w:lineRule="auto"/>
        <w:ind w:left="0" w:leftChars="0" w:firstLine="275" w:firstLineChars="131"/>
        <w:rPr>
          <w:rFonts w:hint="eastAsia" w:ascii="宋体" w:hAnsi="宋体" w:cs="宋体"/>
          <w:color w:val="auto"/>
          <w:szCs w:val="21"/>
          <w:highlight w:val="none"/>
        </w:rPr>
      </w:pPr>
      <w:r>
        <w:rPr>
          <w:rFonts w:hint="eastAsia" w:ascii="宋体" w:hAnsi="宋体" w:cs="宋体"/>
          <w:color w:val="auto"/>
          <w:szCs w:val="21"/>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14D51359">
      <w:pPr>
        <w:pageBreakBefore w:val="0"/>
        <w:widowControl w:val="0"/>
        <w:kinsoku/>
        <w:wordWrap/>
        <w:overflowPunct/>
        <w:topLinePunct w:val="0"/>
        <w:autoSpaceDE/>
        <w:autoSpaceDN/>
        <w:bidi w:val="0"/>
        <w:spacing w:line="360" w:lineRule="auto"/>
        <w:ind w:left="0" w:leftChars="0" w:firstLine="275" w:firstLineChars="131"/>
        <w:rPr>
          <w:rFonts w:hint="eastAsia"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46FC3DEE">
      <w:pPr>
        <w:pageBreakBefore w:val="0"/>
        <w:widowControl w:val="0"/>
        <w:kinsoku/>
        <w:wordWrap/>
        <w:overflowPunct/>
        <w:topLinePunct w:val="0"/>
        <w:autoSpaceDE/>
        <w:autoSpaceDN/>
        <w:bidi w:val="0"/>
        <w:spacing w:line="360" w:lineRule="auto"/>
        <w:ind w:left="0" w:leftChars="0" w:firstLine="316" w:firstLineChars="131"/>
        <w:rPr>
          <w:rFonts w:ascii="黑体" w:hAnsi="黑体" w:eastAsia="黑体" w:cs="宋体"/>
          <w:b/>
          <w:bCs/>
          <w:color w:val="auto"/>
          <w:sz w:val="24"/>
          <w:highlight w:val="none"/>
        </w:rPr>
      </w:pPr>
      <w:r>
        <w:rPr>
          <w:rFonts w:ascii="黑体" w:hAnsi="黑体" w:eastAsia="黑体" w:cs="宋体"/>
          <w:b/>
          <w:bCs/>
          <w:color w:val="auto"/>
          <w:sz w:val="24"/>
          <w:highlight w:val="none"/>
        </w:rPr>
        <w:t>25.</w:t>
      </w:r>
      <w:r>
        <w:rPr>
          <w:rFonts w:hint="eastAsia" w:ascii="黑体" w:hAnsi="黑体" w:eastAsia="黑体" w:cs="宋体"/>
          <w:b/>
          <w:bCs/>
          <w:color w:val="auto"/>
          <w:sz w:val="24"/>
          <w:highlight w:val="none"/>
        </w:rPr>
        <w:t>首次响应文件的开启</w:t>
      </w:r>
    </w:p>
    <w:p w14:paraId="7A37D47B">
      <w:pPr>
        <w:pageBreakBefore w:val="0"/>
        <w:widowControl w:val="0"/>
        <w:kinsoku/>
        <w:wordWrap/>
        <w:overflowPunct/>
        <w:topLinePunct w:val="0"/>
        <w:autoSpaceDE/>
        <w:autoSpaceDN/>
        <w:bidi w:val="0"/>
        <w:spacing w:line="360" w:lineRule="auto"/>
        <w:ind w:left="0" w:leftChars="0" w:firstLine="275" w:firstLineChars="131"/>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5.1</w:t>
      </w:r>
      <w:r>
        <w:rPr>
          <w:rFonts w:hint="eastAsia" w:ascii="宋体" w:hAnsi="宋体" w:cs="宋体"/>
          <w:color w:val="auto"/>
          <w:szCs w:val="21"/>
          <w:highlight w:val="none"/>
        </w:rPr>
        <w:t>首次响应文件由磋商小组或者采购代理机构在“供应商须知前附表”规定的时间开启。</w:t>
      </w:r>
    </w:p>
    <w:p w14:paraId="4DFAE278">
      <w:pPr>
        <w:pStyle w:val="16"/>
        <w:pageBreakBefore w:val="0"/>
        <w:widowControl w:val="0"/>
        <w:kinsoku/>
        <w:wordWrap/>
        <w:overflowPunct/>
        <w:topLinePunct w:val="0"/>
        <w:autoSpaceDE/>
        <w:autoSpaceDN/>
        <w:bidi w:val="0"/>
        <w:spacing w:line="360" w:lineRule="auto"/>
        <w:ind w:left="0" w:leftChars="0" w:firstLine="275" w:firstLineChars="131"/>
        <w:rPr>
          <w:rFonts w:hint="eastAsia" w:hAnsi="宋体"/>
          <w:bCs/>
          <w:color w:val="auto"/>
          <w:sz w:val="21"/>
          <w:highlight w:val="none"/>
        </w:rPr>
      </w:pPr>
      <w:r>
        <w:rPr>
          <w:rFonts w:hAnsi="宋体" w:cs="宋体"/>
          <w:color w:val="auto"/>
          <w:sz w:val="21"/>
          <w:highlight w:val="none"/>
        </w:rPr>
        <w:t xml:space="preserve">25.2 </w:t>
      </w:r>
      <w:r>
        <w:rPr>
          <w:rFonts w:hint="eastAsia" w:hAnsi="宋体"/>
          <w:bCs/>
          <w:color w:val="auto"/>
          <w:sz w:val="21"/>
          <w:highlight w:val="none"/>
          <w:lang w:eastAsia="zh-CN"/>
        </w:rPr>
        <w:t>响应</w:t>
      </w:r>
      <w:r>
        <w:rPr>
          <w:rFonts w:hint="eastAsia" w:hAnsi="宋体"/>
          <w:bCs/>
          <w:color w:val="auto"/>
          <w:sz w:val="21"/>
          <w:highlight w:val="none"/>
        </w:rPr>
        <w:t>文件解密</w:t>
      </w:r>
    </w:p>
    <w:p w14:paraId="409F85EA">
      <w:pPr>
        <w:pStyle w:val="16"/>
        <w:pageBreakBefore w:val="0"/>
        <w:widowControl w:val="0"/>
        <w:kinsoku/>
        <w:wordWrap/>
        <w:overflowPunct/>
        <w:topLinePunct w:val="0"/>
        <w:autoSpaceDE/>
        <w:autoSpaceDN/>
        <w:bidi w:val="0"/>
        <w:snapToGrid w:val="0"/>
        <w:spacing w:line="360" w:lineRule="auto"/>
        <w:ind w:left="0" w:leftChars="0" w:firstLine="275" w:firstLineChars="131"/>
        <w:rPr>
          <w:rFonts w:hint="eastAsia" w:hAnsi="宋体"/>
          <w:color w:val="auto"/>
          <w:sz w:val="21"/>
          <w:highlight w:val="none"/>
          <w:lang w:eastAsia="zh-CN"/>
        </w:rPr>
      </w:pPr>
      <w:r>
        <w:rPr>
          <w:rFonts w:hint="eastAsia" w:hAnsi="宋体"/>
          <w:bCs/>
          <w:color w:val="auto"/>
          <w:sz w:val="21"/>
          <w:highlight w:val="none"/>
        </w:rPr>
        <w:t>采购代理机构将在“</w:t>
      </w:r>
      <w:r>
        <w:rPr>
          <w:rFonts w:hint="eastAsia" w:hAnsi="宋体"/>
          <w:bCs/>
          <w:color w:val="auto"/>
          <w:sz w:val="21"/>
          <w:highlight w:val="none"/>
          <w:lang w:eastAsia="zh-CN"/>
        </w:rPr>
        <w:t>供应商</w:t>
      </w:r>
      <w:r>
        <w:rPr>
          <w:rFonts w:hint="eastAsia" w:hAnsi="宋体"/>
          <w:bCs/>
          <w:color w:val="auto"/>
          <w:sz w:val="21"/>
          <w:highlight w:val="none"/>
        </w:rPr>
        <w:t>须知前附表”规定的时</w:t>
      </w:r>
      <w:r>
        <w:rPr>
          <w:rFonts w:hint="eastAsia" w:hAnsi="宋体"/>
          <w:color w:val="auto"/>
          <w:sz w:val="21"/>
          <w:highlight w:val="none"/>
        </w:rPr>
        <w:t>间通过电子交易平台组织响应文件开启，采购机构依托电子交易平台发起开始解密指令，</w:t>
      </w:r>
      <w:r>
        <w:rPr>
          <w:rFonts w:hint="eastAsia" w:hAnsi="宋体"/>
          <w:color w:val="auto"/>
          <w:sz w:val="21"/>
          <w:highlight w:val="none"/>
          <w:lang w:eastAsia="zh-CN"/>
        </w:rPr>
        <w:t>供应商</w:t>
      </w:r>
      <w:r>
        <w:rPr>
          <w:rFonts w:hint="eastAsia" w:hAnsi="宋体"/>
          <w:color w:val="auto"/>
          <w:sz w:val="21"/>
          <w:highlight w:val="none"/>
        </w:rPr>
        <w:t>的法定代表人或其委托代理人</w:t>
      </w:r>
      <w:r>
        <w:rPr>
          <w:rFonts w:hint="eastAsia" w:hAnsi="宋体"/>
          <w:b/>
          <w:color w:val="auto"/>
          <w:sz w:val="21"/>
          <w:highlight w:val="none"/>
        </w:rPr>
        <w:t>须携带加密时所用的CA锁</w:t>
      </w:r>
      <w:r>
        <w:rPr>
          <w:rFonts w:hint="eastAsia" w:hAnsi="宋体"/>
          <w:b/>
          <w:color w:val="auto"/>
          <w:sz w:val="21"/>
          <w:highlight w:val="none"/>
          <w:lang w:eastAsia="zh-CN"/>
        </w:rPr>
        <w:t>按平台提示和采购文件的规定</w:t>
      </w:r>
      <w:r>
        <w:rPr>
          <w:rFonts w:hint="eastAsia" w:hAnsi="宋体"/>
          <w:b/>
          <w:color w:val="auto"/>
          <w:sz w:val="21"/>
          <w:highlight w:val="none"/>
        </w:rPr>
        <w:t>登录到</w:t>
      </w:r>
      <w:r>
        <w:rPr>
          <w:rFonts w:hint="eastAsia" w:hAnsi="宋体"/>
          <w:b/>
          <w:color w:val="auto"/>
          <w:sz w:val="21"/>
          <w:highlight w:val="none"/>
          <w:lang w:eastAsia="zh-CN"/>
        </w:rPr>
        <w:t>广西政府采购云平台</w:t>
      </w:r>
      <w:r>
        <w:rPr>
          <w:rFonts w:hint="eastAsia" w:hAnsi="宋体"/>
          <w:b/>
          <w:color w:val="auto"/>
          <w:sz w:val="21"/>
          <w:highlight w:val="none"/>
        </w:rPr>
        <w:t>电子开标大厅签到并</w:t>
      </w:r>
      <w:r>
        <w:rPr>
          <w:rFonts w:hint="eastAsia" w:hAnsi="宋体"/>
          <w:b/>
          <w:color w:val="auto"/>
          <w:sz w:val="21"/>
          <w:highlight w:val="none"/>
          <w:lang w:eastAsia="zh-CN"/>
        </w:rPr>
        <w:t>在</w:t>
      </w:r>
      <w:r>
        <w:rPr>
          <w:rFonts w:hint="eastAsia" w:hAnsi="宋体"/>
          <w:b/>
          <w:color w:val="auto"/>
          <w:sz w:val="21"/>
          <w:highlight w:val="none"/>
        </w:rPr>
        <w:t>发起解密指令之时起30分钟</w:t>
      </w:r>
      <w:r>
        <w:rPr>
          <w:rFonts w:hint="eastAsia" w:hAnsi="宋体"/>
          <w:b/>
          <w:color w:val="auto"/>
          <w:sz w:val="21"/>
          <w:highlight w:val="none"/>
          <w:lang w:eastAsia="zh-CN"/>
        </w:rPr>
        <w:t>内完成</w:t>
      </w:r>
      <w:r>
        <w:rPr>
          <w:rFonts w:hint="eastAsia" w:hAnsi="宋体"/>
          <w:b/>
          <w:color w:val="auto"/>
          <w:sz w:val="21"/>
          <w:highlight w:val="none"/>
        </w:rPr>
        <w:t>对电子</w:t>
      </w:r>
      <w:r>
        <w:rPr>
          <w:rFonts w:hint="eastAsia" w:hAnsi="宋体"/>
          <w:b/>
          <w:color w:val="auto"/>
          <w:sz w:val="21"/>
          <w:highlight w:val="none"/>
          <w:lang w:eastAsia="zh-CN"/>
        </w:rPr>
        <w:t>响应</w:t>
      </w:r>
      <w:r>
        <w:rPr>
          <w:rFonts w:hint="eastAsia" w:hAnsi="宋体"/>
          <w:b/>
          <w:color w:val="auto"/>
          <w:sz w:val="21"/>
          <w:highlight w:val="none"/>
        </w:rPr>
        <w:t>文件</w:t>
      </w:r>
      <w:r>
        <w:rPr>
          <w:rFonts w:hint="eastAsia" w:hAnsi="宋体"/>
          <w:b/>
          <w:color w:val="auto"/>
          <w:sz w:val="21"/>
          <w:highlight w:val="none"/>
          <w:lang w:eastAsia="zh-CN"/>
        </w:rPr>
        <w:t>在线</w:t>
      </w:r>
      <w:r>
        <w:rPr>
          <w:rFonts w:hint="eastAsia" w:hAnsi="宋体"/>
          <w:b/>
          <w:color w:val="auto"/>
          <w:sz w:val="21"/>
          <w:highlight w:val="none"/>
        </w:rPr>
        <w:t>解密</w:t>
      </w:r>
      <w:r>
        <w:rPr>
          <w:rFonts w:hint="eastAsia" w:hAnsi="宋体"/>
          <w:color w:val="auto"/>
          <w:sz w:val="21"/>
          <w:highlight w:val="none"/>
        </w:rPr>
        <w:t>。发起解密指令</w:t>
      </w:r>
      <w:r>
        <w:rPr>
          <w:rFonts w:hint="eastAsia" w:hAnsi="宋体"/>
          <w:color w:val="auto"/>
          <w:sz w:val="21"/>
          <w:highlight w:val="none"/>
          <w:lang w:val="en-US" w:eastAsia="zh-CN"/>
        </w:rPr>
        <w:t>之时起</w:t>
      </w:r>
      <w:r>
        <w:rPr>
          <w:rFonts w:hint="eastAsia" w:hAnsi="宋体"/>
          <w:color w:val="auto"/>
          <w:sz w:val="21"/>
          <w:highlight w:val="none"/>
        </w:rPr>
        <w:t>5分钟</w:t>
      </w:r>
      <w:r>
        <w:rPr>
          <w:rFonts w:hint="eastAsia" w:hAnsi="宋体"/>
          <w:color w:val="auto"/>
          <w:sz w:val="21"/>
          <w:highlight w:val="none"/>
          <w:lang w:eastAsia="zh-CN"/>
        </w:rPr>
        <w:t>内供应商</w:t>
      </w:r>
      <w:r>
        <w:rPr>
          <w:rFonts w:hint="eastAsia" w:hAnsi="宋体"/>
          <w:color w:val="auto"/>
          <w:sz w:val="21"/>
          <w:highlight w:val="none"/>
        </w:rPr>
        <w:t>还未进行解密的，代理机构要通知</w:t>
      </w:r>
      <w:r>
        <w:rPr>
          <w:rFonts w:hint="eastAsia" w:hAnsi="宋体"/>
          <w:color w:val="auto"/>
          <w:sz w:val="21"/>
          <w:highlight w:val="none"/>
          <w:lang w:eastAsia="zh-CN"/>
        </w:rPr>
        <w:t>供应商</w:t>
      </w:r>
      <w:r>
        <w:rPr>
          <w:rFonts w:hint="eastAsia" w:hAnsi="宋体"/>
          <w:color w:val="auto"/>
          <w:sz w:val="21"/>
          <w:highlight w:val="none"/>
        </w:rPr>
        <w:t>，</w:t>
      </w:r>
      <w:r>
        <w:rPr>
          <w:rFonts w:hint="eastAsia" w:hAnsi="宋体"/>
          <w:color w:val="auto"/>
          <w:sz w:val="21"/>
          <w:highlight w:val="none"/>
          <w:lang w:eastAsia="zh-CN"/>
        </w:rPr>
        <w:t>供应商</w:t>
      </w:r>
      <w:r>
        <w:rPr>
          <w:rFonts w:hint="eastAsia" w:hAnsi="宋体"/>
          <w:color w:val="auto"/>
          <w:sz w:val="21"/>
          <w:highlight w:val="none"/>
        </w:rPr>
        <w:t>没预留联系方式或预留联系方式无效，导致代理机构无法联系到</w:t>
      </w:r>
      <w:r>
        <w:rPr>
          <w:rFonts w:hint="eastAsia" w:hAnsi="宋体"/>
          <w:color w:val="auto"/>
          <w:sz w:val="21"/>
          <w:highlight w:val="none"/>
          <w:lang w:eastAsia="zh-CN"/>
        </w:rPr>
        <w:t>供应商</w:t>
      </w:r>
      <w:r>
        <w:rPr>
          <w:rFonts w:hint="eastAsia" w:hAnsi="宋体"/>
          <w:color w:val="auto"/>
          <w:sz w:val="21"/>
          <w:highlight w:val="none"/>
        </w:rPr>
        <w:t>进行解密的，</w:t>
      </w:r>
      <w:r>
        <w:rPr>
          <w:rFonts w:hint="eastAsia" w:hAnsi="宋体"/>
          <w:b/>
          <w:color w:val="auto"/>
          <w:sz w:val="21"/>
          <w:highlight w:val="none"/>
        </w:rPr>
        <w:t>视为</w:t>
      </w:r>
      <w:r>
        <w:rPr>
          <w:rFonts w:hint="eastAsia" w:hAnsi="宋体"/>
          <w:b/>
          <w:color w:val="auto"/>
          <w:sz w:val="21"/>
          <w:highlight w:val="none"/>
          <w:lang w:eastAsia="zh-CN"/>
        </w:rPr>
        <w:t>响应文件无效</w:t>
      </w:r>
      <w:r>
        <w:rPr>
          <w:rFonts w:hint="eastAsia" w:hAnsi="宋体"/>
          <w:b/>
          <w:color w:val="auto"/>
          <w:sz w:val="21"/>
          <w:highlight w:val="none"/>
        </w:rPr>
        <w:t>。</w:t>
      </w:r>
      <w:r>
        <w:rPr>
          <w:rFonts w:hint="eastAsia" w:hAnsi="宋体"/>
          <w:color w:val="auto"/>
          <w:sz w:val="21"/>
          <w:highlight w:val="none"/>
        </w:rPr>
        <w:t>（解密</w:t>
      </w:r>
      <w:r>
        <w:rPr>
          <w:rFonts w:hint="eastAsia" w:hAnsi="宋体"/>
          <w:bCs/>
          <w:color w:val="auto"/>
          <w:sz w:val="21"/>
          <w:highlight w:val="none"/>
        </w:rPr>
        <w:t>异常情况处理：详见本章</w:t>
      </w:r>
      <w:r>
        <w:rPr>
          <w:rFonts w:hint="eastAsia" w:hAnsi="宋体"/>
          <w:color w:val="auto"/>
          <w:sz w:val="21"/>
          <w:highlight w:val="none"/>
          <w:lang w:eastAsia="zh-CN"/>
        </w:rPr>
        <w:t>26.3</w:t>
      </w:r>
      <w:r>
        <w:rPr>
          <w:rFonts w:hint="eastAsia" w:hAnsi="宋体"/>
          <w:color w:val="auto"/>
          <w:sz w:val="21"/>
          <w:highlight w:val="none"/>
        </w:rPr>
        <w:t xml:space="preserve"> </w:t>
      </w:r>
      <w:r>
        <w:rPr>
          <w:rFonts w:hint="eastAsia" w:hAnsi="宋体"/>
          <w:color w:val="auto"/>
          <w:sz w:val="21"/>
          <w:highlight w:val="none"/>
          <w:lang w:eastAsia="zh-CN"/>
        </w:rPr>
        <w:t>电子交易活动的中止</w:t>
      </w:r>
      <w:r>
        <w:rPr>
          <w:rFonts w:hint="eastAsia" w:hAnsi="宋体"/>
          <w:color w:val="auto"/>
          <w:sz w:val="21"/>
          <w:highlight w:val="none"/>
        </w:rPr>
        <w:t>。）</w:t>
      </w:r>
    </w:p>
    <w:p w14:paraId="0A8A6C2F">
      <w:pPr>
        <w:pStyle w:val="16"/>
        <w:pageBreakBefore w:val="0"/>
        <w:widowControl w:val="0"/>
        <w:kinsoku/>
        <w:wordWrap/>
        <w:overflowPunct/>
        <w:topLinePunct w:val="0"/>
        <w:autoSpaceDE/>
        <w:autoSpaceDN/>
        <w:bidi w:val="0"/>
        <w:spacing w:line="360" w:lineRule="auto"/>
        <w:ind w:left="0" w:leftChars="0" w:firstLine="275" w:firstLineChars="131"/>
        <w:rPr>
          <w:rFonts w:hint="eastAsia"/>
          <w:color w:val="auto"/>
          <w:sz w:val="21"/>
          <w:highlight w:val="none"/>
          <w:lang w:eastAsia="zh-CN"/>
        </w:rPr>
      </w:pPr>
      <w:r>
        <w:rPr>
          <w:rFonts w:hint="eastAsia" w:hAnsi="宋体"/>
          <w:color w:val="auto"/>
          <w:sz w:val="21"/>
          <w:highlight w:val="none"/>
        </w:rPr>
        <w:t>如</w:t>
      </w:r>
      <w:r>
        <w:rPr>
          <w:rFonts w:hint="eastAsia" w:hAnsi="宋体"/>
          <w:bCs/>
          <w:color w:val="auto"/>
          <w:sz w:val="21"/>
          <w:highlight w:val="none"/>
          <w:lang w:eastAsia="zh-CN"/>
        </w:rPr>
        <w:t>供应商</w:t>
      </w:r>
      <w:r>
        <w:rPr>
          <w:rFonts w:hint="eastAsia" w:hAnsi="宋体"/>
          <w:bCs/>
          <w:color w:val="auto"/>
          <w:sz w:val="21"/>
          <w:highlight w:val="none"/>
        </w:rPr>
        <w:t>成功解密</w:t>
      </w:r>
      <w:r>
        <w:rPr>
          <w:rFonts w:hint="eastAsia" w:hAnsi="宋体"/>
          <w:bCs/>
          <w:color w:val="auto"/>
          <w:sz w:val="21"/>
          <w:highlight w:val="none"/>
          <w:lang w:eastAsia="zh-CN"/>
        </w:rPr>
        <w:t>响应</w:t>
      </w:r>
      <w:r>
        <w:rPr>
          <w:rFonts w:hint="eastAsia" w:hAnsi="宋体"/>
          <w:bCs/>
          <w:color w:val="auto"/>
          <w:sz w:val="21"/>
          <w:highlight w:val="none"/>
        </w:rPr>
        <w:t>文件，但未在</w:t>
      </w:r>
      <w:r>
        <w:rPr>
          <w:rFonts w:hint="eastAsia" w:hAnsi="宋体"/>
          <w:bCs/>
          <w:color w:val="auto"/>
          <w:sz w:val="21"/>
          <w:highlight w:val="none"/>
          <w:lang w:eastAsia="zh-CN"/>
        </w:rPr>
        <w:t>广西政府采购云平台</w:t>
      </w:r>
      <w:r>
        <w:rPr>
          <w:rFonts w:hint="eastAsia" w:hAnsi="宋体"/>
          <w:bCs/>
          <w:color w:val="auto"/>
          <w:sz w:val="21"/>
          <w:highlight w:val="none"/>
        </w:rPr>
        <w:t>电子开标大厅参加</w:t>
      </w:r>
      <w:r>
        <w:rPr>
          <w:rFonts w:hint="eastAsia" w:hAnsi="宋体"/>
          <w:bCs/>
          <w:color w:val="auto"/>
          <w:sz w:val="21"/>
          <w:highlight w:val="none"/>
          <w:lang w:eastAsia="zh-CN"/>
        </w:rPr>
        <w:t>磋商</w:t>
      </w:r>
      <w:r>
        <w:rPr>
          <w:rFonts w:hint="eastAsia" w:hAnsi="宋体"/>
          <w:bCs/>
          <w:color w:val="auto"/>
          <w:sz w:val="21"/>
          <w:highlight w:val="none"/>
        </w:rPr>
        <w:t>的，视同认可</w:t>
      </w:r>
      <w:r>
        <w:rPr>
          <w:rFonts w:hint="eastAsia" w:hAnsi="宋体"/>
          <w:bCs/>
          <w:color w:val="auto"/>
          <w:sz w:val="21"/>
          <w:highlight w:val="none"/>
          <w:lang w:eastAsia="zh-CN"/>
        </w:rPr>
        <w:t>磋商</w:t>
      </w:r>
      <w:r>
        <w:rPr>
          <w:rFonts w:hint="eastAsia" w:hAnsi="宋体"/>
          <w:bCs/>
          <w:color w:val="auto"/>
          <w:sz w:val="21"/>
          <w:highlight w:val="none"/>
        </w:rPr>
        <w:t>过程和结果，</w:t>
      </w:r>
      <w:r>
        <w:rPr>
          <w:rFonts w:hint="eastAsia" w:hAnsi="宋体"/>
          <w:color w:val="auto"/>
          <w:sz w:val="21"/>
          <w:highlight w:val="none"/>
        </w:rPr>
        <w:t>由此产生的后果由供应商自行负责。 参与</w:t>
      </w:r>
      <w:r>
        <w:rPr>
          <w:rFonts w:hint="eastAsia" w:hAnsi="宋体"/>
          <w:color w:val="auto"/>
          <w:sz w:val="21"/>
          <w:highlight w:val="none"/>
          <w:lang w:eastAsia="zh-CN"/>
        </w:rPr>
        <w:t>磋商</w:t>
      </w:r>
      <w:r>
        <w:rPr>
          <w:rFonts w:hint="eastAsia" w:hAnsi="宋体"/>
          <w:color w:val="auto"/>
          <w:sz w:val="21"/>
          <w:highlight w:val="none"/>
        </w:rPr>
        <w:t>的供应商</w:t>
      </w:r>
      <w:r>
        <w:rPr>
          <w:rFonts w:hint="eastAsia"/>
          <w:color w:val="auto"/>
          <w:sz w:val="21"/>
          <w:highlight w:val="none"/>
        </w:rPr>
        <w:t>不足3家的，不得</w:t>
      </w:r>
      <w:r>
        <w:rPr>
          <w:rFonts w:hint="eastAsia"/>
          <w:color w:val="auto"/>
          <w:sz w:val="21"/>
          <w:highlight w:val="none"/>
          <w:lang w:eastAsia="zh-CN"/>
        </w:rPr>
        <w:t>磋商</w:t>
      </w:r>
      <w:r>
        <w:rPr>
          <w:rFonts w:hint="eastAsia"/>
          <w:color w:val="auto"/>
          <w:sz w:val="21"/>
          <w:highlight w:val="none"/>
        </w:rPr>
        <w:t>。</w:t>
      </w:r>
    </w:p>
    <w:p w14:paraId="3FCA0034">
      <w:pPr>
        <w:pageBreakBefore w:val="0"/>
        <w:widowControl w:val="0"/>
        <w:kinsoku/>
        <w:wordWrap/>
        <w:overflowPunct/>
        <w:topLinePunct w:val="0"/>
        <w:autoSpaceDE/>
        <w:autoSpaceDN/>
        <w:bidi w:val="0"/>
        <w:spacing w:line="360" w:lineRule="auto"/>
        <w:ind w:left="0" w:leftChars="0" w:firstLine="316" w:firstLineChars="131"/>
        <w:rPr>
          <w:rFonts w:hint="eastAsia" w:ascii="黑体" w:hAnsi="黑体" w:eastAsia="黑体" w:cs="宋体"/>
          <w:b/>
          <w:bCs/>
          <w:color w:val="auto"/>
          <w:sz w:val="24"/>
          <w:highlight w:val="none"/>
        </w:rPr>
      </w:pPr>
      <w:r>
        <w:rPr>
          <w:rFonts w:ascii="黑体" w:hAnsi="黑体" w:eastAsia="黑体" w:cs="宋体"/>
          <w:b/>
          <w:bCs/>
          <w:color w:val="auto"/>
          <w:sz w:val="24"/>
          <w:highlight w:val="none"/>
        </w:rPr>
        <w:t>26</w:t>
      </w:r>
      <w:r>
        <w:rPr>
          <w:rFonts w:hint="eastAsia" w:ascii="黑体" w:hAnsi="黑体" w:eastAsia="黑体" w:cs="宋体"/>
          <w:b/>
          <w:bCs/>
          <w:color w:val="auto"/>
          <w:sz w:val="24"/>
          <w:highlight w:val="none"/>
        </w:rPr>
        <w:t>.评审程序、评审方法和评审标准</w:t>
      </w:r>
    </w:p>
    <w:p w14:paraId="4D8A89A1">
      <w:pPr>
        <w:pageBreakBefore w:val="0"/>
        <w:widowControl w:val="0"/>
        <w:kinsoku/>
        <w:wordWrap/>
        <w:overflowPunct/>
        <w:topLinePunct w:val="0"/>
        <w:autoSpaceDE/>
        <w:autoSpaceDN/>
        <w:bidi w:val="0"/>
        <w:spacing w:line="360" w:lineRule="auto"/>
        <w:ind w:left="0" w:leftChars="0" w:firstLine="275" w:firstLineChars="131"/>
        <w:rPr>
          <w:rFonts w:hint="eastAsia" w:ascii="宋体" w:hAnsi="宋体" w:cs="宋体"/>
          <w:color w:val="auto"/>
          <w:szCs w:val="21"/>
          <w:highlight w:val="none"/>
        </w:rPr>
      </w:pPr>
      <w:r>
        <w:rPr>
          <w:rFonts w:ascii="宋体" w:hAnsi="宋体" w:cs="宋体"/>
          <w:color w:val="auto"/>
          <w:szCs w:val="21"/>
          <w:highlight w:val="none"/>
        </w:rPr>
        <w:t>26.1</w:t>
      </w:r>
      <w:r>
        <w:rPr>
          <w:rFonts w:hint="eastAsia" w:ascii="宋体" w:hAnsi="宋体" w:cs="宋体"/>
          <w:color w:val="auto"/>
          <w:szCs w:val="21"/>
          <w:highlight w:val="none"/>
        </w:rPr>
        <w:t>磋商小组</w:t>
      </w:r>
      <w:r>
        <w:rPr>
          <w:rFonts w:ascii="宋体" w:hAnsi="宋体" w:cs="宋体"/>
          <w:color w:val="auto"/>
          <w:szCs w:val="21"/>
          <w:highlight w:val="none"/>
        </w:rPr>
        <w:t>按照</w:t>
      </w:r>
      <w:r>
        <w:rPr>
          <w:rFonts w:hint="eastAsia" w:ascii="宋体" w:hAnsi="宋体" w:cs="宋体"/>
          <w:color w:val="auto"/>
          <w:szCs w:val="21"/>
          <w:highlight w:val="none"/>
        </w:rPr>
        <w:t>“第四章 评审程序、评审方法和评审标准”</w:t>
      </w:r>
      <w:r>
        <w:rPr>
          <w:rFonts w:ascii="宋体" w:hAnsi="宋体" w:cs="宋体"/>
          <w:color w:val="auto"/>
          <w:szCs w:val="21"/>
          <w:highlight w:val="none"/>
        </w:rPr>
        <w:t>规定的方法、评审因素、标准和程序对</w:t>
      </w:r>
      <w:r>
        <w:rPr>
          <w:rFonts w:hint="eastAsia" w:ascii="宋体" w:hAnsi="宋体" w:cs="宋体"/>
          <w:color w:val="auto"/>
          <w:szCs w:val="21"/>
          <w:highlight w:val="none"/>
        </w:rPr>
        <w:t>响应</w:t>
      </w:r>
      <w:r>
        <w:rPr>
          <w:rFonts w:ascii="宋体" w:hAnsi="宋体" w:cs="宋体"/>
          <w:color w:val="auto"/>
          <w:szCs w:val="21"/>
          <w:highlight w:val="none"/>
        </w:rPr>
        <w:t>文件进行评审。</w:t>
      </w:r>
    </w:p>
    <w:p w14:paraId="5E257F00">
      <w:pPr>
        <w:pageBreakBefore w:val="0"/>
        <w:widowControl w:val="0"/>
        <w:kinsoku/>
        <w:wordWrap/>
        <w:overflowPunct/>
        <w:topLinePunct w:val="0"/>
        <w:autoSpaceDE/>
        <w:autoSpaceDN/>
        <w:bidi w:val="0"/>
        <w:spacing w:line="360" w:lineRule="auto"/>
        <w:ind w:left="0" w:leftChars="0" w:firstLine="275" w:firstLineChars="131"/>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 xml:space="preserve">6.2 </w:t>
      </w:r>
      <w:r>
        <w:rPr>
          <w:rFonts w:hint="eastAsia" w:ascii="宋体" w:hAnsi="宋体"/>
          <w:color w:val="auto"/>
          <w:szCs w:val="21"/>
          <w:highlight w:val="none"/>
        </w:rPr>
        <w:t>采购需求负偏离要求及磋商顺序详见</w:t>
      </w:r>
      <w:r>
        <w:rPr>
          <w:rFonts w:hint="eastAsia" w:ascii="宋体" w:hAnsi="宋体"/>
          <w:color w:val="auto"/>
          <w:szCs w:val="21"/>
          <w:highlight w:val="none"/>
          <w:lang w:eastAsia="zh-CN"/>
        </w:rPr>
        <w:t>“ 供应商须知前附表”</w:t>
      </w:r>
      <w:r>
        <w:rPr>
          <w:rFonts w:hint="eastAsia" w:ascii="宋体" w:hAnsi="宋体"/>
          <w:color w:val="auto"/>
          <w:szCs w:val="21"/>
          <w:highlight w:val="none"/>
        </w:rPr>
        <w:t>。</w:t>
      </w:r>
    </w:p>
    <w:p w14:paraId="700A82C6">
      <w:pPr>
        <w:pageBreakBefore w:val="0"/>
        <w:widowControl w:val="0"/>
        <w:kinsoku/>
        <w:wordWrap/>
        <w:overflowPunct/>
        <w:topLinePunct w:val="0"/>
        <w:autoSpaceDE/>
        <w:autoSpaceDN/>
        <w:bidi w:val="0"/>
        <w:spacing w:line="360" w:lineRule="auto"/>
        <w:ind w:left="0" w:leftChars="0" w:firstLine="275" w:firstLineChars="131"/>
        <w:rPr>
          <w:rFonts w:hint="eastAsia" w:ascii="宋体" w:hAnsi="宋体"/>
          <w:color w:val="auto"/>
          <w:highlight w:val="none"/>
        </w:rPr>
      </w:pPr>
      <w:r>
        <w:rPr>
          <w:rFonts w:hint="eastAsia" w:ascii="宋体" w:hAnsi="宋体"/>
          <w:color w:val="auto"/>
          <w:highlight w:val="none"/>
        </w:rPr>
        <w:t>2</w:t>
      </w:r>
      <w:r>
        <w:rPr>
          <w:rFonts w:ascii="宋体" w:hAnsi="宋体"/>
          <w:color w:val="auto"/>
          <w:highlight w:val="none"/>
        </w:rPr>
        <w:t>6.3</w:t>
      </w:r>
      <w:r>
        <w:rPr>
          <w:rFonts w:hint="eastAsia" w:ascii="宋体" w:hAnsi="宋体"/>
          <w:color w:val="auto"/>
          <w:highlight w:val="none"/>
        </w:rPr>
        <w:t>电子交易活动的中止。采购过程中出现以下情形，导致电子交易平台无法正常运行，或者无法保证电子交易的公平、公正和安全时，采购机构可中止电子交易活动：</w:t>
      </w:r>
    </w:p>
    <w:p w14:paraId="45F7ACDF">
      <w:pPr>
        <w:pageBreakBefore w:val="0"/>
        <w:widowControl w:val="0"/>
        <w:kinsoku/>
        <w:wordWrap/>
        <w:overflowPunct/>
        <w:topLinePunct w:val="0"/>
        <w:autoSpaceDE/>
        <w:autoSpaceDN/>
        <w:bidi w:val="0"/>
        <w:spacing w:line="360" w:lineRule="auto"/>
        <w:ind w:left="0" w:leftChars="0" w:firstLine="275" w:firstLineChars="131"/>
        <w:rPr>
          <w:rFonts w:hint="eastAsia" w:ascii="宋体" w:hAnsi="宋体"/>
          <w:color w:val="auto"/>
          <w:highlight w:val="none"/>
        </w:rPr>
      </w:pPr>
      <w:r>
        <w:rPr>
          <w:rFonts w:hint="eastAsia" w:ascii="宋体" w:hAnsi="宋体"/>
          <w:color w:val="auto"/>
          <w:highlight w:val="none"/>
        </w:rPr>
        <w:t xml:space="preserve">（1）电子交易平台发生故障而无法登录访问的； </w:t>
      </w:r>
    </w:p>
    <w:p w14:paraId="542E8244">
      <w:pPr>
        <w:pageBreakBefore w:val="0"/>
        <w:widowControl w:val="0"/>
        <w:kinsoku/>
        <w:wordWrap/>
        <w:overflowPunct/>
        <w:topLinePunct w:val="0"/>
        <w:autoSpaceDE/>
        <w:autoSpaceDN/>
        <w:bidi w:val="0"/>
        <w:spacing w:line="360" w:lineRule="auto"/>
        <w:ind w:left="0" w:leftChars="0" w:firstLine="275" w:firstLineChars="131"/>
        <w:rPr>
          <w:rFonts w:hint="eastAsia" w:ascii="宋体" w:hAnsi="宋体"/>
          <w:color w:val="auto"/>
          <w:highlight w:val="none"/>
        </w:rPr>
      </w:pPr>
      <w:r>
        <w:rPr>
          <w:rFonts w:hint="eastAsia" w:ascii="宋体" w:hAnsi="宋体"/>
          <w:color w:val="auto"/>
          <w:highlight w:val="none"/>
        </w:rPr>
        <w:t>（2）电子交易平台应用或数据库出现错误，不能进行正常操作的；</w:t>
      </w:r>
    </w:p>
    <w:p w14:paraId="105759FD">
      <w:pPr>
        <w:pageBreakBefore w:val="0"/>
        <w:widowControl w:val="0"/>
        <w:kinsoku/>
        <w:wordWrap/>
        <w:overflowPunct/>
        <w:topLinePunct w:val="0"/>
        <w:autoSpaceDE/>
        <w:autoSpaceDN/>
        <w:bidi w:val="0"/>
        <w:spacing w:line="360" w:lineRule="auto"/>
        <w:ind w:left="0" w:leftChars="0" w:firstLine="275" w:firstLineChars="131"/>
        <w:rPr>
          <w:rFonts w:hint="eastAsia" w:ascii="宋体" w:hAnsi="宋体"/>
          <w:color w:val="auto"/>
          <w:highlight w:val="none"/>
        </w:rPr>
      </w:pPr>
      <w:r>
        <w:rPr>
          <w:rFonts w:hint="eastAsia" w:ascii="宋体" w:hAnsi="宋体"/>
          <w:color w:val="auto"/>
          <w:highlight w:val="none"/>
        </w:rPr>
        <w:t>（3）电子交易平台发现严重安全漏洞，有潜在泄密危险的；</w:t>
      </w:r>
    </w:p>
    <w:p w14:paraId="29B19E39">
      <w:pPr>
        <w:pageBreakBefore w:val="0"/>
        <w:widowControl w:val="0"/>
        <w:kinsoku/>
        <w:wordWrap/>
        <w:overflowPunct/>
        <w:topLinePunct w:val="0"/>
        <w:autoSpaceDE/>
        <w:autoSpaceDN/>
        <w:bidi w:val="0"/>
        <w:spacing w:line="360" w:lineRule="auto"/>
        <w:ind w:left="0" w:leftChars="0" w:firstLine="275" w:firstLineChars="131"/>
        <w:rPr>
          <w:rFonts w:hint="eastAsia" w:ascii="宋体" w:hAnsi="宋体"/>
          <w:color w:val="auto"/>
          <w:highlight w:val="none"/>
        </w:rPr>
      </w:pPr>
      <w:r>
        <w:rPr>
          <w:rFonts w:hint="eastAsia" w:ascii="宋体" w:hAnsi="宋体"/>
          <w:color w:val="auto"/>
          <w:highlight w:val="none"/>
        </w:rPr>
        <w:t xml:space="preserve">（4）病毒发作导致不能进行正常操作的； </w:t>
      </w:r>
    </w:p>
    <w:p w14:paraId="369B5660">
      <w:pPr>
        <w:pageBreakBefore w:val="0"/>
        <w:widowControl w:val="0"/>
        <w:kinsoku/>
        <w:wordWrap/>
        <w:overflowPunct/>
        <w:topLinePunct w:val="0"/>
        <w:autoSpaceDE/>
        <w:autoSpaceDN/>
        <w:bidi w:val="0"/>
        <w:spacing w:line="360" w:lineRule="auto"/>
        <w:ind w:left="0" w:leftChars="0" w:firstLine="275" w:firstLineChars="131"/>
        <w:rPr>
          <w:rFonts w:hint="eastAsia" w:ascii="宋体" w:hAnsi="宋体"/>
          <w:color w:val="auto"/>
          <w:highlight w:val="none"/>
        </w:rPr>
      </w:pPr>
      <w:r>
        <w:rPr>
          <w:rFonts w:hint="eastAsia" w:ascii="宋体" w:hAnsi="宋体"/>
          <w:color w:val="auto"/>
          <w:highlight w:val="none"/>
        </w:rPr>
        <w:t>（4）其他无法保证电子交易的公平、公正和安全的情况。</w:t>
      </w:r>
    </w:p>
    <w:p w14:paraId="1256EBE2">
      <w:pPr>
        <w:pageBreakBefore w:val="0"/>
        <w:widowControl w:val="0"/>
        <w:kinsoku/>
        <w:wordWrap/>
        <w:overflowPunct/>
        <w:topLinePunct w:val="0"/>
        <w:autoSpaceDE/>
        <w:autoSpaceDN/>
        <w:bidi w:val="0"/>
        <w:spacing w:line="360" w:lineRule="auto"/>
        <w:ind w:left="0" w:leftChars="0" w:firstLine="275" w:firstLineChars="131"/>
        <w:rPr>
          <w:rFonts w:hint="eastAsia" w:ascii="宋体" w:hAnsi="宋体"/>
          <w:color w:val="auto"/>
          <w:highlight w:val="none"/>
        </w:rPr>
      </w:pPr>
      <w:r>
        <w:rPr>
          <w:rFonts w:hint="eastAsia" w:ascii="宋体" w:hAnsi="宋体"/>
          <w:color w:val="auto"/>
          <w:highlight w:val="none"/>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509874E1">
      <w:pPr>
        <w:pStyle w:val="4"/>
        <w:pageBreakBefore w:val="0"/>
        <w:widowControl w:val="0"/>
        <w:kinsoku/>
        <w:wordWrap/>
        <w:overflowPunct/>
        <w:topLinePunct w:val="0"/>
        <w:autoSpaceDE/>
        <w:autoSpaceDN/>
        <w:bidi w:val="0"/>
        <w:spacing w:before="0" w:after="0" w:line="360" w:lineRule="auto"/>
        <w:ind w:left="0" w:leftChars="0" w:firstLine="419" w:firstLineChars="131"/>
        <w:rPr>
          <w:rFonts w:hint="eastAsia" w:ascii="宋体" w:hAnsi="宋体"/>
          <w:b w:val="0"/>
          <w:bCs w:val="0"/>
          <w:color w:val="auto"/>
          <w:highlight w:val="none"/>
        </w:rPr>
      </w:pPr>
      <w:bookmarkStart w:id="45" w:name="_Toc29460"/>
      <w:r>
        <w:rPr>
          <w:rFonts w:hint="eastAsia" w:ascii="宋体" w:hAnsi="宋体"/>
          <w:b w:val="0"/>
          <w:bCs w:val="0"/>
          <w:color w:val="auto"/>
          <w:highlight w:val="none"/>
        </w:rPr>
        <w:t>五、成交及合同</w:t>
      </w:r>
      <w:bookmarkEnd w:id="45"/>
    </w:p>
    <w:p w14:paraId="223ABE26">
      <w:pPr>
        <w:pageBreakBefore w:val="0"/>
        <w:widowControl w:val="0"/>
        <w:kinsoku/>
        <w:wordWrap/>
        <w:overflowPunct/>
        <w:topLinePunct w:val="0"/>
        <w:autoSpaceDE/>
        <w:autoSpaceDN/>
        <w:bidi w:val="0"/>
        <w:spacing w:line="360" w:lineRule="auto"/>
        <w:ind w:left="0" w:leftChars="0" w:firstLine="316" w:firstLineChars="131"/>
        <w:rPr>
          <w:rFonts w:hint="eastAsia" w:ascii="黑体" w:hAnsi="黑体" w:eastAsia="黑体" w:cs="宋体"/>
          <w:b/>
          <w:bCs/>
          <w:color w:val="auto"/>
          <w:sz w:val="24"/>
          <w:highlight w:val="none"/>
        </w:rPr>
      </w:pPr>
      <w:r>
        <w:rPr>
          <w:rFonts w:ascii="黑体" w:hAnsi="黑体" w:eastAsia="黑体" w:cs="宋体"/>
          <w:b/>
          <w:bCs/>
          <w:color w:val="auto"/>
          <w:sz w:val="24"/>
          <w:highlight w:val="none"/>
        </w:rPr>
        <w:t>27</w:t>
      </w:r>
      <w:r>
        <w:rPr>
          <w:rFonts w:hint="eastAsia" w:ascii="黑体" w:hAnsi="黑体" w:eastAsia="黑体" w:cs="宋体"/>
          <w:b/>
          <w:bCs/>
          <w:color w:val="auto"/>
          <w:sz w:val="24"/>
          <w:highlight w:val="none"/>
        </w:rPr>
        <w:t>.确定成交供应商及结果公告</w:t>
      </w:r>
    </w:p>
    <w:p w14:paraId="322317F2">
      <w:pPr>
        <w:spacing w:line="360" w:lineRule="auto"/>
        <w:ind w:firstLine="420" w:firstLineChars="200"/>
        <w:rPr>
          <w:rFonts w:hint="eastAsia" w:ascii="宋体" w:hAnsi="宋体" w:cs="宋体"/>
          <w:color w:val="auto"/>
          <w:kern w:val="0"/>
          <w:szCs w:val="21"/>
          <w:highlight w:val="none"/>
          <w:u w:val="single"/>
        </w:rPr>
      </w:pPr>
      <w:r>
        <w:rPr>
          <w:rFonts w:ascii="宋体" w:hAnsi="宋体" w:cs="宋体"/>
          <w:color w:val="auto"/>
          <w:szCs w:val="21"/>
          <w:highlight w:val="none"/>
        </w:rPr>
        <w:t>27</w:t>
      </w:r>
      <w:r>
        <w:rPr>
          <w:rFonts w:hint="eastAsia" w:ascii="宋体" w:hAnsi="宋体" w:cs="宋体"/>
          <w:color w:val="auto"/>
          <w:szCs w:val="21"/>
          <w:highlight w:val="none"/>
        </w:rPr>
        <w:t>.1确定成交供应商。采购人应当在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14:paraId="499B708C">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.2成交通知及成交结果公告。</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供应商确定后2个工作日内，在省级以上财政部门指定的媒体上公告成交结果，同时向成交供应商发出成交通知书，成交通知书规定签订合同的时间不得超过25日。</w:t>
      </w:r>
    </w:p>
    <w:p w14:paraId="1AE534B9">
      <w:pPr>
        <w:pageBreakBefore w:val="0"/>
        <w:widowControl w:val="0"/>
        <w:kinsoku/>
        <w:wordWrap/>
        <w:overflowPunct/>
        <w:topLinePunct w:val="0"/>
        <w:autoSpaceDE/>
        <w:autoSpaceDN/>
        <w:bidi w:val="0"/>
        <w:spacing w:line="360" w:lineRule="auto"/>
        <w:ind w:left="0" w:leftChars="0" w:firstLine="275" w:firstLineChars="131"/>
        <w:rPr>
          <w:rFonts w:hint="eastAsia" w:ascii="宋体" w:hAnsi="宋体" w:cs="Courier New"/>
          <w:color w:val="auto"/>
          <w:szCs w:val="21"/>
          <w:highlight w:val="none"/>
        </w:rPr>
      </w:pPr>
      <w:r>
        <w:rPr>
          <w:rFonts w:hint="eastAsia" w:ascii="宋体" w:hAnsi="宋体" w:cs="宋体"/>
          <w:color w:val="auto"/>
          <w:szCs w:val="21"/>
          <w:highlight w:val="none"/>
        </w:rPr>
        <w:t>27.3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w:t>
      </w:r>
      <w:r>
        <w:rPr>
          <w:rFonts w:hint="eastAsia" w:ascii="宋体" w:hAnsi="宋体" w:cs="宋体"/>
          <w:color w:val="auto"/>
          <w:szCs w:val="21"/>
          <w:highlight w:val="none"/>
          <w:lang w:eastAsia="zh-CN"/>
        </w:rPr>
        <w:t>磋商文件</w:t>
      </w:r>
      <w:r>
        <w:rPr>
          <w:rFonts w:hint="eastAsia" w:ascii="宋体" w:hAnsi="宋体" w:cs="宋体"/>
          <w:color w:val="auto"/>
          <w:szCs w:val="21"/>
          <w:highlight w:val="none"/>
        </w:rPr>
        <w:t>一并保存。</w:t>
      </w:r>
      <w:r>
        <w:rPr>
          <w:rFonts w:hint="eastAsia" w:ascii="宋体" w:hAnsi="宋体" w:cs="Courier New"/>
          <w:color w:val="auto"/>
          <w:szCs w:val="21"/>
          <w:highlight w:val="none"/>
        </w:rPr>
        <w:t>成交供应商享受</w:t>
      </w:r>
      <w:r>
        <w:rPr>
          <w:rFonts w:hint="eastAsia" w:ascii="宋体" w:hAnsi="宋体"/>
          <w:color w:val="auto"/>
          <w:szCs w:val="21"/>
          <w:highlight w:val="none"/>
        </w:rPr>
        <w:t>《政府采购促进中小企业发展管理办法》（财库〔2020〕46号）规定的中小企业扶持</w:t>
      </w:r>
      <w:r>
        <w:rPr>
          <w:rFonts w:hint="eastAsia" w:ascii="宋体" w:hAnsi="宋体" w:cs="Courier New"/>
          <w:color w:val="auto"/>
          <w:szCs w:val="21"/>
          <w:highlight w:val="none"/>
        </w:rPr>
        <w:t>政策的，采购人、采购代理机构应当随成交结果公开成交供应商的《中小企业声明函》。</w:t>
      </w:r>
    </w:p>
    <w:p w14:paraId="33F57D0B">
      <w:pPr>
        <w:pageBreakBefore w:val="0"/>
        <w:widowControl w:val="0"/>
        <w:kinsoku/>
        <w:wordWrap/>
        <w:overflowPunct/>
        <w:topLinePunct w:val="0"/>
        <w:autoSpaceDE/>
        <w:autoSpaceDN/>
        <w:bidi w:val="0"/>
        <w:spacing w:line="360" w:lineRule="auto"/>
        <w:ind w:left="0" w:leftChars="0" w:firstLine="275" w:firstLineChars="131"/>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7.</w:t>
      </w:r>
      <w:r>
        <w:rPr>
          <w:rFonts w:hint="eastAsia" w:ascii="宋体" w:hAnsi="宋体" w:cs="宋体"/>
          <w:color w:val="auto"/>
          <w:szCs w:val="21"/>
          <w:highlight w:val="none"/>
        </w:rPr>
        <w:t>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3D6BC613">
      <w:pPr>
        <w:pageBreakBefore w:val="0"/>
        <w:widowControl w:val="0"/>
        <w:kinsoku/>
        <w:wordWrap/>
        <w:overflowPunct/>
        <w:topLinePunct w:val="0"/>
        <w:autoSpaceDE/>
        <w:autoSpaceDN/>
        <w:bidi w:val="0"/>
        <w:spacing w:line="360" w:lineRule="auto"/>
        <w:ind w:left="0" w:leftChars="0" w:firstLine="275" w:firstLineChars="131"/>
        <w:rPr>
          <w:rFonts w:hint="eastAsia" w:ascii="宋体" w:hAnsi="宋体" w:cs="宋体"/>
          <w:color w:val="auto"/>
          <w:szCs w:val="21"/>
          <w:highlight w:val="none"/>
        </w:rPr>
      </w:pPr>
      <w:r>
        <w:rPr>
          <w:rFonts w:ascii="宋体" w:hAnsi="宋体"/>
          <w:bCs/>
          <w:color w:val="auto"/>
          <w:szCs w:val="21"/>
          <w:highlight w:val="none"/>
        </w:rPr>
        <w:t>27.</w:t>
      </w:r>
      <w:r>
        <w:rPr>
          <w:rFonts w:hint="eastAsia" w:ascii="宋体" w:hAnsi="宋体"/>
          <w:bCs/>
          <w:color w:val="auto"/>
          <w:szCs w:val="21"/>
          <w:highlight w:val="none"/>
        </w:rPr>
        <w:t>5</w:t>
      </w:r>
      <w:r>
        <w:rPr>
          <w:rFonts w:hint="eastAsia" w:ascii="宋体" w:hAnsi="宋体" w:cs="宋体"/>
          <w:color w:val="auto"/>
          <w:szCs w:val="21"/>
          <w:highlight w:val="none"/>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5856F3BE">
      <w:pPr>
        <w:pageBreakBefore w:val="0"/>
        <w:widowControl w:val="0"/>
        <w:kinsoku/>
        <w:wordWrap/>
        <w:overflowPunct/>
        <w:topLinePunct w:val="0"/>
        <w:autoSpaceDE/>
        <w:autoSpaceDN/>
        <w:bidi w:val="0"/>
        <w:spacing w:line="360" w:lineRule="auto"/>
        <w:ind w:left="0" w:leftChars="0" w:firstLine="316" w:firstLineChars="131"/>
        <w:rPr>
          <w:rFonts w:hint="eastAsia" w:ascii="黑体" w:hAnsi="黑体" w:eastAsia="黑体" w:cs="宋体"/>
          <w:b/>
          <w:bCs/>
          <w:color w:val="auto"/>
          <w:sz w:val="24"/>
          <w:highlight w:val="none"/>
        </w:rPr>
      </w:pPr>
      <w:r>
        <w:rPr>
          <w:rFonts w:ascii="黑体" w:hAnsi="黑体" w:eastAsia="黑体" w:cs="宋体"/>
          <w:b/>
          <w:bCs/>
          <w:color w:val="auto"/>
          <w:sz w:val="24"/>
          <w:highlight w:val="none"/>
        </w:rPr>
        <w:t>28</w:t>
      </w:r>
      <w:r>
        <w:rPr>
          <w:rFonts w:hint="eastAsia" w:ascii="黑体" w:hAnsi="黑体" w:eastAsia="黑体" w:cs="宋体"/>
          <w:b/>
          <w:bCs/>
          <w:color w:val="auto"/>
          <w:sz w:val="24"/>
          <w:highlight w:val="none"/>
        </w:rPr>
        <w:t>.履约保证金</w:t>
      </w:r>
    </w:p>
    <w:p w14:paraId="1080CEFE">
      <w:pPr>
        <w:pageBreakBefore w:val="0"/>
        <w:widowControl w:val="0"/>
        <w:kinsoku/>
        <w:wordWrap/>
        <w:overflowPunct/>
        <w:topLinePunct w:val="0"/>
        <w:autoSpaceDE/>
        <w:autoSpaceDN/>
        <w:bidi w:val="0"/>
        <w:spacing w:line="360" w:lineRule="auto"/>
        <w:ind w:left="0" w:leftChars="0" w:firstLine="275" w:firstLineChars="131"/>
        <w:rPr>
          <w:rFonts w:ascii="黑体" w:hAnsi="黑体" w:eastAsia="黑体" w:cs="宋体"/>
          <w:b/>
          <w:bCs/>
          <w:color w:val="auto"/>
          <w:sz w:val="24"/>
          <w:highlight w:val="none"/>
        </w:rPr>
      </w:pPr>
      <w:r>
        <w:rPr>
          <w:rFonts w:hint="eastAsia" w:ascii="宋体" w:hAnsi="宋体" w:cs="宋体"/>
          <w:color w:val="auto"/>
          <w:szCs w:val="21"/>
          <w:highlight w:val="none"/>
        </w:rPr>
        <w:t>详见 “供应商须知前附表”</w:t>
      </w:r>
    </w:p>
    <w:p w14:paraId="6717AD24">
      <w:pPr>
        <w:pageBreakBefore w:val="0"/>
        <w:widowControl w:val="0"/>
        <w:kinsoku/>
        <w:wordWrap/>
        <w:overflowPunct/>
        <w:topLinePunct w:val="0"/>
        <w:autoSpaceDE/>
        <w:autoSpaceDN/>
        <w:bidi w:val="0"/>
        <w:spacing w:line="360" w:lineRule="auto"/>
        <w:ind w:left="0" w:leftChars="0" w:firstLine="316" w:firstLineChars="131"/>
        <w:rPr>
          <w:rFonts w:hint="eastAsia" w:ascii="黑体" w:hAnsi="黑体" w:eastAsia="黑体" w:cs="宋体"/>
          <w:b/>
          <w:bCs/>
          <w:color w:val="auto"/>
          <w:sz w:val="24"/>
          <w:highlight w:val="none"/>
        </w:rPr>
      </w:pPr>
      <w:r>
        <w:rPr>
          <w:rFonts w:ascii="黑体" w:hAnsi="黑体" w:eastAsia="黑体" w:cs="宋体"/>
          <w:b/>
          <w:bCs/>
          <w:color w:val="auto"/>
          <w:sz w:val="24"/>
          <w:highlight w:val="none"/>
        </w:rPr>
        <w:t>29</w:t>
      </w:r>
      <w:r>
        <w:rPr>
          <w:rFonts w:hint="eastAsia" w:ascii="黑体" w:hAnsi="黑体" w:eastAsia="黑体" w:cs="宋体"/>
          <w:b/>
          <w:bCs/>
          <w:color w:val="auto"/>
          <w:sz w:val="24"/>
          <w:highlight w:val="none"/>
        </w:rPr>
        <w:t>.签订合同</w:t>
      </w:r>
    </w:p>
    <w:p w14:paraId="6D0E24C8">
      <w:pPr>
        <w:pStyle w:val="72"/>
        <w:pageBreakBefore w:val="0"/>
        <w:widowControl w:val="0"/>
        <w:kinsoku/>
        <w:wordWrap/>
        <w:overflowPunct/>
        <w:topLinePunct w:val="0"/>
        <w:autoSpaceDE/>
        <w:autoSpaceDN/>
        <w:bidi w:val="0"/>
        <w:snapToGrid w:val="0"/>
        <w:spacing w:before="0"/>
        <w:ind w:left="0" w:leftChars="0" w:firstLine="275" w:firstLineChars="131"/>
        <w:rPr>
          <w:rFonts w:hint="eastAsia" w:ascii="宋体" w:hAnsi="宋体"/>
          <w:color w:val="auto"/>
          <w:sz w:val="21"/>
          <w:szCs w:val="21"/>
          <w:highlight w:val="none"/>
          <w:lang w:val="zh-CN"/>
        </w:rPr>
      </w:pPr>
      <w:r>
        <w:rPr>
          <w:rFonts w:ascii="宋体" w:hAnsi="宋体" w:cs="宋体"/>
          <w:color w:val="auto"/>
          <w:sz w:val="21"/>
          <w:szCs w:val="21"/>
          <w:highlight w:val="none"/>
        </w:rPr>
        <w:t>29.1</w:t>
      </w:r>
      <w:r>
        <w:rPr>
          <w:rFonts w:hint="eastAsia" w:ascii="宋体" w:hAnsi="宋体"/>
          <w:color w:val="auto"/>
          <w:sz w:val="21"/>
          <w:szCs w:val="21"/>
          <w:highlight w:val="none"/>
        </w:rPr>
        <w:t>采购人与成交供应商应当在</w:t>
      </w:r>
      <w:r>
        <w:rPr>
          <w:rFonts w:hint="eastAsia" w:ascii="宋体" w:hAnsi="宋体" w:cs="宋体"/>
          <w:color w:val="auto"/>
          <w:sz w:val="21"/>
          <w:szCs w:val="21"/>
          <w:highlight w:val="none"/>
        </w:rPr>
        <w:t>成交通知书规定的时间内</w:t>
      </w:r>
      <w:r>
        <w:rPr>
          <w:rFonts w:hint="eastAsia" w:ascii="宋体" w:hAnsi="宋体"/>
          <w:color w:val="auto"/>
          <w:sz w:val="21"/>
          <w:szCs w:val="21"/>
          <w:highlight w:val="none"/>
        </w:rPr>
        <w:t>，按照磋商文件确定的合同文本以及采购标的、服务技术、采购金额、采购数量、技术和服务要求等事项签订政府采购合同。</w:t>
      </w:r>
      <w:r>
        <w:rPr>
          <w:rFonts w:hint="eastAsia" w:ascii="宋体" w:hAnsi="宋体"/>
          <w:color w:val="auto"/>
          <w:sz w:val="21"/>
          <w:szCs w:val="21"/>
          <w:highlight w:val="none"/>
          <w:lang w:val="zh-CN"/>
        </w:rPr>
        <w:t>如成交供应商为联合体的，由联合体成员各方法定代表人或其授权代表与采购人代表签订合同。</w:t>
      </w:r>
    </w:p>
    <w:p w14:paraId="3C56D6C1">
      <w:pPr>
        <w:pageBreakBefore w:val="0"/>
        <w:widowControl w:val="0"/>
        <w:kinsoku/>
        <w:wordWrap/>
        <w:overflowPunct/>
        <w:topLinePunct w:val="0"/>
        <w:autoSpaceDE/>
        <w:autoSpaceDN/>
        <w:bidi w:val="0"/>
        <w:spacing w:line="360" w:lineRule="auto"/>
        <w:ind w:left="0" w:leftChars="0" w:firstLine="275" w:firstLineChars="131"/>
        <w:rPr>
          <w:rFonts w:ascii="宋体" w:hAnsi="宋体"/>
          <w:color w:val="auto"/>
          <w:szCs w:val="21"/>
          <w:highlight w:val="none"/>
        </w:rPr>
      </w:pPr>
      <w:r>
        <w:rPr>
          <w:rFonts w:hint="eastAsia" w:ascii="宋体" w:hAnsi="宋体"/>
          <w:color w:val="auto"/>
          <w:szCs w:val="21"/>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0F898EA4">
      <w:pPr>
        <w:pageBreakBefore w:val="0"/>
        <w:widowControl w:val="0"/>
        <w:kinsoku/>
        <w:wordWrap/>
        <w:overflowPunct/>
        <w:topLinePunct w:val="0"/>
        <w:autoSpaceDE/>
        <w:autoSpaceDN/>
        <w:bidi w:val="0"/>
        <w:spacing w:line="360" w:lineRule="auto"/>
        <w:ind w:left="0" w:leftChars="0" w:firstLine="275" w:firstLineChars="131"/>
        <w:rPr>
          <w:rFonts w:ascii="宋体" w:hAnsi="宋体"/>
          <w:color w:val="auto"/>
          <w:szCs w:val="21"/>
          <w:highlight w:val="none"/>
        </w:rPr>
      </w:pPr>
      <w:r>
        <w:rPr>
          <w:rFonts w:hint="eastAsia" w:ascii="宋体" w:hAnsi="宋体"/>
          <w:color w:val="auto"/>
          <w:szCs w:val="21"/>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6E7EE3C7">
      <w:pPr>
        <w:pageBreakBefore w:val="0"/>
        <w:widowControl w:val="0"/>
        <w:kinsoku/>
        <w:wordWrap/>
        <w:overflowPunct/>
        <w:topLinePunct w:val="0"/>
        <w:autoSpaceDE/>
        <w:autoSpaceDN/>
        <w:bidi w:val="0"/>
        <w:spacing w:line="360" w:lineRule="auto"/>
        <w:ind w:left="0" w:leftChars="0" w:firstLine="275" w:firstLineChars="131"/>
        <w:rPr>
          <w:rFonts w:ascii="宋体" w:hAnsi="宋体"/>
          <w:color w:val="auto"/>
          <w:szCs w:val="21"/>
          <w:highlight w:val="none"/>
        </w:rPr>
      </w:pPr>
      <w:r>
        <w:rPr>
          <w:rFonts w:hint="eastAsia" w:ascii="宋体" w:hAnsi="宋体"/>
          <w:color w:val="auto"/>
          <w:szCs w:val="21"/>
          <w:highlight w:val="none"/>
        </w:rPr>
        <w:t>29.4如签订合同并生效后，供应商无故拒绝或延期，除按照合同条款处理外，列入不良行为记录，并给予通报。</w:t>
      </w:r>
    </w:p>
    <w:p w14:paraId="283B9DDD">
      <w:pPr>
        <w:pStyle w:val="72"/>
        <w:pageBreakBefore w:val="0"/>
        <w:widowControl w:val="0"/>
        <w:kinsoku/>
        <w:wordWrap/>
        <w:overflowPunct/>
        <w:topLinePunct w:val="0"/>
        <w:autoSpaceDE/>
        <w:autoSpaceDN/>
        <w:bidi w:val="0"/>
        <w:spacing w:before="0"/>
        <w:ind w:left="0" w:leftChars="0" w:firstLine="275" w:firstLineChars="131"/>
        <w:rPr>
          <w:rFonts w:hint="eastAsia" w:ascii="宋体" w:hAnsi="宋体" w:cs="宋体"/>
          <w:color w:val="auto"/>
          <w:szCs w:val="21"/>
          <w:highlight w:val="none"/>
        </w:rPr>
      </w:pPr>
      <w:r>
        <w:rPr>
          <w:rFonts w:hint="eastAsia" w:ascii="宋体" w:hAnsi="宋体" w:cs="仿宋_GB2312"/>
          <w:color w:val="auto"/>
          <w:sz w:val="21"/>
          <w:szCs w:val="21"/>
          <w:highlight w:val="none"/>
        </w:rPr>
        <w:t>29</w:t>
      </w:r>
      <w:r>
        <w:rPr>
          <w:rFonts w:ascii="宋体" w:hAnsi="宋体" w:cs="仿宋_GB2312"/>
          <w:color w:val="auto"/>
          <w:sz w:val="21"/>
          <w:szCs w:val="21"/>
          <w:highlight w:val="none"/>
        </w:rPr>
        <w:t>.5采购合同由采购人与</w:t>
      </w:r>
      <w:r>
        <w:rPr>
          <w:rFonts w:hint="eastAsia" w:ascii="宋体" w:hAnsi="宋体" w:cs="仿宋_GB2312"/>
          <w:color w:val="auto"/>
          <w:sz w:val="21"/>
          <w:szCs w:val="21"/>
          <w:highlight w:val="none"/>
        </w:rPr>
        <w:t>成交</w:t>
      </w:r>
      <w:r>
        <w:rPr>
          <w:rFonts w:ascii="宋体" w:hAnsi="宋体" w:cs="仿宋_GB2312"/>
          <w:color w:val="auto"/>
          <w:sz w:val="21"/>
          <w:szCs w:val="21"/>
          <w:highlight w:val="none"/>
        </w:rPr>
        <w:t>供应商根据</w:t>
      </w:r>
      <w:r>
        <w:rPr>
          <w:rFonts w:hint="eastAsia" w:ascii="宋体" w:hAnsi="宋体"/>
          <w:color w:val="auto"/>
          <w:sz w:val="21"/>
          <w:szCs w:val="21"/>
          <w:highlight w:val="none"/>
        </w:rPr>
        <w:t>磋商文件</w:t>
      </w:r>
      <w:r>
        <w:rPr>
          <w:rFonts w:hint="eastAsia" w:ascii="宋体" w:hAnsi="宋体" w:cs="仿宋_GB2312"/>
          <w:color w:val="auto"/>
          <w:sz w:val="21"/>
          <w:szCs w:val="21"/>
          <w:highlight w:val="none"/>
        </w:rPr>
        <w:t>、响应文件等内容签订，签订须携带的材料见“</w:t>
      </w:r>
      <w:r>
        <w:rPr>
          <w:rFonts w:hint="eastAsia"/>
          <w:color w:val="auto"/>
          <w:highlight w:val="none"/>
        </w:rPr>
        <w:t xml:space="preserve"> </w:t>
      </w:r>
      <w:r>
        <w:rPr>
          <w:rFonts w:hint="eastAsia" w:ascii="宋体" w:hAnsi="宋体" w:cs="仿宋_GB2312"/>
          <w:color w:val="auto"/>
          <w:sz w:val="21"/>
          <w:szCs w:val="21"/>
          <w:highlight w:val="none"/>
        </w:rPr>
        <w:t>供应商须</w:t>
      </w:r>
      <w:r>
        <w:rPr>
          <w:rFonts w:hint="eastAsia" w:ascii="宋体" w:hAnsi="宋体"/>
          <w:color w:val="auto"/>
          <w:sz w:val="21"/>
          <w:szCs w:val="21"/>
          <w:highlight w:val="none"/>
        </w:rPr>
        <w:t>知前附表</w:t>
      </w:r>
      <w:r>
        <w:rPr>
          <w:rFonts w:hint="eastAsia" w:ascii="宋体" w:hAnsi="宋体" w:cs="仿宋_GB2312"/>
          <w:color w:val="auto"/>
          <w:sz w:val="21"/>
          <w:szCs w:val="21"/>
          <w:highlight w:val="none"/>
        </w:rPr>
        <w:t>”。</w:t>
      </w:r>
    </w:p>
    <w:p w14:paraId="515B5C84">
      <w:pPr>
        <w:pageBreakBefore w:val="0"/>
        <w:widowControl w:val="0"/>
        <w:kinsoku/>
        <w:wordWrap/>
        <w:overflowPunct/>
        <w:topLinePunct w:val="0"/>
        <w:autoSpaceDE/>
        <w:autoSpaceDN/>
        <w:bidi w:val="0"/>
        <w:spacing w:line="360" w:lineRule="auto"/>
        <w:ind w:left="0" w:leftChars="0" w:firstLine="316" w:firstLineChars="131"/>
        <w:rPr>
          <w:rFonts w:hint="eastAsia" w:ascii="黑体" w:hAnsi="黑体" w:eastAsia="黑体" w:cs="宋体"/>
          <w:b/>
          <w:bCs/>
          <w:color w:val="auto"/>
          <w:sz w:val="24"/>
          <w:highlight w:val="none"/>
        </w:rPr>
      </w:pPr>
      <w:r>
        <w:rPr>
          <w:rFonts w:ascii="黑体" w:hAnsi="黑体" w:eastAsia="黑体" w:cs="宋体"/>
          <w:b/>
          <w:bCs/>
          <w:color w:val="auto"/>
          <w:sz w:val="24"/>
          <w:highlight w:val="none"/>
        </w:rPr>
        <w:t>30</w:t>
      </w:r>
      <w:r>
        <w:rPr>
          <w:rFonts w:hint="eastAsia" w:ascii="黑体" w:hAnsi="黑体" w:eastAsia="黑体" w:cs="宋体"/>
          <w:b/>
          <w:bCs/>
          <w:color w:val="auto"/>
          <w:sz w:val="24"/>
          <w:highlight w:val="none"/>
        </w:rPr>
        <w:t>.政府采购合同公告</w:t>
      </w:r>
    </w:p>
    <w:p w14:paraId="56AB68A4">
      <w:pPr>
        <w:pageBreakBefore w:val="0"/>
        <w:widowControl w:val="0"/>
        <w:kinsoku/>
        <w:wordWrap/>
        <w:overflowPunct/>
        <w:topLinePunct w:val="0"/>
        <w:autoSpaceDE/>
        <w:autoSpaceDN/>
        <w:bidi w:val="0"/>
        <w:spacing w:line="360" w:lineRule="auto"/>
        <w:ind w:left="0" w:leftChars="0" w:firstLine="275" w:firstLineChars="131"/>
        <w:rPr>
          <w:rFonts w:hint="eastAsia" w:hAnsi="宋体"/>
          <w:color w:val="auto"/>
          <w:highlight w:val="none"/>
        </w:rPr>
      </w:pPr>
      <w:r>
        <w:rPr>
          <w:rFonts w:hint="eastAsia" w:hAnsi="宋体"/>
          <w:color w:val="auto"/>
          <w:highlight w:val="none"/>
        </w:rPr>
        <w:t>采购人或者受托采购代理机构应当自政府采购合同签订之日起2个工作日内，将政府采购合同</w:t>
      </w:r>
      <w:r>
        <w:rPr>
          <w:rFonts w:hint="eastAsia" w:ascii="宋体" w:hAnsi="宋体"/>
          <w:bCs/>
          <w:color w:val="auto"/>
          <w:highlight w:val="none"/>
        </w:rPr>
        <w:t>在以下媒体上发布</w:t>
      </w:r>
      <w:r>
        <w:rPr>
          <w:rFonts w:hint="eastAsia" w:ascii="宋体" w:hAnsi="宋体" w:cs="宋体"/>
          <w:color w:val="auto"/>
          <w:kern w:val="0"/>
          <w:szCs w:val="21"/>
          <w:highlight w:val="none"/>
        </w:rPr>
        <w:t xml:space="preserve"> “广西政府采购网”（http://zfcg.gxzf.gov.cn）</w:t>
      </w:r>
      <w:r>
        <w:rPr>
          <w:rFonts w:hint="eastAsia" w:hAnsi="宋体"/>
          <w:color w:val="auto"/>
          <w:highlight w:val="none"/>
        </w:rPr>
        <w:t>上公告，</w:t>
      </w:r>
      <w:r>
        <w:rPr>
          <w:rFonts w:hAnsi="宋体"/>
          <w:color w:val="auto"/>
          <w:highlight w:val="none"/>
        </w:rPr>
        <w:t>但政府采购合同中涉及国家秘密、商业秘密的内容除外。</w:t>
      </w:r>
    </w:p>
    <w:p w14:paraId="4C640D11">
      <w:pPr>
        <w:pageBreakBefore w:val="0"/>
        <w:widowControl w:val="0"/>
        <w:kinsoku/>
        <w:wordWrap/>
        <w:overflowPunct/>
        <w:topLinePunct w:val="0"/>
        <w:autoSpaceDE/>
        <w:autoSpaceDN/>
        <w:bidi w:val="0"/>
        <w:spacing w:line="360" w:lineRule="auto"/>
        <w:ind w:left="0" w:leftChars="0" w:firstLine="316" w:firstLineChars="131"/>
        <w:rPr>
          <w:rFonts w:hint="eastAsia" w:ascii="黑体" w:hAnsi="黑体" w:eastAsia="黑体" w:cs="宋体"/>
          <w:b/>
          <w:bCs/>
          <w:color w:val="auto"/>
          <w:sz w:val="24"/>
          <w:highlight w:val="none"/>
        </w:rPr>
      </w:pPr>
      <w:r>
        <w:rPr>
          <w:rFonts w:ascii="黑体" w:hAnsi="黑体" w:eastAsia="黑体" w:cs="宋体"/>
          <w:b/>
          <w:bCs/>
          <w:color w:val="auto"/>
          <w:sz w:val="24"/>
          <w:highlight w:val="none"/>
        </w:rPr>
        <w:t>31</w:t>
      </w:r>
      <w:r>
        <w:rPr>
          <w:rFonts w:hint="eastAsia" w:ascii="黑体" w:hAnsi="黑体" w:eastAsia="黑体" w:cs="宋体"/>
          <w:b/>
          <w:bCs/>
          <w:color w:val="auto"/>
          <w:sz w:val="24"/>
          <w:highlight w:val="none"/>
        </w:rPr>
        <w:t>. 询问、质疑和投诉</w:t>
      </w:r>
    </w:p>
    <w:p w14:paraId="0B8DF326">
      <w:pPr>
        <w:pageBreakBefore w:val="0"/>
        <w:widowControl w:val="0"/>
        <w:kinsoku/>
        <w:wordWrap/>
        <w:overflowPunct/>
        <w:topLinePunct w:val="0"/>
        <w:autoSpaceDE/>
        <w:autoSpaceDN/>
        <w:bidi w:val="0"/>
        <w:spacing w:line="360" w:lineRule="auto"/>
        <w:ind w:left="0" w:leftChars="0" w:firstLine="275" w:firstLineChars="131"/>
        <w:rPr>
          <w:rFonts w:hint="eastAsia"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.1供应商对政府采购活动事项有疑问的，可以向采购人、采购代理机构提出询问，采购人或者采购代理机构应当在3个工作日内对供应商依法提出的询问作出答复。</w:t>
      </w:r>
    </w:p>
    <w:p w14:paraId="725BE0DB">
      <w:pPr>
        <w:pageBreakBefore w:val="0"/>
        <w:widowControl w:val="0"/>
        <w:kinsoku/>
        <w:wordWrap/>
        <w:overflowPunct/>
        <w:topLinePunct w:val="0"/>
        <w:autoSpaceDE/>
        <w:autoSpaceDN/>
        <w:bidi w:val="0"/>
        <w:spacing w:line="360" w:lineRule="auto"/>
        <w:ind w:left="0" w:leftChars="0" w:firstLine="275" w:firstLineChars="131"/>
        <w:rPr>
          <w:rFonts w:hint="eastAsia" w:ascii="宋体" w:hAnsi="宋体"/>
          <w:b/>
          <w:color w:val="auto"/>
          <w:szCs w:val="21"/>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.2供应商认为磋商文件、采购过程或者成交结果使自己的合法权益受到损害的，应当在知道或者应知其权益受到损害之日起7个工作日内，以书面形式向采购人、采购代理机构提出质疑，</w:t>
      </w:r>
      <w:r>
        <w:rPr>
          <w:rFonts w:ascii="宋体" w:hAnsi="宋体" w:cs="Arial"/>
          <w:color w:val="auto"/>
          <w:highlight w:val="none"/>
          <w:shd w:val="clear" w:color="auto" w:fill="FFFFFF"/>
        </w:rPr>
        <w:t>接收质疑函的方式、联系部门、联系电话和通讯地址等信息</w:t>
      </w:r>
      <w:r>
        <w:rPr>
          <w:rFonts w:hint="eastAsia" w:ascii="宋体" w:hAnsi="宋体" w:cs="Arial"/>
          <w:color w:val="auto"/>
          <w:highlight w:val="none"/>
          <w:shd w:val="clear" w:color="auto" w:fill="FFFFFF"/>
        </w:rPr>
        <w:t>详见</w:t>
      </w:r>
      <w:r>
        <w:rPr>
          <w:rFonts w:hint="eastAsia" w:ascii="宋体" w:hAnsi="宋体" w:cs="宋体"/>
          <w:color w:val="auto"/>
          <w:szCs w:val="21"/>
          <w:highlight w:val="none"/>
        </w:rPr>
        <w:t>“供应商须知前附表”</w:t>
      </w:r>
      <w:r>
        <w:rPr>
          <w:rFonts w:hint="eastAsia" w:ascii="宋体" w:hAnsi="宋体" w:cs="宋体"/>
          <w:color w:val="auto"/>
          <w:highlight w:val="none"/>
        </w:rPr>
        <w:t>。</w:t>
      </w:r>
      <w:r>
        <w:rPr>
          <w:rFonts w:hint="eastAsia" w:ascii="宋体" w:hAnsi="宋体"/>
          <w:b/>
          <w:color w:val="auto"/>
          <w:szCs w:val="21"/>
          <w:highlight w:val="none"/>
        </w:rPr>
        <w:t xml:space="preserve">具体质疑起算时间及处理方式如下： </w:t>
      </w:r>
    </w:p>
    <w:p w14:paraId="6BA38A6E">
      <w:pPr>
        <w:pageBreakBefore w:val="0"/>
        <w:widowControl w:val="0"/>
        <w:kinsoku/>
        <w:wordWrap/>
        <w:overflowPunct/>
        <w:topLinePunct w:val="0"/>
        <w:autoSpaceDE/>
        <w:autoSpaceDN/>
        <w:bidi w:val="0"/>
        <w:spacing w:line="360" w:lineRule="auto"/>
        <w:ind w:left="0" w:leftChars="0" w:firstLine="275" w:firstLineChars="131"/>
        <w:rPr>
          <w:rFonts w:hint="eastAsia" w:hAnsi="宋体"/>
          <w:bCs/>
          <w:color w:val="auto"/>
          <w:highlight w:val="none"/>
        </w:rPr>
      </w:pPr>
      <w:r>
        <w:rPr>
          <w:rFonts w:hint="eastAsia" w:hAnsi="宋体"/>
          <w:bCs/>
          <w:color w:val="auto"/>
          <w:highlight w:val="none"/>
        </w:rPr>
        <w:t>（1）潜在供应商依法获取采购文件后，认为采购文件使自己的权益受到损害的，应当在竞争性磋商采购文件公告期限届满之日起7个工作日内提出质疑。</w:t>
      </w:r>
      <w:r>
        <w:rPr>
          <w:rFonts w:hint="eastAsia"/>
          <w:color w:val="auto"/>
          <w:highlight w:val="none"/>
        </w:rPr>
        <w:t>委托代理协议无特殊约定的，</w:t>
      </w:r>
      <w:r>
        <w:rPr>
          <w:rFonts w:hint="eastAsia" w:hAnsi="宋体"/>
          <w:bCs/>
          <w:color w:val="auto"/>
          <w:highlight w:val="none"/>
        </w:rPr>
        <w:t>对竞争性磋商文件中采购需求（含资格要求、采购预算和评分办法）的质疑由采购人受理并负责答复；对竞争性磋商文件中的采购执行程序的质疑由采购代理机构受理并负责答复。</w:t>
      </w:r>
    </w:p>
    <w:p w14:paraId="3133FC10">
      <w:pPr>
        <w:pageBreakBefore w:val="0"/>
        <w:widowControl w:val="0"/>
        <w:kinsoku/>
        <w:wordWrap/>
        <w:overflowPunct/>
        <w:topLinePunct w:val="0"/>
        <w:autoSpaceDE/>
        <w:autoSpaceDN/>
        <w:bidi w:val="0"/>
        <w:spacing w:line="360" w:lineRule="auto"/>
        <w:ind w:left="0" w:leftChars="0" w:firstLine="275" w:firstLineChars="131"/>
        <w:rPr>
          <w:rFonts w:hint="eastAsia" w:hAnsi="宋体"/>
          <w:bCs/>
          <w:color w:val="auto"/>
          <w:highlight w:val="none"/>
        </w:rPr>
      </w:pPr>
      <w:r>
        <w:rPr>
          <w:rFonts w:hint="eastAsia" w:hAnsi="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64A24767">
      <w:pPr>
        <w:pageBreakBefore w:val="0"/>
        <w:widowControl w:val="0"/>
        <w:kinsoku/>
        <w:wordWrap/>
        <w:overflowPunct/>
        <w:topLinePunct w:val="0"/>
        <w:autoSpaceDE/>
        <w:autoSpaceDN/>
        <w:bidi w:val="0"/>
        <w:spacing w:line="360" w:lineRule="auto"/>
        <w:ind w:left="0" w:leftChars="0" w:firstLine="275" w:firstLineChars="131"/>
        <w:rPr>
          <w:rFonts w:hint="eastAsia" w:hAnsi="宋体"/>
          <w:bCs/>
          <w:color w:val="auto"/>
          <w:highlight w:val="none"/>
        </w:rPr>
      </w:pPr>
      <w:r>
        <w:rPr>
          <w:rFonts w:hint="eastAsia" w:hAnsi="宋体"/>
          <w:bCs/>
          <w:color w:val="auto"/>
          <w:highlight w:val="none"/>
        </w:rPr>
        <w:t>（3）供应商认为成交结果使自己的权益受到损害的，应当在成交结果公告期限届满之日起7个工作日内提出质疑，由采购人受理并负责答复。</w:t>
      </w:r>
    </w:p>
    <w:p w14:paraId="35A3C935">
      <w:pPr>
        <w:pageBreakBefore w:val="0"/>
        <w:widowControl w:val="0"/>
        <w:kinsoku/>
        <w:wordWrap/>
        <w:overflowPunct/>
        <w:topLinePunct w:val="0"/>
        <w:autoSpaceDE/>
        <w:autoSpaceDN/>
        <w:bidi w:val="0"/>
        <w:spacing w:line="360" w:lineRule="auto"/>
        <w:ind w:left="0" w:leftChars="0" w:firstLine="275" w:firstLineChars="131"/>
        <w:rPr>
          <w:rFonts w:hint="eastAsia"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5FF53EC2">
      <w:pPr>
        <w:pageBreakBefore w:val="0"/>
        <w:widowControl w:val="0"/>
        <w:kinsoku/>
        <w:wordWrap/>
        <w:overflowPunct/>
        <w:topLinePunct w:val="0"/>
        <w:autoSpaceDE/>
        <w:autoSpaceDN/>
        <w:bidi w:val="0"/>
        <w:spacing w:line="360" w:lineRule="auto"/>
        <w:ind w:left="0" w:leftChars="0" w:firstLine="275" w:firstLineChars="131"/>
        <w:rPr>
          <w:rFonts w:hint="eastAsia"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.4 供应商提出质疑应当提交质疑函和必要的证明材料，针对同一采购程序环节的质疑必须在法定质疑期内一次性提出。质疑函应当包括下列内容</w:t>
      </w:r>
      <w:r>
        <w:rPr>
          <w:rFonts w:hint="eastAsia" w:hAnsi="宋体"/>
          <w:bCs/>
          <w:color w:val="auto"/>
          <w:highlight w:val="none"/>
        </w:rPr>
        <w:t>（质疑函格式后附）</w:t>
      </w:r>
      <w:r>
        <w:rPr>
          <w:rFonts w:hint="eastAsia" w:ascii="宋体" w:hAnsi="宋体" w:cs="宋体"/>
          <w:color w:val="auto"/>
          <w:highlight w:val="none"/>
        </w:rPr>
        <w:t>：</w:t>
      </w:r>
    </w:p>
    <w:p w14:paraId="232519DB">
      <w:pPr>
        <w:pageBreakBefore w:val="0"/>
        <w:widowControl w:val="0"/>
        <w:kinsoku/>
        <w:wordWrap/>
        <w:overflowPunct/>
        <w:topLinePunct w:val="0"/>
        <w:autoSpaceDE/>
        <w:autoSpaceDN/>
        <w:bidi w:val="0"/>
        <w:spacing w:line="360" w:lineRule="auto"/>
        <w:ind w:left="0" w:leftChars="0" w:firstLine="275" w:firstLineChars="131"/>
        <w:rPr>
          <w:rFonts w:hint="eastAsia"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63DB8C0A">
      <w:pPr>
        <w:pageBreakBefore w:val="0"/>
        <w:widowControl w:val="0"/>
        <w:kinsoku/>
        <w:wordWrap/>
        <w:overflowPunct/>
        <w:topLinePunct w:val="0"/>
        <w:autoSpaceDE/>
        <w:autoSpaceDN/>
        <w:bidi w:val="0"/>
        <w:spacing w:line="360" w:lineRule="auto"/>
        <w:ind w:left="0" w:leftChars="0" w:firstLine="275" w:firstLineChars="131"/>
        <w:rPr>
          <w:rFonts w:hint="eastAsia" w:ascii="宋体" w:hAnsi="宋体" w:cs="宋体"/>
          <w:color w:val="auto"/>
          <w:highlight w:val="none"/>
        </w:rPr>
      </w:pPr>
      <w:r>
        <w:rPr>
          <w:rFonts w:hint="eastAsia" w:ascii="宋体" w:hAnsi="宋体" w:cs="宋体"/>
          <w:color w:val="auto"/>
          <w:highlight w:val="none"/>
        </w:rPr>
        <w:t>（2）质疑项目的名称、编号；</w:t>
      </w:r>
    </w:p>
    <w:p w14:paraId="392AF382">
      <w:pPr>
        <w:pageBreakBefore w:val="0"/>
        <w:widowControl w:val="0"/>
        <w:kinsoku/>
        <w:wordWrap/>
        <w:overflowPunct/>
        <w:topLinePunct w:val="0"/>
        <w:autoSpaceDE/>
        <w:autoSpaceDN/>
        <w:bidi w:val="0"/>
        <w:spacing w:line="360" w:lineRule="auto"/>
        <w:ind w:left="0" w:leftChars="0" w:firstLine="275" w:firstLineChars="131"/>
        <w:rPr>
          <w:rFonts w:hint="eastAsia" w:ascii="宋体" w:hAnsi="宋体" w:cs="宋体"/>
          <w:color w:val="auto"/>
          <w:highlight w:val="none"/>
        </w:rPr>
      </w:pPr>
      <w:r>
        <w:rPr>
          <w:rFonts w:hint="eastAsia" w:ascii="宋体" w:hAnsi="宋体" w:cs="宋体"/>
          <w:color w:val="auto"/>
          <w:highlight w:val="none"/>
        </w:rPr>
        <w:t>（3）具体、明确的质疑事项和与质疑事项相关的请求；</w:t>
      </w:r>
    </w:p>
    <w:p w14:paraId="5527EBBF">
      <w:pPr>
        <w:pageBreakBefore w:val="0"/>
        <w:widowControl w:val="0"/>
        <w:kinsoku/>
        <w:wordWrap/>
        <w:overflowPunct/>
        <w:topLinePunct w:val="0"/>
        <w:autoSpaceDE/>
        <w:autoSpaceDN/>
        <w:bidi w:val="0"/>
        <w:spacing w:line="360" w:lineRule="auto"/>
        <w:ind w:left="0" w:leftChars="0" w:firstLine="275" w:firstLineChars="131"/>
        <w:rPr>
          <w:rFonts w:hint="eastAsia" w:ascii="宋体" w:hAnsi="宋体" w:cs="宋体"/>
          <w:color w:val="auto"/>
          <w:highlight w:val="none"/>
        </w:rPr>
      </w:pPr>
      <w:r>
        <w:rPr>
          <w:rFonts w:hint="eastAsia" w:ascii="宋体" w:hAnsi="宋体" w:cs="宋体"/>
          <w:color w:val="auto"/>
          <w:highlight w:val="none"/>
        </w:rPr>
        <w:t>（4）事实依据；</w:t>
      </w:r>
    </w:p>
    <w:p w14:paraId="79656EED">
      <w:pPr>
        <w:pageBreakBefore w:val="0"/>
        <w:widowControl w:val="0"/>
        <w:kinsoku/>
        <w:wordWrap/>
        <w:overflowPunct/>
        <w:topLinePunct w:val="0"/>
        <w:autoSpaceDE/>
        <w:autoSpaceDN/>
        <w:bidi w:val="0"/>
        <w:spacing w:line="360" w:lineRule="auto"/>
        <w:ind w:left="0" w:leftChars="0" w:firstLine="275" w:firstLineChars="131"/>
        <w:rPr>
          <w:rFonts w:hint="eastAsia" w:ascii="宋体" w:hAnsi="宋体" w:cs="宋体"/>
          <w:color w:val="auto"/>
          <w:highlight w:val="none"/>
        </w:rPr>
      </w:pPr>
      <w:r>
        <w:rPr>
          <w:rFonts w:hint="eastAsia" w:ascii="宋体" w:hAnsi="宋体" w:cs="宋体"/>
          <w:color w:val="auto"/>
          <w:highlight w:val="none"/>
        </w:rPr>
        <w:t>（5）必要的法律依据；</w:t>
      </w:r>
    </w:p>
    <w:p w14:paraId="7FD547EF">
      <w:pPr>
        <w:pageBreakBefore w:val="0"/>
        <w:widowControl w:val="0"/>
        <w:kinsoku/>
        <w:wordWrap/>
        <w:overflowPunct/>
        <w:topLinePunct w:val="0"/>
        <w:autoSpaceDE/>
        <w:autoSpaceDN/>
        <w:bidi w:val="0"/>
        <w:spacing w:line="360" w:lineRule="auto"/>
        <w:ind w:left="0" w:leftChars="0" w:firstLine="275" w:firstLineChars="131"/>
        <w:rPr>
          <w:rFonts w:hint="eastAsia" w:ascii="宋体" w:hAnsi="宋体" w:cs="宋体"/>
          <w:color w:val="auto"/>
          <w:highlight w:val="none"/>
        </w:rPr>
      </w:pPr>
      <w:r>
        <w:rPr>
          <w:rFonts w:hint="eastAsia" w:ascii="宋体" w:hAnsi="宋体" w:cs="宋体"/>
          <w:color w:val="auto"/>
          <w:highlight w:val="none"/>
        </w:rPr>
        <w:t>（6）提出质疑的日期。</w:t>
      </w:r>
    </w:p>
    <w:p w14:paraId="11072D37">
      <w:pPr>
        <w:pageBreakBefore w:val="0"/>
        <w:widowControl w:val="0"/>
        <w:kinsoku/>
        <w:wordWrap/>
        <w:overflowPunct/>
        <w:topLinePunct w:val="0"/>
        <w:autoSpaceDE/>
        <w:autoSpaceDN/>
        <w:bidi w:val="0"/>
        <w:spacing w:line="360" w:lineRule="auto"/>
        <w:ind w:left="0" w:leftChars="0" w:firstLine="275" w:firstLineChars="131"/>
        <w:rPr>
          <w:rFonts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511ABE83">
      <w:pPr>
        <w:pageBreakBefore w:val="0"/>
        <w:widowControl w:val="0"/>
        <w:kinsoku/>
        <w:wordWrap/>
        <w:overflowPunct/>
        <w:topLinePunct w:val="0"/>
        <w:autoSpaceDE/>
        <w:autoSpaceDN/>
        <w:bidi w:val="0"/>
        <w:spacing w:line="360" w:lineRule="auto"/>
        <w:ind w:left="0" w:leftChars="0" w:firstLine="275" w:firstLineChars="131"/>
        <w:rPr>
          <w:rFonts w:hint="eastAsia"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1.5</w:t>
      </w:r>
      <w:r>
        <w:rPr>
          <w:rFonts w:hint="eastAsia" w:ascii="宋体" w:hAnsi="宋体" w:cs="宋体"/>
          <w:color w:val="auto"/>
          <w:highlight w:val="none"/>
        </w:rPr>
        <w:t>采购人、采购代理机构认为供应商质疑不成立，或者成立但未对成交结果构成影响的，继续开展采购活动；认为供应商质疑成立且影响或者可能影响成交结果的，按照下列情况处理：</w:t>
      </w:r>
    </w:p>
    <w:p w14:paraId="0583ADAB">
      <w:pPr>
        <w:pageBreakBefore w:val="0"/>
        <w:widowControl w:val="0"/>
        <w:kinsoku/>
        <w:wordWrap/>
        <w:overflowPunct/>
        <w:topLinePunct w:val="0"/>
        <w:autoSpaceDE/>
        <w:autoSpaceDN/>
        <w:bidi w:val="0"/>
        <w:spacing w:line="360" w:lineRule="auto"/>
        <w:ind w:left="0" w:leftChars="0" w:firstLine="275" w:firstLineChars="131"/>
        <w:rPr>
          <w:rFonts w:ascii="宋体" w:hAns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505E7C11">
      <w:pPr>
        <w:pageBreakBefore w:val="0"/>
        <w:widowControl w:val="0"/>
        <w:kinsoku/>
        <w:wordWrap/>
        <w:overflowPunct/>
        <w:topLinePunct w:val="0"/>
        <w:autoSpaceDE/>
        <w:autoSpaceDN/>
        <w:bidi w:val="0"/>
        <w:spacing w:line="360" w:lineRule="auto"/>
        <w:ind w:left="0" w:leftChars="0" w:firstLine="275" w:firstLineChars="131"/>
        <w:rPr>
          <w:rFonts w:ascii="宋体" w:hAns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2B4A7F27">
      <w:pPr>
        <w:pageBreakBefore w:val="0"/>
        <w:widowControl w:val="0"/>
        <w:kinsoku/>
        <w:wordWrap/>
        <w:overflowPunct/>
        <w:topLinePunct w:val="0"/>
        <w:autoSpaceDE/>
        <w:autoSpaceDN/>
        <w:bidi w:val="0"/>
        <w:spacing w:line="360" w:lineRule="auto"/>
        <w:ind w:left="0" w:leftChars="0" w:firstLine="275" w:firstLineChars="131"/>
        <w:rPr>
          <w:rFonts w:hint="eastAsia"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491305D2">
      <w:pPr>
        <w:pageBreakBefore w:val="0"/>
        <w:widowControl w:val="0"/>
        <w:kinsoku/>
        <w:wordWrap/>
        <w:overflowPunct/>
        <w:topLinePunct w:val="0"/>
        <w:autoSpaceDE/>
        <w:autoSpaceDN/>
        <w:bidi w:val="0"/>
        <w:spacing w:line="360" w:lineRule="auto"/>
        <w:ind w:left="0" w:leftChars="0" w:firstLine="275" w:firstLineChars="131"/>
        <w:rPr>
          <w:rFonts w:hint="eastAsia" w:ascii="宋体" w:hAnsi="宋体" w:cs="宋体"/>
          <w:color w:val="auto"/>
          <w:highlight w:val="none"/>
        </w:rPr>
      </w:pPr>
      <w:r>
        <w:rPr>
          <w:rFonts w:ascii="宋体" w:hAnsi="宋体" w:cs="宋体"/>
          <w:color w:val="auto"/>
          <w:highlight w:val="none"/>
        </w:rPr>
        <w:t>31</w:t>
      </w: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46" w:name="_Toc80205930"/>
    </w:p>
    <w:p w14:paraId="57F4FE11">
      <w:pPr>
        <w:pStyle w:val="4"/>
        <w:pageBreakBefore w:val="0"/>
        <w:widowControl w:val="0"/>
        <w:kinsoku/>
        <w:wordWrap/>
        <w:overflowPunct/>
        <w:topLinePunct w:val="0"/>
        <w:autoSpaceDE/>
        <w:autoSpaceDN/>
        <w:bidi w:val="0"/>
        <w:spacing w:before="0" w:after="0" w:line="360" w:lineRule="auto"/>
        <w:ind w:left="0" w:leftChars="0" w:firstLine="421" w:firstLineChars="131"/>
        <w:rPr>
          <w:rFonts w:ascii="宋体" w:hAnsi="宋体"/>
          <w:b w:val="0"/>
          <w:color w:val="auto"/>
          <w:highlight w:val="none"/>
        </w:rPr>
      </w:pPr>
      <w:bookmarkStart w:id="47" w:name="_Toc25755"/>
      <w:r>
        <w:rPr>
          <w:rFonts w:hint="eastAsia" w:ascii="宋体" w:hAnsi="宋体"/>
          <w:color w:val="auto"/>
          <w:highlight w:val="none"/>
        </w:rPr>
        <w:t>六</w:t>
      </w:r>
      <w:r>
        <w:rPr>
          <w:rFonts w:hint="eastAsia" w:ascii="宋体" w:hAnsi="宋体"/>
          <w:b w:val="0"/>
          <w:color w:val="auto"/>
          <w:highlight w:val="none"/>
        </w:rPr>
        <w:t>、验收</w:t>
      </w:r>
      <w:bookmarkEnd w:id="46"/>
      <w:bookmarkEnd w:id="47"/>
    </w:p>
    <w:p w14:paraId="0BE63F6A">
      <w:pPr>
        <w:pageBreakBefore w:val="0"/>
        <w:widowControl w:val="0"/>
        <w:tabs>
          <w:tab w:val="left" w:pos="0"/>
        </w:tabs>
        <w:kinsoku/>
        <w:wordWrap/>
        <w:overflowPunct/>
        <w:topLinePunct w:val="0"/>
        <w:autoSpaceDE/>
        <w:autoSpaceDN/>
        <w:bidi w:val="0"/>
        <w:spacing w:line="360" w:lineRule="auto"/>
        <w:ind w:left="0" w:leftChars="0" w:firstLine="316" w:firstLineChars="131"/>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32.验收</w:t>
      </w:r>
    </w:p>
    <w:p w14:paraId="2B7A565F">
      <w:pPr>
        <w:pageBreakBefore w:val="0"/>
        <w:widowControl w:val="0"/>
        <w:tabs>
          <w:tab w:val="left" w:pos="0"/>
        </w:tabs>
        <w:kinsoku/>
        <w:wordWrap/>
        <w:overflowPunct/>
        <w:topLinePunct w:val="0"/>
        <w:autoSpaceDE/>
        <w:autoSpaceDN/>
        <w:bidi w:val="0"/>
        <w:spacing w:line="360" w:lineRule="auto"/>
        <w:ind w:left="0" w:leftChars="0" w:firstLine="275" w:firstLineChars="131"/>
        <w:rPr>
          <w:rFonts w:ascii="宋体" w:hAnsi="宋体" w:cs="Helvetica"/>
          <w:color w:val="auto"/>
          <w:kern w:val="0"/>
          <w:szCs w:val="21"/>
          <w:highlight w:val="none"/>
        </w:rPr>
      </w:pPr>
      <w:r>
        <w:rPr>
          <w:rFonts w:hint="eastAsia" w:ascii="宋体" w:hAnsi="宋体" w:cs="Helvetica"/>
          <w:color w:val="auto"/>
          <w:kern w:val="0"/>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3E803DD">
      <w:pPr>
        <w:pageBreakBefore w:val="0"/>
        <w:widowControl w:val="0"/>
        <w:tabs>
          <w:tab w:val="left" w:pos="0"/>
        </w:tabs>
        <w:kinsoku/>
        <w:wordWrap/>
        <w:overflowPunct/>
        <w:topLinePunct w:val="0"/>
        <w:autoSpaceDE/>
        <w:autoSpaceDN/>
        <w:bidi w:val="0"/>
        <w:spacing w:line="360" w:lineRule="auto"/>
        <w:ind w:left="0" w:leftChars="0" w:firstLine="275" w:firstLineChars="131"/>
        <w:rPr>
          <w:rFonts w:ascii="宋体" w:hAnsi="宋体" w:cs="Helvetica"/>
          <w:color w:val="auto"/>
          <w:kern w:val="0"/>
          <w:szCs w:val="21"/>
          <w:highlight w:val="none"/>
        </w:rPr>
      </w:pPr>
      <w:r>
        <w:rPr>
          <w:rFonts w:hint="eastAsia" w:ascii="宋体" w:hAnsi="宋体" w:cs="Helvetica"/>
          <w:color w:val="auto"/>
          <w:kern w:val="0"/>
          <w:szCs w:val="21"/>
          <w:highlight w:val="none"/>
        </w:rPr>
        <w:t>32.2采购人可以邀请参加本项目的其他供应商或者第三方机构参与验收。参与验收的供应商或者第三方机构的意见作为验收书的参考资料一并存档。</w:t>
      </w:r>
    </w:p>
    <w:p w14:paraId="26631464">
      <w:pPr>
        <w:pageBreakBefore w:val="0"/>
        <w:widowControl w:val="0"/>
        <w:tabs>
          <w:tab w:val="left" w:pos="0"/>
        </w:tabs>
        <w:kinsoku/>
        <w:wordWrap/>
        <w:overflowPunct/>
        <w:topLinePunct w:val="0"/>
        <w:autoSpaceDE/>
        <w:autoSpaceDN/>
        <w:bidi w:val="0"/>
        <w:spacing w:line="360" w:lineRule="auto"/>
        <w:ind w:left="0" w:leftChars="0" w:firstLine="275" w:firstLineChars="131"/>
        <w:rPr>
          <w:rFonts w:ascii="宋体" w:hAnsi="宋体" w:cs="Helvetica"/>
          <w:color w:val="auto"/>
          <w:kern w:val="0"/>
          <w:szCs w:val="21"/>
          <w:highlight w:val="none"/>
        </w:rPr>
      </w:pPr>
      <w:r>
        <w:rPr>
          <w:rFonts w:hint="eastAsia" w:ascii="宋体" w:hAnsi="宋体" w:cs="Helvetica"/>
          <w:color w:val="auto"/>
          <w:kern w:val="0"/>
          <w:szCs w:val="21"/>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0EF4661">
      <w:pPr>
        <w:pageBreakBefore w:val="0"/>
        <w:widowControl w:val="0"/>
        <w:tabs>
          <w:tab w:val="left" w:pos="0"/>
        </w:tabs>
        <w:kinsoku/>
        <w:wordWrap/>
        <w:overflowPunct/>
        <w:topLinePunct w:val="0"/>
        <w:autoSpaceDE/>
        <w:autoSpaceDN/>
        <w:bidi w:val="0"/>
        <w:spacing w:line="360" w:lineRule="auto"/>
        <w:ind w:left="0" w:leftChars="0" w:firstLine="275" w:firstLineChars="131"/>
        <w:rPr>
          <w:rFonts w:hint="eastAsia" w:ascii="宋体" w:hAnsi="宋体" w:cs="宋体"/>
          <w:color w:val="auto"/>
          <w:szCs w:val="21"/>
          <w:highlight w:val="none"/>
        </w:rPr>
      </w:pPr>
      <w:r>
        <w:rPr>
          <w:rFonts w:hint="eastAsia" w:ascii="宋体" w:hAnsi="宋体" w:cs="Helvetica"/>
          <w:color w:val="auto"/>
          <w:kern w:val="0"/>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6EF13F7">
      <w:pPr>
        <w:pStyle w:val="4"/>
        <w:pageBreakBefore w:val="0"/>
        <w:widowControl w:val="0"/>
        <w:kinsoku/>
        <w:wordWrap/>
        <w:overflowPunct/>
        <w:topLinePunct w:val="0"/>
        <w:autoSpaceDE/>
        <w:autoSpaceDN/>
        <w:bidi w:val="0"/>
        <w:spacing w:before="0" w:after="0" w:line="360" w:lineRule="auto"/>
        <w:ind w:left="0" w:leftChars="0" w:firstLine="419" w:firstLineChars="131"/>
        <w:rPr>
          <w:rFonts w:hint="eastAsia" w:ascii="宋体" w:hAnsi="宋体"/>
          <w:b w:val="0"/>
          <w:bCs w:val="0"/>
          <w:color w:val="auto"/>
          <w:highlight w:val="none"/>
        </w:rPr>
      </w:pPr>
      <w:bookmarkStart w:id="48" w:name="_Toc13971"/>
      <w:r>
        <w:rPr>
          <w:rFonts w:hint="eastAsia" w:ascii="宋体" w:hAnsi="宋体"/>
          <w:b w:val="0"/>
          <w:bCs w:val="0"/>
          <w:color w:val="auto"/>
          <w:highlight w:val="none"/>
          <w:lang w:eastAsia="zh-CN"/>
        </w:rPr>
        <w:t>七</w:t>
      </w:r>
      <w:r>
        <w:rPr>
          <w:rFonts w:hint="eastAsia" w:ascii="宋体" w:hAnsi="宋体"/>
          <w:b w:val="0"/>
          <w:bCs w:val="0"/>
          <w:color w:val="auto"/>
          <w:highlight w:val="none"/>
        </w:rPr>
        <w:t>、其他事项</w:t>
      </w:r>
      <w:bookmarkEnd w:id="48"/>
    </w:p>
    <w:p w14:paraId="2936EC52">
      <w:pPr>
        <w:pageBreakBefore w:val="0"/>
        <w:widowControl w:val="0"/>
        <w:kinsoku/>
        <w:wordWrap/>
        <w:overflowPunct/>
        <w:topLinePunct w:val="0"/>
        <w:autoSpaceDE/>
        <w:autoSpaceDN/>
        <w:bidi w:val="0"/>
        <w:spacing w:line="360" w:lineRule="auto"/>
        <w:ind w:left="0" w:leftChars="0" w:firstLine="316" w:firstLineChars="131"/>
        <w:rPr>
          <w:rFonts w:hint="eastAsia" w:ascii="黑体" w:hAnsi="黑体" w:eastAsia="黑体" w:cs="宋体"/>
          <w:b/>
          <w:bCs/>
          <w:color w:val="auto"/>
          <w:sz w:val="24"/>
          <w:highlight w:val="none"/>
        </w:rPr>
      </w:pPr>
      <w:r>
        <w:rPr>
          <w:rFonts w:ascii="黑体" w:hAnsi="黑体" w:eastAsia="黑体" w:cs="宋体"/>
          <w:b/>
          <w:bCs/>
          <w:color w:val="auto"/>
          <w:sz w:val="24"/>
          <w:highlight w:val="none"/>
        </w:rPr>
        <w:t>3</w:t>
      </w:r>
      <w:r>
        <w:rPr>
          <w:rFonts w:hint="eastAsia" w:ascii="黑体" w:hAnsi="黑体" w:eastAsia="黑体" w:cs="宋体"/>
          <w:b/>
          <w:bCs/>
          <w:color w:val="auto"/>
          <w:sz w:val="24"/>
          <w:highlight w:val="none"/>
        </w:rPr>
        <w:t>3.代理服务费</w:t>
      </w:r>
    </w:p>
    <w:p w14:paraId="0F588451">
      <w:pPr>
        <w:pageBreakBefore w:val="0"/>
        <w:widowControl w:val="0"/>
        <w:tabs>
          <w:tab w:val="left" w:pos="2835"/>
        </w:tabs>
        <w:kinsoku/>
        <w:wordWrap/>
        <w:overflowPunct/>
        <w:topLinePunct w:val="0"/>
        <w:autoSpaceDE/>
        <w:autoSpaceDN/>
        <w:bidi w:val="0"/>
        <w:spacing w:line="360" w:lineRule="auto"/>
        <w:ind w:left="0" w:leftChars="0" w:firstLine="275" w:firstLineChars="131"/>
        <w:rPr>
          <w:rFonts w:ascii="宋体" w:hAnsi="宋体" w:cs="宋体"/>
          <w:color w:val="auto"/>
          <w:szCs w:val="21"/>
          <w:highlight w:val="none"/>
        </w:rPr>
      </w:pPr>
      <w:r>
        <w:rPr>
          <w:rFonts w:hint="eastAsia" w:ascii="宋体" w:hAnsi="宋体" w:cs="宋体"/>
          <w:color w:val="auto"/>
          <w:szCs w:val="21"/>
          <w:highlight w:val="none"/>
        </w:rPr>
        <w:t>代理服务收费标准及缴费账户详见“供应商须知前附表”，供应商为联合体的，可以由联合体中的一方或者多方共同</w:t>
      </w:r>
      <w:r>
        <w:rPr>
          <w:rFonts w:hint="eastAsia" w:ascii="宋体" w:hAnsi="宋体" w:cs="宋体"/>
          <w:color w:val="auto"/>
          <w:szCs w:val="21"/>
          <w:highlight w:val="none"/>
          <w:lang w:eastAsia="zh-CN"/>
        </w:rPr>
        <w:t>缴纳</w:t>
      </w:r>
      <w:r>
        <w:rPr>
          <w:rFonts w:hint="eastAsia" w:ascii="宋体" w:hAnsi="宋体" w:cs="宋体"/>
          <w:color w:val="auto"/>
          <w:szCs w:val="21"/>
          <w:highlight w:val="none"/>
        </w:rPr>
        <w:t>代理服务费。</w:t>
      </w:r>
    </w:p>
    <w:p w14:paraId="29E4F24C">
      <w:pPr>
        <w:pageBreakBefore w:val="0"/>
        <w:widowControl w:val="0"/>
        <w:kinsoku/>
        <w:wordWrap/>
        <w:overflowPunct/>
        <w:topLinePunct w:val="0"/>
        <w:autoSpaceDE/>
        <w:autoSpaceDN/>
        <w:bidi w:val="0"/>
        <w:spacing w:line="360" w:lineRule="auto"/>
        <w:ind w:left="0" w:leftChars="0" w:firstLine="316" w:firstLineChars="131"/>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34</w:t>
      </w:r>
      <w:r>
        <w:rPr>
          <w:rFonts w:ascii="黑体" w:hAnsi="黑体" w:eastAsia="黑体" w:cs="宋体"/>
          <w:b/>
          <w:bCs/>
          <w:color w:val="auto"/>
          <w:sz w:val="24"/>
          <w:highlight w:val="none"/>
        </w:rPr>
        <w:t>.需要补充的其他内容</w:t>
      </w:r>
    </w:p>
    <w:p w14:paraId="7A2E8552">
      <w:pPr>
        <w:pStyle w:val="16"/>
        <w:pageBreakBefore w:val="0"/>
        <w:widowControl w:val="0"/>
        <w:kinsoku/>
        <w:wordWrap/>
        <w:overflowPunct/>
        <w:topLinePunct w:val="0"/>
        <w:autoSpaceDE/>
        <w:autoSpaceDN/>
        <w:bidi w:val="0"/>
        <w:spacing w:line="360" w:lineRule="auto"/>
        <w:ind w:left="0" w:leftChars="0" w:firstLine="275" w:firstLineChars="131"/>
        <w:textAlignment w:val="center"/>
        <w:rPr>
          <w:rFonts w:hint="eastAsia" w:hAnsi="宋体" w:cs="宋体"/>
          <w:color w:val="auto"/>
          <w:kern w:val="2"/>
          <w:sz w:val="21"/>
          <w:highlight w:val="none"/>
          <w:lang w:val="en-US" w:eastAsia="zh-CN"/>
        </w:rPr>
      </w:pPr>
      <w:r>
        <w:rPr>
          <w:rFonts w:hint="eastAsia" w:hAnsi="宋体" w:cs="宋体"/>
          <w:color w:val="auto"/>
          <w:kern w:val="2"/>
          <w:sz w:val="21"/>
          <w:highlight w:val="none"/>
          <w:lang w:val="en-US" w:eastAsia="zh-CN"/>
        </w:rPr>
        <w:t>34</w:t>
      </w:r>
      <w:r>
        <w:rPr>
          <w:rFonts w:hAnsi="宋体" w:cs="宋体"/>
          <w:color w:val="auto"/>
          <w:kern w:val="2"/>
          <w:sz w:val="21"/>
          <w:highlight w:val="none"/>
          <w:lang w:val="en-US" w:eastAsia="zh-CN"/>
        </w:rPr>
        <w:t>.1</w:t>
      </w:r>
      <w:r>
        <w:rPr>
          <w:rFonts w:hint="eastAsia" w:hAnsi="宋体" w:cs="宋体"/>
          <w:color w:val="auto"/>
          <w:kern w:val="2"/>
          <w:sz w:val="21"/>
          <w:highlight w:val="none"/>
          <w:lang w:val="en-US" w:eastAsia="zh-CN"/>
        </w:rPr>
        <w:t>本磋商文件解释规则详见“供应商须知前附表”。</w:t>
      </w:r>
    </w:p>
    <w:p w14:paraId="03062A74">
      <w:pPr>
        <w:pStyle w:val="16"/>
        <w:pageBreakBefore w:val="0"/>
        <w:widowControl w:val="0"/>
        <w:kinsoku/>
        <w:wordWrap/>
        <w:overflowPunct/>
        <w:topLinePunct w:val="0"/>
        <w:autoSpaceDE/>
        <w:autoSpaceDN/>
        <w:bidi w:val="0"/>
        <w:spacing w:line="360" w:lineRule="auto"/>
        <w:ind w:left="0" w:leftChars="0" w:firstLine="275" w:firstLineChars="131"/>
        <w:textAlignment w:val="center"/>
        <w:rPr>
          <w:rFonts w:ascii="宋体" w:hAnsi="宋体" w:eastAsia="宋体" w:cs="宋体"/>
          <w:color w:val="auto"/>
          <w:kern w:val="2"/>
          <w:sz w:val="21"/>
          <w:highlight w:val="none"/>
          <w:lang w:val="en-US" w:eastAsia="zh-CN"/>
        </w:rPr>
      </w:pPr>
      <w:r>
        <w:rPr>
          <w:rFonts w:ascii="宋体" w:hAnsi="宋体" w:eastAsia="宋体" w:cs="宋体"/>
          <w:color w:val="auto"/>
          <w:kern w:val="2"/>
          <w:sz w:val="21"/>
          <w:highlight w:val="none"/>
          <w:lang w:val="en-US" w:eastAsia="zh-CN"/>
        </w:rPr>
        <w:t>3</w:t>
      </w:r>
      <w:r>
        <w:rPr>
          <w:rFonts w:hint="eastAsia" w:ascii="宋体" w:hAnsi="宋体" w:eastAsia="宋体" w:cs="宋体"/>
          <w:color w:val="auto"/>
          <w:kern w:val="2"/>
          <w:sz w:val="21"/>
          <w:highlight w:val="none"/>
          <w:lang w:val="en-US" w:eastAsia="zh-CN"/>
        </w:rPr>
        <w:t>4</w:t>
      </w:r>
      <w:r>
        <w:rPr>
          <w:rFonts w:ascii="宋体" w:hAnsi="宋体" w:eastAsia="宋体" w:cs="宋体"/>
          <w:color w:val="auto"/>
          <w:kern w:val="2"/>
          <w:sz w:val="21"/>
          <w:highlight w:val="none"/>
          <w:lang w:val="en-US" w:eastAsia="zh-CN"/>
        </w:rPr>
        <w:t>.2</w:t>
      </w:r>
      <w:r>
        <w:rPr>
          <w:rFonts w:hint="eastAsia" w:ascii="宋体" w:hAnsi="宋体" w:eastAsia="宋体" w:cs="宋体"/>
          <w:color w:val="auto"/>
          <w:kern w:val="2"/>
          <w:sz w:val="21"/>
          <w:highlight w:val="none"/>
          <w:lang w:val="en-US" w:eastAsia="zh-CN"/>
        </w:rPr>
        <w:t xml:space="preserve"> 其他事项详见“供应商须知前附表”。</w:t>
      </w:r>
    </w:p>
    <w:p w14:paraId="4EB9B9F7">
      <w:pPr>
        <w:pStyle w:val="16"/>
        <w:pageBreakBefore w:val="0"/>
        <w:widowControl w:val="0"/>
        <w:kinsoku/>
        <w:wordWrap/>
        <w:overflowPunct/>
        <w:topLinePunct w:val="0"/>
        <w:autoSpaceDE/>
        <w:autoSpaceDN/>
        <w:bidi w:val="0"/>
        <w:spacing w:line="360" w:lineRule="auto"/>
        <w:ind w:left="0" w:leftChars="0" w:firstLine="275" w:firstLineChars="131"/>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由中小企业承接，即提供服务的人员为中小企业依照《中华人民共和国劳动合同法》订立劳动合同的从业人员，不对其中涉及的货物的制造商和工程承建商作出要求的，享受本文件规定的中小企业扶持政策。</w:t>
      </w:r>
    </w:p>
    <w:p w14:paraId="65935E33">
      <w:pPr>
        <w:pStyle w:val="16"/>
        <w:pageBreakBefore w:val="0"/>
        <w:widowControl w:val="0"/>
        <w:kinsoku/>
        <w:wordWrap/>
        <w:overflowPunct/>
        <w:topLinePunct w:val="0"/>
        <w:autoSpaceDE/>
        <w:autoSpaceDN/>
        <w:bidi w:val="0"/>
        <w:spacing w:line="360" w:lineRule="auto"/>
        <w:ind w:left="0" w:leftChars="0" w:firstLine="275" w:firstLineChars="131"/>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以联合体形式参加政府采购活动，联合体各方均为中小企业的，联合体视同中小企业。其中，联合体各方均为小微企业的，联合体视同小微企业。</w:t>
      </w:r>
    </w:p>
    <w:p w14:paraId="2C700614">
      <w:pPr>
        <w:pStyle w:val="16"/>
        <w:pageBreakBefore w:val="0"/>
        <w:widowControl w:val="0"/>
        <w:kinsoku/>
        <w:wordWrap/>
        <w:overflowPunct/>
        <w:topLinePunct w:val="0"/>
        <w:autoSpaceDE/>
        <w:autoSpaceDN/>
        <w:bidi w:val="0"/>
        <w:spacing w:line="360" w:lineRule="auto"/>
        <w:ind w:left="0" w:leftChars="0" w:firstLine="275" w:firstLineChars="131"/>
        <w:textAlignment w:val="center"/>
        <w:rPr>
          <w:color w:val="auto"/>
          <w:highlight w:val="none"/>
        </w:rPr>
      </w:pPr>
      <w:r>
        <w:rPr>
          <w:rFonts w:hint="eastAsia" w:ascii="宋体" w:hAnsi="宋体" w:eastAsia="宋体" w:cs="宋体"/>
          <w:color w:val="auto"/>
          <w:kern w:val="2"/>
          <w:sz w:val="21"/>
          <w:highlight w:val="none"/>
          <w:lang w:val="en-US" w:eastAsia="zh-CN"/>
        </w:rPr>
        <w:t>依据本文件规定享受扶持政策获得政府采购合同的，小微企业不得将合同分包给大中型企业，中型企业不得将合同分包给大型企业。</w:t>
      </w:r>
      <w:r>
        <w:rPr>
          <w:rFonts w:hAnsi="宋体"/>
          <w:b/>
          <w:color w:val="auto"/>
          <w:highlight w:val="none"/>
        </w:rPr>
        <w:br w:type="page"/>
      </w:r>
    </w:p>
    <w:p w14:paraId="079811ED">
      <w:pPr>
        <w:pStyle w:val="2"/>
        <w:jc w:val="center"/>
        <w:rPr>
          <w:rFonts w:hint="eastAsia"/>
          <w:color w:val="auto"/>
          <w:highlight w:val="none"/>
        </w:rPr>
      </w:pPr>
      <w:bookmarkStart w:id="49" w:name="_Toc15286"/>
      <w:r>
        <w:rPr>
          <w:rFonts w:hint="eastAsia"/>
          <w:color w:val="auto"/>
          <w:highlight w:val="none"/>
        </w:rPr>
        <w:t>第四章  评审程序、评审方法和评审标准</w:t>
      </w:r>
      <w:bookmarkEnd w:id="49"/>
    </w:p>
    <w:p w14:paraId="27B8F4B3">
      <w:pPr>
        <w:pStyle w:val="3"/>
        <w:jc w:val="center"/>
        <w:rPr>
          <w:rFonts w:hint="eastAsia" w:ascii="宋体" w:hAnsi="宋体"/>
          <w:b w:val="0"/>
          <w:color w:val="auto"/>
          <w:highlight w:val="none"/>
        </w:rPr>
      </w:pPr>
      <w:bookmarkStart w:id="50" w:name="_Toc12057"/>
      <w:r>
        <w:rPr>
          <w:rFonts w:hint="eastAsia" w:ascii="宋体" w:hAnsi="宋体"/>
          <w:b w:val="0"/>
          <w:color w:val="auto"/>
          <w:highlight w:val="none"/>
        </w:rPr>
        <w:t>第一节 评审程序和评审方法</w:t>
      </w:r>
      <w:bookmarkEnd w:id="50"/>
    </w:p>
    <w:p w14:paraId="4BF259E2">
      <w:pPr>
        <w:keepNext w:val="0"/>
        <w:keepLines w:val="0"/>
        <w:pageBreakBefore w:val="0"/>
        <w:kinsoku/>
        <w:wordWrap/>
        <w:overflowPunct/>
        <w:topLinePunct w:val="0"/>
        <w:autoSpaceDE/>
        <w:autoSpaceDN/>
        <w:bidi w:val="0"/>
        <w:spacing w:line="360" w:lineRule="auto"/>
        <w:ind w:left="0" w:leftChars="0" w:firstLine="422" w:firstLineChars="175"/>
        <w:textAlignment w:val="auto"/>
        <w:rPr>
          <w:rFonts w:ascii="黑体" w:hAnsi="黑体" w:eastAsia="黑体" w:cs="宋体"/>
          <w:b/>
          <w:bCs/>
          <w:color w:val="auto"/>
          <w:sz w:val="24"/>
          <w:highlight w:val="none"/>
        </w:rPr>
      </w:pPr>
      <w:r>
        <w:rPr>
          <w:rFonts w:ascii="黑体" w:hAnsi="黑体" w:eastAsia="黑体" w:cs="宋体"/>
          <w:b/>
          <w:bCs/>
          <w:color w:val="auto"/>
          <w:sz w:val="24"/>
          <w:highlight w:val="none"/>
        </w:rPr>
        <w:t>1</w:t>
      </w:r>
      <w:r>
        <w:rPr>
          <w:rFonts w:hint="eastAsia" w:ascii="黑体" w:hAnsi="黑体" w:eastAsia="黑体" w:cs="宋体"/>
          <w:b/>
          <w:bCs/>
          <w:color w:val="auto"/>
          <w:sz w:val="24"/>
          <w:highlight w:val="none"/>
        </w:rPr>
        <w:t>.确认磋商文件</w:t>
      </w:r>
    </w:p>
    <w:p w14:paraId="4EF3E6F3">
      <w:pPr>
        <w:keepNext w:val="0"/>
        <w:keepLines w:val="0"/>
        <w:pageBreakBefore w:val="0"/>
        <w:kinsoku/>
        <w:wordWrap/>
        <w:overflowPunct/>
        <w:topLinePunct w:val="0"/>
        <w:autoSpaceDE/>
        <w:autoSpaceDN/>
        <w:bidi w:val="0"/>
        <w:spacing w:line="360" w:lineRule="auto"/>
        <w:ind w:left="0" w:leftChars="0" w:firstLine="367" w:firstLineChars="175"/>
        <w:textAlignment w:val="auto"/>
        <w:rPr>
          <w:rFonts w:hint="eastAsia" w:ascii="宋体" w:hAnsi="宋体" w:cs="宋体"/>
          <w:color w:val="auto"/>
          <w:szCs w:val="21"/>
          <w:highlight w:val="none"/>
        </w:rPr>
      </w:pPr>
      <w:r>
        <w:rPr>
          <w:rFonts w:hint="eastAsia" w:ascii="宋体" w:hAnsi="宋体" w:cs="宋体"/>
          <w:color w:val="auto"/>
          <w:szCs w:val="21"/>
          <w:highlight w:val="none"/>
        </w:rPr>
        <w:t>由磋商小组确认磋商文件。</w:t>
      </w:r>
    </w:p>
    <w:p w14:paraId="03DF2D7F">
      <w:pPr>
        <w:keepNext w:val="0"/>
        <w:keepLines w:val="0"/>
        <w:pageBreakBefore w:val="0"/>
        <w:kinsoku/>
        <w:wordWrap/>
        <w:overflowPunct/>
        <w:topLinePunct w:val="0"/>
        <w:autoSpaceDE/>
        <w:autoSpaceDN/>
        <w:bidi w:val="0"/>
        <w:spacing w:line="360" w:lineRule="auto"/>
        <w:ind w:left="0" w:leftChars="0" w:firstLine="422" w:firstLineChars="175"/>
        <w:textAlignment w:val="auto"/>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2.资格审查</w:t>
      </w:r>
    </w:p>
    <w:p w14:paraId="77C019EB">
      <w:pPr>
        <w:keepNext w:val="0"/>
        <w:keepLines w:val="0"/>
        <w:pageBreakBefore w:val="0"/>
        <w:kinsoku/>
        <w:wordWrap/>
        <w:overflowPunct/>
        <w:topLinePunct w:val="0"/>
        <w:autoSpaceDE/>
        <w:autoSpaceDN/>
        <w:bidi w:val="0"/>
        <w:snapToGrid w:val="0"/>
        <w:spacing w:line="360" w:lineRule="auto"/>
        <w:ind w:left="0" w:leftChars="0" w:firstLine="367" w:firstLineChars="175"/>
        <w:textAlignment w:val="auto"/>
        <w:rPr>
          <w:rFonts w:ascii="宋体" w:hAnsi="宋体"/>
          <w:color w:val="auto"/>
          <w:szCs w:val="21"/>
          <w:highlight w:val="none"/>
        </w:rPr>
      </w:pPr>
      <w:r>
        <w:rPr>
          <w:rFonts w:hint="eastAsia" w:ascii="宋体" w:hAnsi="宋体" w:cs="宋体"/>
          <w:color w:val="auto"/>
          <w:szCs w:val="21"/>
          <w:highlight w:val="none"/>
        </w:rPr>
        <w:t>2.1</w:t>
      </w:r>
      <w:r>
        <w:rPr>
          <w:rFonts w:hint="eastAsia" w:ascii="宋体" w:hAnsi="宋体"/>
          <w:color w:val="auto"/>
          <w:szCs w:val="21"/>
          <w:highlight w:val="none"/>
        </w:rPr>
        <w:t>响应文件开启后，磋商小组依法对供应商的资格证明文件进行审查。</w:t>
      </w:r>
    </w:p>
    <w:p w14:paraId="16152D5A">
      <w:pPr>
        <w:keepNext w:val="0"/>
        <w:keepLines w:val="0"/>
        <w:pageBreakBefore w:val="0"/>
        <w:kinsoku/>
        <w:wordWrap/>
        <w:overflowPunct/>
        <w:topLinePunct w:val="0"/>
        <w:autoSpaceDE/>
        <w:autoSpaceDN/>
        <w:bidi w:val="0"/>
        <w:snapToGrid w:val="0"/>
        <w:spacing w:line="360" w:lineRule="auto"/>
        <w:ind w:left="0" w:leftChars="0" w:firstLine="367" w:firstLineChars="175"/>
        <w:textAlignment w:val="auto"/>
        <w:rPr>
          <w:rFonts w:hint="eastAsia" w:ascii="宋体" w:hAnsi="宋体" w:cs="宋体"/>
          <w:color w:val="auto"/>
          <w:szCs w:val="21"/>
          <w:highlight w:val="none"/>
        </w:rPr>
      </w:pPr>
      <w:r>
        <w:rPr>
          <w:rFonts w:hint="eastAsia" w:ascii="宋体" w:hAnsi="宋体" w:cs="宋体"/>
          <w:color w:val="auto"/>
          <w:szCs w:val="21"/>
          <w:highlight w:val="none"/>
        </w:rPr>
        <w:t>注：采购人代表或者采购代理机构在资格审查结束前，对供应商进行信用查询。</w:t>
      </w:r>
    </w:p>
    <w:p w14:paraId="637336FE">
      <w:pPr>
        <w:keepNext w:val="0"/>
        <w:keepLines w:val="0"/>
        <w:pageBreakBefore w:val="0"/>
        <w:kinsoku/>
        <w:wordWrap/>
        <w:overflowPunct/>
        <w:topLinePunct w:val="0"/>
        <w:autoSpaceDE/>
        <w:autoSpaceDN/>
        <w:bidi w:val="0"/>
        <w:snapToGrid w:val="0"/>
        <w:spacing w:line="360" w:lineRule="auto"/>
        <w:ind w:left="0" w:leftChars="0" w:firstLine="367" w:firstLineChars="175"/>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（1）查询渠道：</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“信用中国”网站(</w:t>
      </w:r>
      <w:r>
        <w:rPr>
          <w:rFonts w:ascii="宋体" w:hAnsi="宋体" w:cs="宋体"/>
          <w:color w:val="auto"/>
          <w:szCs w:val="21"/>
          <w:highlight w:val="none"/>
        </w:rPr>
        <w:fldChar w:fldCharType="begin"/>
      </w:r>
      <w:r>
        <w:rPr>
          <w:rFonts w:ascii="宋体" w:hAnsi="宋体" w:cs="宋体"/>
          <w:color w:val="auto"/>
          <w:szCs w:val="21"/>
          <w:highlight w:val="none"/>
        </w:rPr>
        <w:instrText xml:space="preserve"> HYPERLINK "http://</w:instrText>
      </w:r>
      <w:r>
        <w:rPr>
          <w:rFonts w:hint="eastAsia" w:ascii="宋体" w:hAnsi="宋体" w:cs="宋体"/>
          <w:color w:val="auto"/>
          <w:szCs w:val="21"/>
          <w:highlight w:val="none"/>
        </w:rPr>
        <w:instrText xml:space="preserve">www.creditchina.gov.cn</w:instrText>
      </w:r>
      <w:r>
        <w:rPr>
          <w:rFonts w:ascii="宋体" w:hAnsi="宋体" w:cs="宋体"/>
          <w:color w:val="auto"/>
          <w:szCs w:val="21"/>
          <w:highlight w:val="none"/>
        </w:rPr>
        <w:instrText xml:space="preserve">" </w:instrText>
      </w:r>
      <w:r>
        <w:rPr>
          <w:rFonts w:ascii="宋体" w:hAnsi="宋体" w:cs="宋体"/>
          <w:color w:val="auto"/>
          <w:szCs w:val="21"/>
          <w:highlight w:val="none"/>
        </w:rPr>
        <w:fldChar w:fldCharType="separate"/>
      </w:r>
      <w:r>
        <w:rPr>
          <w:rStyle w:val="33"/>
          <w:rFonts w:hint="eastAsia" w:hAnsi="宋体" w:cs="宋体"/>
          <w:color w:val="auto"/>
          <w:highlight w:val="none"/>
        </w:rPr>
        <w:t>www.creditchina.gov.cn</w:t>
      </w:r>
      <w:r>
        <w:rPr>
          <w:rFonts w:ascii="宋体" w:hAnsi="宋体" w:cs="宋体"/>
          <w:color w:val="auto"/>
          <w:szCs w:val="21"/>
          <w:highlight w:val="none"/>
        </w:rPr>
        <w:fldChar w:fldCharType="end"/>
      </w:r>
      <w:r>
        <w:rPr>
          <w:rFonts w:hint="eastAsia" w:ascii="宋体" w:hAnsi="宋体" w:cs="宋体"/>
          <w:color w:val="auto"/>
          <w:szCs w:val="21"/>
          <w:highlight w:val="none"/>
        </w:rPr>
        <w:t>)、中国政府采购网(</w:t>
      </w:r>
      <w:r>
        <w:rPr>
          <w:rFonts w:ascii="宋体" w:hAnsi="宋体" w:cs="宋体"/>
          <w:color w:val="auto"/>
          <w:szCs w:val="21"/>
          <w:highlight w:val="none"/>
        </w:rPr>
        <w:fldChar w:fldCharType="begin"/>
      </w:r>
      <w:r>
        <w:rPr>
          <w:rFonts w:ascii="宋体" w:hAnsi="宋体" w:cs="宋体"/>
          <w:color w:val="auto"/>
          <w:szCs w:val="21"/>
          <w:highlight w:val="none"/>
        </w:rPr>
        <w:instrText xml:space="preserve"> HYPERLINK "http://</w:instrText>
      </w:r>
      <w:r>
        <w:rPr>
          <w:rFonts w:hint="eastAsia" w:ascii="宋体" w:hAnsi="宋体" w:cs="宋体"/>
          <w:color w:val="auto"/>
          <w:szCs w:val="21"/>
          <w:highlight w:val="none"/>
        </w:rPr>
        <w:instrText xml:space="preserve">www.ccgp.gov.cn</w:instrText>
      </w:r>
      <w:r>
        <w:rPr>
          <w:rFonts w:ascii="宋体" w:hAnsi="宋体" w:cs="宋体"/>
          <w:color w:val="auto"/>
          <w:szCs w:val="21"/>
          <w:highlight w:val="none"/>
        </w:rPr>
        <w:instrText xml:space="preserve">" </w:instrText>
      </w:r>
      <w:r>
        <w:rPr>
          <w:rFonts w:ascii="宋体" w:hAnsi="宋体" w:cs="宋体"/>
          <w:color w:val="auto"/>
          <w:szCs w:val="21"/>
          <w:highlight w:val="none"/>
        </w:rPr>
        <w:fldChar w:fldCharType="separate"/>
      </w:r>
      <w:r>
        <w:rPr>
          <w:rStyle w:val="33"/>
          <w:rFonts w:hint="eastAsia" w:hAnsi="宋体" w:cs="宋体"/>
          <w:color w:val="auto"/>
          <w:highlight w:val="none"/>
        </w:rPr>
        <w:t>www.ccgp.gov.cn</w:t>
      </w:r>
      <w:r>
        <w:rPr>
          <w:rFonts w:ascii="宋体" w:hAnsi="宋体" w:cs="宋体"/>
          <w:color w:val="auto"/>
          <w:szCs w:val="21"/>
          <w:highlight w:val="none"/>
        </w:rPr>
        <w:fldChar w:fldCharType="end"/>
      </w:r>
      <w:r>
        <w:rPr>
          <w:rFonts w:hint="eastAsia" w:ascii="宋体" w:hAnsi="宋体" w:cs="宋体"/>
          <w:color w:val="auto"/>
          <w:szCs w:val="21"/>
          <w:highlight w:val="none"/>
        </w:rPr>
        <w:t>)链接入口。</w:t>
      </w:r>
    </w:p>
    <w:p w14:paraId="5251F3B9">
      <w:pPr>
        <w:keepNext w:val="0"/>
        <w:keepLines w:val="0"/>
        <w:pageBreakBefore w:val="0"/>
        <w:kinsoku/>
        <w:wordWrap/>
        <w:overflowPunct/>
        <w:topLinePunct w:val="0"/>
        <w:autoSpaceDE/>
        <w:autoSpaceDN/>
        <w:bidi w:val="0"/>
        <w:snapToGrid w:val="0"/>
        <w:spacing w:line="360" w:lineRule="auto"/>
        <w:ind w:left="0" w:leftChars="0" w:firstLine="367" w:firstLineChars="175"/>
        <w:textAlignment w:val="auto"/>
        <w:rPr>
          <w:rFonts w:hint="eastAsia" w:ascii="宋体" w:hAnsi="宋体" w:cs="宋体"/>
          <w:color w:val="auto"/>
          <w:szCs w:val="21"/>
          <w:highlight w:val="none"/>
        </w:rPr>
      </w:pPr>
      <w:r>
        <w:rPr>
          <w:rFonts w:hint="eastAsia" w:ascii="宋体" w:hAnsi="宋体" w:cs="宋体"/>
          <w:color w:val="auto"/>
          <w:szCs w:val="21"/>
          <w:highlight w:val="none"/>
        </w:rPr>
        <w:t>（2）信用查询截止时点：资格审查结束前。</w:t>
      </w:r>
    </w:p>
    <w:p w14:paraId="5A7CDEE0">
      <w:pPr>
        <w:keepNext w:val="0"/>
        <w:keepLines w:val="0"/>
        <w:pageBreakBefore w:val="0"/>
        <w:kinsoku/>
        <w:wordWrap/>
        <w:overflowPunct/>
        <w:topLinePunct w:val="0"/>
        <w:autoSpaceDE/>
        <w:autoSpaceDN/>
        <w:bidi w:val="0"/>
        <w:snapToGrid w:val="0"/>
        <w:spacing w:line="360" w:lineRule="auto"/>
        <w:ind w:left="0" w:leftChars="0" w:firstLine="367" w:firstLineChars="175"/>
        <w:textAlignment w:val="auto"/>
        <w:rPr>
          <w:rFonts w:hint="eastAsia" w:ascii="宋体" w:hAnsi="宋体" w:cs="宋体"/>
          <w:color w:val="auto"/>
          <w:szCs w:val="21"/>
          <w:highlight w:val="none"/>
        </w:rPr>
      </w:pPr>
      <w:r>
        <w:rPr>
          <w:rFonts w:hint="eastAsia" w:ascii="宋体" w:hAnsi="宋体" w:cs="宋体"/>
          <w:color w:val="auto"/>
          <w:szCs w:val="21"/>
          <w:highlight w:val="none"/>
        </w:rPr>
        <w:t>查询记录和证据留存方式：在查询网站中直接打印查询记录，截图另存为电子文档作为评审资料保存。</w:t>
      </w:r>
    </w:p>
    <w:p w14:paraId="61A8976E">
      <w:pPr>
        <w:keepNext w:val="0"/>
        <w:keepLines w:val="0"/>
        <w:pageBreakBefore w:val="0"/>
        <w:kinsoku/>
        <w:wordWrap/>
        <w:overflowPunct/>
        <w:topLinePunct w:val="0"/>
        <w:autoSpaceDE/>
        <w:autoSpaceDN/>
        <w:bidi w:val="0"/>
        <w:spacing w:line="360" w:lineRule="auto"/>
        <w:ind w:left="0" w:leftChars="0" w:firstLine="367" w:firstLineChars="175"/>
        <w:textAlignment w:val="auto"/>
        <w:rPr>
          <w:rFonts w:hint="eastAsia" w:ascii="宋体" w:hAnsi="宋体" w:cs="宋体"/>
          <w:color w:val="auto"/>
          <w:szCs w:val="21"/>
          <w:highlight w:val="none"/>
        </w:rPr>
      </w:pPr>
      <w:r>
        <w:rPr>
          <w:rFonts w:hint="eastAsia" w:ascii="宋体" w:hAnsi="宋体" w:cs="宋体"/>
          <w:color w:val="auto"/>
          <w:szCs w:val="21"/>
          <w:highlight w:val="none"/>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A1B1CBC">
      <w:pPr>
        <w:keepNext w:val="0"/>
        <w:keepLines w:val="0"/>
        <w:pageBreakBefore w:val="0"/>
        <w:kinsoku/>
        <w:wordWrap/>
        <w:overflowPunct/>
        <w:topLinePunct w:val="0"/>
        <w:autoSpaceDE/>
        <w:autoSpaceDN/>
        <w:bidi w:val="0"/>
        <w:spacing w:line="360" w:lineRule="auto"/>
        <w:ind w:left="0" w:leftChars="0" w:firstLine="367" w:firstLineChars="175"/>
        <w:textAlignment w:val="auto"/>
        <w:rPr>
          <w:rFonts w:hint="eastAsia" w:ascii="宋体" w:hAnsi="宋体" w:cs="宋体"/>
          <w:color w:val="auto"/>
          <w:szCs w:val="21"/>
          <w:highlight w:val="none"/>
        </w:rPr>
      </w:pPr>
      <w:r>
        <w:rPr>
          <w:rFonts w:hint="eastAsia" w:ascii="宋体" w:hAnsi="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14:paraId="5D98142D">
      <w:pPr>
        <w:keepNext w:val="0"/>
        <w:keepLines w:val="0"/>
        <w:pageBreakBefore w:val="0"/>
        <w:kinsoku/>
        <w:wordWrap/>
        <w:overflowPunct/>
        <w:topLinePunct w:val="0"/>
        <w:autoSpaceDE/>
        <w:autoSpaceDN/>
        <w:bidi w:val="0"/>
        <w:spacing w:line="360" w:lineRule="auto"/>
        <w:ind w:left="0" w:leftChars="0" w:firstLine="369" w:firstLineChars="175"/>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2.3供应商有下列情形之一的，资格审查不通过，其响应文件按无效响应处理：</w:t>
      </w:r>
    </w:p>
    <w:p w14:paraId="0918C9F2">
      <w:pPr>
        <w:keepNext w:val="0"/>
        <w:keepLines w:val="0"/>
        <w:pageBreakBefore w:val="0"/>
        <w:kinsoku/>
        <w:wordWrap/>
        <w:overflowPunct/>
        <w:topLinePunct w:val="0"/>
        <w:autoSpaceDE/>
        <w:autoSpaceDN/>
        <w:bidi w:val="0"/>
        <w:snapToGrid w:val="0"/>
        <w:spacing w:line="360" w:lineRule="auto"/>
        <w:ind w:left="0" w:leftChars="0" w:firstLine="367" w:firstLineChars="175"/>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）不具备磋商文件中规定的资格要求的；</w:t>
      </w:r>
    </w:p>
    <w:p w14:paraId="0C356417">
      <w:pPr>
        <w:keepNext w:val="0"/>
        <w:keepLines w:val="0"/>
        <w:pageBreakBefore w:val="0"/>
        <w:kinsoku/>
        <w:wordWrap/>
        <w:overflowPunct/>
        <w:topLinePunct w:val="0"/>
        <w:autoSpaceDE/>
        <w:autoSpaceDN/>
        <w:bidi w:val="0"/>
        <w:spacing w:line="360" w:lineRule="auto"/>
        <w:ind w:left="0" w:leftChars="0" w:firstLine="367" w:firstLineChars="175"/>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）响应文件未提供任一项“供应商须知前附表”资格证明文件规定的“必须提供”的文件资料的；</w:t>
      </w:r>
    </w:p>
    <w:p w14:paraId="667FC87F">
      <w:pPr>
        <w:keepNext w:val="0"/>
        <w:keepLines w:val="0"/>
        <w:pageBreakBefore w:val="0"/>
        <w:kinsoku/>
        <w:wordWrap/>
        <w:overflowPunct/>
        <w:topLinePunct w:val="0"/>
        <w:autoSpaceDE/>
        <w:autoSpaceDN/>
        <w:bidi w:val="0"/>
        <w:spacing w:line="360" w:lineRule="auto"/>
        <w:ind w:left="0" w:leftChars="0" w:firstLine="367" w:firstLineChars="175"/>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）响应文件提供的资格证明文件出现任一项不符合“供应商须知前附表”资格证明文件规定的“必须提供”的文件资料要求或者无效的。</w:t>
      </w:r>
    </w:p>
    <w:p w14:paraId="4BDEF1CB">
      <w:pPr>
        <w:keepNext w:val="0"/>
        <w:keepLines w:val="0"/>
        <w:pageBreakBefore w:val="0"/>
        <w:kinsoku/>
        <w:wordWrap/>
        <w:overflowPunct/>
        <w:topLinePunct w:val="0"/>
        <w:autoSpaceDE/>
        <w:autoSpaceDN/>
        <w:bidi w:val="0"/>
        <w:spacing w:line="360" w:lineRule="auto"/>
        <w:ind w:left="0" w:leftChars="0" w:firstLine="367" w:firstLineChars="175"/>
        <w:textAlignment w:val="auto"/>
        <w:rPr>
          <w:rFonts w:hint="eastAsia" w:ascii="宋体" w:hAnsi="宋体" w:cs="宋体"/>
          <w:color w:val="auto"/>
          <w:szCs w:val="21"/>
          <w:highlight w:val="none"/>
        </w:rPr>
      </w:pPr>
      <w:bookmarkStart w:id="51" w:name="_Hlk68601553"/>
      <w:r>
        <w:rPr>
          <w:rFonts w:hint="eastAsia" w:ascii="宋体" w:hAnsi="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51"/>
    </w:p>
    <w:p w14:paraId="350ACD87">
      <w:pPr>
        <w:keepNext w:val="0"/>
        <w:keepLines w:val="0"/>
        <w:pageBreakBefore w:val="0"/>
        <w:kinsoku/>
        <w:wordWrap/>
        <w:overflowPunct/>
        <w:topLinePunct w:val="0"/>
        <w:autoSpaceDE/>
        <w:autoSpaceDN/>
        <w:bidi w:val="0"/>
        <w:spacing w:line="360" w:lineRule="auto"/>
        <w:ind w:left="0" w:leftChars="0" w:firstLine="367" w:firstLineChars="175"/>
        <w:textAlignment w:val="auto"/>
        <w:rPr>
          <w:rFonts w:hint="eastAsia" w:ascii="宋体" w:hAnsi="宋体" w:cs="宋体"/>
          <w:color w:val="auto"/>
          <w:szCs w:val="21"/>
          <w:highlight w:val="none"/>
        </w:rPr>
      </w:pPr>
      <w:r>
        <w:rPr>
          <w:rFonts w:hint="eastAsia" w:ascii="宋体" w:hAnsi="宋体" w:cs="宋体"/>
          <w:color w:val="auto"/>
          <w:szCs w:val="21"/>
          <w:highlight w:val="none"/>
        </w:rPr>
        <w:t>2.4通过资格审查的合格供应商不足3家的，不得进入符合性审查环节，</w:t>
      </w:r>
      <w:r>
        <w:rPr>
          <w:rFonts w:hint="eastAsia" w:ascii="宋体" w:hAnsi="宋体"/>
          <w:color w:val="auto"/>
          <w:szCs w:val="21"/>
          <w:highlight w:val="none"/>
        </w:rPr>
        <w:t>采购人或者采购代理机构应当重新开展采购活动。</w:t>
      </w:r>
    </w:p>
    <w:p w14:paraId="00A37E28">
      <w:pPr>
        <w:keepNext w:val="0"/>
        <w:keepLines w:val="0"/>
        <w:pageBreakBefore w:val="0"/>
        <w:kinsoku/>
        <w:wordWrap/>
        <w:overflowPunct/>
        <w:topLinePunct w:val="0"/>
        <w:autoSpaceDE/>
        <w:autoSpaceDN/>
        <w:bidi w:val="0"/>
        <w:spacing w:line="360" w:lineRule="auto"/>
        <w:ind w:left="0" w:leftChars="0" w:firstLine="422" w:firstLineChars="175"/>
        <w:textAlignment w:val="auto"/>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3.符合性审查</w:t>
      </w:r>
    </w:p>
    <w:p w14:paraId="0E86C4A1">
      <w:pPr>
        <w:keepNext w:val="0"/>
        <w:keepLines w:val="0"/>
        <w:pageBreakBefore w:val="0"/>
        <w:kinsoku/>
        <w:wordWrap/>
        <w:overflowPunct/>
        <w:topLinePunct w:val="0"/>
        <w:autoSpaceDE/>
        <w:autoSpaceDN/>
        <w:bidi w:val="0"/>
        <w:spacing w:line="360" w:lineRule="auto"/>
        <w:ind w:left="0" w:leftChars="0" w:firstLine="367" w:firstLineChars="175"/>
        <w:textAlignment w:val="auto"/>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.1</w:t>
      </w:r>
      <w:r>
        <w:rPr>
          <w:rFonts w:hint="eastAsia" w:ascii="宋体" w:hAnsi="宋体" w:cs="宋体"/>
          <w:color w:val="auto"/>
          <w:szCs w:val="21"/>
          <w:highlight w:val="none"/>
        </w:rPr>
        <w:t>由磋商小组对</w:t>
      </w:r>
      <w:r>
        <w:rPr>
          <w:rFonts w:hint="eastAsia" w:ascii="宋体" w:hAnsi="宋体"/>
          <w:color w:val="auto"/>
          <w:szCs w:val="21"/>
          <w:highlight w:val="none"/>
        </w:rPr>
        <w:t>通过资格审查的合格供应商</w:t>
      </w:r>
      <w:r>
        <w:rPr>
          <w:rFonts w:hint="eastAsia" w:ascii="宋体" w:hAnsi="宋体" w:cs="宋体"/>
          <w:color w:val="auto"/>
          <w:szCs w:val="21"/>
          <w:highlight w:val="none"/>
        </w:rPr>
        <w:t>的响应文件的响应报价、商务、技术等实质性要求进行符合性审查，以确定其是否满足磋商文件的实质性要求。</w:t>
      </w:r>
    </w:p>
    <w:p w14:paraId="0C89B4EF">
      <w:pPr>
        <w:keepNext w:val="0"/>
        <w:keepLines w:val="0"/>
        <w:pageBreakBefore w:val="0"/>
        <w:kinsoku/>
        <w:wordWrap/>
        <w:overflowPunct/>
        <w:topLinePunct w:val="0"/>
        <w:autoSpaceDE/>
        <w:autoSpaceDN/>
        <w:bidi w:val="0"/>
        <w:spacing w:line="360" w:lineRule="auto"/>
        <w:ind w:left="0" w:leftChars="0" w:firstLine="367" w:firstLineChars="175"/>
        <w:textAlignment w:val="auto"/>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.2</w:t>
      </w:r>
      <w:r>
        <w:rPr>
          <w:rFonts w:hint="eastAsia" w:ascii="宋体" w:hAnsi="宋体" w:cs="宋体"/>
          <w:color w:val="auto"/>
          <w:szCs w:val="21"/>
          <w:highlight w:val="none"/>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8473949">
      <w:pPr>
        <w:keepNext w:val="0"/>
        <w:keepLines w:val="0"/>
        <w:pageBreakBefore w:val="0"/>
        <w:kinsoku/>
        <w:wordWrap/>
        <w:overflowPunct/>
        <w:topLinePunct w:val="0"/>
        <w:autoSpaceDE/>
        <w:autoSpaceDN/>
        <w:bidi w:val="0"/>
        <w:spacing w:line="360" w:lineRule="auto"/>
        <w:ind w:left="0" w:leftChars="0" w:firstLine="367" w:firstLineChars="175"/>
        <w:textAlignment w:val="auto"/>
        <w:rPr>
          <w:rFonts w:ascii="宋体" w:hAnsi="宋体" w:cs="宋体"/>
          <w:color w:val="auto"/>
          <w:spacing w:val="-6"/>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w:t>
      </w:r>
      <w:r>
        <w:rPr>
          <w:rFonts w:hint="eastAsia" w:ascii="宋体" w:hAnsi="宋体" w:cs="宋体"/>
          <w:color w:val="auto"/>
          <w:szCs w:val="21"/>
          <w:highlight w:val="none"/>
        </w:rPr>
        <w:t>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cs="宋体"/>
          <w:color w:val="auto"/>
          <w:spacing w:val="-6"/>
          <w:szCs w:val="21"/>
          <w:highlight w:val="none"/>
        </w:rPr>
        <w:t>。供应商为自然人的，必须由本人签字并附身份证明。</w:t>
      </w:r>
    </w:p>
    <w:p w14:paraId="1E78206A">
      <w:pPr>
        <w:keepNext w:val="0"/>
        <w:keepLines w:val="0"/>
        <w:pageBreakBefore w:val="0"/>
        <w:kinsoku/>
        <w:wordWrap/>
        <w:overflowPunct/>
        <w:topLinePunct w:val="0"/>
        <w:autoSpaceDE/>
        <w:autoSpaceDN/>
        <w:bidi w:val="0"/>
        <w:spacing w:line="360" w:lineRule="auto"/>
        <w:ind w:left="0" w:leftChars="0" w:firstLine="346" w:firstLineChars="175"/>
        <w:textAlignment w:val="auto"/>
        <w:rPr>
          <w:rFonts w:hint="eastAsia" w:ascii="宋体" w:hAnsi="宋体" w:cs="宋体"/>
          <w:color w:val="auto"/>
          <w:szCs w:val="21"/>
          <w:highlight w:val="none"/>
        </w:rPr>
      </w:pPr>
      <w:r>
        <w:rPr>
          <w:rFonts w:hint="eastAsia" w:ascii="宋体" w:hAnsi="宋体" w:cs="宋体"/>
          <w:color w:val="auto"/>
          <w:spacing w:val="-6"/>
          <w:szCs w:val="21"/>
          <w:highlight w:val="none"/>
        </w:rPr>
        <w:t>3</w:t>
      </w:r>
      <w:r>
        <w:rPr>
          <w:rFonts w:ascii="宋体" w:hAnsi="宋体" w:cs="宋体"/>
          <w:color w:val="auto"/>
          <w:spacing w:val="-6"/>
          <w:szCs w:val="21"/>
          <w:highlight w:val="none"/>
        </w:rPr>
        <w:t>.4</w:t>
      </w:r>
      <w:r>
        <w:rPr>
          <w:rFonts w:hint="eastAsia" w:ascii="宋体" w:hAnsi="宋体" w:cs="宋体"/>
          <w:color w:val="auto"/>
          <w:szCs w:val="21"/>
          <w:highlight w:val="none"/>
        </w:rPr>
        <w:t xml:space="preserve">首次响应文件报价出现前后不一致的，按照下列规定修正： </w:t>
      </w:r>
    </w:p>
    <w:p w14:paraId="6E09F32E">
      <w:pPr>
        <w:keepNext w:val="0"/>
        <w:keepLines w:val="0"/>
        <w:pageBreakBefore w:val="0"/>
        <w:kinsoku/>
        <w:wordWrap/>
        <w:overflowPunct/>
        <w:topLinePunct w:val="0"/>
        <w:autoSpaceDE/>
        <w:autoSpaceDN/>
        <w:bidi w:val="0"/>
        <w:spacing w:line="360" w:lineRule="auto"/>
        <w:ind w:left="0" w:leftChars="0" w:firstLine="367" w:firstLineChars="175"/>
        <w:textAlignment w:val="auto"/>
        <w:rPr>
          <w:rFonts w:hint="eastAsia"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5F1FA2D1">
      <w:pPr>
        <w:keepNext w:val="0"/>
        <w:keepLines w:val="0"/>
        <w:pageBreakBefore w:val="0"/>
        <w:kinsoku/>
        <w:wordWrap/>
        <w:overflowPunct/>
        <w:topLinePunct w:val="0"/>
        <w:autoSpaceDE/>
        <w:autoSpaceDN/>
        <w:bidi w:val="0"/>
        <w:spacing w:line="360" w:lineRule="auto"/>
        <w:ind w:left="0" w:leftChars="0" w:firstLine="367" w:firstLineChars="175"/>
        <w:textAlignment w:val="auto"/>
        <w:rPr>
          <w:rFonts w:hint="eastAsia"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60981058">
      <w:pPr>
        <w:keepNext w:val="0"/>
        <w:keepLines w:val="0"/>
        <w:pageBreakBefore w:val="0"/>
        <w:kinsoku/>
        <w:wordWrap/>
        <w:overflowPunct/>
        <w:topLinePunct w:val="0"/>
        <w:autoSpaceDE/>
        <w:autoSpaceDN/>
        <w:bidi w:val="0"/>
        <w:spacing w:line="360" w:lineRule="auto"/>
        <w:ind w:left="0" w:leftChars="0" w:firstLine="367" w:firstLineChars="175"/>
        <w:textAlignment w:val="auto"/>
        <w:rPr>
          <w:rFonts w:hint="eastAsia"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75857495">
      <w:pPr>
        <w:keepNext w:val="0"/>
        <w:keepLines w:val="0"/>
        <w:pageBreakBefore w:val="0"/>
        <w:kinsoku/>
        <w:wordWrap/>
        <w:overflowPunct/>
        <w:topLinePunct w:val="0"/>
        <w:autoSpaceDE/>
        <w:autoSpaceDN/>
        <w:bidi w:val="0"/>
        <w:spacing w:line="360" w:lineRule="auto"/>
        <w:ind w:left="0" w:leftChars="0" w:firstLine="367" w:firstLineChars="175"/>
        <w:textAlignment w:val="auto"/>
        <w:rPr>
          <w:rFonts w:hint="eastAsia"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64C555E9">
      <w:pPr>
        <w:keepNext w:val="0"/>
        <w:keepLines w:val="0"/>
        <w:pageBreakBefore w:val="0"/>
        <w:kinsoku/>
        <w:wordWrap/>
        <w:overflowPunct/>
        <w:topLinePunct w:val="0"/>
        <w:autoSpaceDE/>
        <w:autoSpaceDN/>
        <w:bidi w:val="0"/>
        <w:spacing w:line="360" w:lineRule="auto"/>
        <w:ind w:left="0" w:leftChars="0" w:firstLine="367" w:firstLineChars="175"/>
        <w:textAlignment w:val="auto"/>
        <w:rPr>
          <w:rFonts w:hint="eastAsia"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072EF3CF">
      <w:pPr>
        <w:keepNext w:val="0"/>
        <w:keepLines w:val="0"/>
        <w:pageBreakBefore w:val="0"/>
        <w:kinsoku/>
        <w:wordWrap/>
        <w:overflowPunct/>
        <w:topLinePunct w:val="0"/>
        <w:autoSpaceDE/>
        <w:autoSpaceDN/>
        <w:bidi w:val="0"/>
        <w:spacing w:line="360" w:lineRule="auto"/>
        <w:ind w:left="0" w:leftChars="0" w:firstLine="367" w:firstLineChars="175"/>
        <w:textAlignment w:val="auto"/>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5</w:t>
      </w:r>
      <w:r>
        <w:rPr>
          <w:rFonts w:hint="eastAsia" w:ascii="宋体" w:hAnsi="宋体" w:cs="宋体"/>
          <w:color w:val="auto"/>
          <w:szCs w:val="21"/>
          <w:highlight w:val="none"/>
        </w:rPr>
        <w:t>商务技术、报价评审</w:t>
      </w:r>
    </w:p>
    <w:p w14:paraId="2D2DDEBA">
      <w:pPr>
        <w:keepNext w:val="0"/>
        <w:keepLines w:val="0"/>
        <w:pageBreakBefore w:val="0"/>
        <w:kinsoku/>
        <w:wordWrap/>
        <w:overflowPunct/>
        <w:topLinePunct w:val="0"/>
        <w:autoSpaceDE/>
        <w:autoSpaceDN/>
        <w:bidi w:val="0"/>
        <w:spacing w:line="360" w:lineRule="auto"/>
        <w:ind w:left="0" w:leftChars="0" w:firstLine="369" w:firstLineChars="175"/>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在评审时，如发现下列情形之一的，将被视为响应文件无效处理：</w:t>
      </w:r>
    </w:p>
    <w:p w14:paraId="5994CAF3">
      <w:pPr>
        <w:keepNext w:val="0"/>
        <w:keepLines w:val="0"/>
        <w:pageBreakBefore w:val="0"/>
        <w:kinsoku/>
        <w:wordWrap/>
        <w:overflowPunct/>
        <w:topLinePunct w:val="0"/>
        <w:autoSpaceDE/>
        <w:autoSpaceDN/>
        <w:bidi w:val="0"/>
        <w:spacing w:line="360" w:lineRule="auto"/>
        <w:ind w:left="0" w:leftChars="0" w:firstLine="367" w:firstLineChars="175"/>
        <w:textAlignment w:val="auto"/>
        <w:rPr>
          <w:rFonts w:ascii="宋体" w:hAnsi="宋体" w:cs="宋体"/>
          <w:color w:val="auto"/>
          <w:szCs w:val="21"/>
          <w:highlight w:val="none"/>
        </w:rPr>
      </w:pPr>
      <w:r>
        <w:rPr>
          <w:rFonts w:hint="eastAsia" w:ascii="宋体" w:hAnsi="宋体" w:cs="宋体"/>
          <w:color w:val="auto"/>
          <w:szCs w:val="21"/>
          <w:highlight w:val="none"/>
        </w:rPr>
        <w:t>（1）商务技术评审</w:t>
      </w:r>
    </w:p>
    <w:p w14:paraId="33E882E0">
      <w:pPr>
        <w:keepNext w:val="0"/>
        <w:keepLines w:val="0"/>
        <w:pageBreakBefore w:val="0"/>
        <w:kinsoku/>
        <w:wordWrap/>
        <w:overflowPunct/>
        <w:topLinePunct w:val="0"/>
        <w:autoSpaceDE/>
        <w:autoSpaceDN/>
        <w:bidi w:val="0"/>
        <w:spacing w:line="360" w:lineRule="auto"/>
        <w:ind w:left="0" w:leftChars="0" w:firstLine="367" w:firstLineChars="175"/>
        <w:textAlignment w:val="auto"/>
        <w:rPr>
          <w:rFonts w:hint="eastAsia" w:ascii="宋体" w:hAnsi="宋体" w:cs="宋体"/>
          <w:color w:val="auto"/>
          <w:szCs w:val="21"/>
          <w:highlight w:val="none"/>
        </w:rPr>
      </w:pPr>
      <w:r>
        <w:rPr>
          <w:rFonts w:hint="eastAsia" w:ascii="宋体" w:hAnsi="宋体" w:cs="宋体"/>
          <w:color w:val="auto"/>
          <w:szCs w:val="21"/>
          <w:highlight w:val="none"/>
        </w:rPr>
        <w:t>1）响应文件未按磋商文件要求签署、盖章；</w:t>
      </w:r>
    </w:p>
    <w:p w14:paraId="414AE593">
      <w:pPr>
        <w:keepNext w:val="0"/>
        <w:keepLines w:val="0"/>
        <w:pageBreakBefore w:val="0"/>
        <w:kinsoku/>
        <w:wordWrap/>
        <w:overflowPunct/>
        <w:topLinePunct w:val="0"/>
        <w:autoSpaceDE/>
        <w:autoSpaceDN/>
        <w:bidi w:val="0"/>
        <w:spacing w:line="360" w:lineRule="auto"/>
        <w:ind w:left="0" w:leftChars="0" w:firstLine="367" w:firstLineChars="175"/>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2）委托代理人未能出具有效身份证明或者出具的身份证明与授权委托书中的信息不符； </w:t>
      </w:r>
    </w:p>
    <w:p w14:paraId="400D3981">
      <w:pPr>
        <w:keepNext w:val="0"/>
        <w:keepLines w:val="0"/>
        <w:pageBreakBefore w:val="0"/>
        <w:kinsoku/>
        <w:wordWrap/>
        <w:overflowPunct/>
        <w:topLinePunct w:val="0"/>
        <w:autoSpaceDE/>
        <w:autoSpaceDN/>
        <w:bidi w:val="0"/>
        <w:spacing w:line="360" w:lineRule="auto"/>
        <w:ind w:left="0" w:leftChars="0" w:firstLine="367" w:firstLineChars="175"/>
        <w:textAlignment w:val="auto"/>
        <w:rPr>
          <w:rFonts w:hint="eastAsia" w:ascii="宋体" w:hAnsi="宋体" w:cs="宋体"/>
          <w:color w:val="auto"/>
          <w:szCs w:val="21"/>
          <w:highlight w:val="none"/>
        </w:rPr>
      </w:pPr>
      <w:r>
        <w:rPr>
          <w:rFonts w:hint="eastAsia" w:ascii="宋体" w:hAnsi="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0C0640F6">
      <w:pPr>
        <w:keepNext w:val="0"/>
        <w:keepLines w:val="0"/>
        <w:pageBreakBefore w:val="0"/>
        <w:kinsoku/>
        <w:wordWrap/>
        <w:overflowPunct/>
        <w:topLinePunct w:val="0"/>
        <w:autoSpaceDE/>
        <w:autoSpaceDN/>
        <w:bidi w:val="0"/>
        <w:spacing w:line="360" w:lineRule="auto"/>
        <w:ind w:left="0" w:leftChars="0" w:firstLine="367" w:firstLineChars="175"/>
        <w:textAlignment w:val="auto"/>
        <w:rPr>
          <w:rFonts w:hint="eastAsia" w:ascii="宋体" w:hAnsi="宋体" w:cs="宋体"/>
          <w:color w:val="auto"/>
          <w:szCs w:val="21"/>
          <w:highlight w:val="none"/>
        </w:rPr>
      </w:pPr>
      <w:r>
        <w:rPr>
          <w:rFonts w:hint="eastAsia" w:ascii="宋体" w:hAnsi="宋体" w:cs="宋体"/>
          <w:color w:val="auto"/>
          <w:szCs w:val="21"/>
          <w:highlight w:val="none"/>
        </w:rPr>
        <w:t>4）商务条款中标“▲”的条款发生负偏离的或者允许负偏离的条款数超过“供应商须知前附表”规定项数的或者标明实质性的要求发生负偏离；</w:t>
      </w:r>
    </w:p>
    <w:p w14:paraId="108070E8">
      <w:pPr>
        <w:keepNext w:val="0"/>
        <w:keepLines w:val="0"/>
        <w:pageBreakBefore w:val="0"/>
        <w:kinsoku/>
        <w:wordWrap/>
        <w:overflowPunct/>
        <w:topLinePunct w:val="0"/>
        <w:autoSpaceDE/>
        <w:autoSpaceDN/>
        <w:bidi w:val="0"/>
        <w:spacing w:line="360" w:lineRule="auto"/>
        <w:ind w:left="0" w:leftChars="0" w:firstLine="367" w:firstLineChars="175"/>
        <w:textAlignment w:val="auto"/>
        <w:rPr>
          <w:rFonts w:hint="eastAsia" w:ascii="宋体" w:hAnsi="宋体" w:cs="宋体"/>
          <w:color w:val="auto"/>
          <w:szCs w:val="21"/>
          <w:highlight w:val="none"/>
        </w:rPr>
      </w:pPr>
      <w:r>
        <w:rPr>
          <w:rFonts w:hint="eastAsia" w:ascii="宋体" w:hAnsi="宋体" w:cs="宋体"/>
          <w:color w:val="auto"/>
          <w:szCs w:val="21"/>
          <w:highlight w:val="none"/>
        </w:rPr>
        <w:t>5）未对竞标有效期作出响应或者响应文件承诺的竞标有效期不满足磋商文件要求；</w:t>
      </w:r>
    </w:p>
    <w:p w14:paraId="11DFEBE6">
      <w:pPr>
        <w:keepNext w:val="0"/>
        <w:keepLines w:val="0"/>
        <w:pageBreakBefore w:val="0"/>
        <w:kinsoku/>
        <w:wordWrap/>
        <w:overflowPunct/>
        <w:topLinePunct w:val="0"/>
        <w:autoSpaceDE/>
        <w:autoSpaceDN/>
        <w:bidi w:val="0"/>
        <w:spacing w:line="360" w:lineRule="auto"/>
        <w:ind w:left="0" w:leftChars="0" w:firstLine="367" w:firstLineChars="175"/>
        <w:textAlignment w:val="auto"/>
        <w:rPr>
          <w:rFonts w:hint="eastAsia" w:ascii="宋体" w:hAnsi="宋体" w:cs="宋体"/>
          <w:color w:val="auto"/>
          <w:szCs w:val="21"/>
          <w:highlight w:val="none"/>
        </w:rPr>
      </w:pPr>
      <w:r>
        <w:rPr>
          <w:rFonts w:hint="eastAsia" w:ascii="宋体" w:hAnsi="宋体" w:cs="宋体"/>
          <w:color w:val="auto"/>
          <w:szCs w:val="21"/>
          <w:highlight w:val="none"/>
        </w:rPr>
        <w:t>6）响应文件的实质性内容未使用中文表述、使用计量单位不符合磋商文件要求；</w:t>
      </w:r>
    </w:p>
    <w:p w14:paraId="26C482A0">
      <w:pPr>
        <w:keepNext w:val="0"/>
        <w:keepLines w:val="0"/>
        <w:pageBreakBefore w:val="0"/>
        <w:kinsoku/>
        <w:wordWrap/>
        <w:overflowPunct/>
        <w:topLinePunct w:val="0"/>
        <w:autoSpaceDE/>
        <w:autoSpaceDN/>
        <w:bidi w:val="0"/>
        <w:spacing w:line="360" w:lineRule="auto"/>
        <w:ind w:left="0" w:leftChars="0" w:firstLine="367" w:firstLineChars="175"/>
        <w:textAlignment w:val="auto"/>
        <w:rPr>
          <w:rFonts w:hint="eastAsia" w:ascii="宋体" w:hAnsi="宋体" w:cs="宋体"/>
          <w:color w:val="auto"/>
          <w:szCs w:val="21"/>
          <w:highlight w:val="none"/>
        </w:rPr>
      </w:pPr>
      <w:r>
        <w:rPr>
          <w:rFonts w:hint="eastAsia" w:ascii="宋体" w:hAnsi="宋体" w:cs="宋体"/>
          <w:color w:val="auto"/>
          <w:szCs w:val="21"/>
          <w:highlight w:val="none"/>
        </w:rPr>
        <w:t>7）响应文件中的文件资料因填写不齐全或者内容虚假或者出现其他情形而导致被磋商小组认定无效；</w:t>
      </w:r>
    </w:p>
    <w:p w14:paraId="681AA218">
      <w:pPr>
        <w:keepNext w:val="0"/>
        <w:keepLines w:val="0"/>
        <w:pageBreakBefore w:val="0"/>
        <w:kinsoku/>
        <w:wordWrap/>
        <w:overflowPunct/>
        <w:topLinePunct w:val="0"/>
        <w:autoSpaceDE/>
        <w:autoSpaceDN/>
        <w:bidi w:val="0"/>
        <w:spacing w:line="360" w:lineRule="auto"/>
        <w:ind w:left="0" w:leftChars="0" w:firstLine="367" w:firstLineChars="175"/>
        <w:textAlignment w:val="auto"/>
        <w:rPr>
          <w:rFonts w:hint="eastAsia" w:ascii="宋体" w:hAnsi="宋体" w:cs="宋体"/>
          <w:color w:val="auto"/>
          <w:szCs w:val="21"/>
          <w:highlight w:val="none"/>
        </w:rPr>
      </w:pPr>
      <w:r>
        <w:rPr>
          <w:rFonts w:hint="eastAsia" w:ascii="宋体" w:hAnsi="宋体" w:cs="宋体"/>
          <w:color w:val="auto"/>
          <w:szCs w:val="21"/>
          <w:highlight w:val="none"/>
        </w:rPr>
        <w:t>8）响应文件含有采购人不能接受的附加条件；</w:t>
      </w:r>
    </w:p>
    <w:p w14:paraId="7C637E00">
      <w:pPr>
        <w:keepNext w:val="0"/>
        <w:keepLines w:val="0"/>
        <w:pageBreakBefore w:val="0"/>
        <w:kinsoku/>
        <w:wordWrap/>
        <w:overflowPunct/>
        <w:topLinePunct w:val="0"/>
        <w:autoSpaceDE/>
        <w:autoSpaceDN/>
        <w:bidi w:val="0"/>
        <w:spacing w:line="360" w:lineRule="auto"/>
        <w:ind w:left="0" w:leftChars="0" w:firstLine="367" w:firstLineChars="175"/>
        <w:textAlignment w:val="auto"/>
        <w:rPr>
          <w:rFonts w:hint="eastAsia" w:ascii="宋体" w:hAnsi="宋体" w:cs="宋体"/>
          <w:color w:val="auto"/>
          <w:szCs w:val="21"/>
          <w:highlight w:val="none"/>
        </w:rPr>
      </w:pPr>
      <w:r>
        <w:rPr>
          <w:rFonts w:hint="eastAsia" w:ascii="宋体" w:hAnsi="宋体" w:cs="宋体"/>
          <w:color w:val="auto"/>
          <w:szCs w:val="21"/>
          <w:highlight w:val="none"/>
        </w:rPr>
        <w:t>9）属于“供应商须知正文”第7.</w:t>
      </w:r>
      <w:r>
        <w:rPr>
          <w:rFonts w:ascii="宋体" w:hAnsi="宋体" w:cs="宋体"/>
          <w:color w:val="auto"/>
          <w:szCs w:val="21"/>
          <w:highlight w:val="none"/>
        </w:rPr>
        <w:t>5</w:t>
      </w:r>
      <w:r>
        <w:rPr>
          <w:rFonts w:hint="eastAsia" w:ascii="宋体" w:hAnsi="宋体" w:cs="宋体"/>
          <w:color w:val="auto"/>
          <w:szCs w:val="21"/>
          <w:highlight w:val="none"/>
        </w:rPr>
        <w:t>条情形；</w:t>
      </w:r>
    </w:p>
    <w:p w14:paraId="4E8E6347">
      <w:pPr>
        <w:keepNext w:val="0"/>
        <w:keepLines w:val="0"/>
        <w:pageBreakBefore w:val="0"/>
        <w:kinsoku/>
        <w:wordWrap/>
        <w:overflowPunct/>
        <w:topLinePunct w:val="0"/>
        <w:autoSpaceDE/>
        <w:autoSpaceDN/>
        <w:bidi w:val="0"/>
        <w:spacing w:line="360" w:lineRule="auto"/>
        <w:ind w:left="0" w:leftChars="0" w:firstLine="367" w:firstLineChars="175"/>
        <w:textAlignment w:val="auto"/>
        <w:rPr>
          <w:rFonts w:hint="eastAsia" w:ascii="宋体" w:hAnsi="宋体" w:cs="宋体"/>
          <w:color w:val="auto"/>
          <w:szCs w:val="21"/>
          <w:highlight w:val="none"/>
        </w:rPr>
      </w:pPr>
      <w:r>
        <w:rPr>
          <w:rFonts w:hint="eastAsia" w:ascii="宋体" w:hAnsi="宋体" w:cs="宋体"/>
          <w:color w:val="auto"/>
          <w:szCs w:val="21"/>
          <w:highlight w:val="none"/>
        </w:rPr>
        <w:t>10）技术需求允许负偏离的条款数超过“供应商须知前附表”规定项数；</w:t>
      </w:r>
    </w:p>
    <w:p w14:paraId="21EC3F58">
      <w:pPr>
        <w:keepNext w:val="0"/>
        <w:keepLines w:val="0"/>
        <w:pageBreakBefore w:val="0"/>
        <w:kinsoku/>
        <w:wordWrap/>
        <w:overflowPunct/>
        <w:topLinePunct w:val="0"/>
        <w:autoSpaceDE/>
        <w:autoSpaceDN/>
        <w:bidi w:val="0"/>
        <w:spacing w:line="360" w:lineRule="auto"/>
        <w:ind w:left="0" w:leftChars="0" w:firstLine="367" w:firstLineChars="175"/>
        <w:textAlignment w:val="auto"/>
        <w:rPr>
          <w:rFonts w:hint="eastAsia" w:ascii="宋体" w:hAnsi="宋体" w:cs="宋体"/>
          <w:color w:val="auto"/>
          <w:szCs w:val="21"/>
          <w:highlight w:val="none"/>
        </w:rPr>
      </w:pPr>
      <w:r>
        <w:rPr>
          <w:rFonts w:hint="eastAsia" w:ascii="宋体" w:hAnsi="宋体" w:cs="宋体"/>
          <w:color w:val="auto"/>
          <w:szCs w:val="21"/>
          <w:highlight w:val="none"/>
        </w:rPr>
        <w:t>11）虚假竞标，或者出现其他情形而导致被磋商小组认定无效；</w:t>
      </w:r>
    </w:p>
    <w:p w14:paraId="16E55124">
      <w:pPr>
        <w:keepNext w:val="0"/>
        <w:keepLines w:val="0"/>
        <w:pageBreakBefore w:val="0"/>
        <w:kinsoku/>
        <w:wordWrap/>
        <w:overflowPunct/>
        <w:topLinePunct w:val="0"/>
        <w:autoSpaceDE/>
        <w:autoSpaceDN/>
        <w:bidi w:val="0"/>
        <w:spacing w:line="360" w:lineRule="auto"/>
        <w:ind w:left="0" w:leftChars="0" w:firstLine="367" w:firstLineChars="175"/>
        <w:textAlignment w:val="auto"/>
        <w:rPr>
          <w:rFonts w:hint="eastAsia" w:ascii="宋体" w:hAnsi="宋体" w:cs="宋体"/>
          <w:color w:val="auto"/>
          <w:szCs w:val="21"/>
          <w:highlight w:val="none"/>
        </w:rPr>
      </w:pPr>
      <w:r>
        <w:rPr>
          <w:rFonts w:hint="eastAsia" w:ascii="宋体" w:hAnsi="宋体" w:cs="宋体"/>
          <w:color w:val="auto"/>
          <w:szCs w:val="21"/>
          <w:highlight w:val="none"/>
        </w:rPr>
        <w:t>12）竞标技术方案不明确，磋商文件未允许</w:t>
      </w:r>
      <w:r>
        <w:rPr>
          <w:rFonts w:hint="eastAsia" w:ascii="宋体" w:hAnsi="宋体"/>
          <w:color w:val="auto"/>
          <w:szCs w:val="21"/>
          <w:highlight w:val="none"/>
        </w:rPr>
        <w:t>但响应文件中</w:t>
      </w:r>
      <w:r>
        <w:rPr>
          <w:rFonts w:hint="eastAsia" w:ascii="宋体" w:hAnsi="宋体" w:cs="宋体"/>
          <w:color w:val="auto"/>
          <w:szCs w:val="21"/>
          <w:highlight w:val="none"/>
        </w:rPr>
        <w:t>存在一个或者一个以上备选（替代）竞标方案；</w:t>
      </w:r>
    </w:p>
    <w:p w14:paraId="6FF3C8B5">
      <w:pPr>
        <w:keepNext w:val="0"/>
        <w:keepLines w:val="0"/>
        <w:pageBreakBefore w:val="0"/>
        <w:kinsoku/>
        <w:wordWrap/>
        <w:overflowPunct/>
        <w:topLinePunct w:val="0"/>
        <w:autoSpaceDE/>
        <w:autoSpaceDN/>
        <w:bidi w:val="0"/>
        <w:spacing w:line="360" w:lineRule="auto"/>
        <w:ind w:left="0" w:leftChars="0" w:firstLine="367" w:firstLineChars="175"/>
        <w:textAlignment w:val="auto"/>
        <w:rPr>
          <w:rFonts w:hint="eastAsia" w:ascii="宋体" w:hAnsi="宋体" w:cs="宋体"/>
          <w:color w:val="auto"/>
          <w:szCs w:val="21"/>
          <w:highlight w:val="none"/>
        </w:rPr>
      </w:pPr>
      <w:r>
        <w:rPr>
          <w:rFonts w:hint="eastAsia" w:ascii="宋体" w:hAnsi="宋体" w:cs="宋体"/>
          <w:color w:val="auto"/>
          <w:szCs w:val="21"/>
          <w:highlight w:val="none"/>
        </w:rPr>
        <w:t>13）响应文件标注的项目名称或者项目编号与竞争性磋商文件标注的项目名称或者项目编号不一致的；</w:t>
      </w:r>
    </w:p>
    <w:p w14:paraId="706C26A1">
      <w:pPr>
        <w:keepNext w:val="0"/>
        <w:keepLines w:val="0"/>
        <w:pageBreakBefore w:val="0"/>
        <w:kinsoku/>
        <w:wordWrap/>
        <w:overflowPunct/>
        <w:topLinePunct w:val="0"/>
        <w:autoSpaceDE/>
        <w:autoSpaceDN/>
        <w:bidi w:val="0"/>
        <w:spacing w:line="360" w:lineRule="auto"/>
        <w:ind w:left="0" w:leftChars="0" w:firstLine="367" w:firstLineChars="175"/>
        <w:textAlignment w:val="auto"/>
        <w:rPr>
          <w:rFonts w:ascii="宋体" w:hAnsi="宋体" w:cs="宋体"/>
          <w:color w:val="auto"/>
          <w:szCs w:val="21"/>
          <w:highlight w:val="none"/>
        </w:rPr>
      </w:pPr>
      <w:r>
        <w:rPr>
          <w:rFonts w:hint="eastAsia" w:ascii="宋体" w:hAnsi="宋体" w:cs="宋体"/>
          <w:color w:val="auto"/>
          <w:szCs w:val="21"/>
          <w:highlight w:val="none"/>
        </w:rPr>
        <w:t>14）未响应磋商文件实质性要求；</w:t>
      </w:r>
    </w:p>
    <w:p w14:paraId="3F845AE8">
      <w:pPr>
        <w:keepNext w:val="0"/>
        <w:keepLines w:val="0"/>
        <w:pageBreakBefore w:val="0"/>
        <w:kinsoku/>
        <w:wordWrap/>
        <w:overflowPunct/>
        <w:topLinePunct w:val="0"/>
        <w:autoSpaceDE/>
        <w:autoSpaceDN/>
        <w:bidi w:val="0"/>
        <w:spacing w:line="360" w:lineRule="auto"/>
        <w:ind w:left="0" w:leftChars="0" w:firstLine="367" w:firstLineChars="175"/>
        <w:textAlignment w:val="auto"/>
        <w:rPr>
          <w:rFonts w:hint="eastAsia" w:ascii="宋体" w:hAnsi="宋体" w:cs="宋体"/>
          <w:color w:val="auto"/>
          <w:szCs w:val="21"/>
          <w:highlight w:val="none"/>
        </w:rPr>
      </w:pPr>
      <w:r>
        <w:rPr>
          <w:rFonts w:hint="eastAsia" w:ascii="宋体" w:hAnsi="宋体" w:cs="宋体"/>
          <w:color w:val="auto"/>
          <w:szCs w:val="21"/>
          <w:highlight w:val="none"/>
        </w:rPr>
        <w:t>15）法律、法规和磋商文件规定的其他无效情形。</w:t>
      </w:r>
    </w:p>
    <w:p w14:paraId="7F56714E">
      <w:pPr>
        <w:keepNext w:val="0"/>
        <w:keepLines w:val="0"/>
        <w:pageBreakBefore w:val="0"/>
        <w:kinsoku/>
        <w:wordWrap/>
        <w:overflowPunct/>
        <w:topLinePunct w:val="0"/>
        <w:autoSpaceDE/>
        <w:autoSpaceDN/>
        <w:bidi w:val="0"/>
        <w:spacing w:line="360" w:lineRule="auto"/>
        <w:ind w:left="0" w:leftChars="0" w:firstLine="367" w:firstLineChars="175"/>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）报价评审</w:t>
      </w:r>
    </w:p>
    <w:p w14:paraId="419343DE">
      <w:pPr>
        <w:keepNext w:val="0"/>
        <w:keepLines w:val="0"/>
        <w:pageBreakBefore w:val="0"/>
        <w:kinsoku/>
        <w:wordWrap/>
        <w:overflowPunct/>
        <w:topLinePunct w:val="0"/>
        <w:autoSpaceDE/>
        <w:autoSpaceDN/>
        <w:bidi w:val="0"/>
        <w:spacing w:line="360" w:lineRule="auto"/>
        <w:ind w:left="0" w:leftChars="0" w:firstLine="367" w:firstLineChars="175"/>
        <w:textAlignment w:val="auto"/>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 xml:space="preserve"> </w:t>
      </w:r>
      <w:r>
        <w:rPr>
          <w:rFonts w:hint="eastAsia" w:ascii="宋体" w:hAnsi="宋体" w:cs="宋体"/>
          <w:color w:val="auto"/>
          <w:szCs w:val="21"/>
          <w:highlight w:val="none"/>
        </w:rPr>
        <w:t>响应文件未提供“供应商须知前附表” 报价文件中规定的“响应报价表”；</w:t>
      </w:r>
    </w:p>
    <w:p w14:paraId="697F4892">
      <w:pPr>
        <w:keepNext w:val="0"/>
        <w:keepLines w:val="0"/>
        <w:pageBreakBefore w:val="0"/>
        <w:kinsoku/>
        <w:wordWrap/>
        <w:overflowPunct/>
        <w:topLinePunct w:val="0"/>
        <w:autoSpaceDE/>
        <w:autoSpaceDN/>
        <w:bidi w:val="0"/>
        <w:spacing w:line="360" w:lineRule="auto"/>
        <w:ind w:left="0" w:leftChars="0" w:firstLine="367" w:firstLineChars="175"/>
        <w:textAlignment w:val="auto"/>
        <w:rPr>
          <w:rFonts w:hint="eastAsia" w:ascii="宋体" w:hAnsi="宋体" w:cs="宋体"/>
          <w:color w:val="auto"/>
          <w:szCs w:val="21"/>
          <w:highlight w:val="none"/>
        </w:rPr>
      </w:pPr>
      <w:r>
        <w:rPr>
          <w:rFonts w:hint="eastAsia" w:ascii="宋体" w:hAnsi="宋体" w:cs="宋体"/>
          <w:color w:val="auto"/>
          <w:szCs w:val="21"/>
          <w:highlight w:val="none"/>
        </w:rPr>
        <w:t>2）未采用人民币报价或者未按照磋商文件标明的币种报价；</w:t>
      </w:r>
    </w:p>
    <w:p w14:paraId="18D2C625">
      <w:pPr>
        <w:keepNext w:val="0"/>
        <w:keepLines w:val="0"/>
        <w:pageBreakBefore w:val="0"/>
        <w:kinsoku/>
        <w:wordWrap/>
        <w:overflowPunct/>
        <w:topLinePunct w:val="0"/>
        <w:autoSpaceDE/>
        <w:autoSpaceDN/>
        <w:bidi w:val="0"/>
        <w:spacing w:line="360" w:lineRule="auto"/>
        <w:ind w:left="0" w:leftChars="0" w:firstLine="367" w:firstLineChars="175"/>
        <w:textAlignment w:val="auto"/>
        <w:rPr>
          <w:rFonts w:hint="eastAsia" w:ascii="宋体" w:hAnsi="宋体" w:cs="宋体"/>
          <w:color w:val="auto"/>
          <w:szCs w:val="21"/>
          <w:highlight w:val="none"/>
        </w:rPr>
      </w:pPr>
      <w:r>
        <w:rPr>
          <w:rFonts w:hint="eastAsia" w:ascii="宋体" w:hAnsi="宋体" w:cs="宋体"/>
          <w:color w:val="auto"/>
          <w:szCs w:val="21"/>
          <w:highlight w:val="none"/>
        </w:rPr>
        <w:t>3）供应商未就所</w:t>
      </w:r>
      <w:r>
        <w:rPr>
          <w:rFonts w:hint="eastAsia" w:ascii="宋体" w:hAnsi="宋体" w:cs="宋体"/>
          <w:color w:val="auto"/>
          <w:szCs w:val="21"/>
          <w:highlight w:val="none"/>
          <w:lang w:eastAsia="zh-CN"/>
        </w:rPr>
        <w:t>竞标项目（或分标）</w:t>
      </w:r>
      <w:r>
        <w:rPr>
          <w:rFonts w:hint="eastAsia" w:ascii="宋体" w:hAnsi="宋体" w:cs="宋体"/>
          <w:color w:val="auto"/>
          <w:szCs w:val="21"/>
          <w:highlight w:val="none"/>
        </w:rPr>
        <w:t>进行报价或者存在漏项报价；供应商未就所</w:t>
      </w:r>
      <w:r>
        <w:rPr>
          <w:rFonts w:hint="eastAsia" w:ascii="宋体" w:hAnsi="宋体" w:cs="宋体"/>
          <w:color w:val="auto"/>
          <w:szCs w:val="21"/>
          <w:highlight w:val="none"/>
          <w:lang w:eastAsia="zh-CN"/>
        </w:rPr>
        <w:t>竞标项目（或分标）</w:t>
      </w:r>
      <w:r>
        <w:rPr>
          <w:rFonts w:hint="eastAsia" w:ascii="宋体" w:hAnsi="宋体" w:cs="宋体"/>
          <w:color w:val="auto"/>
          <w:szCs w:val="21"/>
          <w:highlight w:val="none"/>
        </w:rPr>
        <w:t>的单项内容作唯一报价；供应商未就所</w:t>
      </w:r>
      <w:r>
        <w:rPr>
          <w:rFonts w:hint="eastAsia" w:ascii="宋体" w:hAnsi="宋体" w:cs="宋体"/>
          <w:color w:val="auto"/>
          <w:szCs w:val="21"/>
          <w:highlight w:val="none"/>
          <w:lang w:eastAsia="zh-CN"/>
        </w:rPr>
        <w:t>竞标项目（或分标）</w:t>
      </w:r>
      <w:r>
        <w:rPr>
          <w:rFonts w:hint="eastAsia" w:ascii="宋体" w:hAnsi="宋体" w:cs="宋体"/>
          <w:color w:val="auto"/>
          <w:szCs w:val="21"/>
          <w:highlight w:val="none"/>
        </w:rPr>
        <w:t>的全部内容作唯一总价报价；供应商响应文件中存在有选择、有条件报价的（磋商文件允许有备选方案或者其他约定的除外）；</w:t>
      </w:r>
    </w:p>
    <w:p w14:paraId="64E3AA72">
      <w:pPr>
        <w:keepNext w:val="0"/>
        <w:keepLines w:val="0"/>
        <w:pageBreakBefore w:val="0"/>
        <w:kinsoku/>
        <w:wordWrap/>
        <w:overflowPunct/>
        <w:topLinePunct w:val="0"/>
        <w:autoSpaceDE/>
        <w:autoSpaceDN/>
        <w:bidi w:val="0"/>
        <w:spacing w:line="360" w:lineRule="auto"/>
        <w:ind w:left="0" w:leftChars="0" w:firstLine="367" w:firstLineChars="175"/>
        <w:textAlignment w:val="auto"/>
        <w:rPr>
          <w:rFonts w:hint="eastAsia" w:ascii="宋体" w:hAnsi="宋体" w:cs="宋体"/>
          <w:color w:val="auto"/>
          <w:szCs w:val="21"/>
          <w:highlight w:val="none"/>
        </w:rPr>
      </w:pPr>
      <w:r>
        <w:rPr>
          <w:rFonts w:hint="eastAsia" w:ascii="宋体" w:hAnsi="宋体" w:cs="宋体"/>
          <w:color w:val="auto"/>
          <w:szCs w:val="21"/>
          <w:highlight w:val="none"/>
        </w:rPr>
        <w:t>4）响应报价（包含首次报价、最后报价）超过所竞标</w:t>
      </w:r>
      <w:r>
        <w:rPr>
          <w:rFonts w:hint="eastAsia" w:ascii="宋体" w:hAnsi="宋体" w:cs="宋体"/>
          <w:color w:val="auto"/>
          <w:szCs w:val="21"/>
          <w:highlight w:val="none"/>
          <w:lang w:eastAsia="zh-CN"/>
        </w:rPr>
        <w:t>项目（或</w:t>
      </w:r>
      <w:r>
        <w:rPr>
          <w:rFonts w:hint="eastAsia" w:ascii="宋体" w:hAnsi="宋体" w:cs="宋体"/>
          <w:color w:val="auto"/>
          <w:szCs w:val="21"/>
          <w:highlight w:val="none"/>
        </w:rPr>
        <w:t>分标</w:t>
      </w:r>
      <w:r>
        <w:rPr>
          <w:rFonts w:hint="eastAsia" w:ascii="宋体" w:hAnsi="宋体" w:cs="宋体"/>
          <w:color w:val="auto"/>
          <w:szCs w:val="21"/>
          <w:highlight w:val="none"/>
          <w:lang w:eastAsia="zh-CN"/>
        </w:rPr>
        <w:t>）</w:t>
      </w:r>
      <w:r>
        <w:rPr>
          <w:rFonts w:hint="eastAsia" w:ascii="宋体" w:hAnsi="宋体" w:cs="宋体"/>
          <w:color w:val="auto"/>
          <w:szCs w:val="21"/>
          <w:highlight w:val="none"/>
        </w:rPr>
        <w:t>规定的采购预算金额或者最高限价的（如本项目公布了最高限价）；</w:t>
      </w:r>
    </w:p>
    <w:p w14:paraId="65284A34">
      <w:pPr>
        <w:keepNext w:val="0"/>
        <w:keepLines w:val="0"/>
        <w:pageBreakBefore w:val="0"/>
        <w:kinsoku/>
        <w:wordWrap/>
        <w:overflowPunct/>
        <w:topLinePunct w:val="0"/>
        <w:autoSpaceDE/>
        <w:autoSpaceDN/>
        <w:bidi w:val="0"/>
        <w:spacing w:line="360" w:lineRule="auto"/>
        <w:ind w:left="0" w:leftChars="0" w:firstLine="367" w:firstLineChars="175"/>
        <w:textAlignment w:val="auto"/>
        <w:rPr>
          <w:rFonts w:hint="eastAsia"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5）修正后的报价，供应商不确认的；或者经供应商确认修正后的响应报价（包含首次报价、最后报价）超过所竞标</w:t>
      </w:r>
      <w:r>
        <w:rPr>
          <w:rFonts w:hint="eastAsia" w:ascii="宋体" w:hAnsi="宋体" w:cs="宋体"/>
          <w:color w:val="auto"/>
          <w:szCs w:val="21"/>
          <w:highlight w:val="none"/>
          <w:lang w:eastAsia="zh-CN"/>
        </w:rPr>
        <w:t>项目（或</w:t>
      </w:r>
      <w:r>
        <w:rPr>
          <w:rFonts w:hint="eastAsia" w:ascii="宋体" w:hAnsi="宋体" w:cs="宋体"/>
          <w:color w:val="auto"/>
          <w:szCs w:val="21"/>
          <w:highlight w:val="none"/>
        </w:rPr>
        <w:t>分标</w:t>
      </w:r>
      <w:r>
        <w:rPr>
          <w:rFonts w:hint="eastAsia" w:ascii="宋体" w:hAnsi="宋体" w:cs="宋体"/>
          <w:color w:val="auto"/>
          <w:szCs w:val="21"/>
          <w:highlight w:val="none"/>
          <w:lang w:eastAsia="zh-CN"/>
        </w:rPr>
        <w:t>）</w:t>
      </w:r>
      <w:r>
        <w:rPr>
          <w:rFonts w:hint="eastAsia" w:ascii="宋体" w:hAnsi="宋体" w:cs="宋体"/>
          <w:color w:val="auto"/>
          <w:szCs w:val="21"/>
          <w:highlight w:val="none"/>
        </w:rPr>
        <w:t>规定的采购预算金额或者最高限价（如本项目公布了最高限价）。</w:t>
      </w:r>
    </w:p>
    <w:p w14:paraId="2253DBE1">
      <w:pPr>
        <w:keepNext w:val="0"/>
        <w:keepLines w:val="0"/>
        <w:pageBreakBefore w:val="0"/>
        <w:kinsoku/>
        <w:wordWrap/>
        <w:overflowPunct/>
        <w:topLinePunct w:val="0"/>
        <w:autoSpaceDE/>
        <w:autoSpaceDN/>
        <w:bidi w:val="0"/>
        <w:spacing w:line="360" w:lineRule="auto"/>
        <w:ind w:left="0" w:leftChars="0" w:firstLine="367" w:firstLineChars="175"/>
        <w:textAlignment w:val="auto"/>
        <w:rPr>
          <w:rFonts w:hint="eastAsia"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olor w:val="auto"/>
          <w:szCs w:val="21"/>
          <w:highlight w:val="none"/>
        </w:rPr>
        <w:t>响应文件响应的标的数量及单位与竞争性磋商采购文件要求实质性不一致的。</w:t>
      </w:r>
    </w:p>
    <w:p w14:paraId="2169DD7D">
      <w:pPr>
        <w:keepNext w:val="0"/>
        <w:keepLines w:val="0"/>
        <w:pageBreakBefore w:val="0"/>
        <w:kinsoku/>
        <w:wordWrap/>
        <w:overflowPunct/>
        <w:topLinePunct w:val="0"/>
        <w:autoSpaceDE/>
        <w:autoSpaceDN/>
        <w:bidi w:val="0"/>
        <w:spacing w:line="360" w:lineRule="auto"/>
        <w:ind w:left="0" w:leftChars="0" w:firstLine="367" w:firstLineChars="175"/>
        <w:textAlignment w:val="auto"/>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.6</w:t>
      </w:r>
      <w:r>
        <w:rPr>
          <w:rFonts w:hint="eastAsia" w:ascii="宋体" w:hAnsi="宋体" w:cs="宋体"/>
          <w:color w:val="auto"/>
          <w:szCs w:val="21"/>
          <w:highlight w:val="none"/>
        </w:rPr>
        <w:t>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6933DB5F">
      <w:pPr>
        <w:keepNext w:val="0"/>
        <w:keepLines w:val="0"/>
        <w:pageBreakBefore w:val="0"/>
        <w:kinsoku/>
        <w:wordWrap/>
        <w:overflowPunct/>
        <w:topLinePunct w:val="0"/>
        <w:autoSpaceDE/>
        <w:autoSpaceDN/>
        <w:bidi w:val="0"/>
        <w:spacing w:line="360" w:lineRule="auto"/>
        <w:ind w:left="0" w:leftChars="0" w:firstLine="367" w:firstLineChars="175"/>
        <w:textAlignment w:val="auto"/>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.7</w:t>
      </w:r>
      <w:r>
        <w:rPr>
          <w:rFonts w:hint="eastAsia" w:ascii="宋体" w:hAnsi="宋体" w:cs="宋体"/>
          <w:color w:val="auto"/>
          <w:szCs w:val="21"/>
          <w:highlight w:val="none"/>
        </w:rPr>
        <w:t>非</w:t>
      </w:r>
      <w:r>
        <w:rPr>
          <w:rFonts w:hint="eastAsia" w:ascii="宋体" w:hAnsi="宋体"/>
          <w:color w:val="auto"/>
          <w:szCs w:val="21"/>
          <w:highlight w:val="none"/>
        </w:rPr>
        <w:t>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01A36F0E">
      <w:pPr>
        <w:keepNext w:val="0"/>
        <w:keepLines w:val="0"/>
        <w:pageBreakBefore w:val="0"/>
        <w:kinsoku/>
        <w:wordWrap/>
        <w:overflowPunct/>
        <w:topLinePunct w:val="0"/>
        <w:autoSpaceDE/>
        <w:autoSpaceDN/>
        <w:bidi w:val="0"/>
        <w:spacing w:line="360" w:lineRule="auto"/>
        <w:ind w:left="0" w:leftChars="0" w:firstLine="422" w:firstLineChars="175"/>
        <w:textAlignment w:val="auto"/>
        <w:rPr>
          <w:rFonts w:ascii="黑体" w:hAnsi="黑体" w:eastAsia="黑体" w:cs="宋体"/>
          <w:b/>
          <w:bCs/>
          <w:color w:val="auto"/>
          <w:sz w:val="24"/>
          <w:highlight w:val="none"/>
        </w:rPr>
      </w:pPr>
      <w:r>
        <w:rPr>
          <w:rFonts w:hint="eastAsia" w:ascii="黑体" w:hAnsi="黑体" w:eastAsia="黑体" w:cs="宋体"/>
          <w:b/>
          <w:bCs/>
          <w:color w:val="auto"/>
          <w:sz w:val="24"/>
          <w:highlight w:val="none"/>
        </w:rPr>
        <w:t>4.磋商程序</w:t>
      </w:r>
    </w:p>
    <w:p w14:paraId="12C3AC0A">
      <w:pPr>
        <w:keepNext w:val="0"/>
        <w:keepLines w:val="0"/>
        <w:pageBreakBefore w:val="0"/>
        <w:kinsoku/>
        <w:wordWrap/>
        <w:overflowPunct/>
        <w:topLinePunct w:val="0"/>
        <w:autoSpaceDE/>
        <w:autoSpaceDN/>
        <w:bidi w:val="0"/>
        <w:spacing w:line="360" w:lineRule="auto"/>
        <w:ind w:left="0" w:leftChars="0" w:firstLine="367" w:firstLineChars="175"/>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4</w:t>
      </w:r>
      <w:r>
        <w:rPr>
          <w:rFonts w:ascii="宋体" w:hAnsi="宋体" w:cs="宋体"/>
          <w:color w:val="auto"/>
          <w:kern w:val="0"/>
          <w:szCs w:val="21"/>
          <w:highlight w:val="none"/>
        </w:rPr>
        <w:t>.1</w:t>
      </w:r>
      <w:r>
        <w:rPr>
          <w:rFonts w:hint="eastAsia" w:ascii="宋体" w:hAnsi="宋体" w:cs="宋体"/>
          <w:color w:val="auto"/>
          <w:kern w:val="0"/>
          <w:szCs w:val="21"/>
          <w:highlight w:val="none"/>
        </w:rPr>
        <w:t>磋商小组按照“供应商须知前附表”</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确定的</w:t>
      </w:r>
      <w:r>
        <w:rPr>
          <w:rFonts w:hint="eastAsia" w:ascii="宋体" w:hAnsi="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7FC9447A">
      <w:pPr>
        <w:keepNext w:val="0"/>
        <w:keepLines w:val="0"/>
        <w:pageBreakBefore w:val="0"/>
        <w:kinsoku/>
        <w:wordWrap/>
        <w:overflowPunct/>
        <w:topLinePunct w:val="0"/>
        <w:autoSpaceDE/>
        <w:autoSpaceDN/>
        <w:bidi w:val="0"/>
        <w:spacing w:line="360" w:lineRule="auto"/>
        <w:ind w:left="0" w:leftChars="0" w:firstLine="367" w:firstLineChars="175"/>
        <w:textAlignment w:val="auto"/>
        <w:rPr>
          <w:rFonts w:hint="eastAsia"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11F31588">
      <w:pPr>
        <w:keepNext w:val="0"/>
        <w:keepLines w:val="0"/>
        <w:pageBreakBefore w:val="0"/>
        <w:kinsoku/>
        <w:wordWrap/>
        <w:overflowPunct/>
        <w:topLinePunct w:val="0"/>
        <w:autoSpaceDE/>
        <w:autoSpaceDN/>
        <w:bidi w:val="0"/>
        <w:spacing w:line="360" w:lineRule="auto"/>
        <w:ind w:left="0" w:leftChars="0" w:firstLine="367" w:firstLineChars="175"/>
        <w:textAlignment w:val="auto"/>
        <w:rPr>
          <w:rFonts w:hint="eastAsia"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.3</w:t>
      </w:r>
      <w:r>
        <w:rPr>
          <w:rFonts w:hint="eastAsia" w:ascii="宋体" w:hAnsi="宋体" w:cs="宋体"/>
          <w:color w:val="auto"/>
          <w:szCs w:val="21"/>
          <w:highlight w:val="none"/>
        </w:rPr>
        <w:t>对磋商文件作出的实质性变动是磋商文件的有效组成部分，由磋商小组及时以电子澄清函形式同时通知所有参加磋商的供应商。</w:t>
      </w:r>
    </w:p>
    <w:p w14:paraId="4B1CFB7B">
      <w:pPr>
        <w:keepNext w:val="0"/>
        <w:keepLines w:val="0"/>
        <w:pageBreakBefore w:val="0"/>
        <w:kinsoku/>
        <w:wordWrap/>
        <w:overflowPunct/>
        <w:topLinePunct w:val="0"/>
        <w:autoSpaceDE/>
        <w:autoSpaceDN/>
        <w:bidi w:val="0"/>
        <w:spacing w:line="360" w:lineRule="auto"/>
        <w:ind w:left="0" w:leftChars="0" w:firstLine="367" w:firstLineChars="175"/>
        <w:textAlignment w:val="auto"/>
        <w:rPr>
          <w:rFonts w:hint="eastAsia"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.4</w:t>
      </w:r>
      <w:r>
        <w:rPr>
          <w:rFonts w:hint="eastAsia" w:ascii="宋体" w:hAnsi="宋体" w:cs="宋体"/>
          <w:color w:val="auto"/>
          <w:szCs w:val="21"/>
          <w:highlight w:val="none"/>
        </w:rPr>
        <w:t>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720A08C9">
      <w:pPr>
        <w:keepNext w:val="0"/>
        <w:keepLines w:val="0"/>
        <w:pageBreakBefore w:val="0"/>
        <w:kinsoku/>
        <w:wordWrap/>
        <w:overflowPunct/>
        <w:topLinePunct w:val="0"/>
        <w:autoSpaceDE/>
        <w:autoSpaceDN/>
        <w:bidi w:val="0"/>
        <w:spacing w:line="360" w:lineRule="auto"/>
        <w:ind w:left="0" w:leftChars="0" w:firstLine="367" w:firstLineChars="175"/>
        <w:textAlignment w:val="auto"/>
        <w:rPr>
          <w:rFonts w:hint="eastAsia"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.5</w:t>
      </w:r>
      <w:r>
        <w:rPr>
          <w:rFonts w:hint="eastAsia" w:ascii="宋体" w:hAnsi="宋体" w:cs="宋体"/>
          <w:color w:val="auto"/>
          <w:szCs w:val="21"/>
          <w:highlight w:val="none"/>
        </w:rPr>
        <w:t>磋商中，</w:t>
      </w:r>
      <w:r>
        <w:rPr>
          <w:rFonts w:hint="eastAsia" w:ascii="宋体" w:hAnsi="宋体" w:cs="宋体"/>
          <w:color w:val="auto"/>
          <w:spacing w:val="-6"/>
          <w:szCs w:val="21"/>
          <w:highlight w:val="none"/>
        </w:rPr>
        <w:t>磋商的任何一方不得透露与磋商有关的其他供应商的技术资料、价格和其他信息。</w:t>
      </w:r>
    </w:p>
    <w:p w14:paraId="75EB0DD1">
      <w:pPr>
        <w:keepNext w:val="0"/>
        <w:keepLines w:val="0"/>
        <w:pageBreakBefore w:val="0"/>
        <w:widowControl/>
        <w:tabs>
          <w:tab w:val="left" w:pos="540"/>
        </w:tabs>
        <w:kinsoku/>
        <w:wordWrap/>
        <w:overflowPunct/>
        <w:topLinePunct w:val="0"/>
        <w:autoSpaceDE/>
        <w:autoSpaceDN/>
        <w:bidi w:val="0"/>
        <w:spacing w:line="360" w:lineRule="auto"/>
        <w:ind w:left="0" w:leftChars="0" w:firstLine="367" w:firstLineChars="175"/>
        <w:jc w:val="left"/>
        <w:textAlignment w:val="auto"/>
        <w:rPr>
          <w:rFonts w:hint="eastAsia" w:ascii="仿宋" w:hAnsi="仿宋" w:eastAsia="仿宋" w:cs="仿宋_GB2312"/>
          <w:b/>
          <w:color w:val="auto"/>
          <w:highlight w:val="none"/>
        </w:rPr>
      </w:pPr>
      <w:r>
        <w:rPr>
          <w:rFonts w:hint="eastAsia" w:ascii="宋体" w:hAnsi="宋体" w:cs="宋体"/>
          <w:color w:val="auto"/>
          <w:szCs w:val="21"/>
          <w:highlight w:val="none"/>
        </w:rPr>
        <w:t>4</w:t>
      </w:r>
      <w:r>
        <w:rPr>
          <w:rFonts w:ascii="宋体" w:hAnsi="宋体" w:cs="宋体"/>
          <w:color w:val="auto"/>
          <w:szCs w:val="21"/>
          <w:highlight w:val="none"/>
        </w:rPr>
        <w:t>.6</w:t>
      </w:r>
      <w:r>
        <w:rPr>
          <w:rFonts w:hint="eastAsia" w:ascii="宋体" w:hAnsi="宋体" w:cs="宋体"/>
          <w:color w:val="auto"/>
          <w:szCs w:val="21"/>
          <w:highlight w:val="none"/>
        </w:rPr>
        <w:t>磋商小组应对磋商过程和重要磋商内容进行记录，作为评标报告一部分，磋商小组在记录上签字确认。</w:t>
      </w:r>
      <w:r>
        <w:rPr>
          <w:rFonts w:hint="eastAsia" w:ascii="仿宋" w:hAnsi="仿宋" w:eastAsia="仿宋" w:cs="仿宋_GB2312"/>
          <w:b/>
          <w:color w:val="auto"/>
          <w:highlight w:val="none"/>
        </w:rPr>
        <w:t>主要内容包括：</w:t>
      </w:r>
    </w:p>
    <w:p w14:paraId="7D5AB844">
      <w:pPr>
        <w:pStyle w:val="72"/>
        <w:keepNext w:val="0"/>
        <w:keepLines w:val="0"/>
        <w:pageBreakBefore w:val="0"/>
        <w:kinsoku/>
        <w:wordWrap/>
        <w:overflowPunct/>
        <w:topLinePunct w:val="0"/>
        <w:autoSpaceDE/>
        <w:autoSpaceDN/>
        <w:bidi w:val="0"/>
        <w:spacing w:before="0" w:line="360" w:lineRule="auto"/>
        <w:ind w:left="0" w:leftChars="0" w:firstLine="346" w:firstLineChars="175"/>
        <w:textAlignment w:val="auto"/>
        <w:rPr>
          <w:rFonts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（1）按照相关规定进行公示的，公示情况说明；</w:t>
      </w:r>
    </w:p>
    <w:p w14:paraId="06C7474A">
      <w:pPr>
        <w:pStyle w:val="72"/>
        <w:keepNext w:val="0"/>
        <w:keepLines w:val="0"/>
        <w:pageBreakBefore w:val="0"/>
        <w:kinsoku/>
        <w:wordWrap/>
        <w:overflowPunct/>
        <w:topLinePunct w:val="0"/>
        <w:autoSpaceDE/>
        <w:autoSpaceDN/>
        <w:bidi w:val="0"/>
        <w:spacing w:before="0" w:line="360" w:lineRule="auto"/>
        <w:ind w:left="0" w:leftChars="0" w:firstLine="346" w:firstLineChars="175"/>
        <w:textAlignment w:val="auto"/>
        <w:rPr>
          <w:rFonts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（2）磋商日期和地点，磋商人员名单；</w:t>
      </w:r>
    </w:p>
    <w:p w14:paraId="4E87E029">
      <w:pPr>
        <w:pStyle w:val="72"/>
        <w:keepNext w:val="0"/>
        <w:keepLines w:val="0"/>
        <w:pageBreakBefore w:val="0"/>
        <w:kinsoku/>
        <w:wordWrap/>
        <w:overflowPunct/>
        <w:topLinePunct w:val="0"/>
        <w:autoSpaceDE/>
        <w:autoSpaceDN/>
        <w:bidi w:val="0"/>
        <w:spacing w:before="0" w:line="360" w:lineRule="auto"/>
        <w:ind w:left="0" w:leftChars="0" w:firstLine="346" w:firstLineChars="175"/>
        <w:textAlignment w:val="auto"/>
        <w:rPr>
          <w:rFonts w:hint="eastAsia"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（3）合同主要条款及价格商定情况。</w:t>
      </w:r>
    </w:p>
    <w:p w14:paraId="46E0FE09">
      <w:pPr>
        <w:keepNext w:val="0"/>
        <w:keepLines w:val="0"/>
        <w:pageBreakBefore w:val="0"/>
        <w:widowControl/>
        <w:tabs>
          <w:tab w:val="left" w:pos="540"/>
        </w:tabs>
        <w:kinsoku/>
        <w:wordWrap/>
        <w:overflowPunct/>
        <w:topLinePunct w:val="0"/>
        <w:autoSpaceDE/>
        <w:autoSpaceDN/>
        <w:bidi w:val="0"/>
        <w:spacing w:line="360" w:lineRule="auto"/>
        <w:ind w:left="0" w:leftChars="0" w:firstLine="367" w:firstLineChars="175"/>
        <w:jc w:val="left"/>
        <w:textAlignment w:val="auto"/>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7</w:t>
      </w:r>
      <w:r>
        <w:rPr>
          <w:rFonts w:hint="eastAsia" w:ascii="宋体" w:hAnsi="宋体" w:cs="宋体"/>
          <w:color w:val="auto"/>
          <w:szCs w:val="21"/>
          <w:highlight w:val="none"/>
        </w:rPr>
        <w:t>磋商过程中重新提交的响应文件，供应商可以在开启前补充、修改。</w:t>
      </w:r>
    </w:p>
    <w:p w14:paraId="2687C92D">
      <w:pPr>
        <w:keepNext w:val="0"/>
        <w:keepLines w:val="0"/>
        <w:pageBreakBefore w:val="0"/>
        <w:tabs>
          <w:tab w:val="left" w:pos="2835"/>
        </w:tabs>
        <w:kinsoku/>
        <w:wordWrap/>
        <w:overflowPunct/>
        <w:topLinePunct w:val="0"/>
        <w:autoSpaceDE/>
        <w:autoSpaceDN/>
        <w:bidi w:val="0"/>
        <w:spacing w:line="360" w:lineRule="auto"/>
        <w:ind w:left="0" w:leftChars="0" w:firstLine="367" w:firstLineChars="175"/>
        <w:textAlignment w:val="auto"/>
        <w:rPr>
          <w:rFonts w:hint="eastAsia"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.8</w:t>
      </w:r>
      <w:r>
        <w:rPr>
          <w:rFonts w:hint="eastAsia" w:ascii="宋体" w:hAnsi="宋体"/>
          <w:color w:val="auto"/>
          <w:szCs w:val="21"/>
          <w:highlight w:val="none"/>
        </w:rPr>
        <w:t>对磋商过程提交的响应文件进行有效性、完整性和响应程度审查，通过审查的合格供应商不足3家的，采购人或者采购代理机构应当重新开展采购活动。</w:t>
      </w:r>
    </w:p>
    <w:p w14:paraId="58EF21A0">
      <w:pPr>
        <w:keepNext w:val="0"/>
        <w:keepLines w:val="0"/>
        <w:pageBreakBefore w:val="0"/>
        <w:kinsoku/>
        <w:wordWrap/>
        <w:overflowPunct/>
        <w:topLinePunct w:val="0"/>
        <w:autoSpaceDE/>
        <w:autoSpaceDN/>
        <w:bidi w:val="0"/>
        <w:spacing w:line="360" w:lineRule="auto"/>
        <w:ind w:left="0" w:leftChars="0" w:firstLine="422" w:firstLineChars="175"/>
        <w:textAlignment w:val="auto"/>
        <w:rPr>
          <w:rFonts w:ascii="宋体" w:hAnsi="宋体" w:cs="宋体"/>
          <w:color w:val="auto"/>
          <w:szCs w:val="21"/>
          <w:highlight w:val="none"/>
        </w:rPr>
      </w:pPr>
      <w:r>
        <w:rPr>
          <w:rFonts w:hint="eastAsia" w:ascii="黑体" w:hAnsi="黑体" w:eastAsia="黑体" w:cs="宋体"/>
          <w:b/>
          <w:bCs/>
          <w:color w:val="auto"/>
          <w:sz w:val="24"/>
          <w:highlight w:val="none"/>
        </w:rPr>
        <w:t>5</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 xml:space="preserve"> 最后报价</w:t>
      </w:r>
    </w:p>
    <w:p w14:paraId="320E454F">
      <w:pPr>
        <w:keepNext w:val="0"/>
        <w:keepLines w:val="0"/>
        <w:pageBreakBefore w:val="0"/>
        <w:kinsoku/>
        <w:wordWrap/>
        <w:overflowPunct/>
        <w:topLinePunct w:val="0"/>
        <w:autoSpaceDE/>
        <w:autoSpaceDN/>
        <w:bidi w:val="0"/>
        <w:spacing w:line="360" w:lineRule="auto"/>
        <w:ind w:left="0" w:leftChars="0" w:firstLine="367" w:firstLineChars="175"/>
        <w:textAlignment w:val="auto"/>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.1</w:t>
      </w:r>
      <w:r>
        <w:rPr>
          <w:rFonts w:hint="eastAsia" w:ascii="宋体" w:hAnsi="宋体" w:cs="宋体"/>
          <w:color w:val="auto"/>
          <w:szCs w:val="21"/>
          <w:highlight w:val="none"/>
        </w:rPr>
        <w:t>磋商文件能够详细列明采购标的的技术、服务要求的，磋商结束后，由磋商小组要求所有继续参加磋商的供应商在规定时间内密封提交最后报价，除本章第5</w:t>
      </w:r>
      <w:r>
        <w:rPr>
          <w:rFonts w:ascii="宋体" w:hAnsi="宋体" w:cs="宋体"/>
          <w:color w:val="auto"/>
          <w:szCs w:val="21"/>
          <w:highlight w:val="none"/>
        </w:rPr>
        <w:t>.3</w:t>
      </w:r>
      <w:r>
        <w:rPr>
          <w:rFonts w:hint="eastAsia" w:ascii="宋体" w:hAnsi="宋体" w:cs="宋体"/>
          <w:color w:val="auto"/>
          <w:szCs w:val="21"/>
          <w:highlight w:val="none"/>
        </w:rPr>
        <w:t>条外，提交最后报价的供应商不得少于3家，否则必须重新采购。</w:t>
      </w:r>
    </w:p>
    <w:p w14:paraId="2C54041A">
      <w:pPr>
        <w:keepNext w:val="0"/>
        <w:keepLines w:val="0"/>
        <w:pageBreakBefore w:val="0"/>
        <w:kinsoku/>
        <w:wordWrap/>
        <w:overflowPunct/>
        <w:topLinePunct w:val="0"/>
        <w:autoSpaceDE/>
        <w:autoSpaceDN/>
        <w:bidi w:val="0"/>
        <w:spacing w:line="360" w:lineRule="auto"/>
        <w:ind w:left="0" w:leftChars="0" w:firstLine="367" w:firstLineChars="175"/>
        <w:textAlignment w:val="auto"/>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.2</w:t>
      </w:r>
      <w:r>
        <w:rPr>
          <w:rFonts w:hint="eastAsia" w:ascii="宋体" w:hAnsi="宋体" w:cs="宋体"/>
          <w:color w:val="auto"/>
          <w:szCs w:val="21"/>
          <w:highlight w:val="none"/>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2F2C6810">
      <w:pPr>
        <w:keepNext w:val="0"/>
        <w:keepLines w:val="0"/>
        <w:pageBreakBefore w:val="0"/>
        <w:kinsoku/>
        <w:wordWrap/>
        <w:overflowPunct/>
        <w:topLinePunct w:val="0"/>
        <w:autoSpaceDE/>
        <w:autoSpaceDN/>
        <w:bidi w:val="0"/>
        <w:spacing w:line="360" w:lineRule="auto"/>
        <w:ind w:left="0" w:leftChars="0" w:firstLine="367" w:firstLineChars="175"/>
        <w:textAlignment w:val="auto"/>
        <w:rPr>
          <w:rFonts w:hint="eastAsia"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.3</w:t>
      </w:r>
      <w:r>
        <w:rPr>
          <w:rFonts w:hint="eastAsia" w:ascii="宋体" w:hAnsi="宋体" w:cs="宋体"/>
          <w:color w:val="auto"/>
          <w:szCs w:val="21"/>
          <w:highlight w:val="none"/>
        </w:rPr>
        <w:t xml:space="preserve">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38859E48">
      <w:pPr>
        <w:keepNext w:val="0"/>
        <w:keepLines w:val="0"/>
        <w:pageBreakBefore w:val="0"/>
        <w:kinsoku/>
        <w:wordWrap/>
        <w:overflowPunct/>
        <w:topLinePunct w:val="0"/>
        <w:autoSpaceDE/>
        <w:autoSpaceDN/>
        <w:bidi w:val="0"/>
        <w:spacing w:line="360" w:lineRule="auto"/>
        <w:ind w:left="0" w:leftChars="0" w:firstLine="367" w:firstLineChars="175"/>
        <w:textAlignment w:val="auto"/>
        <w:rPr>
          <w:rFonts w:hint="eastAsia"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.4</w:t>
      </w:r>
      <w:r>
        <w:rPr>
          <w:rFonts w:hint="eastAsia" w:ascii="宋体" w:hAnsi="宋体" w:cs="宋体"/>
          <w:color w:val="auto"/>
          <w:szCs w:val="21"/>
          <w:highlight w:val="none"/>
        </w:rPr>
        <w:t>已经提交响应文件的供应商，在提交最后报价之前，可以根据磋商情况退出磋商，退出磋商的供应商的响应文件按无效响应处理。</w:t>
      </w:r>
    </w:p>
    <w:p w14:paraId="2098FEA4">
      <w:pPr>
        <w:keepNext w:val="0"/>
        <w:keepLines w:val="0"/>
        <w:pageBreakBefore w:val="0"/>
        <w:kinsoku/>
        <w:wordWrap/>
        <w:overflowPunct/>
        <w:topLinePunct w:val="0"/>
        <w:autoSpaceDE/>
        <w:autoSpaceDN/>
        <w:bidi w:val="0"/>
        <w:spacing w:line="360" w:lineRule="auto"/>
        <w:ind w:left="0" w:leftChars="0" w:firstLine="367" w:firstLineChars="175"/>
        <w:textAlignment w:val="auto"/>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.5</w:t>
      </w:r>
      <w:r>
        <w:rPr>
          <w:rFonts w:hint="eastAsia" w:ascii="宋体" w:hAnsi="宋体" w:cs="宋体"/>
          <w:color w:val="auto"/>
          <w:szCs w:val="21"/>
          <w:highlight w:val="none"/>
        </w:rPr>
        <w:t>供应商未在规定时间内提交最后报价的，视同退出磋商。</w:t>
      </w:r>
    </w:p>
    <w:p w14:paraId="3F1ED6DE">
      <w:pPr>
        <w:keepNext w:val="0"/>
        <w:keepLines w:val="0"/>
        <w:pageBreakBefore w:val="0"/>
        <w:kinsoku/>
        <w:wordWrap/>
        <w:overflowPunct/>
        <w:topLinePunct w:val="0"/>
        <w:autoSpaceDE/>
        <w:autoSpaceDN/>
        <w:bidi w:val="0"/>
        <w:spacing w:line="360" w:lineRule="auto"/>
        <w:ind w:left="0" w:leftChars="0" w:firstLine="367" w:firstLineChars="175"/>
        <w:textAlignment w:val="auto"/>
        <w:rPr>
          <w:rFonts w:hint="eastAsia"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.6</w:t>
      </w:r>
      <w:r>
        <w:rPr>
          <w:rFonts w:hint="eastAsia" w:ascii="宋体" w:hAnsi="宋体" w:cs="宋体"/>
          <w:color w:val="auto"/>
          <w:szCs w:val="21"/>
          <w:highlight w:val="none"/>
        </w:rPr>
        <w:t>磋商小组收齐</w:t>
      </w:r>
      <w:r>
        <w:rPr>
          <w:rFonts w:hint="eastAsia" w:ascii="宋体" w:hAnsi="宋体" w:cs="宋体"/>
          <w:color w:val="auto"/>
          <w:szCs w:val="21"/>
          <w:highlight w:val="none"/>
          <w:lang w:eastAsia="zh-CN"/>
        </w:rPr>
        <w:t>某一项目（或分标）</w:t>
      </w:r>
      <w:r>
        <w:rPr>
          <w:rFonts w:hint="eastAsia" w:ascii="宋体" w:hAnsi="宋体" w:cs="宋体"/>
          <w:color w:val="auto"/>
          <w:szCs w:val="21"/>
          <w:highlight w:val="none"/>
        </w:rPr>
        <w:t>最后报价后统一开启，磋商小组对最后报价进行有效性、完整性和响应程度的审查。</w:t>
      </w:r>
    </w:p>
    <w:p w14:paraId="17462DB3">
      <w:pPr>
        <w:keepNext w:val="0"/>
        <w:keepLines w:val="0"/>
        <w:pageBreakBefore w:val="0"/>
        <w:kinsoku/>
        <w:wordWrap/>
        <w:overflowPunct/>
        <w:topLinePunct w:val="0"/>
        <w:autoSpaceDE/>
        <w:autoSpaceDN/>
        <w:bidi w:val="0"/>
        <w:spacing w:line="360" w:lineRule="auto"/>
        <w:ind w:left="0" w:leftChars="0" w:firstLine="367" w:firstLineChars="175"/>
        <w:textAlignment w:val="auto"/>
        <w:rPr>
          <w:rFonts w:hint="eastAsia"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.7</w:t>
      </w:r>
      <w:r>
        <w:rPr>
          <w:rFonts w:hint="eastAsia" w:ascii="宋体" w:hAnsi="宋体" w:cs="宋体"/>
          <w:color w:val="auto"/>
          <w:szCs w:val="21"/>
          <w:highlight w:val="none"/>
        </w:rPr>
        <w:t>最终响应文件的报价出现前后不一致的，按照本章第3</w:t>
      </w:r>
      <w:r>
        <w:rPr>
          <w:rFonts w:ascii="宋体" w:hAnsi="宋体" w:cs="宋体"/>
          <w:color w:val="auto"/>
          <w:szCs w:val="21"/>
          <w:highlight w:val="none"/>
        </w:rPr>
        <w:t>.4</w:t>
      </w:r>
      <w:r>
        <w:rPr>
          <w:rFonts w:hint="eastAsia" w:ascii="宋体" w:hAnsi="宋体" w:cs="宋体"/>
          <w:color w:val="auto"/>
          <w:szCs w:val="21"/>
          <w:highlight w:val="none"/>
        </w:rPr>
        <w:t xml:space="preserve">条的规定修正。 </w:t>
      </w:r>
    </w:p>
    <w:p w14:paraId="12DA5477">
      <w:pPr>
        <w:keepNext w:val="0"/>
        <w:keepLines w:val="0"/>
        <w:pageBreakBefore w:val="0"/>
        <w:kinsoku/>
        <w:wordWrap/>
        <w:overflowPunct/>
        <w:topLinePunct w:val="0"/>
        <w:autoSpaceDE/>
        <w:autoSpaceDN/>
        <w:bidi w:val="0"/>
        <w:spacing w:line="360" w:lineRule="auto"/>
        <w:ind w:left="0" w:leftChars="0" w:firstLine="367" w:firstLineChars="175"/>
        <w:textAlignment w:val="auto"/>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.8</w:t>
      </w:r>
      <w:r>
        <w:rPr>
          <w:rFonts w:hint="eastAsia" w:ascii="宋体" w:hAnsi="宋体" w:cs="宋体"/>
          <w:color w:val="auto"/>
          <w:szCs w:val="21"/>
          <w:highlight w:val="none"/>
        </w:rPr>
        <w:t>修正后的最终报价出现下列情形的，按无效响应处理：</w:t>
      </w:r>
    </w:p>
    <w:p w14:paraId="0DEEA120">
      <w:pPr>
        <w:keepNext w:val="0"/>
        <w:keepLines w:val="0"/>
        <w:pageBreakBefore w:val="0"/>
        <w:kinsoku/>
        <w:wordWrap/>
        <w:overflowPunct/>
        <w:topLinePunct w:val="0"/>
        <w:autoSpaceDE/>
        <w:autoSpaceDN/>
        <w:bidi w:val="0"/>
        <w:spacing w:line="360" w:lineRule="auto"/>
        <w:ind w:left="0" w:leftChars="0" w:firstLine="367" w:firstLineChars="175"/>
        <w:textAlignment w:val="auto"/>
        <w:rPr>
          <w:rFonts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14:paraId="66B2AE28">
      <w:pPr>
        <w:keepNext w:val="0"/>
        <w:keepLines w:val="0"/>
        <w:pageBreakBefore w:val="0"/>
        <w:kinsoku/>
        <w:wordWrap/>
        <w:overflowPunct/>
        <w:topLinePunct w:val="0"/>
        <w:autoSpaceDE/>
        <w:autoSpaceDN/>
        <w:bidi w:val="0"/>
        <w:spacing w:line="360" w:lineRule="auto"/>
        <w:ind w:left="0" w:leftChars="0" w:firstLine="367" w:firstLineChars="175"/>
        <w:textAlignment w:val="auto"/>
        <w:rPr>
          <w:rFonts w:ascii="宋体" w:hAnsi="宋体" w:cs="宋体"/>
          <w:color w:val="auto"/>
          <w:szCs w:val="21"/>
          <w:highlight w:val="none"/>
        </w:rPr>
      </w:pPr>
      <w:r>
        <w:rPr>
          <w:rFonts w:hint="eastAsia" w:ascii="宋体" w:hAnsi="宋体" w:cs="宋体"/>
          <w:color w:val="auto"/>
          <w:szCs w:val="21"/>
          <w:highlight w:val="none"/>
        </w:rPr>
        <w:t>（2）经供应商确认修正后的响应报价（包含首次报价、最后报价）超过所竞标</w:t>
      </w:r>
      <w:r>
        <w:rPr>
          <w:rFonts w:hint="eastAsia" w:ascii="宋体" w:hAnsi="宋体" w:cs="宋体"/>
          <w:color w:val="auto"/>
          <w:szCs w:val="21"/>
          <w:highlight w:val="none"/>
          <w:lang w:eastAsia="zh-CN"/>
        </w:rPr>
        <w:t>项目（或</w:t>
      </w:r>
      <w:r>
        <w:rPr>
          <w:rFonts w:hint="eastAsia" w:ascii="宋体" w:hAnsi="宋体" w:cs="宋体"/>
          <w:color w:val="auto"/>
          <w:szCs w:val="21"/>
          <w:highlight w:val="none"/>
        </w:rPr>
        <w:t>分标</w:t>
      </w:r>
      <w:r>
        <w:rPr>
          <w:rFonts w:hint="eastAsia" w:ascii="宋体" w:hAnsi="宋体" w:cs="宋体"/>
          <w:color w:val="auto"/>
          <w:szCs w:val="21"/>
          <w:highlight w:val="none"/>
          <w:lang w:eastAsia="zh-CN"/>
        </w:rPr>
        <w:t>）</w:t>
      </w:r>
      <w:r>
        <w:rPr>
          <w:rFonts w:hint="eastAsia" w:ascii="宋体" w:hAnsi="宋体" w:cs="宋体"/>
          <w:color w:val="auto"/>
          <w:szCs w:val="21"/>
          <w:highlight w:val="none"/>
        </w:rPr>
        <w:t>规定的采购预算金额或者最高限价的（如本项目公布了最高限价）；</w:t>
      </w:r>
    </w:p>
    <w:p w14:paraId="3BA523C2">
      <w:pPr>
        <w:keepNext w:val="0"/>
        <w:keepLines w:val="0"/>
        <w:pageBreakBefore w:val="0"/>
        <w:kinsoku/>
        <w:wordWrap/>
        <w:overflowPunct/>
        <w:topLinePunct w:val="0"/>
        <w:autoSpaceDE/>
        <w:autoSpaceDN/>
        <w:bidi w:val="0"/>
        <w:spacing w:line="360" w:lineRule="auto"/>
        <w:ind w:left="0" w:leftChars="0" w:firstLine="367" w:firstLineChars="175"/>
        <w:textAlignment w:val="auto"/>
        <w:rPr>
          <w:rFonts w:hint="eastAsia"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.9</w:t>
      </w:r>
      <w:r>
        <w:rPr>
          <w:rFonts w:hint="eastAsia" w:ascii="宋体" w:hAnsi="宋体" w:cs="宋体"/>
          <w:color w:val="auto"/>
          <w:szCs w:val="21"/>
          <w:highlight w:val="none"/>
        </w:rPr>
        <w:t>经供应商确认修正后的最后报价作为评审及签订合同的依据。</w:t>
      </w:r>
    </w:p>
    <w:p w14:paraId="355FCAB1">
      <w:pPr>
        <w:keepNext w:val="0"/>
        <w:keepLines w:val="0"/>
        <w:pageBreakBefore w:val="0"/>
        <w:kinsoku/>
        <w:wordWrap/>
        <w:overflowPunct/>
        <w:topLinePunct w:val="0"/>
        <w:autoSpaceDE/>
        <w:autoSpaceDN/>
        <w:bidi w:val="0"/>
        <w:spacing w:line="360" w:lineRule="auto"/>
        <w:ind w:left="0" w:leftChars="0" w:firstLine="367" w:firstLineChars="175"/>
        <w:textAlignment w:val="auto"/>
        <w:rPr>
          <w:rFonts w:ascii="宋体" w:hAnsi="宋体" w:cs="宋体"/>
          <w:color w:val="auto"/>
          <w:szCs w:val="21"/>
          <w:highlight w:val="none"/>
        </w:rPr>
      </w:pPr>
      <w:r>
        <w:rPr>
          <w:rFonts w:hint="eastAsia" w:ascii="宋体" w:hAnsi="宋体" w:cs="宋体"/>
          <w:color w:val="auto"/>
          <w:szCs w:val="21"/>
          <w:highlight w:val="none"/>
        </w:rPr>
        <w:t>5.10供应商出现最后报价按无效响应处理或者响应文件按无效处理时</w:t>
      </w:r>
      <w:r>
        <w:rPr>
          <w:rFonts w:hint="eastAsia" w:ascii="宋体" w:hAnsi="宋体"/>
          <w:color w:val="auto"/>
          <w:sz w:val="22"/>
          <w:szCs w:val="22"/>
          <w:highlight w:val="none"/>
        </w:rPr>
        <w:t>，磋商小组应当告知有关供应商</w:t>
      </w:r>
      <w:r>
        <w:rPr>
          <w:rFonts w:hint="eastAsia" w:ascii="宋体" w:hAnsi="宋体" w:cs="宋体"/>
          <w:color w:val="auto"/>
          <w:szCs w:val="21"/>
          <w:highlight w:val="none"/>
        </w:rPr>
        <w:t>。</w:t>
      </w:r>
    </w:p>
    <w:p w14:paraId="1EA241A5">
      <w:pPr>
        <w:keepNext w:val="0"/>
        <w:keepLines w:val="0"/>
        <w:pageBreakBefore w:val="0"/>
        <w:kinsoku/>
        <w:wordWrap/>
        <w:overflowPunct/>
        <w:topLinePunct w:val="0"/>
        <w:autoSpaceDE/>
        <w:autoSpaceDN/>
        <w:bidi w:val="0"/>
        <w:spacing w:line="360" w:lineRule="auto"/>
        <w:ind w:left="0" w:leftChars="0" w:firstLine="367" w:firstLineChars="175"/>
        <w:textAlignment w:val="auto"/>
        <w:rPr>
          <w:rFonts w:hint="eastAsia" w:ascii="宋体" w:hAns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1最后报价结束后，磋商小组不得再与供应商进行任何形式的商谈。</w:t>
      </w:r>
    </w:p>
    <w:p w14:paraId="27B1A056">
      <w:pPr>
        <w:keepNext w:val="0"/>
        <w:keepLines w:val="0"/>
        <w:pageBreakBefore w:val="0"/>
        <w:kinsoku/>
        <w:wordWrap/>
        <w:overflowPunct/>
        <w:topLinePunct w:val="0"/>
        <w:autoSpaceDE/>
        <w:autoSpaceDN/>
        <w:bidi w:val="0"/>
        <w:spacing w:line="360" w:lineRule="auto"/>
        <w:ind w:left="0" w:leftChars="0" w:firstLine="422" w:firstLineChars="175"/>
        <w:textAlignment w:val="auto"/>
        <w:rPr>
          <w:rFonts w:ascii="黑体" w:hAnsi="黑体" w:eastAsia="黑体" w:cs="宋体"/>
          <w:b/>
          <w:bCs/>
          <w:color w:val="auto"/>
          <w:sz w:val="24"/>
          <w:highlight w:val="none"/>
        </w:rPr>
      </w:pPr>
      <w:r>
        <w:rPr>
          <w:rFonts w:hint="eastAsia" w:ascii="黑体" w:hAnsi="黑体" w:eastAsia="黑体" w:cs="宋体"/>
          <w:b/>
          <w:bCs/>
          <w:color w:val="auto"/>
          <w:sz w:val="24"/>
          <w:highlight w:val="none"/>
        </w:rPr>
        <w:t>6</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比较与评价</w:t>
      </w:r>
    </w:p>
    <w:p w14:paraId="6C27B69F">
      <w:pPr>
        <w:keepNext w:val="0"/>
        <w:keepLines w:val="0"/>
        <w:pageBreakBefore w:val="0"/>
        <w:kinsoku/>
        <w:wordWrap/>
        <w:overflowPunct/>
        <w:topLinePunct w:val="0"/>
        <w:autoSpaceDE/>
        <w:autoSpaceDN/>
        <w:bidi w:val="0"/>
        <w:spacing w:line="360" w:lineRule="auto"/>
        <w:ind w:left="0" w:leftChars="0" w:firstLine="367" w:firstLineChars="175"/>
        <w:textAlignment w:val="auto"/>
        <w:rPr>
          <w:rFonts w:hint="eastAsia" w:ascii="宋体" w:hAnsi="宋体" w:cs="宋体"/>
          <w:color w:val="auto"/>
          <w:szCs w:val="21"/>
          <w:highlight w:val="none"/>
        </w:rPr>
      </w:pPr>
      <w:r>
        <w:rPr>
          <w:rFonts w:hint="eastAsia" w:ascii="宋体" w:hAnsi="宋体" w:cs="宋体"/>
          <w:color w:val="auto"/>
          <w:szCs w:val="21"/>
          <w:highlight w:val="none"/>
        </w:rPr>
        <w:t>6</w:t>
      </w:r>
      <w:r>
        <w:rPr>
          <w:rFonts w:ascii="宋体" w:hAnsi="宋体" w:cs="宋体"/>
          <w:color w:val="auto"/>
          <w:szCs w:val="21"/>
          <w:highlight w:val="none"/>
        </w:rPr>
        <w:t>.1</w:t>
      </w:r>
      <w:r>
        <w:rPr>
          <w:rFonts w:hint="eastAsia" w:ascii="宋体" w:hAnsi="宋体" w:cs="宋体"/>
          <w:color w:val="auto"/>
          <w:szCs w:val="21"/>
          <w:highlight w:val="none"/>
        </w:rPr>
        <w:t>评审方法：综合评分法。</w:t>
      </w:r>
    </w:p>
    <w:p w14:paraId="557603FF">
      <w:pPr>
        <w:keepNext w:val="0"/>
        <w:keepLines w:val="0"/>
        <w:pageBreakBefore w:val="0"/>
        <w:kinsoku/>
        <w:wordWrap/>
        <w:overflowPunct/>
        <w:topLinePunct w:val="0"/>
        <w:autoSpaceDE/>
        <w:autoSpaceDN/>
        <w:bidi w:val="0"/>
        <w:spacing w:line="360" w:lineRule="auto"/>
        <w:ind w:left="0" w:leftChars="0" w:firstLine="367" w:firstLineChars="175"/>
        <w:textAlignment w:val="auto"/>
        <w:rPr>
          <w:rFonts w:hint="eastAsia" w:ascii="宋体" w:hAnsi="宋体" w:cs="宋体"/>
          <w:color w:val="auto"/>
          <w:szCs w:val="21"/>
          <w:highlight w:val="none"/>
        </w:rPr>
      </w:pPr>
      <w:r>
        <w:rPr>
          <w:rFonts w:ascii="宋体" w:hAnsi="宋体" w:cs="宋体"/>
          <w:color w:val="auto"/>
          <w:szCs w:val="21"/>
          <w:highlight w:val="none"/>
        </w:rPr>
        <w:t>6.2</w:t>
      </w:r>
      <w:r>
        <w:rPr>
          <w:rFonts w:hint="eastAsia" w:ascii="宋体" w:hAnsi="宋体" w:cs="宋体"/>
          <w:color w:val="auto"/>
          <w:szCs w:val="21"/>
          <w:highlight w:val="none"/>
        </w:rPr>
        <w:t>经磋商确定最终采购需求和提交最后报价的供应商后，由磋商小组采用综合评分法对提交最后报价的供应商的响应文件和最后报价进行综合评分。</w:t>
      </w:r>
    </w:p>
    <w:p w14:paraId="38F3C8D5">
      <w:pPr>
        <w:keepNext w:val="0"/>
        <w:keepLines w:val="0"/>
        <w:pageBreakBefore w:val="0"/>
        <w:kinsoku/>
        <w:wordWrap/>
        <w:overflowPunct/>
        <w:topLinePunct w:val="0"/>
        <w:autoSpaceDE/>
        <w:autoSpaceDN/>
        <w:bidi w:val="0"/>
        <w:spacing w:line="360" w:lineRule="auto"/>
        <w:ind w:left="0" w:leftChars="0" w:firstLine="367" w:firstLineChars="175"/>
        <w:textAlignment w:val="auto"/>
        <w:rPr>
          <w:rFonts w:hint="eastAsia" w:ascii="宋体" w:hAnsi="宋体" w:cs="宋体"/>
          <w:color w:val="auto"/>
          <w:szCs w:val="21"/>
          <w:highlight w:val="none"/>
        </w:rPr>
      </w:pPr>
      <w:r>
        <w:rPr>
          <w:rFonts w:ascii="宋体" w:hAnsi="宋体" w:cs="宋体"/>
          <w:color w:val="auto"/>
          <w:szCs w:val="21"/>
          <w:highlight w:val="none"/>
        </w:rPr>
        <w:t>6.3</w:t>
      </w:r>
      <w:r>
        <w:rPr>
          <w:rFonts w:hint="eastAsia" w:ascii="宋体" w:hAnsi="宋体" w:cs="宋体"/>
          <w:color w:val="auto"/>
          <w:szCs w:val="21"/>
          <w:highlight w:val="none"/>
        </w:rPr>
        <w:t>评审时，磋商小组各成员应当独立对每个有效响应的文件进行评价、打分，然后汇总每个供应商每项评分因素的得分。</w:t>
      </w:r>
    </w:p>
    <w:p w14:paraId="00D20579">
      <w:pPr>
        <w:keepNext w:val="0"/>
        <w:keepLines w:val="0"/>
        <w:pageBreakBefore w:val="0"/>
        <w:kinsoku/>
        <w:wordWrap/>
        <w:overflowPunct/>
        <w:topLinePunct w:val="0"/>
        <w:autoSpaceDE/>
        <w:autoSpaceDN/>
        <w:bidi w:val="0"/>
        <w:spacing w:line="360" w:lineRule="auto"/>
        <w:ind w:left="0" w:leftChars="0" w:firstLine="367" w:firstLineChars="175"/>
        <w:textAlignment w:val="auto"/>
        <w:rPr>
          <w:rFonts w:hint="eastAsia" w:ascii="宋体" w:hAnsi="宋体" w:cs="宋体"/>
          <w:color w:val="auto"/>
          <w:szCs w:val="21"/>
          <w:highlight w:val="none"/>
        </w:rPr>
      </w:pPr>
      <w:r>
        <w:rPr>
          <w:rFonts w:hint="eastAsia" w:ascii="宋体" w:hAnsi="宋体" w:cs="宋体"/>
          <w:color w:val="auto"/>
          <w:szCs w:val="21"/>
          <w:highlight w:val="none"/>
        </w:rPr>
        <w:t>（1）磋商小组按照磋商文件中规定的评审标准计算各供应商的报价得分。项目评审过程中，不得去掉最后报价中的最高报价和最低报价。</w:t>
      </w:r>
    </w:p>
    <w:p w14:paraId="5A9D0A72">
      <w:pPr>
        <w:keepNext w:val="0"/>
        <w:keepLines w:val="0"/>
        <w:pageBreakBefore w:val="0"/>
        <w:kinsoku/>
        <w:wordWrap/>
        <w:overflowPunct/>
        <w:topLinePunct w:val="0"/>
        <w:autoSpaceDE/>
        <w:autoSpaceDN/>
        <w:bidi w:val="0"/>
        <w:spacing w:line="360" w:lineRule="auto"/>
        <w:ind w:left="0" w:leftChars="0" w:firstLine="367" w:firstLineChars="175"/>
        <w:textAlignment w:val="auto"/>
        <w:rPr>
          <w:rFonts w:ascii="宋体" w:hAnsi="宋体" w:cs="宋体"/>
          <w:color w:val="auto"/>
          <w:szCs w:val="21"/>
          <w:highlight w:val="none"/>
        </w:rPr>
      </w:pPr>
      <w:r>
        <w:rPr>
          <w:rFonts w:hint="eastAsia" w:ascii="宋体" w:hAnsi="宋体" w:cs="宋体"/>
          <w:color w:val="auto"/>
          <w:szCs w:val="21"/>
          <w:highlight w:val="none"/>
        </w:rPr>
        <w:t>（2）各供应商的得分为磋商小组所有成员的有效评分的算术平均数。</w:t>
      </w:r>
    </w:p>
    <w:p w14:paraId="4ABAFBAD">
      <w:pPr>
        <w:keepNext w:val="0"/>
        <w:keepLines w:val="0"/>
        <w:pageBreakBefore w:val="0"/>
        <w:kinsoku/>
        <w:wordWrap/>
        <w:overflowPunct/>
        <w:topLinePunct w:val="0"/>
        <w:autoSpaceDE/>
        <w:autoSpaceDN/>
        <w:bidi w:val="0"/>
        <w:spacing w:line="360" w:lineRule="auto"/>
        <w:ind w:left="0" w:leftChars="0" w:firstLine="367" w:firstLineChars="175"/>
        <w:textAlignment w:val="auto"/>
        <w:rPr>
          <w:rFonts w:ascii="宋体" w:hAnsi="宋体" w:cs="宋体"/>
          <w:color w:val="auto"/>
          <w:szCs w:val="21"/>
          <w:highlight w:val="none"/>
        </w:rPr>
      </w:pPr>
      <w:r>
        <w:rPr>
          <w:rFonts w:ascii="宋体" w:hAnsi="宋体" w:cs="宋体"/>
          <w:color w:val="auto"/>
          <w:szCs w:val="21"/>
          <w:highlight w:val="none"/>
        </w:rPr>
        <w:t>6.4</w:t>
      </w:r>
      <w:r>
        <w:rPr>
          <w:rFonts w:hint="eastAsia" w:ascii="宋体" w:hAnsi="宋体" w:cs="宋体"/>
          <w:color w:val="auto"/>
          <w:szCs w:val="21"/>
          <w:highlight w:val="none"/>
        </w:rPr>
        <w:t>评审价为供应商的最后报价进行政策性扣除后的价格，评审价只是作为评审时使用。最终成交供应商的成交金额等于最后报价（如有修正，以确认修正后的最后报价为准）。</w:t>
      </w:r>
    </w:p>
    <w:p w14:paraId="5B8120FD">
      <w:pPr>
        <w:keepNext w:val="0"/>
        <w:keepLines w:val="0"/>
        <w:pageBreakBefore w:val="0"/>
        <w:kinsoku/>
        <w:wordWrap/>
        <w:overflowPunct/>
        <w:topLinePunct w:val="0"/>
        <w:autoSpaceDE/>
        <w:autoSpaceDN/>
        <w:bidi w:val="0"/>
        <w:spacing w:line="360" w:lineRule="auto"/>
        <w:ind w:left="0" w:leftChars="0" w:firstLine="367" w:firstLineChars="175"/>
        <w:textAlignment w:val="auto"/>
        <w:rPr>
          <w:rFonts w:hint="eastAsia" w:ascii="宋体" w:hAnsi="宋体"/>
          <w:color w:val="auto"/>
          <w:kern w:val="0"/>
          <w:szCs w:val="21"/>
          <w:highlight w:val="none"/>
        </w:rPr>
      </w:pPr>
      <w:r>
        <w:rPr>
          <w:rFonts w:ascii="宋体" w:hAnsi="宋体" w:cs="宋体"/>
          <w:color w:val="auto"/>
          <w:szCs w:val="21"/>
          <w:highlight w:val="none"/>
        </w:rPr>
        <w:t>6.5</w:t>
      </w:r>
      <w:r>
        <w:rPr>
          <w:rFonts w:hint="eastAsia" w:ascii="宋体" w:hAnsi="宋体" w:cs="宋体"/>
          <w:color w:val="auto"/>
          <w:szCs w:val="21"/>
          <w:highlight w:val="none"/>
        </w:rPr>
        <w:t>由磋商小组根据综合评分情况，按照评审得分由高到低顺序推荐3名以上成交候选供应商，并编写评</w:t>
      </w:r>
      <w:r>
        <w:rPr>
          <w:rFonts w:hint="eastAsia" w:ascii="宋体" w:hAnsi="宋体"/>
          <w:color w:val="auto"/>
          <w:kern w:val="0"/>
          <w:szCs w:val="21"/>
          <w:highlight w:val="none"/>
        </w:rPr>
        <w:t>审报告。符合本章第</w:t>
      </w:r>
      <w:r>
        <w:rPr>
          <w:rFonts w:ascii="宋体" w:hAnsi="宋体"/>
          <w:color w:val="auto"/>
          <w:kern w:val="0"/>
          <w:szCs w:val="21"/>
          <w:highlight w:val="none"/>
        </w:rPr>
        <w:t>4.3</w:t>
      </w:r>
      <w:r>
        <w:rPr>
          <w:rFonts w:hint="eastAsia" w:ascii="宋体" w:hAnsi="宋体"/>
          <w:color w:val="auto"/>
          <w:kern w:val="0"/>
          <w:szCs w:val="21"/>
          <w:highlight w:val="none"/>
        </w:rPr>
        <w:t>条情形的，可以推荐2家成交候选供应商。评审得分相同的，按照最后报价由低到高的顺序推荐。评审得分且最后报价相同的，按照技术指标优劣顺序推荐。</w:t>
      </w:r>
    </w:p>
    <w:p w14:paraId="7982CA38">
      <w:pPr>
        <w:keepNext w:val="0"/>
        <w:keepLines w:val="0"/>
        <w:pageBreakBefore w:val="0"/>
        <w:kinsoku/>
        <w:wordWrap/>
        <w:overflowPunct/>
        <w:topLinePunct w:val="0"/>
        <w:autoSpaceDE/>
        <w:autoSpaceDN/>
        <w:bidi w:val="0"/>
        <w:spacing w:line="360" w:lineRule="auto"/>
        <w:ind w:left="0" w:leftChars="0" w:firstLine="367" w:firstLineChars="175"/>
        <w:textAlignment w:val="auto"/>
        <w:rPr>
          <w:rFonts w:hint="eastAsia" w:ascii="宋体" w:hAnsi="宋体" w:cs="宋体"/>
          <w:color w:val="auto"/>
          <w:szCs w:val="21"/>
          <w:highlight w:val="none"/>
        </w:rPr>
      </w:pPr>
      <w:r>
        <w:rPr>
          <w:rFonts w:ascii="宋体" w:hAnsi="宋体"/>
          <w:color w:val="auto"/>
          <w:kern w:val="0"/>
          <w:szCs w:val="21"/>
          <w:highlight w:val="none"/>
        </w:rPr>
        <w:t>6.6</w:t>
      </w:r>
      <w:r>
        <w:rPr>
          <w:rFonts w:hint="eastAsia" w:ascii="宋体" w:hAnsi="宋体"/>
          <w:color w:val="auto"/>
          <w:kern w:val="0"/>
          <w:szCs w:val="21"/>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431D2E7">
      <w:pPr>
        <w:keepNext w:val="0"/>
        <w:keepLines w:val="0"/>
        <w:pageBreakBefore w:val="0"/>
        <w:widowControl/>
        <w:kinsoku/>
        <w:wordWrap/>
        <w:overflowPunct/>
        <w:topLinePunct w:val="0"/>
        <w:autoSpaceDE/>
        <w:autoSpaceDN/>
        <w:bidi w:val="0"/>
        <w:adjustRightInd/>
        <w:snapToGrid/>
        <w:spacing w:line="360" w:lineRule="auto"/>
        <w:ind w:firstLine="426" w:firstLineChars="202"/>
        <w:jc w:val="left"/>
        <w:textAlignment w:val="auto"/>
        <w:rPr>
          <w:b/>
          <w:color w:val="auto"/>
          <w:szCs w:val="21"/>
          <w:highlight w:val="none"/>
        </w:rPr>
      </w:pPr>
    </w:p>
    <w:p w14:paraId="2FBE9E60">
      <w:pPr>
        <w:keepNext w:val="0"/>
        <w:keepLines w:val="0"/>
        <w:pageBreakBefore w:val="0"/>
        <w:kinsoku/>
        <w:wordWrap/>
        <w:overflowPunct/>
        <w:topLinePunct w:val="0"/>
        <w:autoSpaceDE/>
        <w:autoSpaceDN/>
        <w:bidi w:val="0"/>
        <w:adjustRightInd/>
        <w:snapToGrid/>
        <w:spacing w:line="360" w:lineRule="auto"/>
        <w:ind w:left="0" w:leftChars="0" w:firstLine="422" w:firstLineChars="175"/>
        <w:textAlignment w:val="auto"/>
        <w:rPr>
          <w:rFonts w:ascii="黑体" w:hAnsi="黑体" w:eastAsia="黑体" w:cs="宋体"/>
          <w:b/>
          <w:bCs/>
          <w:color w:val="auto"/>
          <w:sz w:val="24"/>
          <w:highlight w:val="none"/>
        </w:rPr>
      </w:pPr>
      <w:r>
        <w:rPr>
          <w:rFonts w:hint="eastAsia" w:ascii="黑体" w:hAnsi="黑体" w:eastAsia="黑体" w:cs="宋体"/>
          <w:b/>
          <w:bCs/>
          <w:color w:val="auto"/>
          <w:sz w:val="24"/>
          <w:highlight w:val="none"/>
        </w:rPr>
        <w:br w:type="page"/>
      </w:r>
      <w:r>
        <w:rPr>
          <w:rFonts w:hint="eastAsia" w:ascii="黑体" w:hAnsi="黑体" w:eastAsia="黑体" w:cs="宋体"/>
          <w:b/>
          <w:bCs/>
          <w:color w:val="auto"/>
          <w:sz w:val="24"/>
          <w:highlight w:val="none"/>
        </w:rPr>
        <w:t>7</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评审标准</w:t>
      </w:r>
    </w:p>
    <w:p w14:paraId="32248899">
      <w:pPr>
        <w:keepNext w:val="0"/>
        <w:keepLines w:val="0"/>
        <w:pageBreakBefore w:val="0"/>
        <w:kinsoku/>
        <w:wordWrap/>
        <w:overflowPunct/>
        <w:topLinePunct w:val="0"/>
        <w:autoSpaceDE/>
        <w:autoSpaceDN/>
        <w:bidi w:val="0"/>
        <w:spacing w:line="360" w:lineRule="auto"/>
        <w:ind w:left="0" w:leftChars="0" w:firstLine="369" w:firstLineChars="175"/>
        <w:textAlignment w:val="auto"/>
        <w:rPr>
          <w:rFonts w:hint="eastAsia" w:ascii="宋体" w:hAnsi="宋体"/>
          <w:bCs/>
          <w:color w:val="auto"/>
          <w:szCs w:val="21"/>
          <w:highlight w:val="none"/>
        </w:rPr>
      </w:pPr>
      <w:r>
        <w:rPr>
          <w:rFonts w:hint="eastAsia" w:ascii="宋体" w:hAnsi="宋体"/>
          <w:b/>
          <w:color w:val="auto"/>
          <w:highlight w:val="none"/>
        </w:rPr>
        <w:t>7.</w:t>
      </w:r>
      <w:r>
        <w:rPr>
          <w:rFonts w:hint="eastAsia" w:ascii="宋体" w:hAnsi="宋体"/>
          <w:bCs/>
          <w:color w:val="auto"/>
          <w:szCs w:val="21"/>
          <w:highlight w:val="none"/>
        </w:rPr>
        <w:t>1评审依据：磋商小组将以磋商响应文件为评审依据，对供应商的报价、技术、商务等方面内容按百分制打分。（计分方法按四舍五入取至百分位）</w:t>
      </w:r>
    </w:p>
    <w:tbl>
      <w:tblPr>
        <w:tblStyle w:val="28"/>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090"/>
        <w:gridCol w:w="6865"/>
        <w:gridCol w:w="742"/>
      </w:tblGrid>
      <w:tr w14:paraId="409FD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tcBorders>
              <w:top w:val="single" w:color="auto" w:sz="4" w:space="0"/>
              <w:left w:val="single" w:color="auto" w:sz="4" w:space="0"/>
              <w:bottom w:val="single" w:color="auto" w:sz="4" w:space="0"/>
              <w:right w:val="single" w:color="auto" w:sz="4" w:space="0"/>
            </w:tcBorders>
            <w:noWrap w:val="0"/>
            <w:vAlign w:val="center"/>
          </w:tcPr>
          <w:p w14:paraId="51A43A52">
            <w:pPr>
              <w:keepNext w:val="0"/>
              <w:keepLines w:val="0"/>
              <w:pageBreakBefore w:val="0"/>
              <w:widowControl/>
              <w:kinsoku/>
              <w:wordWrap/>
              <w:overflowPunct/>
              <w:topLinePunct w:val="0"/>
              <w:autoSpaceDE/>
              <w:autoSpaceDN/>
              <w:bidi w:val="0"/>
              <w:snapToGrid/>
              <w:spacing w:line="360" w:lineRule="auto"/>
              <w:ind w:left="0" w:leftChars="0" w:right="0" w:rightChars="0" w:firstLine="0" w:firstLineChars="0"/>
              <w:jc w:val="center"/>
              <w:rPr>
                <w:rFonts w:hint="eastAsia" w:ascii="宋体" w:hAnsi="宋体" w:eastAsia="宋体" w:cs="宋体"/>
                <w:b/>
                <w:bCs/>
                <w:color w:val="auto"/>
                <w:kern w:val="0"/>
                <w:sz w:val="21"/>
                <w:szCs w:val="21"/>
                <w:highlight w:val="none"/>
              </w:rPr>
            </w:pPr>
            <w:bookmarkStart w:id="52" w:name="_Toc80205935"/>
            <w:r>
              <w:rPr>
                <w:rFonts w:hint="eastAsia" w:ascii="宋体" w:hAnsi="宋体" w:eastAsia="宋体" w:cs="宋体"/>
                <w:b/>
                <w:bCs/>
                <w:color w:val="auto"/>
                <w:kern w:val="0"/>
                <w:sz w:val="21"/>
                <w:szCs w:val="21"/>
                <w:highlight w:val="none"/>
              </w:rPr>
              <w:t>序号</w:t>
            </w:r>
          </w:p>
        </w:tc>
        <w:tc>
          <w:tcPr>
            <w:tcW w:w="1090" w:type="dxa"/>
            <w:tcBorders>
              <w:top w:val="single" w:color="auto" w:sz="4" w:space="0"/>
              <w:left w:val="nil"/>
              <w:bottom w:val="single" w:color="auto" w:sz="4" w:space="0"/>
              <w:right w:val="single" w:color="auto" w:sz="4" w:space="0"/>
            </w:tcBorders>
            <w:noWrap w:val="0"/>
            <w:vAlign w:val="center"/>
          </w:tcPr>
          <w:p w14:paraId="0B1B2BCC">
            <w:pPr>
              <w:keepNext w:val="0"/>
              <w:keepLines w:val="0"/>
              <w:pageBreakBefore w:val="0"/>
              <w:widowControl/>
              <w:kinsoku/>
              <w:wordWrap/>
              <w:overflowPunct/>
              <w:topLinePunct w:val="0"/>
              <w:autoSpaceDE/>
              <w:autoSpaceDN/>
              <w:bidi w:val="0"/>
              <w:snapToGrid/>
              <w:spacing w:line="360" w:lineRule="auto"/>
              <w:ind w:left="0" w:leftChars="0" w:right="0" w:rightChars="0" w:firstLine="0" w:firstLineChars="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评审因素</w:t>
            </w:r>
          </w:p>
        </w:tc>
        <w:tc>
          <w:tcPr>
            <w:tcW w:w="6865" w:type="dxa"/>
            <w:tcBorders>
              <w:top w:val="single" w:color="auto" w:sz="4" w:space="0"/>
              <w:left w:val="nil"/>
              <w:bottom w:val="single" w:color="auto" w:sz="4" w:space="0"/>
              <w:right w:val="single" w:color="auto" w:sz="4" w:space="0"/>
            </w:tcBorders>
            <w:noWrap w:val="0"/>
            <w:vAlign w:val="center"/>
          </w:tcPr>
          <w:p w14:paraId="033DEB59">
            <w:pPr>
              <w:keepNext w:val="0"/>
              <w:keepLines w:val="0"/>
              <w:pageBreakBefore w:val="0"/>
              <w:widowControl/>
              <w:kinsoku/>
              <w:wordWrap/>
              <w:overflowPunct/>
              <w:topLinePunct w:val="0"/>
              <w:autoSpaceDE/>
              <w:autoSpaceDN/>
              <w:bidi w:val="0"/>
              <w:snapToGrid/>
              <w:spacing w:line="360" w:lineRule="auto"/>
              <w:ind w:left="0" w:leftChars="0" w:right="0" w:rightChars="0" w:firstLine="0" w:firstLineChars="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评审因素具体内容</w:t>
            </w:r>
          </w:p>
        </w:tc>
        <w:tc>
          <w:tcPr>
            <w:tcW w:w="742" w:type="dxa"/>
            <w:tcBorders>
              <w:top w:val="single" w:color="auto" w:sz="4" w:space="0"/>
              <w:left w:val="nil"/>
              <w:bottom w:val="single" w:color="auto" w:sz="4" w:space="0"/>
              <w:right w:val="single" w:color="auto" w:sz="4" w:space="0"/>
            </w:tcBorders>
            <w:noWrap w:val="0"/>
            <w:vAlign w:val="center"/>
          </w:tcPr>
          <w:p w14:paraId="2154EBC6">
            <w:pPr>
              <w:keepNext w:val="0"/>
              <w:keepLines w:val="0"/>
              <w:pageBreakBefore w:val="0"/>
              <w:widowControl/>
              <w:kinsoku/>
              <w:wordWrap/>
              <w:overflowPunct/>
              <w:topLinePunct w:val="0"/>
              <w:autoSpaceDE/>
              <w:autoSpaceDN/>
              <w:bidi w:val="0"/>
              <w:snapToGrid/>
              <w:spacing w:line="360" w:lineRule="auto"/>
              <w:ind w:left="0" w:leftChars="0" w:right="0" w:rightChars="0" w:firstLine="0" w:firstLineChars="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分值</w:t>
            </w:r>
          </w:p>
        </w:tc>
      </w:tr>
      <w:tr w14:paraId="2ADC7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tcBorders>
              <w:top w:val="single" w:color="auto" w:sz="4" w:space="0"/>
              <w:left w:val="single" w:color="auto" w:sz="4" w:space="0"/>
              <w:bottom w:val="single" w:color="auto" w:sz="4" w:space="0"/>
              <w:right w:val="single" w:color="auto" w:sz="4" w:space="0"/>
            </w:tcBorders>
            <w:noWrap w:val="0"/>
            <w:vAlign w:val="center"/>
          </w:tcPr>
          <w:p w14:paraId="5CA9266B">
            <w:pPr>
              <w:keepNext w:val="0"/>
              <w:keepLines w:val="0"/>
              <w:pageBreakBefore w:val="0"/>
              <w:widowControl/>
              <w:kinsoku/>
              <w:wordWrap/>
              <w:overflowPunct/>
              <w:topLinePunct w:val="0"/>
              <w:autoSpaceDE/>
              <w:autoSpaceDN/>
              <w:bidi w:val="0"/>
              <w:snapToGrid/>
              <w:spacing w:line="360" w:lineRule="auto"/>
              <w:ind w:left="0" w:leftChars="0" w:right="0" w:rightChars="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090" w:type="dxa"/>
            <w:tcBorders>
              <w:top w:val="single" w:color="auto" w:sz="4" w:space="0"/>
              <w:left w:val="nil"/>
              <w:bottom w:val="single" w:color="auto" w:sz="4" w:space="0"/>
              <w:right w:val="single" w:color="auto" w:sz="4" w:space="0"/>
            </w:tcBorders>
            <w:noWrap w:val="0"/>
            <w:vAlign w:val="center"/>
          </w:tcPr>
          <w:p w14:paraId="3AE9DC03">
            <w:pPr>
              <w:keepNext w:val="0"/>
              <w:keepLines w:val="0"/>
              <w:pageBreakBefore w:val="0"/>
              <w:widowControl/>
              <w:kinsoku/>
              <w:wordWrap/>
              <w:overflowPunct/>
              <w:topLinePunct w:val="0"/>
              <w:autoSpaceDE/>
              <w:autoSpaceDN/>
              <w:bidi w:val="0"/>
              <w:snapToGrid/>
              <w:spacing w:line="360" w:lineRule="auto"/>
              <w:ind w:left="0" w:leftChars="0" w:right="0" w:rightChars="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价格分</w:t>
            </w:r>
          </w:p>
        </w:tc>
        <w:tc>
          <w:tcPr>
            <w:tcW w:w="6865" w:type="dxa"/>
            <w:tcBorders>
              <w:top w:val="single" w:color="auto" w:sz="4" w:space="0"/>
              <w:left w:val="nil"/>
              <w:bottom w:val="single" w:color="auto" w:sz="4" w:space="0"/>
              <w:right w:val="single" w:color="auto" w:sz="4" w:space="0"/>
            </w:tcBorders>
            <w:noWrap w:val="0"/>
            <w:vAlign w:val="center"/>
          </w:tcPr>
          <w:p w14:paraId="5C917624">
            <w:pPr>
              <w:keepNext w:val="0"/>
              <w:keepLines w:val="0"/>
              <w:pageBreakBefore w:val="0"/>
              <w:kinsoku/>
              <w:wordWrap/>
              <w:overflowPunct/>
              <w:topLinePunct w:val="0"/>
              <w:autoSpaceDE/>
              <w:autoSpaceDN/>
              <w:bidi w:val="0"/>
              <w:snapToGrid/>
              <w:spacing w:line="360" w:lineRule="auto"/>
              <w:ind w:left="0" w:leftChars="0" w:right="0" w:righ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color w:val="auto"/>
                <w:sz w:val="21"/>
                <w:szCs w:val="21"/>
                <w:highlight w:val="none"/>
              </w:rPr>
              <w:t>评审报价为供应商的最后报价进行政策性扣除后的价格，评审报价只是作为评审时使用。最终成交供应商的成交金额等于最后报价（如有修正，以确认修正后的最后报价为准）。</w:t>
            </w:r>
          </w:p>
          <w:p w14:paraId="601C9540">
            <w:pPr>
              <w:pStyle w:val="16"/>
              <w:keepNext w:val="0"/>
              <w:keepLines w:val="0"/>
              <w:pageBreakBefore w:val="0"/>
              <w:kinsoku/>
              <w:wordWrap/>
              <w:overflowPunct/>
              <w:topLinePunct w:val="0"/>
              <w:autoSpaceDE/>
              <w:autoSpaceDN/>
              <w:bidi w:val="0"/>
              <w:snapToGrid/>
              <w:spacing w:line="360" w:lineRule="auto"/>
              <w:ind w:left="0" w:leftChars="0" w:right="0" w:righ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bCs/>
                <w:color w:val="auto"/>
                <w:kern w:val="2"/>
                <w:sz w:val="21"/>
                <w:szCs w:val="21"/>
                <w:highlight w:val="none"/>
              </w:rPr>
              <w:t>2.政府采购政策性扣除计算方法</w:t>
            </w:r>
          </w:p>
          <w:p w14:paraId="0B2CCA48">
            <w:pPr>
              <w:pStyle w:val="16"/>
              <w:keepNext w:val="0"/>
              <w:keepLines w:val="0"/>
              <w:pageBreakBefore w:val="0"/>
              <w:kinsoku/>
              <w:wordWrap/>
              <w:overflowPunct/>
              <w:topLinePunct w:val="0"/>
              <w:autoSpaceDE/>
              <w:autoSpaceDN/>
              <w:bidi w:val="0"/>
              <w:snapToGrid/>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本项目为专门面向中小企业采购项目，不执行价格扣除优惠政策，评审报价＝最后报价。</w:t>
            </w:r>
          </w:p>
          <w:p w14:paraId="0F6ED857">
            <w:pPr>
              <w:pStyle w:val="16"/>
              <w:keepNext w:val="0"/>
              <w:keepLines w:val="0"/>
              <w:pageBreakBefore w:val="0"/>
              <w:kinsoku/>
              <w:wordWrap/>
              <w:overflowPunct/>
              <w:topLinePunct w:val="0"/>
              <w:autoSpaceDE/>
              <w:autoSpaceDN/>
              <w:bidi w:val="0"/>
              <w:snapToGrid/>
              <w:spacing w:line="360" w:lineRule="auto"/>
              <w:ind w:left="0" w:leftChars="0" w:right="0" w:rightChars="0" w:firstLine="0" w:firstLineChars="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w:t>
            </w:r>
            <w:r>
              <w:rPr>
                <w:rFonts w:hint="eastAsia" w:ascii="宋体" w:hAnsi="宋体" w:eastAsia="宋体" w:cs="宋体"/>
                <w:bCs/>
                <w:color w:val="auto"/>
                <w:kern w:val="2"/>
                <w:sz w:val="21"/>
                <w:szCs w:val="21"/>
                <w:highlight w:val="none"/>
                <w:lang w:val="en-US" w:eastAsia="zh-CN"/>
              </w:rPr>
              <w:t>2</w:t>
            </w:r>
            <w:r>
              <w:rPr>
                <w:rFonts w:hint="eastAsia" w:ascii="宋体" w:hAnsi="宋体" w:eastAsia="宋体" w:cs="宋体"/>
                <w:bCs/>
                <w:color w:val="auto"/>
                <w:kern w:val="2"/>
                <w:sz w:val="21"/>
                <w:szCs w:val="21"/>
                <w:highlight w:val="none"/>
              </w:rPr>
              <w:t>）以进入比较与评价环节的最低的评审报价为基准价，基准价得分为</w:t>
            </w:r>
            <w:r>
              <w:rPr>
                <w:rFonts w:hint="eastAsia" w:ascii="宋体" w:hAnsi="宋体" w:eastAsia="宋体" w:cs="宋体"/>
                <w:bCs/>
                <w:color w:val="auto"/>
                <w:kern w:val="2"/>
                <w:sz w:val="21"/>
                <w:szCs w:val="21"/>
                <w:highlight w:val="none"/>
                <w:u w:val="single"/>
              </w:rPr>
              <w:t>1</w:t>
            </w:r>
            <w:r>
              <w:rPr>
                <w:rFonts w:hint="eastAsia" w:ascii="宋体" w:hAnsi="宋体" w:eastAsia="宋体" w:cs="宋体"/>
                <w:bCs/>
                <w:color w:val="auto"/>
                <w:kern w:val="2"/>
                <w:sz w:val="21"/>
                <w:szCs w:val="21"/>
                <w:highlight w:val="none"/>
                <w:u w:val="single"/>
                <w:lang w:val="en-US" w:eastAsia="zh-CN"/>
              </w:rPr>
              <w:t>6</w:t>
            </w:r>
            <w:r>
              <w:rPr>
                <w:rFonts w:hint="eastAsia" w:ascii="宋体" w:hAnsi="宋体" w:eastAsia="宋体" w:cs="宋体"/>
                <w:bCs/>
                <w:color w:val="auto"/>
                <w:kern w:val="2"/>
                <w:sz w:val="21"/>
                <w:szCs w:val="21"/>
                <w:highlight w:val="none"/>
                <w:u w:val="single"/>
              </w:rPr>
              <w:t>分</w:t>
            </w:r>
            <w:r>
              <w:rPr>
                <w:rFonts w:hint="eastAsia" w:ascii="宋体" w:hAnsi="宋体" w:eastAsia="宋体" w:cs="宋体"/>
                <w:bCs/>
                <w:color w:val="auto"/>
                <w:kern w:val="2"/>
                <w:sz w:val="21"/>
                <w:szCs w:val="21"/>
                <w:highlight w:val="none"/>
              </w:rPr>
              <w:t>。</w:t>
            </w:r>
          </w:p>
          <w:p w14:paraId="78A7D9CE">
            <w:pPr>
              <w:pStyle w:val="16"/>
              <w:keepNext w:val="0"/>
              <w:keepLines w:val="0"/>
              <w:pageBreakBefore w:val="0"/>
              <w:kinsoku/>
              <w:wordWrap/>
              <w:overflowPunct/>
              <w:topLinePunct w:val="0"/>
              <w:autoSpaceDE/>
              <w:autoSpaceDN/>
              <w:bidi w:val="0"/>
              <w:snapToGrid/>
              <w:spacing w:line="360" w:lineRule="auto"/>
              <w:ind w:left="0" w:leftChars="0" w:right="0" w:rightChars="0" w:firstLine="0" w:firstLineChars="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w:t>
            </w:r>
            <w:r>
              <w:rPr>
                <w:rFonts w:hint="eastAsia" w:ascii="宋体" w:hAnsi="宋体" w:eastAsia="宋体" w:cs="宋体"/>
                <w:bCs/>
                <w:color w:val="auto"/>
                <w:kern w:val="2"/>
                <w:sz w:val="21"/>
                <w:szCs w:val="21"/>
                <w:highlight w:val="none"/>
                <w:lang w:val="en-US" w:eastAsia="zh-CN"/>
              </w:rPr>
              <w:t>3</w:t>
            </w:r>
            <w:r>
              <w:rPr>
                <w:rFonts w:hint="eastAsia" w:ascii="宋体" w:hAnsi="宋体" w:eastAsia="宋体" w:cs="宋体"/>
                <w:bCs/>
                <w:color w:val="auto"/>
                <w:kern w:val="2"/>
                <w:sz w:val="21"/>
                <w:szCs w:val="21"/>
                <w:highlight w:val="none"/>
              </w:rPr>
              <w:t>）价格分计算公式：</w:t>
            </w:r>
          </w:p>
          <w:p w14:paraId="294F8E86">
            <w:pPr>
              <w:pStyle w:val="16"/>
              <w:keepNext w:val="0"/>
              <w:keepLines w:val="0"/>
              <w:pageBreakBefore w:val="0"/>
              <w:kinsoku/>
              <w:wordWrap/>
              <w:overflowPunct/>
              <w:topLinePunct w:val="0"/>
              <w:autoSpaceDE/>
              <w:autoSpaceDN/>
              <w:bidi w:val="0"/>
              <w:snapToGrid/>
              <w:spacing w:line="360" w:lineRule="auto"/>
              <w:ind w:left="0" w:leftChars="0" w:right="0" w:rightChars="0" w:firstLine="0" w:firstLineChars="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报价得分=（基准价/最后报价）×</w:t>
            </w:r>
            <w:r>
              <w:rPr>
                <w:rFonts w:hint="eastAsia" w:ascii="宋体" w:hAnsi="宋体" w:eastAsia="宋体" w:cs="宋体"/>
                <w:bCs/>
                <w:color w:val="auto"/>
                <w:kern w:val="2"/>
                <w:sz w:val="21"/>
                <w:szCs w:val="21"/>
                <w:highlight w:val="none"/>
                <w:u w:val="single"/>
              </w:rPr>
              <w:t>1</w:t>
            </w:r>
            <w:r>
              <w:rPr>
                <w:rFonts w:hint="eastAsia" w:ascii="宋体" w:hAnsi="宋体" w:eastAsia="宋体" w:cs="宋体"/>
                <w:bCs/>
                <w:color w:val="auto"/>
                <w:kern w:val="2"/>
                <w:sz w:val="21"/>
                <w:szCs w:val="21"/>
                <w:highlight w:val="none"/>
                <w:u w:val="single"/>
                <w:lang w:val="en-US" w:eastAsia="zh-CN"/>
              </w:rPr>
              <w:t>6</w:t>
            </w:r>
            <w:r>
              <w:rPr>
                <w:rFonts w:hint="eastAsia" w:ascii="宋体" w:hAnsi="宋体" w:eastAsia="宋体" w:cs="宋体"/>
                <w:bCs/>
                <w:color w:val="auto"/>
                <w:kern w:val="2"/>
                <w:sz w:val="21"/>
                <w:szCs w:val="21"/>
                <w:highlight w:val="none"/>
                <w:u w:val="single"/>
              </w:rPr>
              <w:t>分</w:t>
            </w:r>
          </w:p>
        </w:tc>
        <w:tc>
          <w:tcPr>
            <w:tcW w:w="742" w:type="dxa"/>
            <w:tcBorders>
              <w:top w:val="single" w:color="auto" w:sz="4" w:space="0"/>
              <w:left w:val="nil"/>
              <w:bottom w:val="single" w:color="auto" w:sz="4" w:space="0"/>
              <w:right w:val="single" w:color="auto" w:sz="4" w:space="0"/>
            </w:tcBorders>
            <w:noWrap w:val="0"/>
            <w:vAlign w:val="center"/>
          </w:tcPr>
          <w:p w14:paraId="4765F511">
            <w:pPr>
              <w:keepNext w:val="0"/>
              <w:keepLines w:val="0"/>
              <w:pageBreakBefore w:val="0"/>
              <w:widowControl/>
              <w:kinsoku/>
              <w:wordWrap/>
              <w:overflowPunct/>
              <w:topLinePunct w:val="0"/>
              <w:autoSpaceDE/>
              <w:autoSpaceDN/>
              <w:bidi w:val="0"/>
              <w:snapToGrid/>
              <w:spacing w:line="360" w:lineRule="auto"/>
              <w:ind w:left="0" w:leftChars="0" w:right="0" w:rightChars="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满分</w:t>
            </w: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分</w:t>
            </w:r>
          </w:p>
        </w:tc>
      </w:tr>
      <w:tr w14:paraId="7E677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tcBorders>
              <w:top w:val="single" w:color="auto" w:sz="4" w:space="0"/>
              <w:left w:val="single" w:color="auto" w:sz="4" w:space="0"/>
              <w:bottom w:val="single" w:color="auto" w:sz="4" w:space="0"/>
              <w:right w:val="single" w:color="auto" w:sz="4" w:space="0"/>
            </w:tcBorders>
            <w:noWrap w:val="0"/>
            <w:vAlign w:val="center"/>
          </w:tcPr>
          <w:p w14:paraId="2EFB62EB">
            <w:pPr>
              <w:keepNext w:val="0"/>
              <w:keepLines w:val="0"/>
              <w:pageBreakBefore w:val="0"/>
              <w:widowControl/>
              <w:kinsoku/>
              <w:wordWrap/>
              <w:overflowPunct/>
              <w:topLinePunct w:val="0"/>
              <w:autoSpaceDE/>
              <w:autoSpaceDN/>
              <w:bidi w:val="0"/>
              <w:snapToGrid/>
              <w:spacing w:line="360" w:lineRule="auto"/>
              <w:ind w:left="0" w:leftChars="0" w:right="0" w:rightChars="0" w:firstLine="0" w:firstLineChars="0"/>
              <w:jc w:val="center"/>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rPr>
              <w:t>2</w:t>
            </w:r>
          </w:p>
        </w:tc>
        <w:tc>
          <w:tcPr>
            <w:tcW w:w="1090" w:type="dxa"/>
            <w:tcBorders>
              <w:top w:val="single" w:color="auto" w:sz="4" w:space="0"/>
              <w:left w:val="nil"/>
              <w:bottom w:val="single" w:color="auto" w:sz="4" w:space="0"/>
              <w:right w:val="single" w:color="auto" w:sz="4" w:space="0"/>
            </w:tcBorders>
            <w:noWrap w:val="0"/>
            <w:vAlign w:val="center"/>
          </w:tcPr>
          <w:p w14:paraId="1936C5E3">
            <w:pPr>
              <w:keepNext w:val="0"/>
              <w:keepLines w:val="0"/>
              <w:pageBreakBefore w:val="0"/>
              <w:widowControl/>
              <w:kinsoku/>
              <w:wordWrap/>
              <w:overflowPunct/>
              <w:topLinePunct w:val="0"/>
              <w:autoSpaceDE/>
              <w:autoSpaceDN/>
              <w:bidi w:val="0"/>
              <w:snapToGrid/>
              <w:spacing w:line="360" w:lineRule="auto"/>
              <w:ind w:left="0" w:leftChars="0" w:right="0" w:rightChars="0" w:firstLine="0" w:firstLineChars="0"/>
              <w:jc w:val="center"/>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rPr>
              <w:t>技术分</w:t>
            </w:r>
          </w:p>
        </w:tc>
        <w:tc>
          <w:tcPr>
            <w:tcW w:w="7607" w:type="dxa"/>
            <w:gridSpan w:val="2"/>
            <w:tcBorders>
              <w:top w:val="single" w:color="auto" w:sz="4" w:space="0"/>
              <w:left w:val="nil"/>
              <w:bottom w:val="single" w:color="auto" w:sz="4" w:space="0"/>
              <w:right w:val="single" w:color="auto" w:sz="4" w:space="0"/>
            </w:tcBorders>
            <w:noWrap w:val="0"/>
            <w:vAlign w:val="center"/>
          </w:tcPr>
          <w:p w14:paraId="4ACC99EF">
            <w:pPr>
              <w:keepNext w:val="0"/>
              <w:keepLines w:val="0"/>
              <w:pageBreakBefore w:val="0"/>
              <w:widowControl/>
              <w:kinsoku/>
              <w:wordWrap/>
              <w:overflowPunct/>
              <w:topLinePunct w:val="0"/>
              <w:autoSpaceDE/>
              <w:autoSpaceDN/>
              <w:bidi w:val="0"/>
              <w:snapToGrid/>
              <w:spacing w:line="360" w:lineRule="auto"/>
              <w:ind w:left="0" w:leftChars="0" w:right="0" w:rightChars="0" w:firstLine="0" w:firstLineChars="0"/>
              <w:jc w:val="center"/>
              <w:rPr>
                <w:rFonts w:hint="eastAsia" w:ascii="宋体" w:hAnsi="宋体" w:eastAsia="宋体" w:cs="宋体"/>
                <w:b/>
                <w:bCs w:val="0"/>
                <w:color w:val="auto"/>
                <w:kern w:val="0"/>
                <w:sz w:val="21"/>
                <w:szCs w:val="21"/>
                <w:highlight w:val="none"/>
                <w:lang w:val="en-US"/>
              </w:rPr>
            </w:pPr>
            <w:r>
              <w:rPr>
                <w:rFonts w:hint="eastAsia" w:ascii="宋体" w:hAnsi="宋体" w:eastAsia="宋体" w:cs="宋体"/>
                <w:color w:val="auto"/>
                <w:kern w:val="0"/>
                <w:sz w:val="21"/>
                <w:szCs w:val="21"/>
                <w:highlight w:val="none"/>
                <w:lang w:eastAsia="zh-CN"/>
              </w:rPr>
              <w:t>满分</w:t>
            </w:r>
            <w:r>
              <w:rPr>
                <w:rFonts w:hint="eastAsia" w:ascii="宋体" w:hAnsi="宋体" w:eastAsia="宋体" w:cs="宋体"/>
                <w:color w:val="auto"/>
                <w:kern w:val="0"/>
                <w:sz w:val="21"/>
                <w:szCs w:val="21"/>
                <w:highlight w:val="none"/>
                <w:lang w:val="en-US" w:eastAsia="zh-CN"/>
              </w:rPr>
              <w:t>51分</w:t>
            </w:r>
          </w:p>
        </w:tc>
      </w:tr>
      <w:tr w14:paraId="60E4B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33" w:type="dxa"/>
            <w:tcBorders>
              <w:top w:val="single" w:color="auto" w:sz="4" w:space="0"/>
              <w:left w:val="single" w:color="auto" w:sz="4" w:space="0"/>
              <w:bottom w:val="single" w:color="auto" w:sz="4" w:space="0"/>
              <w:right w:val="single" w:color="auto" w:sz="4" w:space="0"/>
            </w:tcBorders>
            <w:noWrap w:val="0"/>
            <w:vAlign w:val="center"/>
          </w:tcPr>
          <w:p w14:paraId="492C0AE5">
            <w:pPr>
              <w:keepNext w:val="0"/>
              <w:keepLines w:val="0"/>
              <w:pageBreakBefore w:val="0"/>
              <w:kinsoku/>
              <w:wordWrap/>
              <w:overflowPunct/>
              <w:topLinePunct w:val="0"/>
              <w:autoSpaceDE/>
              <w:autoSpaceDN/>
              <w:bidi w:val="0"/>
              <w:adjustRightInd w:val="0"/>
              <w:snapToGrid/>
              <w:spacing w:line="360" w:lineRule="auto"/>
              <w:ind w:left="0" w:leftChars="0" w:right="0" w:rightChars="0" w:firstLine="0" w:firstLineChars="0"/>
              <w:jc w:val="center"/>
              <w:textAlignment w:val="baseline"/>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2.1</w:t>
            </w:r>
          </w:p>
        </w:tc>
        <w:tc>
          <w:tcPr>
            <w:tcW w:w="1090" w:type="dxa"/>
            <w:tcBorders>
              <w:top w:val="single" w:color="auto" w:sz="4" w:space="0"/>
              <w:left w:val="nil"/>
              <w:bottom w:val="single" w:color="auto" w:sz="4" w:space="0"/>
              <w:right w:val="single" w:color="auto" w:sz="4" w:space="0"/>
            </w:tcBorders>
            <w:noWrap w:val="0"/>
            <w:vAlign w:val="center"/>
          </w:tcPr>
          <w:p w14:paraId="03FF5685">
            <w:pPr>
              <w:keepNext w:val="0"/>
              <w:keepLines w:val="0"/>
              <w:pageBreakBefore w:val="0"/>
              <w:kinsoku/>
              <w:wordWrap/>
              <w:overflowPunct/>
              <w:topLinePunct w:val="0"/>
              <w:autoSpaceDE/>
              <w:autoSpaceDN/>
              <w:bidi w:val="0"/>
              <w:adjustRightInd w:val="0"/>
              <w:snapToGrid/>
              <w:spacing w:line="360" w:lineRule="auto"/>
              <w:ind w:left="0" w:leftChars="0" w:right="0" w:rightChars="0" w:firstLine="0" w:firstLineChars="0"/>
              <w:jc w:val="center"/>
              <w:textAlignment w:val="baseline"/>
              <w:rPr>
                <w:rFonts w:hint="eastAsia" w:ascii="宋体" w:hAnsi="宋体" w:eastAsia="宋体" w:cs="宋体"/>
                <w:bCs/>
                <w:color w:val="auto"/>
                <w:kern w:val="0"/>
                <w:sz w:val="21"/>
                <w:szCs w:val="21"/>
                <w:highlight w:val="none"/>
                <w:lang w:eastAsia="zh-CN"/>
              </w:rPr>
            </w:pPr>
            <w:r>
              <w:rPr>
                <w:rFonts w:hint="eastAsia" w:ascii="宋体" w:hAnsi="宋体" w:eastAsia="宋体" w:cs="宋体"/>
                <w:color w:val="auto"/>
                <w:kern w:val="0"/>
                <w:sz w:val="21"/>
                <w:szCs w:val="21"/>
                <w:highlight w:val="none"/>
              </w:rPr>
              <w:t>运维服务方案</w:t>
            </w:r>
          </w:p>
        </w:tc>
        <w:tc>
          <w:tcPr>
            <w:tcW w:w="6865" w:type="dxa"/>
            <w:tcBorders>
              <w:top w:val="single" w:color="auto" w:sz="4" w:space="0"/>
              <w:left w:val="nil"/>
              <w:bottom w:val="single" w:color="auto" w:sz="4" w:space="0"/>
              <w:right w:val="single" w:color="auto" w:sz="4" w:space="0"/>
            </w:tcBorders>
            <w:noWrap w:val="0"/>
            <w:vAlign w:val="center"/>
          </w:tcPr>
          <w:p w14:paraId="654800A0">
            <w:pPr>
              <w:keepNext w:val="0"/>
              <w:keepLines w:val="0"/>
              <w:pageBreakBefore w:val="0"/>
              <w:widowControl/>
              <w:kinsoku/>
              <w:wordWrap/>
              <w:overflowPunct/>
              <w:topLinePunct w:val="0"/>
              <w:autoSpaceDE/>
              <w:autoSpaceDN/>
              <w:bidi w:val="0"/>
              <w:snapToGrid/>
              <w:spacing w:line="360" w:lineRule="auto"/>
              <w:ind w:firstLine="420" w:firstLineChars="20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未提供</w:t>
            </w:r>
            <w:r>
              <w:rPr>
                <w:rFonts w:hint="eastAsia" w:ascii="宋体" w:hAnsi="宋体" w:eastAsia="宋体" w:cs="宋体"/>
                <w:color w:val="auto"/>
                <w:kern w:val="0"/>
                <w:sz w:val="21"/>
                <w:szCs w:val="21"/>
                <w:highlight w:val="none"/>
              </w:rPr>
              <w:t>运维服务方案</w:t>
            </w:r>
            <w:r>
              <w:rPr>
                <w:rFonts w:hint="eastAsia" w:ascii="宋体" w:hAnsi="宋体" w:eastAsia="宋体" w:cs="宋体"/>
                <w:color w:val="auto"/>
                <w:kern w:val="0"/>
                <w:sz w:val="21"/>
                <w:szCs w:val="21"/>
                <w:highlight w:val="none"/>
                <w:lang w:eastAsia="zh-CN"/>
              </w:rPr>
              <w:t>或</w:t>
            </w:r>
            <w:r>
              <w:rPr>
                <w:rFonts w:hint="eastAsia" w:ascii="宋体" w:hAnsi="宋体" w:eastAsia="宋体" w:cs="宋体"/>
                <w:color w:val="auto"/>
                <w:kern w:val="0"/>
                <w:sz w:val="21"/>
                <w:szCs w:val="21"/>
                <w:highlight w:val="none"/>
              </w:rPr>
              <w:t>不满足最低进档要求的得0分</w:t>
            </w:r>
            <w:r>
              <w:rPr>
                <w:rFonts w:hint="eastAsia" w:ascii="宋体" w:hAnsi="宋体" w:eastAsia="宋体" w:cs="宋体"/>
                <w:color w:val="auto"/>
                <w:kern w:val="0"/>
                <w:sz w:val="21"/>
                <w:szCs w:val="21"/>
                <w:highlight w:val="none"/>
                <w:lang w:eastAsia="zh-CN"/>
              </w:rPr>
              <w:t>。</w:t>
            </w:r>
          </w:p>
          <w:p w14:paraId="54C31C30">
            <w:pPr>
              <w:keepNext w:val="0"/>
              <w:keepLines w:val="0"/>
              <w:pageBreakBefore w:val="0"/>
              <w:widowControl/>
              <w:kinsoku/>
              <w:wordWrap/>
              <w:overflowPunct/>
              <w:topLinePunct w:val="0"/>
              <w:autoSpaceDE/>
              <w:autoSpaceDN/>
              <w:bidi w:val="0"/>
              <w:snapToGrid/>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一档（6分）： 满足采购文件运维服务实质性要求和条件确保设备正常运行，提供有服务方案，方案包含有项目运维和应急保障方案，提供故障处理流程、维护保障流程及组织架构的。</w:t>
            </w:r>
          </w:p>
          <w:p w14:paraId="0AACF23B">
            <w:pPr>
              <w:keepNext w:val="0"/>
              <w:keepLines w:val="0"/>
              <w:pageBreakBefore w:val="0"/>
              <w:widowControl/>
              <w:kinsoku/>
              <w:wordWrap/>
              <w:overflowPunct/>
              <w:topLinePunct w:val="0"/>
              <w:autoSpaceDE/>
              <w:autoSpaceDN/>
              <w:bidi w:val="0"/>
              <w:snapToGrid/>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二档（12分）：满足采购文件运维服务实质性要求和条件的，在系统维护、响应时间有完整方案，保证设备正常运行，提供故障处理流程、维护保障流程及组织架构，提供7×24小时服务电话。</w:t>
            </w:r>
          </w:p>
          <w:p w14:paraId="713A2F10">
            <w:pPr>
              <w:pStyle w:val="16"/>
              <w:keepNext w:val="0"/>
              <w:keepLines w:val="0"/>
              <w:pageBreakBefore w:val="0"/>
              <w:kinsoku/>
              <w:wordWrap/>
              <w:overflowPunct/>
              <w:topLinePunct w:val="0"/>
              <w:autoSpaceDE/>
              <w:autoSpaceDN/>
              <w:bidi w:val="0"/>
              <w:snapToGrid/>
              <w:spacing w:line="360" w:lineRule="auto"/>
              <w:ind w:left="0" w:leftChars="0" w:right="0" w:rightChars="0"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三档（18分）： 满足采购文件运维服务所有要求和条件的，在系统维护、响应时间有完整方案，保证设备正常运行的，提供故障处理流程、维护保障流程及组织架构，提供7×24小时服务电话的，有</w:t>
            </w:r>
            <w:r>
              <w:rPr>
                <w:rFonts w:hint="eastAsia" w:ascii="宋体" w:hAnsi="宋体" w:eastAsia="宋体" w:cs="宋体"/>
                <w:color w:val="auto"/>
                <w:sz w:val="21"/>
                <w:szCs w:val="21"/>
                <w:highlight w:val="none"/>
                <w:lang w:eastAsia="zh-CN"/>
              </w:rPr>
              <w:t>切合实际、科学合理的</w:t>
            </w:r>
            <w:r>
              <w:rPr>
                <w:rFonts w:hint="eastAsia" w:ascii="宋体" w:hAnsi="宋体" w:eastAsia="宋体" w:cs="宋体"/>
                <w:color w:val="auto"/>
                <w:kern w:val="0"/>
                <w:sz w:val="21"/>
                <w:szCs w:val="21"/>
                <w:highlight w:val="none"/>
              </w:rPr>
              <w:t>培训计划、培训场地（</w:t>
            </w:r>
            <w:r>
              <w:rPr>
                <w:rFonts w:hint="eastAsia" w:ascii="宋体" w:hAnsi="宋体" w:eastAsia="宋体" w:cs="宋体"/>
                <w:strike w:val="0"/>
                <w:dstrike w:val="0"/>
                <w:color w:val="auto"/>
                <w:kern w:val="0"/>
                <w:sz w:val="21"/>
                <w:szCs w:val="21"/>
                <w:highlight w:val="none"/>
                <w:lang w:eastAsia="zh-CN"/>
              </w:rPr>
              <w:t>供应商</w:t>
            </w:r>
            <w:r>
              <w:rPr>
                <w:rFonts w:hint="eastAsia" w:ascii="宋体" w:hAnsi="宋体" w:eastAsia="宋体" w:cs="宋体"/>
                <w:color w:val="auto"/>
                <w:kern w:val="0"/>
                <w:sz w:val="21"/>
                <w:szCs w:val="21"/>
                <w:highlight w:val="none"/>
              </w:rPr>
              <w:t>提供）的，具备光缆线路专业化日常维护及应急抢修队伍；故障时有替代产品、提供技术支持服务、定期回访的，</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承诺针对本项目成立专有服务机构和提供服务人员，能快速响应系统维护需求。</w:t>
            </w:r>
          </w:p>
        </w:tc>
        <w:tc>
          <w:tcPr>
            <w:tcW w:w="742" w:type="dxa"/>
            <w:tcBorders>
              <w:top w:val="single" w:color="auto" w:sz="4" w:space="0"/>
              <w:left w:val="nil"/>
              <w:bottom w:val="single" w:color="auto" w:sz="4" w:space="0"/>
              <w:right w:val="single" w:color="auto" w:sz="4" w:space="0"/>
            </w:tcBorders>
            <w:noWrap w:val="0"/>
            <w:vAlign w:val="center"/>
          </w:tcPr>
          <w:p w14:paraId="2E54291F">
            <w:pPr>
              <w:keepNext w:val="0"/>
              <w:keepLines w:val="0"/>
              <w:pageBreakBefore w:val="0"/>
              <w:kinsoku/>
              <w:wordWrap/>
              <w:overflowPunct/>
              <w:topLinePunct w:val="0"/>
              <w:autoSpaceDE/>
              <w:autoSpaceDN/>
              <w:bidi w:val="0"/>
              <w:snapToGrid/>
              <w:spacing w:line="360" w:lineRule="auto"/>
              <w:ind w:left="0" w:leftChars="0" w:right="0" w:rightChars="0"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满分</w:t>
            </w:r>
            <w:r>
              <w:rPr>
                <w:rFonts w:hint="eastAsia" w:ascii="宋体" w:hAnsi="宋体" w:eastAsia="宋体" w:cs="宋体"/>
                <w:color w:val="auto"/>
                <w:kern w:val="0"/>
                <w:sz w:val="21"/>
                <w:szCs w:val="21"/>
                <w:highlight w:val="none"/>
                <w:lang w:val="en-US" w:eastAsia="zh-CN"/>
              </w:rPr>
              <w:t>18分</w:t>
            </w:r>
          </w:p>
        </w:tc>
      </w:tr>
      <w:tr w14:paraId="7CC41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33" w:type="dxa"/>
            <w:tcBorders>
              <w:top w:val="single" w:color="auto" w:sz="4" w:space="0"/>
              <w:left w:val="single" w:color="auto" w:sz="4" w:space="0"/>
              <w:bottom w:val="single" w:color="auto" w:sz="4" w:space="0"/>
              <w:right w:val="single" w:color="auto" w:sz="4" w:space="0"/>
            </w:tcBorders>
            <w:noWrap w:val="0"/>
            <w:vAlign w:val="center"/>
          </w:tcPr>
          <w:p w14:paraId="196527F2">
            <w:pPr>
              <w:keepNext w:val="0"/>
              <w:keepLines w:val="0"/>
              <w:pageBreakBefore w:val="0"/>
              <w:kinsoku/>
              <w:wordWrap/>
              <w:overflowPunct/>
              <w:topLinePunct w:val="0"/>
              <w:autoSpaceDE/>
              <w:autoSpaceDN/>
              <w:bidi w:val="0"/>
              <w:adjustRightInd w:val="0"/>
              <w:snapToGrid/>
              <w:spacing w:line="360" w:lineRule="auto"/>
              <w:ind w:left="0" w:leftChars="0" w:right="0" w:rightChars="0" w:firstLine="0" w:firstLineChars="0"/>
              <w:jc w:val="center"/>
              <w:textAlignment w:val="baseline"/>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2.2</w:t>
            </w:r>
          </w:p>
        </w:tc>
        <w:tc>
          <w:tcPr>
            <w:tcW w:w="1090" w:type="dxa"/>
            <w:tcBorders>
              <w:top w:val="single" w:color="auto" w:sz="4" w:space="0"/>
              <w:left w:val="nil"/>
              <w:bottom w:val="single" w:color="auto" w:sz="4" w:space="0"/>
              <w:right w:val="single" w:color="auto" w:sz="4" w:space="0"/>
            </w:tcBorders>
            <w:noWrap w:val="0"/>
            <w:vAlign w:val="center"/>
          </w:tcPr>
          <w:p w14:paraId="0A4F67BF">
            <w:pPr>
              <w:keepNext w:val="0"/>
              <w:keepLines w:val="0"/>
              <w:pageBreakBefore w:val="0"/>
              <w:kinsoku/>
              <w:wordWrap/>
              <w:overflowPunct/>
              <w:topLinePunct w:val="0"/>
              <w:autoSpaceDE/>
              <w:autoSpaceDN/>
              <w:bidi w:val="0"/>
              <w:adjustRightInd w:val="0"/>
              <w:snapToGrid/>
              <w:spacing w:line="360" w:lineRule="auto"/>
              <w:ind w:left="0" w:leftChars="0" w:right="0" w:rightChars="0" w:firstLine="0" w:firstLineChars="0"/>
              <w:jc w:val="center"/>
              <w:textAlignment w:val="baseline"/>
              <w:rPr>
                <w:rFonts w:hint="eastAsia" w:ascii="宋体" w:hAnsi="宋体" w:eastAsia="宋体" w:cs="宋体"/>
                <w:strike/>
                <w:dstrike w:val="0"/>
                <w:color w:val="auto"/>
                <w:kern w:val="0"/>
                <w:sz w:val="21"/>
                <w:szCs w:val="21"/>
                <w:highlight w:val="none"/>
                <w:lang w:eastAsia="zh-CN"/>
              </w:rPr>
            </w:pPr>
            <w:r>
              <w:rPr>
                <w:rFonts w:hint="eastAsia" w:ascii="宋体" w:hAnsi="宋体" w:eastAsia="宋体" w:cs="宋体"/>
                <w:strike w:val="0"/>
                <w:dstrike w:val="0"/>
                <w:color w:val="auto"/>
                <w:kern w:val="0"/>
                <w:sz w:val="21"/>
                <w:szCs w:val="21"/>
                <w:highlight w:val="none"/>
                <w:lang w:eastAsia="zh-CN"/>
              </w:rPr>
              <w:t>实施方案</w:t>
            </w:r>
          </w:p>
        </w:tc>
        <w:tc>
          <w:tcPr>
            <w:tcW w:w="6865" w:type="dxa"/>
            <w:tcBorders>
              <w:top w:val="single" w:color="auto" w:sz="4" w:space="0"/>
              <w:left w:val="nil"/>
              <w:bottom w:val="single" w:color="auto" w:sz="4" w:space="0"/>
              <w:right w:val="single" w:color="auto" w:sz="4" w:space="0"/>
            </w:tcBorders>
            <w:noWrap w:val="0"/>
            <w:vAlign w:val="center"/>
          </w:tcPr>
          <w:p w14:paraId="77AA6A14">
            <w:pPr>
              <w:keepNext w:val="0"/>
              <w:keepLines w:val="0"/>
              <w:pageBreakBefore w:val="0"/>
              <w:widowControl/>
              <w:kinsoku/>
              <w:wordWrap/>
              <w:overflowPunct/>
              <w:topLinePunct w:val="0"/>
              <w:autoSpaceDE/>
              <w:autoSpaceDN/>
              <w:bidi w:val="0"/>
              <w:snapToGrid/>
              <w:spacing w:line="360" w:lineRule="auto"/>
              <w:ind w:firstLine="420" w:firstLineChars="20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未提供实施</w:t>
            </w:r>
            <w:r>
              <w:rPr>
                <w:rFonts w:hint="eastAsia" w:ascii="宋体" w:hAnsi="宋体" w:eastAsia="宋体" w:cs="宋体"/>
                <w:color w:val="auto"/>
                <w:kern w:val="0"/>
                <w:sz w:val="21"/>
                <w:szCs w:val="21"/>
                <w:highlight w:val="none"/>
              </w:rPr>
              <w:t>方案</w:t>
            </w:r>
            <w:r>
              <w:rPr>
                <w:rFonts w:hint="eastAsia" w:ascii="宋体" w:hAnsi="宋体" w:eastAsia="宋体" w:cs="宋体"/>
                <w:color w:val="auto"/>
                <w:kern w:val="0"/>
                <w:sz w:val="21"/>
                <w:szCs w:val="21"/>
                <w:highlight w:val="none"/>
                <w:lang w:eastAsia="zh-CN"/>
              </w:rPr>
              <w:t>或</w:t>
            </w:r>
            <w:r>
              <w:rPr>
                <w:rFonts w:hint="eastAsia" w:ascii="宋体" w:hAnsi="宋体" w:eastAsia="宋体" w:cs="宋体"/>
                <w:color w:val="auto"/>
                <w:kern w:val="0"/>
                <w:sz w:val="21"/>
                <w:szCs w:val="21"/>
                <w:highlight w:val="none"/>
              </w:rPr>
              <w:t>不满足最低进档要求的得0分</w:t>
            </w:r>
            <w:r>
              <w:rPr>
                <w:rFonts w:hint="eastAsia" w:ascii="宋体" w:hAnsi="宋体" w:eastAsia="宋体" w:cs="宋体"/>
                <w:color w:val="auto"/>
                <w:kern w:val="0"/>
                <w:sz w:val="21"/>
                <w:szCs w:val="21"/>
                <w:highlight w:val="none"/>
                <w:lang w:eastAsia="zh-CN"/>
              </w:rPr>
              <w:t>。</w:t>
            </w:r>
          </w:p>
          <w:p w14:paraId="60E48A0D">
            <w:pPr>
              <w:keepNext w:val="0"/>
              <w:keepLines w:val="0"/>
              <w:pageBreakBefore w:val="0"/>
              <w:widowControl/>
              <w:kinsoku/>
              <w:wordWrap/>
              <w:overflowPunct/>
              <w:topLinePunct w:val="0"/>
              <w:autoSpaceDE/>
              <w:autoSpaceDN/>
              <w:bidi w:val="0"/>
              <w:snapToGrid/>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一档（6分）：对项目有一定认识，</w:t>
            </w:r>
            <w:r>
              <w:rPr>
                <w:rFonts w:hint="eastAsia" w:ascii="宋体" w:hAnsi="宋体" w:eastAsia="宋体" w:cs="宋体"/>
                <w:color w:val="auto"/>
                <w:kern w:val="0"/>
                <w:sz w:val="21"/>
                <w:szCs w:val="21"/>
                <w:highlight w:val="none"/>
                <w:lang w:eastAsia="zh-CN"/>
              </w:rPr>
              <w:t>但</w:t>
            </w:r>
            <w:r>
              <w:rPr>
                <w:rFonts w:hint="eastAsia" w:ascii="宋体" w:hAnsi="宋体" w:eastAsia="宋体" w:cs="宋体"/>
                <w:color w:val="auto"/>
                <w:kern w:val="0"/>
                <w:sz w:val="21"/>
                <w:szCs w:val="21"/>
                <w:highlight w:val="none"/>
              </w:rPr>
              <w:t>表达</w:t>
            </w:r>
            <w:r>
              <w:rPr>
                <w:rFonts w:hint="eastAsia" w:ascii="宋体" w:hAnsi="宋体" w:eastAsia="宋体" w:cs="宋体"/>
                <w:strike w:val="0"/>
                <w:dstrike w:val="0"/>
                <w:color w:val="auto"/>
                <w:kern w:val="0"/>
                <w:sz w:val="21"/>
                <w:szCs w:val="21"/>
                <w:highlight w:val="none"/>
                <w:lang w:eastAsia="zh-CN"/>
              </w:rPr>
              <w:t>模糊</w:t>
            </w:r>
            <w:r>
              <w:rPr>
                <w:rFonts w:hint="eastAsia" w:ascii="宋体" w:hAnsi="宋体" w:eastAsia="宋体" w:cs="宋体"/>
                <w:color w:val="auto"/>
                <w:kern w:val="0"/>
                <w:sz w:val="21"/>
                <w:szCs w:val="21"/>
                <w:highlight w:val="none"/>
              </w:rPr>
              <w:t>。提供拟投入本项目实施人员清单；服务工具、设施、材料、备品备件等配置满足项目需求。</w:t>
            </w:r>
          </w:p>
          <w:p w14:paraId="795A43BE">
            <w:pPr>
              <w:keepNext w:val="0"/>
              <w:keepLines w:val="0"/>
              <w:pageBreakBefore w:val="0"/>
              <w:widowControl/>
              <w:kinsoku/>
              <w:wordWrap/>
              <w:overflowPunct/>
              <w:topLinePunct w:val="0"/>
              <w:autoSpaceDE/>
              <w:autoSpaceDN/>
              <w:bidi w:val="0"/>
              <w:snapToGrid/>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二档（12分）：对项目总体有全面认识，表达清晰、说明明确。提供拟投入本项目实施人员</w:t>
            </w:r>
            <w:r>
              <w:rPr>
                <w:rFonts w:hint="default" w:ascii="宋体" w:hAnsi="宋体" w:eastAsia="宋体" w:cs="宋体"/>
                <w:b w:val="0"/>
                <w:bCs w:val="0"/>
                <w:color w:val="auto"/>
                <w:kern w:val="2"/>
                <w:sz w:val="21"/>
                <w:szCs w:val="24"/>
                <w:highlight w:val="none"/>
                <w:lang w:val="en-US" w:eastAsia="zh-CN" w:bidi="ar-SA"/>
              </w:rPr>
              <w:t>≥</w:t>
            </w:r>
            <w:r>
              <w:rPr>
                <w:rFonts w:hint="eastAsia" w:ascii="宋体" w:hAnsi="宋体" w:eastAsia="宋体" w:cs="宋体"/>
                <w:b w:val="0"/>
                <w:bCs w:val="0"/>
                <w:color w:val="auto"/>
                <w:kern w:val="2"/>
                <w:sz w:val="21"/>
                <w:szCs w:val="24"/>
                <w:highlight w:val="none"/>
                <w:lang w:val="en-US" w:eastAsia="zh-CN" w:bidi="ar-SA"/>
              </w:rPr>
              <w:t>7</w:t>
            </w:r>
            <w:r>
              <w:rPr>
                <w:rFonts w:hint="eastAsia" w:ascii="宋体" w:hAnsi="宋体" w:eastAsia="宋体" w:cs="宋体"/>
                <w:color w:val="auto"/>
                <w:kern w:val="0"/>
                <w:sz w:val="21"/>
                <w:szCs w:val="21"/>
                <w:highlight w:val="none"/>
              </w:rPr>
              <w:t>人，有技术主管负责提供本项目技术支撑服务。有岗位分工方案，有管理体系；服务工具、设施先进、材料、备品备件等配置齐全，优于项目需求。</w:t>
            </w:r>
          </w:p>
          <w:p w14:paraId="02374F14">
            <w:pPr>
              <w:pStyle w:val="16"/>
              <w:keepNext w:val="0"/>
              <w:keepLines w:val="0"/>
              <w:pageBreakBefore w:val="0"/>
              <w:kinsoku/>
              <w:wordWrap/>
              <w:overflowPunct/>
              <w:topLinePunct w:val="0"/>
              <w:autoSpaceDE/>
              <w:autoSpaceDN/>
              <w:bidi w:val="0"/>
              <w:snapToGrid/>
              <w:spacing w:line="360" w:lineRule="auto"/>
              <w:ind w:left="0" w:leftChars="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三档（18分）：对项目总体有全面深刻认识，表达清晰、说明明确。实施人员配置充分，实施人员能力好，提供拟投入</w:t>
            </w:r>
            <w:r>
              <w:rPr>
                <w:rFonts w:hint="eastAsia" w:ascii="宋体" w:hAnsi="宋体" w:eastAsia="宋体" w:cs="宋体"/>
                <w:color w:val="auto"/>
                <w:kern w:val="0"/>
                <w:sz w:val="21"/>
                <w:szCs w:val="21"/>
                <w:highlight w:val="none"/>
                <w:lang w:eastAsia="zh-CN"/>
              </w:rPr>
              <w:t>本</w:t>
            </w:r>
            <w:r>
              <w:rPr>
                <w:rFonts w:hint="eastAsia" w:ascii="宋体" w:hAnsi="宋体" w:eastAsia="宋体" w:cs="宋体"/>
                <w:color w:val="auto"/>
                <w:kern w:val="0"/>
                <w:sz w:val="21"/>
                <w:szCs w:val="21"/>
                <w:highlight w:val="none"/>
              </w:rPr>
              <w:t>项目实施人员</w:t>
            </w:r>
            <w:r>
              <w:rPr>
                <w:rFonts w:hint="default" w:ascii="宋体" w:hAnsi="宋体" w:eastAsia="宋体" w:cs="宋体"/>
                <w:b w:val="0"/>
                <w:bCs w:val="0"/>
                <w:color w:val="auto"/>
                <w:kern w:val="2"/>
                <w:sz w:val="21"/>
                <w:szCs w:val="24"/>
                <w:highlight w:val="none"/>
                <w:lang w:val="en-US" w:eastAsia="zh-CN" w:bidi="ar-SA"/>
              </w:rPr>
              <w:t>≥</w:t>
            </w:r>
            <w:r>
              <w:rPr>
                <w:rFonts w:hint="eastAsia" w:ascii="宋体" w:hAnsi="宋体" w:eastAsia="宋体" w:cs="宋体"/>
                <w:b w:val="0"/>
                <w:bCs w:val="0"/>
                <w:color w:val="auto"/>
                <w:kern w:val="2"/>
                <w:sz w:val="21"/>
                <w:szCs w:val="24"/>
                <w:highlight w:val="none"/>
                <w:lang w:val="en-US" w:eastAsia="zh-CN" w:bidi="ar-SA"/>
              </w:rPr>
              <w:t>7</w:t>
            </w:r>
            <w:r>
              <w:rPr>
                <w:rFonts w:hint="eastAsia" w:ascii="宋体" w:hAnsi="宋体" w:eastAsia="宋体" w:cs="宋体"/>
                <w:color w:val="auto"/>
                <w:kern w:val="0"/>
                <w:sz w:val="21"/>
                <w:szCs w:val="21"/>
                <w:highlight w:val="none"/>
              </w:rPr>
              <w:t>人，具有大专或以上学历且年龄不超过45岁的。获得CCIE或HCIE或者RCNP或计算软考网络工程师等能力水平认证，有专职技术主管（具备RCNP证书）或计算软考网络工程师负责提供本项目技术支撑服务。有详尽的岗位分工方案，有完善的管理体系；服务工具、设施先进、材料、备品备件等配置齐全，优于项目需求。</w:t>
            </w:r>
          </w:p>
          <w:p w14:paraId="36305009">
            <w:pPr>
              <w:keepNext w:val="0"/>
              <w:keepLines w:val="0"/>
              <w:pageBreakBefore w:val="0"/>
              <w:kinsoku/>
              <w:wordWrap/>
              <w:overflowPunct/>
              <w:topLinePunct w:val="0"/>
              <w:autoSpaceDE/>
              <w:autoSpaceDN/>
              <w:bidi w:val="0"/>
              <w:snapToGrid/>
              <w:spacing w:line="360" w:lineRule="auto"/>
              <w:rPr>
                <w:rFonts w:hint="eastAsia" w:ascii="宋体" w:hAnsi="宋体" w:eastAsia="宋体" w:cs="宋体"/>
                <w:color w:val="auto"/>
                <w:highlight w:val="none"/>
                <w:lang w:eastAsia="zh-CN"/>
              </w:rPr>
            </w:pPr>
            <w:r>
              <w:rPr>
                <w:rFonts w:hint="eastAsia" w:ascii="宋体" w:hAnsi="宋体" w:eastAsia="宋体" w:cs="宋体"/>
                <w:b/>
                <w:bCs/>
                <w:color w:val="auto"/>
                <w:highlight w:val="none"/>
                <w:lang w:eastAsia="zh-CN"/>
              </w:rPr>
              <w:t>注：响应文件中必须提供以上拟投入本项目实施人员学历证书、其他相应证书复印件及供应商为其购买的最近一个月的社保证明或劳动（劳务）合同复印件。</w:t>
            </w:r>
          </w:p>
        </w:tc>
        <w:tc>
          <w:tcPr>
            <w:tcW w:w="742" w:type="dxa"/>
            <w:tcBorders>
              <w:top w:val="single" w:color="auto" w:sz="4" w:space="0"/>
              <w:left w:val="nil"/>
              <w:bottom w:val="single" w:color="auto" w:sz="4" w:space="0"/>
              <w:right w:val="single" w:color="auto" w:sz="4" w:space="0"/>
            </w:tcBorders>
            <w:noWrap w:val="0"/>
            <w:vAlign w:val="center"/>
          </w:tcPr>
          <w:p w14:paraId="17524E66">
            <w:pPr>
              <w:keepNext w:val="0"/>
              <w:keepLines w:val="0"/>
              <w:pageBreakBefore w:val="0"/>
              <w:kinsoku/>
              <w:wordWrap/>
              <w:overflowPunct/>
              <w:topLinePunct w:val="0"/>
              <w:autoSpaceDE/>
              <w:autoSpaceDN/>
              <w:bidi w:val="0"/>
              <w:snapToGrid/>
              <w:spacing w:line="360" w:lineRule="auto"/>
              <w:ind w:left="0" w:leftChars="0" w:right="0" w:rightChars="0" w:firstLine="0" w:firstLineChars="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满分</w:t>
            </w:r>
            <w:r>
              <w:rPr>
                <w:rFonts w:hint="eastAsia" w:ascii="宋体" w:hAnsi="宋体" w:eastAsia="宋体" w:cs="宋体"/>
                <w:color w:val="auto"/>
                <w:kern w:val="0"/>
                <w:sz w:val="21"/>
                <w:szCs w:val="21"/>
                <w:highlight w:val="none"/>
                <w:lang w:val="en-US" w:eastAsia="zh-CN"/>
              </w:rPr>
              <w:t>18分</w:t>
            </w:r>
          </w:p>
        </w:tc>
      </w:tr>
      <w:tr w14:paraId="21C7E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33" w:type="dxa"/>
            <w:tcBorders>
              <w:top w:val="single" w:color="auto" w:sz="4" w:space="0"/>
              <w:left w:val="single" w:color="auto" w:sz="4" w:space="0"/>
              <w:bottom w:val="single" w:color="auto" w:sz="4" w:space="0"/>
              <w:right w:val="single" w:color="auto" w:sz="4" w:space="0"/>
            </w:tcBorders>
            <w:noWrap w:val="0"/>
            <w:vAlign w:val="center"/>
          </w:tcPr>
          <w:p w14:paraId="0A015031">
            <w:pPr>
              <w:keepNext w:val="0"/>
              <w:keepLines w:val="0"/>
              <w:pageBreakBefore w:val="0"/>
              <w:kinsoku/>
              <w:wordWrap/>
              <w:overflowPunct/>
              <w:topLinePunct w:val="0"/>
              <w:autoSpaceDE/>
              <w:autoSpaceDN/>
              <w:bidi w:val="0"/>
              <w:adjustRightInd w:val="0"/>
              <w:snapToGrid/>
              <w:spacing w:line="360" w:lineRule="auto"/>
              <w:ind w:left="0" w:leftChars="0" w:right="0" w:rightChars="0" w:firstLine="0" w:firstLineChars="0"/>
              <w:jc w:val="center"/>
              <w:textAlignment w:val="baseline"/>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2.3</w:t>
            </w:r>
          </w:p>
        </w:tc>
        <w:tc>
          <w:tcPr>
            <w:tcW w:w="1090" w:type="dxa"/>
            <w:tcBorders>
              <w:top w:val="single" w:color="auto" w:sz="4" w:space="0"/>
              <w:left w:val="nil"/>
              <w:bottom w:val="single" w:color="auto" w:sz="4" w:space="0"/>
              <w:right w:val="single" w:color="auto" w:sz="4" w:space="0"/>
            </w:tcBorders>
            <w:noWrap w:val="0"/>
            <w:vAlign w:val="center"/>
          </w:tcPr>
          <w:p w14:paraId="058A3A0D">
            <w:pPr>
              <w:keepNext w:val="0"/>
              <w:keepLines w:val="0"/>
              <w:pageBreakBefore w:val="0"/>
              <w:kinsoku/>
              <w:wordWrap/>
              <w:overflowPunct/>
              <w:topLinePunct w:val="0"/>
              <w:autoSpaceDE/>
              <w:autoSpaceDN/>
              <w:bidi w:val="0"/>
              <w:adjustRightInd w:val="0"/>
              <w:snapToGrid/>
              <w:spacing w:line="360" w:lineRule="auto"/>
              <w:ind w:left="0" w:leftChars="0" w:right="0" w:rightChars="0" w:firstLine="0" w:firstLineChars="0"/>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eastAsia="zh-Hans"/>
              </w:rPr>
              <w:t>运维培训</w:t>
            </w:r>
            <w:r>
              <w:rPr>
                <w:rFonts w:hint="eastAsia" w:ascii="宋体" w:hAnsi="宋体" w:eastAsia="宋体" w:cs="宋体"/>
                <w:color w:val="auto"/>
                <w:kern w:val="0"/>
                <w:sz w:val="21"/>
                <w:szCs w:val="21"/>
                <w:highlight w:val="none"/>
                <w:lang w:val="zh-CN"/>
              </w:rPr>
              <w:t>机制</w:t>
            </w:r>
          </w:p>
        </w:tc>
        <w:tc>
          <w:tcPr>
            <w:tcW w:w="6865" w:type="dxa"/>
            <w:tcBorders>
              <w:top w:val="single" w:color="auto" w:sz="4" w:space="0"/>
              <w:left w:val="nil"/>
              <w:bottom w:val="single" w:color="auto" w:sz="4" w:space="0"/>
              <w:right w:val="single" w:color="auto" w:sz="4" w:space="0"/>
            </w:tcBorders>
            <w:noWrap w:val="0"/>
            <w:vAlign w:val="center"/>
          </w:tcPr>
          <w:p w14:paraId="016CF722">
            <w:pPr>
              <w:keepNext w:val="0"/>
              <w:keepLines w:val="0"/>
              <w:pageBreakBefore w:val="0"/>
              <w:widowControl/>
              <w:kinsoku/>
              <w:wordWrap/>
              <w:overflowPunct/>
              <w:topLinePunct w:val="0"/>
              <w:autoSpaceDE/>
              <w:autoSpaceDN/>
              <w:bidi w:val="0"/>
              <w:snapToGrid/>
              <w:spacing w:line="36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未提供运维培训机制或达不到一档要求的得</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lang w:val="zh-CN"/>
              </w:rPr>
              <w:t>分。</w:t>
            </w:r>
          </w:p>
          <w:p w14:paraId="66D8D889">
            <w:pPr>
              <w:keepNext w:val="0"/>
              <w:keepLines w:val="0"/>
              <w:pageBreakBefore w:val="0"/>
              <w:widowControl/>
              <w:kinsoku/>
              <w:wordWrap/>
              <w:overflowPunct/>
              <w:topLinePunct w:val="0"/>
              <w:autoSpaceDE/>
              <w:autoSpaceDN/>
              <w:bidi w:val="0"/>
              <w:snapToGrid/>
              <w:spacing w:line="36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一档（3分）：培训</w:t>
            </w:r>
            <w:r>
              <w:rPr>
                <w:rFonts w:hint="eastAsia" w:ascii="宋体" w:hAnsi="宋体" w:eastAsia="宋体" w:cs="宋体"/>
                <w:color w:val="auto"/>
                <w:kern w:val="0"/>
                <w:sz w:val="21"/>
                <w:szCs w:val="21"/>
                <w:highlight w:val="none"/>
                <w:lang w:val="zh-CN" w:eastAsia="zh-Hans"/>
              </w:rPr>
              <w:t>方案</w:t>
            </w:r>
            <w:r>
              <w:rPr>
                <w:rFonts w:hint="eastAsia" w:ascii="宋体" w:hAnsi="宋体" w:eastAsia="宋体" w:cs="宋体"/>
                <w:color w:val="auto"/>
                <w:kern w:val="0"/>
                <w:sz w:val="21"/>
                <w:szCs w:val="21"/>
                <w:highlight w:val="none"/>
                <w:lang w:val="zh-CN"/>
              </w:rPr>
              <w:t>响应项目需求，介绍了项目所需的基础运维操作和常见功能的使用方法，但各项培训计划安排不清晰。</w:t>
            </w:r>
          </w:p>
          <w:p w14:paraId="72F10C85">
            <w:pPr>
              <w:keepNext w:val="0"/>
              <w:keepLines w:val="0"/>
              <w:pageBreakBefore w:val="0"/>
              <w:widowControl/>
              <w:kinsoku/>
              <w:wordWrap/>
              <w:overflowPunct/>
              <w:topLinePunct w:val="0"/>
              <w:autoSpaceDE/>
              <w:autoSpaceDN/>
              <w:bidi w:val="0"/>
              <w:snapToGrid/>
              <w:spacing w:line="36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二档（6分）：培训</w:t>
            </w:r>
            <w:r>
              <w:rPr>
                <w:rFonts w:hint="eastAsia" w:ascii="宋体" w:hAnsi="宋体" w:eastAsia="宋体" w:cs="宋体"/>
                <w:color w:val="auto"/>
                <w:kern w:val="0"/>
                <w:sz w:val="21"/>
                <w:szCs w:val="21"/>
                <w:highlight w:val="none"/>
                <w:lang w:val="zh-CN" w:eastAsia="zh-Hans"/>
              </w:rPr>
              <w:t>方案</w:t>
            </w:r>
            <w:r>
              <w:rPr>
                <w:rFonts w:hint="eastAsia" w:ascii="宋体" w:hAnsi="宋体" w:eastAsia="宋体" w:cs="宋体"/>
                <w:color w:val="auto"/>
                <w:kern w:val="0"/>
                <w:sz w:val="21"/>
                <w:szCs w:val="21"/>
                <w:highlight w:val="none"/>
                <w:lang w:val="zh-CN"/>
              </w:rPr>
              <w:t>详细阐述维护操作、故障处理、常用功能等方面的内容。具有详细的培训安排计划，计划安排合理，以现场培训为主，精细化培训时间和流程，确保培训过程更加深入。</w:t>
            </w:r>
          </w:p>
          <w:p w14:paraId="13A9FAF8">
            <w:pPr>
              <w:pStyle w:val="16"/>
              <w:keepNext w:val="0"/>
              <w:keepLines w:val="0"/>
              <w:pageBreakBefore w:val="0"/>
              <w:kinsoku/>
              <w:wordWrap/>
              <w:overflowPunct/>
              <w:topLinePunct w:val="0"/>
              <w:autoSpaceDE/>
              <w:autoSpaceDN/>
              <w:bidi w:val="0"/>
              <w:snapToGrid/>
              <w:spacing w:line="360" w:lineRule="auto"/>
              <w:ind w:left="0" w:leftChars="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三档（9分）：在满足二档的基础上，进一步优化培训</w:t>
            </w:r>
            <w:r>
              <w:rPr>
                <w:rFonts w:hint="eastAsia" w:ascii="宋体" w:hAnsi="宋体" w:eastAsia="宋体" w:cs="宋体"/>
                <w:color w:val="auto"/>
                <w:kern w:val="0"/>
                <w:sz w:val="21"/>
                <w:szCs w:val="21"/>
                <w:highlight w:val="none"/>
                <w:lang w:val="zh-CN" w:eastAsia="zh-Hans"/>
              </w:rPr>
              <w:t>方案</w:t>
            </w:r>
            <w:r>
              <w:rPr>
                <w:rFonts w:hint="eastAsia" w:ascii="宋体" w:hAnsi="宋体" w:eastAsia="宋体" w:cs="宋体"/>
                <w:color w:val="auto"/>
                <w:kern w:val="0"/>
                <w:sz w:val="21"/>
                <w:szCs w:val="21"/>
                <w:highlight w:val="none"/>
                <w:lang w:val="zh-CN"/>
              </w:rPr>
              <w:t>的深度和广度。培训方案涉及高级操作技巧、故障排查等专业领域，采用在线与现场培训相结合的方式，定期举办技术交流会与知识分享会，深化培训内容与学员互动</w:t>
            </w:r>
            <w:r>
              <w:rPr>
                <w:rFonts w:hint="eastAsia" w:ascii="宋体" w:hAnsi="宋体" w:eastAsia="宋体" w:cs="宋体"/>
                <w:color w:val="auto"/>
                <w:kern w:val="0"/>
                <w:sz w:val="21"/>
                <w:szCs w:val="21"/>
                <w:highlight w:val="none"/>
                <w:lang w:val="zh-CN" w:eastAsia="zh-Hans"/>
              </w:rPr>
              <w:t>，</w:t>
            </w:r>
            <w:r>
              <w:rPr>
                <w:rFonts w:hint="eastAsia" w:ascii="宋体" w:hAnsi="宋体" w:eastAsia="宋体" w:cs="宋体"/>
                <w:color w:val="auto"/>
                <w:kern w:val="0"/>
                <w:sz w:val="21"/>
                <w:szCs w:val="21"/>
                <w:highlight w:val="none"/>
                <w:lang w:val="zh-CN"/>
              </w:rPr>
              <w:t>方案针对性及可行性强，确保培训过程更加系统。</w:t>
            </w:r>
          </w:p>
        </w:tc>
        <w:tc>
          <w:tcPr>
            <w:tcW w:w="742" w:type="dxa"/>
            <w:tcBorders>
              <w:top w:val="single" w:color="auto" w:sz="4" w:space="0"/>
              <w:left w:val="nil"/>
              <w:bottom w:val="single" w:color="auto" w:sz="4" w:space="0"/>
              <w:right w:val="single" w:color="auto" w:sz="4" w:space="0"/>
            </w:tcBorders>
            <w:noWrap w:val="0"/>
            <w:vAlign w:val="center"/>
          </w:tcPr>
          <w:p w14:paraId="42599A44">
            <w:pPr>
              <w:keepNext w:val="0"/>
              <w:keepLines w:val="0"/>
              <w:pageBreakBefore w:val="0"/>
              <w:kinsoku/>
              <w:wordWrap/>
              <w:overflowPunct/>
              <w:topLinePunct w:val="0"/>
              <w:autoSpaceDE/>
              <w:autoSpaceDN/>
              <w:bidi w:val="0"/>
              <w:snapToGrid/>
              <w:spacing w:line="360" w:lineRule="auto"/>
              <w:ind w:left="0" w:leftChars="0" w:right="0" w:rightChars="0" w:firstLine="0" w:firstLineChars="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满分</w:t>
            </w:r>
            <w:r>
              <w:rPr>
                <w:rFonts w:hint="eastAsia" w:ascii="宋体" w:hAnsi="宋体" w:eastAsia="宋体" w:cs="宋体"/>
                <w:color w:val="auto"/>
                <w:kern w:val="0"/>
                <w:sz w:val="21"/>
                <w:szCs w:val="21"/>
                <w:highlight w:val="none"/>
                <w:lang w:val="en-US" w:eastAsia="zh-CN"/>
              </w:rPr>
              <w:t>9分</w:t>
            </w:r>
          </w:p>
        </w:tc>
      </w:tr>
      <w:tr w14:paraId="0E893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33" w:type="dxa"/>
            <w:tcBorders>
              <w:top w:val="single" w:color="auto" w:sz="4" w:space="0"/>
              <w:left w:val="single" w:color="auto" w:sz="4" w:space="0"/>
              <w:bottom w:val="single" w:color="auto" w:sz="4" w:space="0"/>
              <w:right w:val="single" w:color="auto" w:sz="4" w:space="0"/>
            </w:tcBorders>
            <w:noWrap w:val="0"/>
            <w:vAlign w:val="center"/>
          </w:tcPr>
          <w:p w14:paraId="17A269CC">
            <w:pPr>
              <w:keepNext w:val="0"/>
              <w:keepLines w:val="0"/>
              <w:pageBreakBefore w:val="0"/>
              <w:kinsoku/>
              <w:wordWrap/>
              <w:overflowPunct/>
              <w:topLinePunct w:val="0"/>
              <w:autoSpaceDE/>
              <w:autoSpaceDN/>
              <w:bidi w:val="0"/>
              <w:adjustRightInd w:val="0"/>
              <w:snapToGrid/>
              <w:spacing w:line="360" w:lineRule="auto"/>
              <w:ind w:left="0" w:leftChars="0" w:right="0" w:rightChars="0" w:firstLine="0" w:firstLineChars="0"/>
              <w:jc w:val="center"/>
              <w:textAlignment w:val="baseline"/>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2.4</w:t>
            </w:r>
          </w:p>
        </w:tc>
        <w:tc>
          <w:tcPr>
            <w:tcW w:w="1090" w:type="dxa"/>
            <w:tcBorders>
              <w:top w:val="single" w:color="auto" w:sz="4" w:space="0"/>
              <w:left w:val="nil"/>
              <w:bottom w:val="single" w:color="auto" w:sz="4" w:space="0"/>
              <w:right w:val="single" w:color="auto" w:sz="4" w:space="0"/>
            </w:tcBorders>
            <w:noWrap w:val="0"/>
            <w:vAlign w:val="center"/>
          </w:tcPr>
          <w:p w14:paraId="47E58296">
            <w:pPr>
              <w:keepNext w:val="0"/>
              <w:keepLines w:val="0"/>
              <w:pageBreakBefore w:val="0"/>
              <w:kinsoku/>
              <w:wordWrap/>
              <w:overflowPunct/>
              <w:topLinePunct w:val="0"/>
              <w:autoSpaceDE/>
              <w:autoSpaceDN/>
              <w:bidi w:val="0"/>
              <w:adjustRightInd w:val="0"/>
              <w:snapToGrid/>
              <w:spacing w:line="360" w:lineRule="auto"/>
              <w:ind w:left="0" w:leftChars="0" w:right="0" w:rightChars="0" w:firstLine="0" w:firstLineChars="0"/>
              <w:jc w:val="center"/>
              <w:textAlignment w:val="baseline"/>
              <w:rPr>
                <w:rFonts w:hint="eastAsia" w:ascii="宋体" w:hAnsi="宋体" w:eastAsia="宋体" w:cs="宋体"/>
                <w:color w:val="auto"/>
                <w:kern w:val="0"/>
                <w:sz w:val="21"/>
                <w:szCs w:val="21"/>
                <w:highlight w:val="none"/>
                <w:lang w:val="zh-CN" w:eastAsia="zh-Hans"/>
              </w:rPr>
            </w:pPr>
            <w:r>
              <w:rPr>
                <w:rFonts w:hint="eastAsia" w:ascii="宋体" w:hAnsi="宋体" w:eastAsia="宋体" w:cs="宋体"/>
                <w:color w:val="auto"/>
                <w:kern w:val="0"/>
                <w:sz w:val="21"/>
                <w:szCs w:val="21"/>
                <w:highlight w:val="none"/>
                <w:lang w:val="zh-CN"/>
              </w:rPr>
              <w:t>服务承诺</w:t>
            </w:r>
          </w:p>
        </w:tc>
        <w:tc>
          <w:tcPr>
            <w:tcW w:w="6865" w:type="dxa"/>
            <w:tcBorders>
              <w:top w:val="single" w:color="auto" w:sz="4" w:space="0"/>
              <w:left w:val="nil"/>
              <w:bottom w:val="single" w:color="auto" w:sz="4" w:space="0"/>
              <w:right w:val="single" w:color="auto" w:sz="4" w:space="0"/>
            </w:tcBorders>
            <w:noWrap w:val="0"/>
            <w:vAlign w:val="center"/>
          </w:tcPr>
          <w:p w14:paraId="2F63FAAA">
            <w:pPr>
              <w:keepNext w:val="0"/>
              <w:keepLines w:val="0"/>
              <w:pageBreakBefore w:val="0"/>
              <w:widowControl/>
              <w:kinsoku/>
              <w:wordWrap/>
              <w:overflowPunct/>
              <w:topLinePunct w:val="0"/>
              <w:autoSpaceDE/>
              <w:autoSpaceDN/>
              <w:bidi w:val="0"/>
              <w:snapToGrid/>
              <w:spacing w:line="36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服务承诺达不到一档要求的得</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lang w:val="zh-CN"/>
              </w:rPr>
              <w:t>分。</w:t>
            </w:r>
          </w:p>
          <w:p w14:paraId="51FEE901">
            <w:pPr>
              <w:keepNext w:val="0"/>
              <w:keepLines w:val="0"/>
              <w:pageBreakBefore w:val="0"/>
              <w:widowControl/>
              <w:kinsoku/>
              <w:wordWrap/>
              <w:overflowPunct/>
              <w:topLinePunct w:val="0"/>
              <w:autoSpaceDE/>
              <w:autoSpaceDN/>
              <w:bidi w:val="0"/>
              <w:snapToGrid/>
              <w:spacing w:line="36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一档（2分）：后续服务承诺及其他优化措施表述不清晰、基本不可行的。</w:t>
            </w:r>
          </w:p>
          <w:p w14:paraId="1501B200">
            <w:pPr>
              <w:keepNext w:val="0"/>
              <w:keepLines w:val="0"/>
              <w:pageBreakBefore w:val="0"/>
              <w:widowControl/>
              <w:kinsoku/>
              <w:wordWrap/>
              <w:overflowPunct/>
              <w:topLinePunct w:val="0"/>
              <w:autoSpaceDE/>
              <w:autoSpaceDN/>
              <w:bidi w:val="0"/>
              <w:snapToGrid/>
              <w:spacing w:line="36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二档（4分）：能提供可行的后续服务承诺及其他优化措施，但各服务环节和服务内容保障措施不够完善。</w:t>
            </w:r>
          </w:p>
          <w:p w14:paraId="08696E04">
            <w:pPr>
              <w:pStyle w:val="16"/>
              <w:keepNext w:val="0"/>
              <w:keepLines w:val="0"/>
              <w:pageBreakBefore w:val="0"/>
              <w:kinsoku/>
              <w:wordWrap/>
              <w:overflowPunct/>
              <w:topLinePunct w:val="0"/>
              <w:autoSpaceDE/>
              <w:autoSpaceDN/>
              <w:bidi w:val="0"/>
              <w:snapToGrid/>
              <w:spacing w:line="360" w:lineRule="auto"/>
              <w:ind w:left="0" w:leftChars="0" w:right="0" w:rightChars="0"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三档（6分）：后续服务承诺及其他优化措施详细完整，能提供可行、有针对性的服务质量措施和承诺，服务流程科学合理、可操作性强，各服务环节明确且详细，服务质量承诺优于服务项目的要求。</w:t>
            </w:r>
          </w:p>
        </w:tc>
        <w:tc>
          <w:tcPr>
            <w:tcW w:w="742" w:type="dxa"/>
            <w:tcBorders>
              <w:top w:val="single" w:color="auto" w:sz="4" w:space="0"/>
              <w:left w:val="nil"/>
              <w:bottom w:val="single" w:color="auto" w:sz="4" w:space="0"/>
              <w:right w:val="single" w:color="auto" w:sz="4" w:space="0"/>
            </w:tcBorders>
            <w:noWrap w:val="0"/>
            <w:vAlign w:val="center"/>
          </w:tcPr>
          <w:p w14:paraId="6F29AAAD">
            <w:pPr>
              <w:keepNext w:val="0"/>
              <w:keepLines w:val="0"/>
              <w:pageBreakBefore w:val="0"/>
              <w:kinsoku/>
              <w:wordWrap/>
              <w:overflowPunct/>
              <w:topLinePunct w:val="0"/>
              <w:autoSpaceDE/>
              <w:autoSpaceDN/>
              <w:bidi w:val="0"/>
              <w:snapToGrid/>
              <w:spacing w:line="360" w:lineRule="auto"/>
              <w:ind w:left="0" w:leftChars="0" w:right="0" w:rightChars="0" w:firstLine="0" w:firstLineChars="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满分</w:t>
            </w:r>
            <w:r>
              <w:rPr>
                <w:rFonts w:hint="eastAsia" w:ascii="宋体" w:hAnsi="宋体" w:eastAsia="宋体" w:cs="宋体"/>
                <w:color w:val="auto"/>
                <w:kern w:val="0"/>
                <w:sz w:val="21"/>
                <w:szCs w:val="21"/>
                <w:highlight w:val="none"/>
                <w:lang w:val="en-US" w:eastAsia="zh-CN"/>
              </w:rPr>
              <w:t>6分</w:t>
            </w:r>
          </w:p>
        </w:tc>
      </w:tr>
      <w:tr w14:paraId="73715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33" w:type="dxa"/>
            <w:tcBorders>
              <w:top w:val="single" w:color="auto" w:sz="4" w:space="0"/>
              <w:left w:val="single" w:color="auto" w:sz="4" w:space="0"/>
              <w:bottom w:val="single" w:color="auto" w:sz="4" w:space="0"/>
              <w:right w:val="single" w:color="auto" w:sz="4" w:space="0"/>
            </w:tcBorders>
            <w:noWrap w:val="0"/>
            <w:vAlign w:val="center"/>
          </w:tcPr>
          <w:p w14:paraId="4A3F7032">
            <w:pPr>
              <w:keepNext w:val="0"/>
              <w:keepLines w:val="0"/>
              <w:pageBreakBefore w:val="0"/>
              <w:widowControl/>
              <w:kinsoku/>
              <w:wordWrap/>
              <w:overflowPunct/>
              <w:topLinePunct w:val="0"/>
              <w:autoSpaceDE/>
              <w:autoSpaceDN/>
              <w:bidi w:val="0"/>
              <w:snapToGrid/>
              <w:spacing w:line="360" w:lineRule="auto"/>
              <w:ind w:left="0" w:leftChars="0" w:right="0" w:rightChars="0" w:firstLine="0" w:firstLineChars="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3</w:t>
            </w:r>
          </w:p>
        </w:tc>
        <w:tc>
          <w:tcPr>
            <w:tcW w:w="1090" w:type="dxa"/>
            <w:tcBorders>
              <w:top w:val="single" w:color="auto" w:sz="4" w:space="0"/>
              <w:left w:val="nil"/>
              <w:bottom w:val="single" w:color="auto" w:sz="4" w:space="0"/>
              <w:right w:val="single" w:color="auto" w:sz="4" w:space="0"/>
            </w:tcBorders>
            <w:noWrap w:val="0"/>
            <w:vAlign w:val="center"/>
          </w:tcPr>
          <w:p w14:paraId="3D71178B">
            <w:pPr>
              <w:keepNext w:val="0"/>
              <w:keepLines w:val="0"/>
              <w:pageBreakBefore w:val="0"/>
              <w:widowControl/>
              <w:kinsoku/>
              <w:wordWrap/>
              <w:overflowPunct/>
              <w:topLinePunct w:val="0"/>
              <w:autoSpaceDE/>
              <w:autoSpaceDN/>
              <w:bidi w:val="0"/>
              <w:snapToGrid/>
              <w:spacing w:line="360" w:lineRule="auto"/>
              <w:ind w:left="0" w:leftChars="0" w:right="0" w:rightChars="0" w:firstLine="0" w:firstLineChars="0"/>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商务分</w:t>
            </w:r>
          </w:p>
        </w:tc>
        <w:tc>
          <w:tcPr>
            <w:tcW w:w="7607" w:type="dxa"/>
            <w:gridSpan w:val="2"/>
            <w:tcBorders>
              <w:top w:val="single" w:color="auto" w:sz="4" w:space="0"/>
              <w:left w:val="nil"/>
              <w:bottom w:val="single" w:color="auto" w:sz="4" w:space="0"/>
              <w:right w:val="single" w:color="auto" w:sz="4" w:space="0"/>
            </w:tcBorders>
            <w:noWrap w:val="0"/>
            <w:vAlign w:val="center"/>
          </w:tcPr>
          <w:p w14:paraId="2D998B00">
            <w:pPr>
              <w:keepNext w:val="0"/>
              <w:keepLines w:val="0"/>
              <w:pageBreakBefore w:val="0"/>
              <w:widowControl/>
              <w:kinsoku/>
              <w:wordWrap/>
              <w:overflowPunct/>
              <w:topLinePunct w:val="0"/>
              <w:autoSpaceDE/>
              <w:autoSpaceDN/>
              <w:bidi w:val="0"/>
              <w:snapToGrid/>
              <w:spacing w:line="360" w:lineRule="auto"/>
              <w:ind w:left="0" w:leftChars="0" w:right="0" w:rightChars="0" w:firstLine="0" w:firstLineChars="0"/>
              <w:jc w:val="center"/>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eastAsia="zh-CN"/>
              </w:rPr>
              <w:t>满分</w:t>
            </w:r>
            <w:r>
              <w:rPr>
                <w:rFonts w:hint="eastAsia" w:ascii="宋体" w:hAnsi="宋体" w:eastAsia="宋体" w:cs="宋体"/>
                <w:b/>
                <w:bCs/>
                <w:color w:val="auto"/>
                <w:kern w:val="0"/>
                <w:sz w:val="21"/>
                <w:szCs w:val="21"/>
                <w:highlight w:val="none"/>
                <w:lang w:val="en-US" w:eastAsia="zh-CN"/>
              </w:rPr>
              <w:t>33分</w:t>
            </w:r>
          </w:p>
        </w:tc>
      </w:tr>
      <w:tr w14:paraId="56400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533" w:type="dxa"/>
            <w:tcBorders>
              <w:top w:val="single" w:color="auto" w:sz="4" w:space="0"/>
              <w:left w:val="single" w:color="auto" w:sz="4" w:space="0"/>
              <w:bottom w:val="single" w:color="auto" w:sz="4" w:space="0"/>
              <w:right w:val="single" w:color="auto" w:sz="4" w:space="0"/>
            </w:tcBorders>
            <w:noWrap w:val="0"/>
            <w:vAlign w:val="center"/>
          </w:tcPr>
          <w:p w14:paraId="2E665499">
            <w:pPr>
              <w:keepNext w:val="0"/>
              <w:keepLines w:val="0"/>
              <w:pageBreakBefore w:val="0"/>
              <w:widowControl/>
              <w:kinsoku/>
              <w:wordWrap/>
              <w:overflowPunct/>
              <w:topLinePunct w:val="0"/>
              <w:autoSpaceDE/>
              <w:autoSpaceDN/>
              <w:bidi w:val="0"/>
              <w:snapToGrid/>
              <w:spacing w:line="360" w:lineRule="auto"/>
              <w:ind w:left="0" w:leftChars="0" w:right="0" w:rightChars="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3.1</w:t>
            </w:r>
          </w:p>
        </w:tc>
        <w:tc>
          <w:tcPr>
            <w:tcW w:w="1090" w:type="dxa"/>
            <w:tcBorders>
              <w:top w:val="single" w:color="auto" w:sz="4" w:space="0"/>
              <w:left w:val="nil"/>
              <w:bottom w:val="single" w:color="auto" w:sz="4" w:space="0"/>
              <w:right w:val="single" w:color="auto" w:sz="4" w:space="0"/>
            </w:tcBorders>
            <w:noWrap w:val="0"/>
            <w:vAlign w:val="center"/>
          </w:tcPr>
          <w:p w14:paraId="3CB95B6B">
            <w:pPr>
              <w:keepNext w:val="0"/>
              <w:keepLines w:val="0"/>
              <w:pageBreakBefore w:val="0"/>
              <w:kinsoku/>
              <w:wordWrap/>
              <w:overflowPunct/>
              <w:topLinePunct w:val="0"/>
              <w:autoSpaceDE/>
              <w:autoSpaceDN/>
              <w:bidi w:val="0"/>
              <w:adjustRightInd w:val="0"/>
              <w:snapToGrid/>
              <w:spacing w:line="360" w:lineRule="auto"/>
              <w:ind w:left="0" w:leftChars="0" w:right="0" w:rightChars="0" w:firstLine="0" w:firstLineChars="0"/>
              <w:jc w:val="center"/>
              <w:textAlignment w:val="baseline"/>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业绩</w:t>
            </w:r>
          </w:p>
        </w:tc>
        <w:tc>
          <w:tcPr>
            <w:tcW w:w="6865" w:type="dxa"/>
            <w:tcBorders>
              <w:top w:val="single" w:color="auto" w:sz="4" w:space="0"/>
              <w:left w:val="nil"/>
              <w:bottom w:val="single" w:color="auto" w:sz="4" w:space="0"/>
              <w:right w:val="single" w:color="auto" w:sz="4" w:space="0"/>
            </w:tcBorders>
            <w:noWrap w:val="0"/>
            <w:vAlign w:val="center"/>
          </w:tcPr>
          <w:p w14:paraId="69A6F65A">
            <w:pPr>
              <w:widowControl/>
              <w:spacing w:line="360" w:lineRule="auto"/>
              <w:ind w:firstLine="420" w:firstLineChars="20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Cs w:val="21"/>
                <w:highlight w:val="none"/>
                <w:lang w:val="zh-CN"/>
              </w:rPr>
              <w:t>供应商自2020年1月1日以来实施过同类信息化项目业绩的：提供合同（合同须提供关键页，包括合同首页、标的页、合同金额页</w:t>
            </w:r>
            <w:r>
              <w:rPr>
                <w:rFonts w:hint="eastAsia" w:ascii="宋体" w:hAnsi="宋体" w:eastAsia="宋体" w:cs="宋体"/>
                <w:color w:val="auto"/>
                <w:kern w:val="0"/>
                <w:szCs w:val="21"/>
                <w:highlight w:val="none"/>
                <w:lang w:val="zh-CN" w:eastAsia="zh-CN"/>
              </w:rPr>
              <w:t>及</w:t>
            </w:r>
            <w:r>
              <w:rPr>
                <w:rFonts w:hint="eastAsia" w:ascii="宋体" w:hAnsi="宋体" w:eastAsia="宋体" w:cs="宋体"/>
                <w:color w:val="auto"/>
                <w:kern w:val="0"/>
                <w:szCs w:val="21"/>
                <w:highlight w:val="none"/>
                <w:lang w:val="zh-CN"/>
              </w:rPr>
              <w:t>合同大签页等的扫描件作为证明材料）或中标通知书复印件并加盖供应商公章，证明材料不全或未提供不得分。每</w:t>
            </w:r>
            <w:r>
              <w:rPr>
                <w:rFonts w:hint="eastAsia" w:ascii="宋体" w:hAnsi="宋体" w:eastAsia="宋体" w:cs="宋体"/>
                <w:color w:val="auto"/>
                <w:kern w:val="0"/>
                <w:szCs w:val="21"/>
                <w:highlight w:val="none"/>
                <w:lang w:val="zh-CN" w:eastAsia="zh-CN"/>
              </w:rPr>
              <w:t>提供1个</w:t>
            </w:r>
            <w:r>
              <w:rPr>
                <w:rFonts w:hint="eastAsia" w:ascii="宋体" w:hAnsi="宋体" w:eastAsia="宋体" w:cs="宋体"/>
                <w:color w:val="auto"/>
                <w:kern w:val="0"/>
                <w:szCs w:val="21"/>
                <w:highlight w:val="none"/>
                <w:lang w:val="zh-CN"/>
              </w:rPr>
              <w:t>得2分，最多得10分。</w:t>
            </w:r>
          </w:p>
        </w:tc>
        <w:tc>
          <w:tcPr>
            <w:tcW w:w="742" w:type="dxa"/>
            <w:tcBorders>
              <w:top w:val="single" w:color="auto" w:sz="4" w:space="0"/>
              <w:left w:val="nil"/>
              <w:bottom w:val="single" w:color="auto" w:sz="4" w:space="0"/>
              <w:right w:val="single" w:color="auto" w:sz="4" w:space="0"/>
            </w:tcBorders>
            <w:noWrap w:val="0"/>
            <w:vAlign w:val="center"/>
          </w:tcPr>
          <w:p w14:paraId="27245E42">
            <w:pPr>
              <w:keepNext w:val="0"/>
              <w:keepLines w:val="0"/>
              <w:pageBreakBefore w:val="0"/>
              <w:widowControl/>
              <w:kinsoku/>
              <w:wordWrap/>
              <w:overflowPunct/>
              <w:topLinePunct w:val="0"/>
              <w:autoSpaceDE/>
              <w:autoSpaceDN/>
              <w:bidi w:val="0"/>
              <w:snapToGrid/>
              <w:spacing w:line="360" w:lineRule="auto"/>
              <w:ind w:left="0" w:leftChars="0" w:right="0" w:rightChars="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满分10</w:t>
            </w:r>
            <w:r>
              <w:rPr>
                <w:rFonts w:hint="eastAsia" w:ascii="宋体" w:hAnsi="宋体" w:eastAsia="宋体" w:cs="宋体"/>
                <w:color w:val="auto"/>
                <w:kern w:val="0"/>
                <w:sz w:val="21"/>
                <w:szCs w:val="21"/>
                <w:highlight w:val="none"/>
              </w:rPr>
              <w:t>分</w:t>
            </w:r>
          </w:p>
        </w:tc>
      </w:tr>
      <w:tr w14:paraId="493CD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33" w:type="dxa"/>
            <w:tcBorders>
              <w:top w:val="single" w:color="auto" w:sz="4" w:space="0"/>
              <w:left w:val="single" w:color="auto" w:sz="4" w:space="0"/>
              <w:bottom w:val="single" w:color="auto" w:sz="4" w:space="0"/>
              <w:right w:val="single" w:color="auto" w:sz="4" w:space="0"/>
            </w:tcBorders>
            <w:noWrap w:val="0"/>
            <w:vAlign w:val="center"/>
          </w:tcPr>
          <w:p w14:paraId="66F1D0AA">
            <w:pPr>
              <w:keepNext w:val="0"/>
              <w:keepLines w:val="0"/>
              <w:pageBreakBefore w:val="0"/>
              <w:widowControl/>
              <w:kinsoku/>
              <w:wordWrap/>
              <w:overflowPunct/>
              <w:topLinePunct w:val="0"/>
              <w:autoSpaceDE/>
              <w:autoSpaceDN/>
              <w:bidi w:val="0"/>
              <w:snapToGrid/>
              <w:spacing w:line="360" w:lineRule="auto"/>
              <w:ind w:left="0" w:leftChars="0" w:right="0" w:rightChars="0"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3.2</w:t>
            </w:r>
          </w:p>
        </w:tc>
        <w:tc>
          <w:tcPr>
            <w:tcW w:w="1090" w:type="dxa"/>
            <w:tcBorders>
              <w:top w:val="single" w:color="auto" w:sz="4" w:space="0"/>
              <w:left w:val="nil"/>
              <w:bottom w:val="single" w:color="auto" w:sz="4" w:space="0"/>
              <w:right w:val="single" w:color="auto" w:sz="4" w:space="0"/>
            </w:tcBorders>
            <w:noWrap w:val="0"/>
            <w:vAlign w:val="center"/>
          </w:tcPr>
          <w:p w14:paraId="17B1E39B">
            <w:pPr>
              <w:keepNext w:val="0"/>
              <w:keepLines w:val="0"/>
              <w:pageBreakBefore w:val="0"/>
              <w:kinsoku/>
              <w:wordWrap/>
              <w:overflowPunct/>
              <w:topLinePunct w:val="0"/>
              <w:autoSpaceDE/>
              <w:autoSpaceDN/>
              <w:bidi w:val="0"/>
              <w:adjustRightInd w:val="0"/>
              <w:snapToGrid/>
              <w:spacing w:line="360" w:lineRule="auto"/>
              <w:ind w:left="0" w:leftChars="0" w:right="0" w:rightChars="0" w:firstLine="0" w:firstLineChars="0"/>
              <w:jc w:val="center"/>
              <w:textAlignment w:val="baseline"/>
              <w:rPr>
                <w:rFonts w:hint="eastAsia" w:ascii="宋体" w:hAnsi="宋体" w:eastAsia="宋体" w:cs="宋体"/>
                <w:bCs/>
                <w:color w:val="auto"/>
                <w:kern w:val="0"/>
                <w:sz w:val="21"/>
                <w:szCs w:val="21"/>
                <w:highlight w:val="none"/>
                <w:lang w:eastAsia="zh-CN"/>
              </w:rPr>
            </w:pPr>
            <w:r>
              <w:rPr>
                <w:rFonts w:hint="eastAsia" w:ascii="宋体" w:hAnsi="宋体" w:eastAsia="宋体" w:cs="宋体"/>
                <w:color w:val="auto"/>
                <w:kern w:val="0"/>
                <w:szCs w:val="21"/>
                <w:highlight w:val="none"/>
                <w:lang w:val="zh-CN"/>
              </w:rPr>
              <w:t>提供两校区互联电路带宽</w:t>
            </w:r>
          </w:p>
        </w:tc>
        <w:tc>
          <w:tcPr>
            <w:tcW w:w="6865" w:type="dxa"/>
            <w:tcBorders>
              <w:top w:val="single" w:color="auto" w:sz="4" w:space="0"/>
              <w:left w:val="nil"/>
              <w:bottom w:val="single" w:color="auto" w:sz="4" w:space="0"/>
              <w:right w:val="single" w:color="auto" w:sz="4" w:space="0"/>
            </w:tcBorders>
            <w:noWrap w:val="0"/>
            <w:vAlign w:val="top"/>
          </w:tcPr>
          <w:p w14:paraId="7B25284C">
            <w:pPr>
              <w:keepNext w:val="0"/>
              <w:keepLines w:val="0"/>
              <w:pageBreakBefore w:val="0"/>
              <w:widowControl/>
              <w:kinsoku/>
              <w:wordWrap/>
              <w:overflowPunct/>
              <w:topLinePunct w:val="0"/>
              <w:autoSpaceDE/>
              <w:autoSpaceDN/>
              <w:bidi w:val="0"/>
              <w:snapToGrid/>
              <w:spacing w:line="360" w:lineRule="auto"/>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lang w:val="zh-CN"/>
              </w:rPr>
              <w:t>）提供南宁校区至武鸣校区点对点逻辑链路带宽达到1Gb的得</w:t>
            </w:r>
            <w:r>
              <w:rPr>
                <w:rFonts w:hint="eastAsia" w:ascii="宋体" w:hAnsi="宋体" w:eastAsia="宋体" w:cs="宋体"/>
                <w:color w:val="auto"/>
                <w:kern w:val="0"/>
                <w:szCs w:val="21"/>
                <w:highlight w:val="none"/>
              </w:rPr>
              <w:t>10</w:t>
            </w:r>
            <w:r>
              <w:rPr>
                <w:rFonts w:hint="eastAsia" w:ascii="宋体" w:hAnsi="宋体" w:eastAsia="宋体" w:cs="宋体"/>
                <w:color w:val="auto"/>
                <w:kern w:val="0"/>
                <w:szCs w:val="21"/>
                <w:highlight w:val="none"/>
                <w:lang w:val="zh-CN"/>
              </w:rPr>
              <w:t>分，每增0.</w:t>
            </w: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zh-CN"/>
              </w:rPr>
              <w:t>Gb加</w:t>
            </w: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zh-CN"/>
              </w:rPr>
              <w:t>分，提供逻辑链路带宽的满分1</w:t>
            </w:r>
            <w:r>
              <w:rPr>
                <w:rFonts w:hint="eastAsia" w:ascii="宋体" w:hAnsi="宋体" w:eastAsia="宋体" w:cs="宋体"/>
                <w:color w:val="auto"/>
                <w:kern w:val="0"/>
                <w:szCs w:val="21"/>
                <w:highlight w:val="none"/>
              </w:rPr>
              <w:t>6</w:t>
            </w:r>
            <w:r>
              <w:rPr>
                <w:rFonts w:hint="eastAsia" w:ascii="宋体" w:hAnsi="宋体" w:eastAsia="宋体" w:cs="宋体"/>
                <w:color w:val="auto"/>
                <w:kern w:val="0"/>
                <w:szCs w:val="21"/>
                <w:highlight w:val="none"/>
                <w:lang w:val="zh-CN"/>
              </w:rPr>
              <w:t>分；</w:t>
            </w:r>
          </w:p>
          <w:p w14:paraId="5410EC9D">
            <w:pPr>
              <w:keepNext w:val="0"/>
              <w:keepLines w:val="0"/>
              <w:pageBreakBefore w:val="0"/>
              <w:widowControl/>
              <w:kinsoku/>
              <w:wordWrap/>
              <w:overflowPunct/>
              <w:topLinePunct w:val="0"/>
              <w:autoSpaceDE/>
              <w:autoSpaceDN/>
              <w:bidi w:val="0"/>
              <w:snapToGrid/>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lang w:val="zh-CN"/>
              </w:rPr>
              <w:t>）能为两校区互联提供2芯端对端的万兆直连物理光纤并且端对端的连接距离不超过50公里的评为满分</w:t>
            </w:r>
            <w:r>
              <w:rPr>
                <w:rFonts w:hint="eastAsia" w:ascii="宋体" w:hAnsi="宋体" w:eastAsia="宋体" w:cs="宋体"/>
                <w:color w:val="auto"/>
                <w:kern w:val="0"/>
                <w:szCs w:val="21"/>
                <w:highlight w:val="none"/>
              </w:rPr>
              <w:t>20</w:t>
            </w:r>
            <w:r>
              <w:rPr>
                <w:rFonts w:hint="eastAsia" w:ascii="宋体" w:hAnsi="宋体" w:eastAsia="宋体" w:cs="宋体"/>
                <w:color w:val="auto"/>
                <w:kern w:val="0"/>
                <w:szCs w:val="21"/>
                <w:highlight w:val="none"/>
                <w:lang w:val="zh-CN"/>
              </w:rPr>
              <w:t>分，端对端的连接距离超过</w:t>
            </w:r>
            <w:r>
              <w:rPr>
                <w:rFonts w:hint="eastAsia" w:ascii="宋体" w:hAnsi="宋体" w:eastAsia="宋体" w:cs="宋体"/>
                <w:color w:val="auto"/>
                <w:kern w:val="0"/>
                <w:szCs w:val="21"/>
                <w:highlight w:val="none"/>
              </w:rPr>
              <w:t>50公里按16分计算。</w:t>
            </w:r>
          </w:p>
          <w:p w14:paraId="26A5927E">
            <w:pPr>
              <w:keepNext w:val="0"/>
              <w:keepLines w:val="0"/>
              <w:pageBreakBefore w:val="0"/>
              <w:widowControl/>
              <w:kinsoku/>
              <w:wordWrap/>
              <w:overflowPunct/>
              <w:topLinePunct w:val="0"/>
              <w:autoSpaceDE/>
              <w:autoSpaceDN/>
              <w:bidi w:val="0"/>
              <w:snapToGrid/>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rPr>
              <w:t>以上</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lang w:eastAsia="zh-CN"/>
              </w:rPr>
              <w:t>）两</w:t>
            </w:r>
            <w:r>
              <w:rPr>
                <w:rFonts w:hint="eastAsia" w:ascii="宋体" w:hAnsi="宋体" w:eastAsia="宋体" w:cs="宋体"/>
                <w:color w:val="auto"/>
                <w:kern w:val="0"/>
                <w:szCs w:val="21"/>
                <w:highlight w:val="none"/>
              </w:rPr>
              <w:t>种互联方式不重复计分，只能选一种计分，两种方式都提供的，按最高评分计分</w:t>
            </w:r>
            <w:r>
              <w:rPr>
                <w:rFonts w:hint="eastAsia" w:ascii="宋体" w:hAnsi="宋体" w:eastAsia="宋体" w:cs="宋体"/>
                <w:color w:val="auto"/>
                <w:kern w:val="0"/>
                <w:szCs w:val="21"/>
                <w:highlight w:val="none"/>
                <w:lang w:eastAsia="zh-CN"/>
              </w:rPr>
              <w:t>；响应</w:t>
            </w:r>
            <w:r>
              <w:rPr>
                <w:rFonts w:hint="eastAsia" w:ascii="宋体" w:hAnsi="宋体" w:eastAsia="宋体" w:cs="宋体"/>
                <w:color w:val="auto"/>
                <w:kern w:val="0"/>
                <w:szCs w:val="21"/>
                <w:highlight w:val="none"/>
              </w:rPr>
              <w:t>文件中提供承诺函。</w:t>
            </w:r>
          </w:p>
        </w:tc>
        <w:tc>
          <w:tcPr>
            <w:tcW w:w="742" w:type="dxa"/>
            <w:tcBorders>
              <w:top w:val="single" w:color="auto" w:sz="4" w:space="0"/>
              <w:left w:val="nil"/>
              <w:bottom w:val="single" w:color="auto" w:sz="4" w:space="0"/>
              <w:right w:val="single" w:color="auto" w:sz="4" w:space="0"/>
            </w:tcBorders>
            <w:noWrap w:val="0"/>
            <w:vAlign w:val="center"/>
          </w:tcPr>
          <w:p w14:paraId="01E782C6">
            <w:pPr>
              <w:keepNext w:val="0"/>
              <w:keepLines w:val="0"/>
              <w:pageBreakBefore w:val="0"/>
              <w:widowControl/>
              <w:kinsoku/>
              <w:wordWrap/>
              <w:overflowPunct/>
              <w:topLinePunct w:val="0"/>
              <w:autoSpaceDE/>
              <w:autoSpaceDN/>
              <w:bidi w:val="0"/>
              <w:snapToGrid/>
              <w:spacing w:line="360" w:lineRule="auto"/>
              <w:ind w:left="0" w:leftChars="0" w:right="0" w:rightChars="0"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满分20分</w:t>
            </w:r>
          </w:p>
        </w:tc>
      </w:tr>
      <w:tr w14:paraId="3698B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33" w:type="dxa"/>
            <w:tcBorders>
              <w:top w:val="single" w:color="auto" w:sz="4" w:space="0"/>
              <w:left w:val="single" w:color="auto" w:sz="4" w:space="0"/>
              <w:bottom w:val="single" w:color="auto" w:sz="4" w:space="0"/>
              <w:right w:val="single" w:color="auto" w:sz="4" w:space="0"/>
            </w:tcBorders>
            <w:noWrap w:val="0"/>
            <w:vAlign w:val="center"/>
          </w:tcPr>
          <w:p w14:paraId="6A5D5A47">
            <w:pPr>
              <w:keepNext w:val="0"/>
              <w:keepLines w:val="0"/>
              <w:pageBreakBefore w:val="0"/>
              <w:widowControl/>
              <w:kinsoku/>
              <w:wordWrap/>
              <w:overflowPunct/>
              <w:topLinePunct w:val="0"/>
              <w:autoSpaceDE/>
              <w:autoSpaceDN/>
              <w:bidi w:val="0"/>
              <w:snapToGrid/>
              <w:spacing w:line="360" w:lineRule="auto"/>
              <w:ind w:left="0" w:leftChars="0" w:right="0" w:rightChars="0"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3.3</w:t>
            </w:r>
          </w:p>
        </w:tc>
        <w:tc>
          <w:tcPr>
            <w:tcW w:w="1090" w:type="dxa"/>
            <w:tcBorders>
              <w:top w:val="single" w:color="auto" w:sz="4" w:space="0"/>
              <w:left w:val="nil"/>
              <w:bottom w:val="single" w:color="auto" w:sz="4" w:space="0"/>
              <w:right w:val="single" w:color="auto" w:sz="4" w:space="0"/>
            </w:tcBorders>
            <w:noWrap w:val="0"/>
            <w:vAlign w:val="center"/>
          </w:tcPr>
          <w:p w14:paraId="1B196B77">
            <w:pPr>
              <w:keepNext w:val="0"/>
              <w:keepLines w:val="0"/>
              <w:pageBreakBefore w:val="0"/>
              <w:kinsoku/>
              <w:wordWrap/>
              <w:overflowPunct/>
              <w:topLinePunct w:val="0"/>
              <w:autoSpaceDE/>
              <w:autoSpaceDN/>
              <w:bidi w:val="0"/>
              <w:adjustRightInd w:val="0"/>
              <w:snapToGrid/>
              <w:spacing w:line="360" w:lineRule="auto"/>
              <w:ind w:left="0" w:leftChars="0" w:right="0" w:rightChars="0" w:firstLine="0" w:firstLineChars="0"/>
              <w:jc w:val="center"/>
              <w:textAlignment w:val="baseline"/>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lang w:eastAsia="zh-CN"/>
              </w:rPr>
              <w:t>拟投入人员</w:t>
            </w:r>
          </w:p>
        </w:tc>
        <w:tc>
          <w:tcPr>
            <w:tcW w:w="6865" w:type="dxa"/>
            <w:tcBorders>
              <w:top w:val="single" w:color="auto" w:sz="4" w:space="0"/>
              <w:left w:val="nil"/>
              <w:bottom w:val="single" w:color="auto" w:sz="4" w:space="0"/>
              <w:right w:val="single" w:color="auto" w:sz="4" w:space="0"/>
            </w:tcBorders>
            <w:noWrap w:val="0"/>
            <w:vAlign w:val="top"/>
          </w:tcPr>
          <w:p w14:paraId="417422C0">
            <w:pPr>
              <w:keepNext w:val="0"/>
              <w:keepLines w:val="0"/>
              <w:pageBreakBefore w:val="0"/>
              <w:widowControl/>
              <w:kinsoku/>
              <w:wordWrap/>
              <w:overflowPunct/>
              <w:topLinePunct w:val="0"/>
              <w:autoSpaceDE/>
              <w:autoSpaceDN/>
              <w:bidi w:val="0"/>
              <w:snapToGrid/>
              <w:spacing w:line="360" w:lineRule="auto"/>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拟投入项目人员</w:t>
            </w:r>
            <w:r>
              <w:rPr>
                <w:rFonts w:hint="default" w:ascii="宋体" w:hAnsi="宋体" w:eastAsia="宋体" w:cs="宋体"/>
                <w:b w:val="0"/>
                <w:bCs w:val="0"/>
                <w:color w:val="auto"/>
                <w:kern w:val="2"/>
                <w:sz w:val="21"/>
                <w:szCs w:val="24"/>
                <w:highlight w:val="none"/>
                <w:lang w:val="en-US" w:eastAsia="zh-CN" w:bidi="ar-SA"/>
              </w:rPr>
              <w:t>≥</w:t>
            </w:r>
            <w:r>
              <w:rPr>
                <w:rFonts w:hint="eastAsia" w:ascii="宋体" w:hAnsi="宋体" w:eastAsia="宋体" w:cs="宋体"/>
                <w:b w:val="0"/>
                <w:bCs w:val="0"/>
                <w:color w:val="auto"/>
                <w:kern w:val="2"/>
                <w:sz w:val="21"/>
                <w:szCs w:val="24"/>
                <w:highlight w:val="none"/>
                <w:lang w:val="en-US" w:eastAsia="zh-CN" w:bidi="ar-SA"/>
              </w:rPr>
              <w:t>7</w:t>
            </w:r>
            <w:r>
              <w:rPr>
                <w:rFonts w:hint="eastAsia" w:ascii="宋体" w:hAnsi="宋体" w:eastAsia="宋体" w:cs="宋体"/>
                <w:color w:val="auto"/>
                <w:kern w:val="0"/>
                <w:szCs w:val="21"/>
                <w:highlight w:val="none"/>
                <w:lang w:val="zh-CN"/>
              </w:rPr>
              <w:t>人，在</w:t>
            </w:r>
            <w:r>
              <w:rPr>
                <w:rFonts w:hint="eastAsia" w:ascii="宋体" w:hAnsi="宋体" w:eastAsia="宋体" w:cs="宋体"/>
                <w:color w:val="auto"/>
                <w:kern w:val="0"/>
                <w:szCs w:val="21"/>
                <w:highlight w:val="none"/>
              </w:rPr>
              <w:t>7</w:t>
            </w:r>
            <w:r>
              <w:rPr>
                <w:rFonts w:hint="eastAsia" w:ascii="宋体" w:hAnsi="宋体" w:eastAsia="宋体" w:cs="宋体"/>
                <w:color w:val="auto"/>
                <w:kern w:val="0"/>
                <w:szCs w:val="21"/>
                <w:highlight w:val="none"/>
                <w:lang w:val="zh-CN"/>
              </w:rPr>
              <w:t>人的基础上每增加1人得1分，满分</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zh-CN"/>
              </w:rPr>
              <w:t>分，同时在响应文件中承诺未经采购人允许不得随意更换，否则不得分。</w:t>
            </w:r>
          </w:p>
          <w:p w14:paraId="022F65B4">
            <w:pPr>
              <w:keepNext w:val="0"/>
              <w:keepLines w:val="0"/>
              <w:pageBreakBefore w:val="0"/>
              <w:widowControl/>
              <w:kinsoku/>
              <w:wordWrap/>
              <w:overflowPunct/>
              <w:topLinePunct w:val="0"/>
              <w:autoSpaceDE/>
              <w:autoSpaceDN/>
              <w:bidi w:val="0"/>
              <w:snapToGrid/>
              <w:spacing w:line="360"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highlight w:val="none"/>
                <w:lang w:eastAsia="zh-CN"/>
              </w:rPr>
              <w:t>注：响应文件中提供供应商为以上拟投入人员购买的最近一个月的社保证明或劳动（劳务）合同复印件。</w:t>
            </w:r>
          </w:p>
        </w:tc>
        <w:tc>
          <w:tcPr>
            <w:tcW w:w="742" w:type="dxa"/>
            <w:tcBorders>
              <w:top w:val="single" w:color="auto" w:sz="4" w:space="0"/>
              <w:left w:val="nil"/>
              <w:bottom w:val="single" w:color="auto" w:sz="4" w:space="0"/>
              <w:right w:val="single" w:color="auto" w:sz="4" w:space="0"/>
            </w:tcBorders>
            <w:noWrap w:val="0"/>
            <w:vAlign w:val="center"/>
          </w:tcPr>
          <w:p w14:paraId="5925C0A7">
            <w:pPr>
              <w:keepNext w:val="0"/>
              <w:keepLines w:val="0"/>
              <w:pageBreakBefore w:val="0"/>
              <w:widowControl/>
              <w:kinsoku/>
              <w:wordWrap/>
              <w:overflowPunct/>
              <w:topLinePunct w:val="0"/>
              <w:autoSpaceDE/>
              <w:autoSpaceDN/>
              <w:bidi w:val="0"/>
              <w:snapToGrid/>
              <w:spacing w:line="360" w:lineRule="auto"/>
              <w:ind w:left="0" w:leftChars="0" w:right="0" w:rightChars="0"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满分3分</w:t>
            </w:r>
          </w:p>
        </w:tc>
      </w:tr>
      <w:tr w14:paraId="5057D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488" w:type="dxa"/>
            <w:gridSpan w:val="3"/>
            <w:tcBorders>
              <w:top w:val="single" w:color="auto" w:sz="4" w:space="0"/>
              <w:left w:val="single" w:color="auto" w:sz="4" w:space="0"/>
              <w:bottom w:val="single" w:color="auto" w:sz="4" w:space="0"/>
              <w:right w:val="single" w:color="auto" w:sz="4" w:space="0"/>
            </w:tcBorders>
            <w:noWrap w:val="0"/>
            <w:vAlign w:val="center"/>
          </w:tcPr>
          <w:p w14:paraId="262DD151">
            <w:pPr>
              <w:pStyle w:val="16"/>
              <w:keepNext w:val="0"/>
              <w:keepLines w:val="0"/>
              <w:pageBreakBefore w:val="0"/>
              <w:kinsoku/>
              <w:wordWrap/>
              <w:overflowPunct/>
              <w:topLinePunct w:val="0"/>
              <w:autoSpaceDE/>
              <w:autoSpaceDN/>
              <w:bidi w:val="0"/>
              <w:snapToGrid/>
              <w:spacing w:line="360" w:lineRule="auto"/>
              <w:ind w:left="0" w:leftChars="0" w:right="0" w:rightChars="0" w:firstLine="0" w:firstLineChars="0"/>
              <w:jc w:val="left"/>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rPr>
              <w:t>总得分＝1＋2＋3</w:t>
            </w:r>
          </w:p>
        </w:tc>
        <w:tc>
          <w:tcPr>
            <w:tcW w:w="742" w:type="dxa"/>
            <w:tcBorders>
              <w:top w:val="single" w:color="auto" w:sz="4" w:space="0"/>
              <w:left w:val="nil"/>
              <w:bottom w:val="single" w:color="auto" w:sz="4" w:space="0"/>
              <w:right w:val="single" w:color="auto" w:sz="4" w:space="0"/>
            </w:tcBorders>
            <w:noWrap w:val="0"/>
            <w:vAlign w:val="center"/>
          </w:tcPr>
          <w:p w14:paraId="555CA1F1">
            <w:pPr>
              <w:keepNext w:val="0"/>
              <w:keepLines w:val="0"/>
              <w:pageBreakBefore w:val="0"/>
              <w:widowControl/>
              <w:kinsoku/>
              <w:wordWrap/>
              <w:overflowPunct/>
              <w:topLinePunct w:val="0"/>
              <w:autoSpaceDE/>
              <w:autoSpaceDN/>
              <w:bidi w:val="0"/>
              <w:snapToGrid/>
              <w:spacing w:line="360" w:lineRule="auto"/>
              <w:ind w:left="0" w:leftChars="0" w:right="0" w:rightChars="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w:t>
            </w:r>
          </w:p>
        </w:tc>
      </w:tr>
    </w:tbl>
    <w:p w14:paraId="0C8BDE2B">
      <w:pPr>
        <w:spacing w:line="360" w:lineRule="auto"/>
        <w:ind w:firstLine="420" w:firstLineChars="200"/>
        <w:rPr>
          <w:rFonts w:hint="eastAsia" w:ascii="宋体" w:hAnsi="宋体" w:cs="宋体"/>
          <w:color w:val="auto"/>
          <w:highlight w:val="none"/>
        </w:rPr>
      </w:pPr>
    </w:p>
    <w:p w14:paraId="6F3F2832">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7.2.终止竞争性磋商采购活动</w:t>
      </w:r>
    </w:p>
    <w:p w14:paraId="08808B2A">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3AA07EC7">
      <w:pPr>
        <w:pStyle w:val="3"/>
        <w:pageBreakBefore w:val="0"/>
        <w:widowControl w:val="0"/>
        <w:kinsoku/>
        <w:wordWrap/>
        <w:overflowPunct/>
        <w:topLinePunct w:val="0"/>
        <w:autoSpaceDE/>
        <w:autoSpaceDN/>
        <w:bidi w:val="0"/>
        <w:adjustRightInd/>
        <w:snapToGrid/>
        <w:spacing w:before="0" w:after="0" w:line="360" w:lineRule="auto"/>
        <w:ind w:firstLine="640" w:firstLineChars="200"/>
        <w:jc w:val="center"/>
        <w:textAlignment w:val="auto"/>
        <w:rPr>
          <w:rFonts w:hint="eastAsia" w:ascii="宋体" w:hAnsi="宋体"/>
          <w:b w:val="0"/>
          <w:color w:val="auto"/>
          <w:highlight w:val="none"/>
          <w:lang w:eastAsia="zh-CN"/>
        </w:rPr>
      </w:pPr>
    </w:p>
    <w:p w14:paraId="225E1280">
      <w:pPr>
        <w:pStyle w:val="3"/>
        <w:spacing w:before="0" w:after="0" w:line="360" w:lineRule="auto"/>
        <w:ind w:firstLine="640" w:firstLineChars="200"/>
        <w:jc w:val="center"/>
        <w:rPr>
          <w:rFonts w:hint="eastAsia" w:ascii="宋体" w:hAnsi="宋体"/>
          <w:b w:val="0"/>
          <w:color w:val="auto"/>
          <w:highlight w:val="none"/>
          <w:lang w:eastAsia="zh-CN"/>
        </w:rPr>
      </w:pPr>
      <w:bookmarkStart w:id="53" w:name="_Toc12478"/>
      <w:r>
        <w:rPr>
          <w:rFonts w:hint="eastAsia" w:ascii="宋体" w:hAnsi="宋体"/>
          <w:b w:val="0"/>
          <w:color w:val="auto"/>
          <w:highlight w:val="none"/>
        </w:rPr>
        <w:t>第</w:t>
      </w:r>
      <w:r>
        <w:rPr>
          <w:rFonts w:hint="eastAsia" w:ascii="宋体" w:hAnsi="宋体"/>
          <w:b w:val="0"/>
          <w:color w:val="auto"/>
          <w:highlight w:val="none"/>
          <w:lang w:eastAsia="zh-CN"/>
        </w:rPr>
        <w:t>二</w:t>
      </w:r>
      <w:r>
        <w:rPr>
          <w:rFonts w:hint="eastAsia" w:ascii="宋体" w:hAnsi="宋体"/>
          <w:b w:val="0"/>
          <w:color w:val="auto"/>
          <w:highlight w:val="none"/>
        </w:rPr>
        <w:t xml:space="preserve">节 </w:t>
      </w:r>
      <w:r>
        <w:rPr>
          <w:rFonts w:hint="eastAsia" w:ascii="宋体" w:hAnsi="宋体"/>
          <w:b w:val="0"/>
          <w:color w:val="auto"/>
          <w:highlight w:val="none"/>
          <w:lang w:eastAsia="zh-CN"/>
        </w:rPr>
        <w:t>评标报告</w:t>
      </w:r>
      <w:bookmarkEnd w:id="52"/>
      <w:bookmarkEnd w:id="53"/>
    </w:p>
    <w:p w14:paraId="1C3A2361">
      <w:pPr>
        <w:pageBreakBefore w:val="0"/>
        <w:kinsoku/>
        <w:wordWrap/>
        <w:overflowPunct/>
        <w:topLinePunct w:val="0"/>
        <w:autoSpaceDE/>
        <w:autoSpaceDN/>
        <w:bidi w:val="0"/>
        <w:snapToGrid/>
        <w:spacing w:line="360" w:lineRule="auto"/>
        <w:ind w:firstLine="480" w:firstLineChars="200"/>
        <w:textAlignment w:val="auto"/>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1.成交标准</w:t>
      </w:r>
    </w:p>
    <w:p w14:paraId="724CF508">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 w:val="24"/>
          <w:highlight w:val="none"/>
        </w:rPr>
      </w:pPr>
      <w:r>
        <w:rPr>
          <w:rFonts w:hint="eastAsia" w:ascii="宋体" w:hAnsi="宋体"/>
          <w:bCs/>
          <w:color w:val="auto"/>
          <w:szCs w:val="21"/>
          <w:highlight w:val="none"/>
        </w:rPr>
        <w:t>由磋商小组根据综合评分情况，按照评审得分由高到低顺序推荐3名以上成交候选供应商</w:t>
      </w:r>
      <w:r>
        <w:rPr>
          <w:rFonts w:hint="eastAsia" w:ascii="宋体" w:hAnsi="宋体" w:cs="宋体"/>
          <w:color w:val="auto"/>
          <w:highlight w:val="none"/>
        </w:rPr>
        <w:t>,并在线编写电子评审报告</w:t>
      </w:r>
      <w:r>
        <w:rPr>
          <w:rFonts w:hint="eastAsia" w:ascii="宋体" w:hAnsi="宋体"/>
          <w:bCs/>
          <w:color w:val="auto"/>
          <w:szCs w:val="21"/>
          <w:highlight w:val="none"/>
        </w:rPr>
        <w:t>。符合本章第一节第5</w:t>
      </w:r>
      <w:r>
        <w:rPr>
          <w:rFonts w:ascii="宋体" w:hAnsi="宋体"/>
          <w:bCs/>
          <w:color w:val="auto"/>
          <w:szCs w:val="21"/>
          <w:highlight w:val="none"/>
        </w:rPr>
        <w:t>.3</w:t>
      </w:r>
      <w:r>
        <w:rPr>
          <w:rFonts w:hint="eastAsia" w:ascii="宋体" w:hAnsi="宋体"/>
          <w:bCs/>
          <w:color w:val="auto"/>
          <w:szCs w:val="21"/>
          <w:highlight w:val="none"/>
        </w:rPr>
        <w:t>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24C4C68E">
      <w:pPr>
        <w:pageBreakBefore w:val="0"/>
        <w:kinsoku/>
        <w:wordWrap/>
        <w:overflowPunct/>
        <w:topLinePunct w:val="0"/>
        <w:autoSpaceDE/>
        <w:autoSpaceDN/>
        <w:bidi w:val="0"/>
        <w:snapToGrid/>
        <w:spacing w:line="360" w:lineRule="auto"/>
        <w:ind w:firstLine="480" w:firstLineChars="200"/>
        <w:textAlignment w:val="auto"/>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2.评标争议</w:t>
      </w:r>
      <w:r>
        <w:rPr>
          <w:rFonts w:ascii="黑体" w:hAnsi="黑体" w:eastAsia="黑体" w:cs="宋体"/>
          <w:color w:val="auto"/>
          <w:sz w:val="24"/>
          <w:szCs w:val="32"/>
          <w:highlight w:val="none"/>
        </w:rPr>
        <w:t>事项</w:t>
      </w:r>
      <w:r>
        <w:rPr>
          <w:rFonts w:hint="eastAsia" w:ascii="黑体" w:hAnsi="黑体" w:eastAsia="黑体" w:cs="宋体"/>
          <w:color w:val="auto"/>
          <w:sz w:val="24"/>
          <w:szCs w:val="32"/>
          <w:highlight w:val="none"/>
        </w:rPr>
        <w:t>处理</w:t>
      </w:r>
    </w:p>
    <w:p w14:paraId="79415903">
      <w:pPr>
        <w:pStyle w:val="72"/>
        <w:pageBreakBefore w:val="0"/>
        <w:kinsoku/>
        <w:wordWrap/>
        <w:overflowPunct/>
        <w:topLinePunct w:val="0"/>
        <w:autoSpaceDE/>
        <w:autoSpaceDN/>
        <w:bidi w:val="0"/>
        <w:snapToGrid/>
        <w:spacing w:before="0" w:line="360" w:lineRule="auto"/>
        <w:ind w:firstLine="420"/>
        <w:textAlignment w:val="auto"/>
        <w:rPr>
          <w:rFonts w:ascii="宋体" w:hAnsi="宋体" w:cs="宋体"/>
          <w:color w:val="auto"/>
          <w:kern w:val="2"/>
          <w:sz w:val="21"/>
          <w:szCs w:val="24"/>
          <w:highlight w:val="none"/>
        </w:rPr>
      </w:pPr>
      <w:r>
        <w:rPr>
          <w:rFonts w:hint="eastAsia" w:ascii="宋体" w:hAnsi="宋体" w:cs="宋体"/>
          <w:color w:val="auto"/>
          <w:kern w:val="2"/>
          <w:sz w:val="21"/>
          <w:szCs w:val="24"/>
          <w:highlight w:val="none"/>
        </w:rPr>
        <w:t>磋商小组</w:t>
      </w:r>
      <w:r>
        <w:rPr>
          <w:rFonts w:ascii="宋体" w:hAnsi="宋体" w:cs="宋体"/>
          <w:color w:val="auto"/>
          <w:kern w:val="2"/>
          <w:sz w:val="21"/>
          <w:szCs w:val="24"/>
          <w:highlight w:val="none"/>
        </w:rPr>
        <w:t>成员对需要共同认定的事项存在争议的，应当按照少数服从多数的原则作出结论。持不同意见的</w:t>
      </w:r>
      <w:r>
        <w:rPr>
          <w:rFonts w:hint="eastAsia" w:ascii="宋体" w:hAnsi="宋体" w:cs="宋体"/>
          <w:color w:val="auto"/>
          <w:kern w:val="2"/>
          <w:sz w:val="21"/>
          <w:szCs w:val="24"/>
          <w:highlight w:val="none"/>
        </w:rPr>
        <w:t>磋商小组</w:t>
      </w:r>
      <w:r>
        <w:rPr>
          <w:rFonts w:ascii="宋体" w:hAnsi="宋体" w:cs="宋体"/>
          <w:color w:val="auto"/>
          <w:kern w:val="2"/>
          <w:sz w:val="21"/>
          <w:szCs w:val="24"/>
          <w:highlight w:val="none"/>
        </w:rPr>
        <w:t>成员应当在评标报告上签署不同意见及理由，否则视为同意评标报告。</w:t>
      </w:r>
    </w:p>
    <w:p w14:paraId="1DC14DAC">
      <w:pPr>
        <w:pStyle w:val="3"/>
        <w:pageBreakBefore w:val="0"/>
        <w:kinsoku/>
        <w:wordWrap/>
        <w:overflowPunct/>
        <w:topLinePunct w:val="0"/>
        <w:autoSpaceDE/>
        <w:autoSpaceDN/>
        <w:bidi w:val="0"/>
        <w:snapToGrid/>
        <w:spacing w:before="0" w:after="0" w:line="360" w:lineRule="auto"/>
        <w:ind w:firstLine="640" w:firstLineChars="200"/>
        <w:jc w:val="center"/>
        <w:textAlignment w:val="auto"/>
        <w:rPr>
          <w:rFonts w:ascii="宋体" w:hAnsi="宋体"/>
          <w:b w:val="0"/>
          <w:color w:val="auto"/>
          <w:highlight w:val="none"/>
        </w:rPr>
      </w:pPr>
      <w:bookmarkStart w:id="54" w:name="_Toc80205936"/>
      <w:bookmarkStart w:id="55" w:name="_Toc11220"/>
      <w:r>
        <w:rPr>
          <w:rFonts w:hint="eastAsia" w:ascii="宋体" w:hAnsi="宋体"/>
          <w:b w:val="0"/>
          <w:color w:val="auto"/>
          <w:highlight w:val="none"/>
        </w:rPr>
        <w:t>第</w:t>
      </w:r>
      <w:r>
        <w:rPr>
          <w:rFonts w:hint="eastAsia" w:ascii="宋体" w:hAnsi="宋体"/>
          <w:b w:val="0"/>
          <w:color w:val="auto"/>
          <w:highlight w:val="none"/>
          <w:lang w:eastAsia="zh-CN"/>
        </w:rPr>
        <w:t>三</w:t>
      </w:r>
      <w:r>
        <w:rPr>
          <w:rFonts w:hint="eastAsia" w:ascii="宋体" w:hAnsi="宋体"/>
          <w:b w:val="0"/>
          <w:color w:val="auto"/>
          <w:highlight w:val="none"/>
        </w:rPr>
        <w:t>节 评审过程的保密与录像</w:t>
      </w:r>
      <w:bookmarkEnd w:id="54"/>
      <w:bookmarkEnd w:id="55"/>
    </w:p>
    <w:p w14:paraId="45FBFC52">
      <w:pPr>
        <w:pageBreakBefore w:val="0"/>
        <w:kinsoku/>
        <w:wordWrap/>
        <w:overflowPunct/>
        <w:topLinePunct w:val="0"/>
        <w:autoSpaceDE/>
        <w:autoSpaceDN/>
        <w:bidi w:val="0"/>
        <w:snapToGrid/>
        <w:spacing w:line="360" w:lineRule="auto"/>
        <w:ind w:firstLine="480" w:firstLineChars="200"/>
        <w:textAlignment w:val="auto"/>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1.保密。</w:t>
      </w:r>
    </w:p>
    <w:p w14:paraId="57B553F2">
      <w:pPr>
        <w:pageBreakBefore w:val="0"/>
        <w:widowControl/>
        <w:kinsoku/>
        <w:wordWrap/>
        <w:overflowPunct/>
        <w:topLinePunct w:val="0"/>
        <w:autoSpaceDE/>
        <w:autoSpaceDN/>
        <w:bidi w:val="0"/>
        <w:snapToGrid/>
        <w:spacing w:line="360" w:lineRule="auto"/>
        <w:ind w:firstLine="420" w:firstLineChars="200"/>
        <w:textAlignment w:val="auto"/>
        <w:rPr>
          <w:rFonts w:ascii="宋体" w:hAnsi="宋体" w:cs="宋体"/>
          <w:color w:val="auto"/>
          <w:highlight w:val="none"/>
        </w:rPr>
      </w:pPr>
      <w:r>
        <w:rPr>
          <w:rFonts w:ascii="宋体" w:hAnsi="宋体" w:cs="宋体"/>
          <w:color w:val="auto"/>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4F8C9CA2">
      <w:pPr>
        <w:pageBreakBefore w:val="0"/>
        <w:widowControl/>
        <w:kinsoku/>
        <w:wordWrap/>
        <w:overflowPunct/>
        <w:topLinePunct w:val="0"/>
        <w:autoSpaceDE/>
        <w:autoSpaceDN/>
        <w:bidi w:val="0"/>
        <w:snapToGrid/>
        <w:spacing w:line="360" w:lineRule="auto"/>
        <w:ind w:firstLine="480" w:firstLineChars="200"/>
        <w:textAlignment w:val="auto"/>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2.录音录像。</w:t>
      </w:r>
    </w:p>
    <w:p w14:paraId="267AB51A">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采购代理机构对评审工作现场及操作屏幕进行全过程录音录像，录音录像资料作为采购项目文件随其他文件一并存档。</w:t>
      </w:r>
    </w:p>
    <w:p w14:paraId="44A656AD">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cs="宋体"/>
          <w:color w:val="auto"/>
          <w:highlight w:val="none"/>
        </w:rPr>
      </w:pPr>
    </w:p>
    <w:p w14:paraId="6A00D789">
      <w:pPr>
        <w:spacing w:line="400" w:lineRule="exact"/>
        <w:ind w:firstLine="420" w:firstLineChars="200"/>
        <w:rPr>
          <w:rFonts w:hint="eastAsia" w:ascii="宋体" w:hAnsi="宋体" w:cs="宋体"/>
          <w:color w:val="auto"/>
          <w:highlight w:val="none"/>
        </w:rPr>
      </w:pPr>
    </w:p>
    <w:p w14:paraId="079274FD">
      <w:pPr>
        <w:pStyle w:val="3"/>
        <w:rPr>
          <w:color w:val="auto"/>
          <w:highlight w:val="none"/>
        </w:rPr>
      </w:pPr>
    </w:p>
    <w:p w14:paraId="1ED37031">
      <w:pPr>
        <w:pStyle w:val="3"/>
        <w:jc w:val="center"/>
        <w:rPr>
          <w:color w:val="auto"/>
          <w:highlight w:val="none"/>
        </w:rPr>
      </w:pPr>
      <w:r>
        <w:rPr>
          <w:color w:val="auto"/>
          <w:highlight w:val="none"/>
        </w:rPr>
        <w:br w:type="page"/>
      </w:r>
    </w:p>
    <w:p w14:paraId="18896FB3">
      <w:pPr>
        <w:pStyle w:val="3"/>
        <w:jc w:val="center"/>
        <w:rPr>
          <w:color w:val="auto"/>
          <w:highlight w:val="none"/>
        </w:rPr>
      </w:pPr>
    </w:p>
    <w:p w14:paraId="3F4CBEAC">
      <w:pPr>
        <w:pStyle w:val="3"/>
        <w:jc w:val="center"/>
        <w:rPr>
          <w:color w:val="auto"/>
          <w:highlight w:val="none"/>
        </w:rPr>
      </w:pPr>
    </w:p>
    <w:p w14:paraId="258D29A2">
      <w:pPr>
        <w:pStyle w:val="3"/>
        <w:jc w:val="center"/>
        <w:rPr>
          <w:color w:val="auto"/>
          <w:highlight w:val="none"/>
        </w:rPr>
      </w:pPr>
    </w:p>
    <w:p w14:paraId="75546C20">
      <w:pPr>
        <w:pStyle w:val="3"/>
        <w:jc w:val="center"/>
        <w:rPr>
          <w:color w:val="auto"/>
          <w:highlight w:val="none"/>
        </w:rPr>
      </w:pPr>
    </w:p>
    <w:p w14:paraId="1D821485">
      <w:pPr>
        <w:pStyle w:val="3"/>
        <w:jc w:val="center"/>
        <w:rPr>
          <w:color w:val="auto"/>
          <w:highlight w:val="none"/>
        </w:rPr>
      </w:pPr>
    </w:p>
    <w:p w14:paraId="43D11609">
      <w:pPr>
        <w:pStyle w:val="2"/>
        <w:jc w:val="center"/>
        <w:rPr>
          <w:color w:val="auto"/>
          <w:highlight w:val="none"/>
        </w:rPr>
        <w:sectPr>
          <w:footerReference r:id="rId8" w:type="first"/>
          <w:footerReference r:id="rId7" w:type="default"/>
          <w:pgSz w:w="11910" w:h="16840"/>
          <w:pgMar w:top="1340" w:right="1500" w:bottom="280" w:left="1680" w:header="720" w:footer="720" w:gutter="0"/>
          <w:cols w:space="720" w:num="1"/>
        </w:sectPr>
      </w:pPr>
      <w:bookmarkStart w:id="56" w:name="_Toc16432"/>
      <w:r>
        <w:rPr>
          <w:rFonts w:hint="eastAsia"/>
          <w:color w:val="auto"/>
          <w:highlight w:val="none"/>
        </w:rPr>
        <w:t>第五章 响应文件格式</w:t>
      </w:r>
      <w:bookmarkEnd w:id="56"/>
    </w:p>
    <w:p w14:paraId="76074432">
      <w:pPr>
        <w:pStyle w:val="3"/>
        <w:jc w:val="center"/>
        <w:rPr>
          <w:rFonts w:hint="eastAsia" w:ascii="宋体" w:hAnsi="宋体"/>
          <w:b w:val="0"/>
          <w:color w:val="auto"/>
          <w:highlight w:val="none"/>
          <w:lang w:val="en-US" w:eastAsia="zh-CN"/>
        </w:rPr>
      </w:pPr>
      <w:bookmarkStart w:id="57" w:name="_Toc80205938"/>
      <w:bookmarkStart w:id="58" w:name="_Toc8497"/>
      <w:r>
        <w:rPr>
          <w:rFonts w:hint="eastAsia" w:ascii="宋体" w:hAnsi="宋体"/>
          <w:b w:val="0"/>
          <w:color w:val="auto"/>
          <w:highlight w:val="none"/>
          <w:lang w:val="en-US" w:eastAsia="zh-CN"/>
        </w:rPr>
        <w:t>第一节 封面格式</w:t>
      </w:r>
      <w:bookmarkEnd w:id="57"/>
      <w:bookmarkEnd w:id="58"/>
    </w:p>
    <w:p w14:paraId="2607B7BD">
      <w:pPr>
        <w:rPr>
          <w:rFonts w:hint="eastAsia" w:ascii="宋体" w:hAnsi="宋体"/>
          <w:b/>
          <w:bCs/>
          <w:color w:val="auto"/>
          <w:sz w:val="32"/>
          <w:szCs w:val="32"/>
          <w:highlight w:val="none"/>
        </w:rPr>
      </w:pPr>
      <w:r>
        <w:rPr>
          <w:rFonts w:hint="eastAsia" w:ascii="宋体" w:hAnsi="宋体"/>
          <w:b/>
          <w:color w:val="auto"/>
          <w:sz w:val="32"/>
          <w:szCs w:val="32"/>
          <w:highlight w:val="none"/>
        </w:rPr>
        <w:t>（</w:t>
      </w:r>
      <w:r>
        <w:rPr>
          <w:rFonts w:hint="eastAsia" w:ascii="宋体" w:hAnsi="宋体"/>
          <w:b/>
          <w:bCs/>
          <w:color w:val="auto"/>
          <w:sz w:val="32"/>
          <w:szCs w:val="32"/>
          <w:highlight w:val="none"/>
        </w:rPr>
        <w:t>响应文件外层包装封面格式</w:t>
      </w:r>
      <w:r>
        <w:rPr>
          <w:rFonts w:hint="eastAsia" w:ascii="宋体" w:hAnsi="宋体"/>
          <w:b/>
          <w:color w:val="auto"/>
          <w:sz w:val="32"/>
          <w:szCs w:val="32"/>
          <w:highlight w:val="none"/>
        </w:rPr>
        <w:t xml:space="preserve"> ）</w:t>
      </w:r>
    </w:p>
    <w:p w14:paraId="595C35EC">
      <w:pPr>
        <w:snapToGrid w:val="0"/>
        <w:spacing w:before="120" w:beforeLines="50" w:after="50"/>
        <w:rPr>
          <w:rFonts w:hint="eastAsia" w:ascii="宋体" w:hAnsi="宋体"/>
          <w:color w:val="auto"/>
          <w:sz w:val="24"/>
          <w:szCs w:val="20"/>
          <w:highlight w:val="none"/>
        </w:rPr>
      </w:pPr>
    </w:p>
    <w:p w14:paraId="68DFF358">
      <w:pPr>
        <w:snapToGrid w:val="0"/>
        <w:spacing w:before="120" w:beforeLines="50" w:after="50"/>
        <w:jc w:val="center"/>
        <w:rPr>
          <w:rFonts w:hint="eastAsia" w:ascii="宋体" w:hAnsi="宋体"/>
          <w:bCs/>
          <w:color w:val="auto"/>
          <w:sz w:val="24"/>
          <w:szCs w:val="20"/>
          <w:highlight w:val="none"/>
        </w:rPr>
      </w:pPr>
    </w:p>
    <w:p w14:paraId="323C848F">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响  应  文  件</w:t>
      </w:r>
    </w:p>
    <w:p w14:paraId="1B1EAFA3">
      <w:pPr>
        <w:snapToGrid w:val="0"/>
        <w:spacing w:before="120" w:beforeLines="50" w:after="50"/>
        <w:rPr>
          <w:rFonts w:hint="eastAsia" w:ascii="宋体" w:hAnsi="宋体"/>
          <w:bCs/>
          <w:color w:val="auto"/>
          <w:sz w:val="24"/>
          <w:szCs w:val="20"/>
          <w:highlight w:val="none"/>
        </w:rPr>
      </w:pPr>
    </w:p>
    <w:p w14:paraId="126D0ECF">
      <w:pPr>
        <w:snapToGrid w:val="0"/>
        <w:spacing w:before="120" w:beforeLines="50" w:after="50"/>
        <w:rPr>
          <w:rFonts w:hint="eastAsia" w:ascii="宋体" w:hAnsi="宋体"/>
          <w:bCs/>
          <w:color w:val="auto"/>
          <w:sz w:val="24"/>
          <w:szCs w:val="20"/>
          <w:highlight w:val="none"/>
        </w:rPr>
      </w:pPr>
    </w:p>
    <w:p w14:paraId="40F76315">
      <w:pPr>
        <w:snapToGrid w:val="0"/>
        <w:spacing w:before="120" w:beforeLines="50" w:after="50"/>
        <w:rPr>
          <w:rFonts w:hint="eastAsia" w:ascii="仿宋_GB2312" w:hAnsi="仿宋_GB2312" w:eastAsia="仿宋_GB2312" w:cs="仿宋_GB2312"/>
          <w:bCs/>
          <w:color w:val="auto"/>
          <w:sz w:val="32"/>
          <w:szCs w:val="32"/>
          <w:highlight w:val="none"/>
        </w:rPr>
      </w:pPr>
    </w:p>
    <w:p w14:paraId="0A814779">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165F99B6">
      <w:pPr>
        <w:snapToGrid w:val="0"/>
        <w:spacing w:before="120" w:beforeLines="50" w:after="50"/>
        <w:ind w:firstLine="480" w:firstLineChars="150"/>
        <w:rPr>
          <w:rFonts w:hint="eastAsia" w:ascii="宋体" w:hAnsi="宋体" w:cs="仿宋_GB2312"/>
          <w:bCs/>
          <w:color w:val="auto"/>
          <w:sz w:val="32"/>
          <w:szCs w:val="32"/>
          <w:highlight w:val="none"/>
        </w:rPr>
      </w:pPr>
    </w:p>
    <w:p w14:paraId="345E1497">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05011192">
      <w:pPr>
        <w:snapToGrid w:val="0"/>
        <w:spacing w:before="120" w:beforeLines="50" w:after="50"/>
        <w:ind w:firstLine="480" w:firstLineChars="150"/>
        <w:rPr>
          <w:rFonts w:hint="eastAsia" w:ascii="宋体" w:hAnsi="宋体" w:cs="仿宋_GB2312"/>
          <w:bCs/>
          <w:color w:val="auto"/>
          <w:sz w:val="32"/>
          <w:szCs w:val="32"/>
          <w:highlight w:val="none"/>
        </w:rPr>
      </w:pPr>
    </w:p>
    <w:p w14:paraId="65930607">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52A58EBF">
      <w:pPr>
        <w:snapToGrid w:val="0"/>
        <w:spacing w:before="120" w:beforeLines="50" w:after="50"/>
        <w:rPr>
          <w:rFonts w:hint="eastAsia" w:ascii="宋体" w:hAnsi="宋体" w:cs="仿宋_GB2312"/>
          <w:bCs/>
          <w:color w:val="auto"/>
          <w:sz w:val="32"/>
          <w:szCs w:val="32"/>
          <w:highlight w:val="none"/>
        </w:rPr>
      </w:pPr>
    </w:p>
    <w:p w14:paraId="362F19D4">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4CF4EE3F">
      <w:pPr>
        <w:snapToGrid w:val="0"/>
        <w:spacing w:before="120" w:beforeLines="50" w:after="50"/>
        <w:rPr>
          <w:rFonts w:hint="eastAsia" w:ascii="宋体" w:hAnsi="宋体" w:cs="仿宋_GB2312"/>
          <w:bCs/>
          <w:color w:val="auto"/>
          <w:sz w:val="32"/>
          <w:szCs w:val="32"/>
          <w:highlight w:val="none"/>
        </w:rPr>
      </w:pPr>
    </w:p>
    <w:p w14:paraId="7CF90E74">
      <w:pPr>
        <w:snapToGrid w:val="0"/>
        <w:spacing w:before="120" w:beforeLines="50" w:after="50"/>
        <w:ind w:firstLine="480" w:firstLineChars="150"/>
        <w:jc w:val="center"/>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首次响应文件提交截止时间前不得解密</w:t>
      </w:r>
    </w:p>
    <w:p w14:paraId="4B9B4F64">
      <w:pPr>
        <w:snapToGrid w:val="0"/>
        <w:spacing w:before="120" w:beforeLines="50" w:after="50"/>
        <w:ind w:firstLine="5440" w:firstLineChars="1700"/>
        <w:jc w:val="center"/>
        <w:rPr>
          <w:rFonts w:hint="eastAsia" w:ascii="宋体" w:hAnsi="宋体" w:cs="仿宋_GB2312"/>
          <w:bCs/>
          <w:color w:val="auto"/>
          <w:sz w:val="32"/>
          <w:szCs w:val="32"/>
          <w:highlight w:val="none"/>
        </w:rPr>
      </w:pPr>
    </w:p>
    <w:p w14:paraId="4B58FF5E">
      <w:pPr>
        <w:snapToGrid w:val="0"/>
        <w:spacing w:before="120" w:beforeLines="50" w:after="50"/>
        <w:ind w:firstLine="645"/>
        <w:jc w:val="center"/>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年    月    日</w:t>
      </w:r>
    </w:p>
    <w:p w14:paraId="32A21316">
      <w:pPr>
        <w:rPr>
          <w:color w:val="auto"/>
          <w:highlight w:val="none"/>
        </w:rPr>
        <w:sectPr>
          <w:pgSz w:w="11910" w:h="16840"/>
          <w:pgMar w:top="1340" w:right="1500" w:bottom="280" w:left="1680" w:header="720" w:footer="720" w:gutter="0"/>
          <w:cols w:space="720" w:num="1"/>
        </w:sectPr>
      </w:pPr>
    </w:p>
    <w:p w14:paraId="54AD602F">
      <w:pPr>
        <w:pStyle w:val="3"/>
        <w:jc w:val="center"/>
        <w:rPr>
          <w:rFonts w:hint="eastAsia" w:ascii="宋体" w:hAnsi="宋体"/>
          <w:bCs w:val="0"/>
          <w:color w:val="auto"/>
          <w:highlight w:val="none"/>
        </w:rPr>
      </w:pPr>
      <w:bookmarkStart w:id="59" w:name="_Toc22309"/>
      <w:bookmarkStart w:id="60" w:name="_Toc80205939"/>
      <w:r>
        <w:rPr>
          <w:rFonts w:hint="eastAsia" w:ascii="宋体" w:hAnsi="宋体"/>
          <w:bCs w:val="0"/>
          <w:color w:val="auto"/>
          <w:highlight w:val="none"/>
        </w:rPr>
        <w:t>第二节 资格证明文件格式</w:t>
      </w:r>
      <w:bookmarkEnd w:id="59"/>
      <w:bookmarkEnd w:id="60"/>
    </w:p>
    <w:p w14:paraId="256ED072">
      <w:pPr>
        <w:snapToGrid w:val="0"/>
        <w:spacing w:before="120"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全流程电子文件</w:t>
      </w:r>
    </w:p>
    <w:p w14:paraId="4EB5A24C">
      <w:pPr>
        <w:snapToGrid w:val="0"/>
        <w:spacing w:before="120" w:beforeLines="50" w:after="50"/>
        <w:rPr>
          <w:rFonts w:hint="eastAsia" w:ascii="宋体" w:hAnsi="宋体"/>
          <w:color w:val="auto"/>
          <w:sz w:val="24"/>
          <w:szCs w:val="20"/>
          <w:highlight w:val="none"/>
        </w:rPr>
      </w:pPr>
    </w:p>
    <w:p w14:paraId="0A840D9C">
      <w:pPr>
        <w:snapToGrid w:val="0"/>
        <w:spacing w:before="120" w:beforeLines="50" w:after="50"/>
        <w:rPr>
          <w:rFonts w:hint="eastAsia" w:ascii="宋体" w:hAnsi="宋体"/>
          <w:color w:val="auto"/>
          <w:sz w:val="24"/>
          <w:szCs w:val="20"/>
          <w:highlight w:val="none"/>
        </w:rPr>
      </w:pPr>
    </w:p>
    <w:p w14:paraId="4253C0B2">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资  格  证  明  文  件（封面）</w:t>
      </w:r>
    </w:p>
    <w:p w14:paraId="57888C6F">
      <w:pPr>
        <w:snapToGrid w:val="0"/>
        <w:spacing w:before="120" w:beforeLines="50" w:after="50"/>
        <w:rPr>
          <w:rFonts w:hint="eastAsia" w:ascii="宋体" w:hAnsi="宋体"/>
          <w:bCs/>
          <w:color w:val="auto"/>
          <w:sz w:val="24"/>
          <w:szCs w:val="20"/>
          <w:highlight w:val="none"/>
        </w:rPr>
      </w:pPr>
    </w:p>
    <w:p w14:paraId="5DFDB4BB">
      <w:pPr>
        <w:snapToGrid w:val="0"/>
        <w:spacing w:before="120" w:beforeLines="50" w:after="50"/>
        <w:rPr>
          <w:rFonts w:hint="eastAsia" w:ascii="宋体" w:hAnsi="宋体"/>
          <w:bCs/>
          <w:color w:val="auto"/>
          <w:sz w:val="24"/>
          <w:szCs w:val="20"/>
          <w:highlight w:val="none"/>
        </w:rPr>
      </w:pPr>
    </w:p>
    <w:p w14:paraId="4C7E1270">
      <w:pPr>
        <w:snapToGrid w:val="0"/>
        <w:spacing w:before="120" w:beforeLines="50" w:after="50"/>
        <w:rPr>
          <w:rFonts w:hint="eastAsia" w:ascii="宋体" w:hAnsi="宋体"/>
          <w:bCs/>
          <w:color w:val="auto"/>
          <w:sz w:val="24"/>
          <w:szCs w:val="20"/>
          <w:highlight w:val="none"/>
        </w:rPr>
      </w:pPr>
    </w:p>
    <w:p w14:paraId="5694549F">
      <w:pPr>
        <w:snapToGrid w:val="0"/>
        <w:spacing w:before="120" w:beforeLines="50" w:after="50"/>
        <w:rPr>
          <w:rFonts w:hint="eastAsia" w:ascii="宋体" w:hAnsi="宋体"/>
          <w:bCs/>
          <w:color w:val="auto"/>
          <w:sz w:val="24"/>
          <w:szCs w:val="20"/>
          <w:highlight w:val="none"/>
        </w:rPr>
      </w:pPr>
    </w:p>
    <w:p w14:paraId="362D27D1">
      <w:pPr>
        <w:snapToGrid w:val="0"/>
        <w:spacing w:before="120" w:beforeLines="50" w:after="50"/>
        <w:rPr>
          <w:rFonts w:hint="eastAsia" w:ascii="宋体" w:hAnsi="宋体"/>
          <w:bCs/>
          <w:color w:val="auto"/>
          <w:sz w:val="24"/>
          <w:szCs w:val="20"/>
          <w:highlight w:val="none"/>
        </w:rPr>
      </w:pPr>
    </w:p>
    <w:p w14:paraId="5B1AC3FB">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76D11CE7">
      <w:pPr>
        <w:snapToGrid w:val="0"/>
        <w:spacing w:before="120" w:beforeLines="50" w:after="50"/>
        <w:ind w:firstLine="720" w:firstLineChars="225"/>
        <w:rPr>
          <w:rFonts w:hint="eastAsia" w:ascii="宋体" w:hAnsi="宋体" w:cs="仿宋_GB2312"/>
          <w:bCs/>
          <w:color w:val="auto"/>
          <w:sz w:val="32"/>
          <w:szCs w:val="32"/>
          <w:highlight w:val="none"/>
        </w:rPr>
      </w:pPr>
    </w:p>
    <w:p w14:paraId="339FF786">
      <w:pPr>
        <w:snapToGrid w:val="0"/>
        <w:spacing w:before="120"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10384D99">
      <w:pPr>
        <w:snapToGrid w:val="0"/>
        <w:spacing w:before="120"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77D222E8">
      <w:pPr>
        <w:snapToGrid w:val="0"/>
        <w:spacing w:before="120"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0A4DDB85">
      <w:pPr>
        <w:snapToGrid w:val="0"/>
        <w:spacing w:before="120" w:beforeLines="50" w:after="50"/>
        <w:ind w:firstLine="720" w:firstLineChars="225"/>
        <w:rPr>
          <w:rFonts w:hint="eastAsia" w:ascii="宋体" w:hAnsi="宋体" w:cs="仿宋_GB2312"/>
          <w:bCs/>
          <w:color w:val="auto"/>
          <w:sz w:val="32"/>
          <w:szCs w:val="32"/>
          <w:highlight w:val="none"/>
        </w:rPr>
      </w:pPr>
    </w:p>
    <w:p w14:paraId="7C59D623">
      <w:pPr>
        <w:pStyle w:val="7"/>
        <w:snapToGrid w:val="0"/>
        <w:spacing w:before="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599895B1">
      <w:pPr>
        <w:pStyle w:val="7"/>
        <w:snapToGrid w:val="0"/>
        <w:spacing w:before="50" w:after="50"/>
        <w:ind w:firstLine="720" w:firstLineChars="225"/>
        <w:rPr>
          <w:rFonts w:hint="eastAsia" w:ascii="宋体" w:hAnsi="宋体" w:cs="仿宋_GB2312"/>
          <w:bCs/>
          <w:color w:val="auto"/>
          <w:sz w:val="32"/>
          <w:szCs w:val="32"/>
          <w:highlight w:val="none"/>
        </w:rPr>
      </w:pPr>
    </w:p>
    <w:p w14:paraId="6F6324D8">
      <w:pPr>
        <w:pStyle w:val="7"/>
        <w:snapToGrid w:val="0"/>
        <w:spacing w:before="50" w:after="50"/>
        <w:ind w:firstLine="720" w:firstLineChars="225"/>
        <w:rPr>
          <w:rFonts w:hint="eastAsia" w:ascii="宋体" w:hAnsi="宋体" w:cs="仿宋_GB2312"/>
          <w:bCs/>
          <w:color w:val="auto"/>
          <w:sz w:val="32"/>
          <w:szCs w:val="32"/>
          <w:highlight w:val="none"/>
        </w:rPr>
      </w:pPr>
    </w:p>
    <w:p w14:paraId="3A3A08EF">
      <w:pPr>
        <w:pStyle w:val="7"/>
        <w:snapToGrid w:val="0"/>
        <w:spacing w:before="50" w:after="50"/>
        <w:ind w:firstLine="720" w:firstLineChars="225"/>
        <w:rPr>
          <w:rFonts w:hint="eastAsia" w:ascii="宋体" w:hAnsi="宋体" w:cs="仿宋_GB2312"/>
          <w:bCs/>
          <w:color w:val="auto"/>
          <w:sz w:val="32"/>
          <w:szCs w:val="32"/>
          <w:highlight w:val="none"/>
        </w:rPr>
      </w:pPr>
    </w:p>
    <w:p w14:paraId="547152A8">
      <w:pPr>
        <w:pStyle w:val="7"/>
        <w:snapToGrid w:val="0"/>
        <w:spacing w:before="50" w:after="50"/>
        <w:ind w:firstLine="1280" w:firstLineChars="400"/>
        <w:rPr>
          <w:rFonts w:hint="eastAsia" w:ascii="宋体" w:hAnsi="宋体" w:cs="仿宋_GB2312"/>
          <w:bCs/>
          <w:color w:val="auto"/>
          <w:sz w:val="32"/>
          <w:szCs w:val="32"/>
          <w:highlight w:val="none"/>
        </w:rPr>
      </w:pPr>
    </w:p>
    <w:p w14:paraId="692929BA">
      <w:pPr>
        <w:snapToGrid w:val="0"/>
        <w:spacing w:before="120"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19F2B8E9">
      <w:pPr>
        <w:snapToGrid w:val="0"/>
        <w:spacing w:before="120" w:beforeLines="50" w:after="50" w:line="360" w:lineRule="auto"/>
        <w:jc w:val="left"/>
        <w:rPr>
          <w:rFonts w:hint="eastAsia" w:ascii="宋体" w:hAnsi="宋体"/>
          <w:b/>
          <w:bCs/>
          <w:color w:val="auto"/>
          <w:sz w:val="32"/>
          <w:szCs w:val="32"/>
          <w:highlight w:val="none"/>
        </w:rPr>
      </w:pPr>
      <w:r>
        <w:rPr>
          <w:rFonts w:ascii="宋体" w:hAnsi="宋体"/>
          <w:color w:val="auto"/>
          <w:sz w:val="24"/>
          <w:highlight w:val="none"/>
        </w:rPr>
        <w:br w:type="page"/>
      </w:r>
      <w:r>
        <w:rPr>
          <w:rFonts w:hint="eastAsia" w:ascii="宋体" w:hAnsi="宋体"/>
          <w:b/>
          <w:bCs/>
          <w:color w:val="auto"/>
          <w:sz w:val="32"/>
          <w:szCs w:val="32"/>
          <w:highlight w:val="none"/>
        </w:rPr>
        <w:t xml:space="preserve"> </w:t>
      </w:r>
    </w:p>
    <w:p w14:paraId="16DA3E2D">
      <w:pPr>
        <w:jc w:val="center"/>
        <w:rPr>
          <w:rFonts w:hint="eastAsia"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资格证明文件目录</w:t>
      </w:r>
    </w:p>
    <w:p w14:paraId="23872859">
      <w:pPr>
        <w:snapToGrid w:val="0"/>
        <w:spacing w:line="360" w:lineRule="auto"/>
        <w:rPr>
          <w:rFonts w:hint="eastAsia" w:ascii="仿宋_GB2312" w:hAnsi="仿宋" w:eastAsia="仿宋_GB2312" w:cs="仿宋_GB2312"/>
          <w:color w:val="auto"/>
          <w:kern w:val="0"/>
          <w:sz w:val="24"/>
          <w:highlight w:val="none"/>
        </w:rPr>
      </w:pPr>
    </w:p>
    <w:p w14:paraId="3CB9EBFC">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一、</w:t>
      </w:r>
      <w:r>
        <w:rPr>
          <w:rFonts w:hint="eastAsia" w:ascii="仿宋_GB2312" w:hAnsi="仿宋" w:eastAsia="仿宋_GB2312"/>
          <w:color w:val="auto"/>
          <w:sz w:val="24"/>
          <w:highlight w:val="none"/>
        </w:rPr>
        <w:t>营业执照(或事业法人登记证或其他工商等登记证明材料)复印件（供应商为自然人的，须提供</w:t>
      </w:r>
      <w:r>
        <w:rPr>
          <w:rFonts w:hint="eastAsia" w:ascii="仿宋_GB2312" w:hAnsi="仿宋" w:eastAsia="仿宋_GB2312" w:cs="Helvetica"/>
          <w:color w:val="auto"/>
          <w:kern w:val="0"/>
          <w:sz w:val="24"/>
          <w:highlight w:val="none"/>
        </w:rPr>
        <w:t>自然人的身份证明</w:t>
      </w:r>
      <w:r>
        <w:rPr>
          <w:rFonts w:hint="eastAsia" w:ascii="仿宋_GB2312" w:hAnsi="仿宋" w:eastAsia="仿宋_GB2312"/>
          <w:color w:val="auto"/>
          <w:sz w:val="24"/>
          <w:highlight w:val="none"/>
        </w:rPr>
        <w:t>）</w:t>
      </w:r>
      <w:r>
        <w:rPr>
          <w:rFonts w:hint="eastAsia" w:ascii="仿宋_GB2312" w:hAnsi="仿宋" w:eastAsia="仿宋_GB2312" w:cs="仿宋_GB2312"/>
          <w:color w:val="auto"/>
          <w:kern w:val="0"/>
          <w:sz w:val="24"/>
          <w:highlight w:val="none"/>
        </w:rPr>
        <w:t>…………………………………………（页码）</w:t>
      </w:r>
    </w:p>
    <w:p w14:paraId="114195A6">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二、符合参与政府采购活动的资格条件依法缴纳税收、社会保障资金等方面的材料…………………………………………………………………………………（页码）</w:t>
      </w:r>
    </w:p>
    <w:p w14:paraId="620B1650">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三、财务状况报告方面的材料…………………………………………………（页码）</w:t>
      </w:r>
    </w:p>
    <w:p w14:paraId="21B3C581">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四、供应商直接控股股东信息</w:t>
      </w:r>
      <w:r>
        <w:rPr>
          <w:rFonts w:hint="eastAsia" w:ascii="仿宋_GB2312" w:hAnsi="仿宋" w:eastAsia="仿宋_GB2312" w:cs="仿宋_GB2312"/>
          <w:color w:val="auto"/>
          <w:kern w:val="0"/>
          <w:sz w:val="24"/>
          <w:highlight w:val="none"/>
        </w:rPr>
        <w:t>…………………………………………………（页码）</w:t>
      </w:r>
    </w:p>
    <w:p w14:paraId="6DB03A75">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五、供应商直接关联关系信息表</w:t>
      </w:r>
      <w:r>
        <w:rPr>
          <w:rFonts w:hint="eastAsia" w:ascii="仿宋_GB2312" w:hAnsi="仿宋" w:eastAsia="仿宋_GB2312" w:cs="仿宋_GB2312"/>
          <w:color w:val="auto"/>
          <w:kern w:val="0"/>
          <w:sz w:val="24"/>
          <w:highlight w:val="none"/>
        </w:rPr>
        <w:t>………………………………………………（页码）</w:t>
      </w:r>
    </w:p>
    <w:p w14:paraId="62155225">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六、资格声明函…………………………………………………………………（页码）</w:t>
      </w:r>
    </w:p>
    <w:p w14:paraId="09BAB151">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七、中小企业声明函或残疾人福利性单位声明函或监狱企业证明…………（页码）</w:t>
      </w:r>
    </w:p>
    <w:p w14:paraId="24EF9ED9">
      <w:pPr>
        <w:spacing w:line="360" w:lineRule="auto"/>
        <w:rPr>
          <w:rFonts w:hint="eastAsia" w:ascii="仿宋_GB2312" w:hAnsi="仿宋_GB2312" w:eastAsia="仿宋_GB2312" w:cs="仿宋_GB2312"/>
          <w:b/>
          <w:bCs/>
          <w:color w:val="auto"/>
          <w:sz w:val="24"/>
          <w:highlight w:val="none"/>
        </w:rPr>
      </w:pPr>
    </w:p>
    <w:p w14:paraId="279A5725">
      <w:pPr>
        <w:spacing w:line="360" w:lineRule="auto"/>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注：以上目录是编制供应商响应文件的基本格式要求，各供应商可根据自身情况进一步细化。</w:t>
      </w:r>
    </w:p>
    <w:p w14:paraId="1BE9E8B2">
      <w:pPr>
        <w:snapToGrid w:val="0"/>
        <w:spacing w:before="120" w:beforeLines="50" w:after="50" w:line="360" w:lineRule="auto"/>
        <w:ind w:left="142" w:firstLine="420" w:firstLineChars="200"/>
        <w:jc w:val="left"/>
        <w:rPr>
          <w:rFonts w:hint="eastAsia" w:ascii="宋体" w:hAnsi="宋体"/>
          <w:color w:val="auto"/>
          <w:szCs w:val="21"/>
          <w:highlight w:val="none"/>
        </w:rPr>
      </w:pPr>
    </w:p>
    <w:p w14:paraId="68DF6BF2">
      <w:pPr>
        <w:spacing w:line="300" w:lineRule="auto"/>
        <w:rPr>
          <w:rFonts w:hint="eastAsia" w:ascii="宋体" w:hAnsi="宋体"/>
          <w:color w:val="auto"/>
          <w:szCs w:val="21"/>
          <w:highlight w:val="none"/>
        </w:rPr>
      </w:pPr>
    </w:p>
    <w:p w14:paraId="7374AA01">
      <w:pPr>
        <w:spacing w:line="300" w:lineRule="auto"/>
        <w:rPr>
          <w:rFonts w:hint="eastAsia" w:ascii="宋体" w:hAnsi="宋体"/>
          <w:color w:val="auto"/>
          <w:szCs w:val="21"/>
          <w:highlight w:val="none"/>
        </w:rPr>
      </w:pPr>
    </w:p>
    <w:p w14:paraId="4C27204F">
      <w:pPr>
        <w:spacing w:line="300" w:lineRule="auto"/>
        <w:rPr>
          <w:rFonts w:hint="eastAsia" w:ascii="宋体" w:hAnsi="宋体"/>
          <w:color w:val="auto"/>
          <w:szCs w:val="21"/>
          <w:highlight w:val="none"/>
        </w:rPr>
      </w:pPr>
    </w:p>
    <w:p w14:paraId="20E95E61">
      <w:pPr>
        <w:spacing w:line="300" w:lineRule="auto"/>
        <w:rPr>
          <w:rFonts w:hint="eastAsia" w:ascii="宋体" w:hAnsi="宋体"/>
          <w:color w:val="auto"/>
          <w:szCs w:val="21"/>
          <w:highlight w:val="none"/>
        </w:rPr>
      </w:pPr>
    </w:p>
    <w:p w14:paraId="22EC7BED">
      <w:pPr>
        <w:spacing w:line="300" w:lineRule="auto"/>
        <w:rPr>
          <w:rFonts w:hint="eastAsia" w:ascii="宋体" w:hAnsi="宋体"/>
          <w:color w:val="auto"/>
          <w:szCs w:val="21"/>
          <w:highlight w:val="none"/>
        </w:rPr>
      </w:pPr>
    </w:p>
    <w:p w14:paraId="2D1D8983">
      <w:pPr>
        <w:spacing w:line="300" w:lineRule="auto"/>
        <w:rPr>
          <w:rFonts w:hint="eastAsia" w:ascii="宋体" w:hAnsi="宋体"/>
          <w:color w:val="auto"/>
          <w:szCs w:val="21"/>
          <w:highlight w:val="none"/>
        </w:rPr>
      </w:pPr>
    </w:p>
    <w:p w14:paraId="1A45FFD2">
      <w:pPr>
        <w:spacing w:line="300" w:lineRule="auto"/>
        <w:rPr>
          <w:rFonts w:hint="eastAsia" w:ascii="宋体" w:hAnsi="宋体"/>
          <w:color w:val="auto"/>
          <w:szCs w:val="21"/>
          <w:highlight w:val="none"/>
        </w:rPr>
      </w:pPr>
    </w:p>
    <w:p w14:paraId="05A92627">
      <w:pPr>
        <w:spacing w:line="300" w:lineRule="auto"/>
        <w:rPr>
          <w:rFonts w:hint="eastAsia" w:ascii="宋体" w:hAnsi="宋体"/>
          <w:color w:val="auto"/>
          <w:szCs w:val="21"/>
          <w:highlight w:val="none"/>
        </w:rPr>
      </w:pPr>
    </w:p>
    <w:p w14:paraId="7E8B7C71">
      <w:pPr>
        <w:spacing w:line="300" w:lineRule="auto"/>
        <w:rPr>
          <w:rFonts w:hint="eastAsia" w:ascii="宋体" w:hAnsi="宋体"/>
          <w:color w:val="auto"/>
          <w:szCs w:val="21"/>
          <w:highlight w:val="none"/>
        </w:rPr>
      </w:pPr>
    </w:p>
    <w:p w14:paraId="0E5B7180">
      <w:pPr>
        <w:pStyle w:val="16"/>
        <w:spacing w:line="360" w:lineRule="auto"/>
        <w:ind w:firstLine="400" w:firstLineChars="200"/>
        <w:rPr>
          <w:rFonts w:ascii="仿宋" w:hAnsi="仿宋" w:eastAsia="仿宋" w:cs="仿宋_GB2312"/>
          <w:b/>
          <w:color w:val="auto"/>
          <w:sz w:val="30"/>
          <w:szCs w:val="30"/>
          <w:highlight w:val="none"/>
        </w:rPr>
      </w:pPr>
      <w:r>
        <w:rPr>
          <w:rFonts w:hAnsi="宋体"/>
          <w:color w:val="auto"/>
          <w:highlight w:val="none"/>
        </w:rPr>
        <w:br w:type="page"/>
      </w:r>
      <w:r>
        <w:rPr>
          <w:rFonts w:hint="eastAsia" w:hAnsi="宋体"/>
          <w:color w:val="auto"/>
          <w:highlight w:val="none"/>
        </w:rPr>
        <w:t xml:space="preserve"> </w:t>
      </w:r>
      <w:r>
        <w:rPr>
          <w:rFonts w:hAnsi="宋体"/>
          <w:color w:val="auto"/>
          <w:highlight w:val="none"/>
        </w:rPr>
        <w:t xml:space="preserve"> </w:t>
      </w:r>
      <w:r>
        <w:rPr>
          <w:rFonts w:hint="eastAsia" w:hAnsi="宋体"/>
          <w:color w:val="auto"/>
          <w:highlight w:val="none"/>
        </w:rPr>
        <w:t xml:space="preserve"> </w:t>
      </w:r>
      <w:r>
        <w:rPr>
          <w:rFonts w:hint="eastAsia" w:ascii="仿宋" w:hAnsi="仿宋" w:eastAsia="仿宋" w:cs="仿宋_GB2312"/>
          <w:b/>
          <w:color w:val="auto"/>
          <w:sz w:val="30"/>
          <w:szCs w:val="30"/>
          <w:highlight w:val="none"/>
        </w:rPr>
        <w:t>一、营业执照(或事业法人登记证或其他工商等登记证明材料)复印件（</w:t>
      </w:r>
      <w:r>
        <w:rPr>
          <w:rFonts w:hint="eastAsia" w:ascii="仿宋" w:hAnsi="仿宋" w:eastAsia="仿宋" w:cs="仿宋_GB2312"/>
          <w:b/>
          <w:color w:val="auto"/>
          <w:sz w:val="30"/>
          <w:szCs w:val="30"/>
          <w:highlight w:val="none"/>
          <w:lang w:eastAsia="zh-CN"/>
        </w:rPr>
        <w:t>供应商</w:t>
      </w:r>
      <w:r>
        <w:rPr>
          <w:rFonts w:hint="eastAsia" w:ascii="仿宋" w:hAnsi="仿宋" w:eastAsia="仿宋" w:cs="仿宋_GB2312"/>
          <w:b/>
          <w:color w:val="auto"/>
          <w:sz w:val="30"/>
          <w:szCs w:val="30"/>
          <w:highlight w:val="none"/>
        </w:rPr>
        <w:t>为自然人的，提供自然人的身份证明）</w:t>
      </w:r>
    </w:p>
    <w:p w14:paraId="576950F7">
      <w:pPr>
        <w:pStyle w:val="16"/>
        <w:spacing w:line="360" w:lineRule="auto"/>
        <w:ind w:firstLine="602" w:firstLineChars="200"/>
        <w:rPr>
          <w:rFonts w:ascii="仿宋" w:hAnsi="仿宋" w:eastAsia="仿宋" w:cs="仿宋_GB2312"/>
          <w:b/>
          <w:color w:val="auto"/>
          <w:sz w:val="30"/>
          <w:szCs w:val="30"/>
          <w:highlight w:val="none"/>
        </w:rPr>
      </w:pPr>
    </w:p>
    <w:p w14:paraId="63EA322D">
      <w:pPr>
        <w:autoSpaceDE w:val="0"/>
        <w:autoSpaceDN w:val="0"/>
        <w:spacing w:line="360" w:lineRule="auto"/>
        <w:ind w:left="4365" w:leftChars="1850" w:hanging="480" w:hangingChars="2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09DC1385">
      <w:pPr>
        <w:autoSpaceDE w:val="0"/>
        <w:autoSpaceDN w:val="0"/>
        <w:spacing w:line="360" w:lineRule="auto"/>
        <w:ind w:firstLine="6120" w:firstLineChars="2550"/>
        <w:rPr>
          <w:rFonts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lang w:val="zh-CN"/>
        </w:rPr>
        <w:t>日期：  年  月   日</w:t>
      </w:r>
    </w:p>
    <w:p w14:paraId="2676A5AD">
      <w:pPr>
        <w:snapToGrid w:val="0"/>
        <w:spacing w:before="120" w:beforeLines="50" w:after="50"/>
        <w:rPr>
          <w:rFonts w:ascii="宋体" w:hAnsi="宋体"/>
          <w:color w:val="auto"/>
          <w:sz w:val="24"/>
          <w:szCs w:val="20"/>
          <w:highlight w:val="none"/>
        </w:rPr>
      </w:pPr>
    </w:p>
    <w:p w14:paraId="4EF02C71">
      <w:pPr>
        <w:pStyle w:val="16"/>
        <w:spacing w:line="360" w:lineRule="auto"/>
        <w:ind w:firstLine="602" w:firstLineChars="200"/>
        <w:rPr>
          <w:rFonts w:hint="eastAsia"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lang w:eastAsia="zh-CN"/>
        </w:rPr>
        <w:t>二、</w:t>
      </w:r>
      <w:r>
        <w:rPr>
          <w:rFonts w:hint="eastAsia" w:ascii="仿宋" w:hAnsi="仿宋" w:eastAsia="仿宋" w:cs="仿宋_GB2312"/>
          <w:b/>
          <w:color w:val="auto"/>
          <w:sz w:val="30"/>
          <w:szCs w:val="30"/>
          <w:highlight w:val="none"/>
        </w:rPr>
        <w:t>符合参与政府采购活动的资格条件依法缴纳税收、社会保障资金等方面的材料</w:t>
      </w:r>
    </w:p>
    <w:p w14:paraId="12438523">
      <w:pPr>
        <w:spacing w:line="300" w:lineRule="auto"/>
        <w:rPr>
          <w:rFonts w:hint="eastAsia" w:ascii="宋体" w:hAnsi="宋体"/>
          <w:color w:val="auto"/>
          <w:szCs w:val="21"/>
          <w:highlight w:val="none"/>
        </w:rPr>
      </w:pPr>
    </w:p>
    <w:p w14:paraId="32939B63">
      <w:pPr>
        <w:autoSpaceDE w:val="0"/>
        <w:autoSpaceDN w:val="0"/>
        <w:spacing w:line="360" w:lineRule="auto"/>
        <w:ind w:left="4365" w:leftChars="1850" w:hanging="480" w:hangingChars="2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041927BA">
      <w:pPr>
        <w:autoSpaceDE w:val="0"/>
        <w:autoSpaceDN w:val="0"/>
        <w:spacing w:line="360" w:lineRule="auto"/>
        <w:ind w:firstLine="6120" w:firstLineChars="2550"/>
        <w:rPr>
          <w:rFonts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lang w:val="zh-CN"/>
        </w:rPr>
        <w:t>日期：  年  月   日</w:t>
      </w:r>
    </w:p>
    <w:p w14:paraId="4732BE3D">
      <w:pPr>
        <w:spacing w:line="300" w:lineRule="auto"/>
        <w:rPr>
          <w:rFonts w:hint="eastAsia" w:ascii="宋体" w:hAnsi="宋体"/>
          <w:color w:val="auto"/>
          <w:szCs w:val="21"/>
          <w:highlight w:val="none"/>
        </w:rPr>
      </w:pPr>
    </w:p>
    <w:p w14:paraId="037511AB">
      <w:pPr>
        <w:spacing w:line="300" w:lineRule="auto"/>
        <w:ind w:firstLine="596" w:firstLineChars="198"/>
        <w:rPr>
          <w:rFonts w:hint="eastAsia" w:ascii="仿宋" w:hAnsi="仿宋" w:eastAsia="仿宋" w:cs="仿宋_GB2312"/>
          <w:b/>
          <w:color w:val="auto"/>
          <w:kern w:val="0"/>
          <w:sz w:val="30"/>
          <w:szCs w:val="30"/>
          <w:highlight w:val="none"/>
        </w:rPr>
      </w:pPr>
      <w:r>
        <w:rPr>
          <w:rFonts w:hint="eastAsia" w:ascii="仿宋" w:hAnsi="仿宋" w:eastAsia="仿宋" w:cs="仿宋_GB2312"/>
          <w:b/>
          <w:color w:val="auto"/>
          <w:kern w:val="0"/>
          <w:sz w:val="30"/>
          <w:szCs w:val="30"/>
          <w:highlight w:val="none"/>
        </w:rPr>
        <w:t>三、财务状况报告方面的材料</w:t>
      </w:r>
    </w:p>
    <w:p w14:paraId="24A2FF21">
      <w:pPr>
        <w:spacing w:line="300" w:lineRule="auto"/>
        <w:rPr>
          <w:rFonts w:hint="eastAsia" w:ascii="宋体" w:hAnsi="宋体"/>
          <w:color w:val="auto"/>
          <w:szCs w:val="21"/>
          <w:highlight w:val="none"/>
        </w:rPr>
      </w:pPr>
    </w:p>
    <w:p w14:paraId="1FAFA127">
      <w:pPr>
        <w:autoSpaceDE w:val="0"/>
        <w:autoSpaceDN w:val="0"/>
        <w:spacing w:line="360" w:lineRule="auto"/>
        <w:ind w:left="4365" w:leftChars="1850" w:hanging="480" w:hangingChars="2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401D3778">
      <w:pPr>
        <w:autoSpaceDE w:val="0"/>
        <w:autoSpaceDN w:val="0"/>
        <w:spacing w:line="360" w:lineRule="auto"/>
        <w:ind w:firstLine="6120" w:firstLineChars="2550"/>
        <w:rPr>
          <w:rFonts w:hint="eastAsia"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lang w:val="zh-CN"/>
        </w:rPr>
        <w:t>日期：  年  月   日</w:t>
      </w:r>
    </w:p>
    <w:p w14:paraId="33CBC6D1">
      <w:pPr>
        <w:spacing w:line="320" w:lineRule="exact"/>
        <w:jc w:val="left"/>
        <w:rPr>
          <w:rFonts w:hint="eastAsia" w:ascii="宋体" w:hAnsi="宋体"/>
          <w:color w:val="auto"/>
          <w:szCs w:val="21"/>
          <w:highlight w:val="none"/>
        </w:rPr>
      </w:pPr>
      <w:r>
        <w:rPr>
          <w:rFonts w:hint="eastAsia" w:ascii="宋体" w:hAnsi="宋体"/>
          <w:color w:val="auto"/>
          <w:szCs w:val="21"/>
          <w:highlight w:val="none"/>
        </w:rPr>
        <w:t xml:space="preserve"> </w:t>
      </w:r>
    </w:p>
    <w:p w14:paraId="5D9A8F42">
      <w:pPr>
        <w:snapToGrid w:val="0"/>
        <w:spacing w:before="120" w:beforeLines="50" w:after="50" w:line="360" w:lineRule="auto"/>
        <w:jc w:val="center"/>
        <w:rPr>
          <w:rFonts w:hint="eastAsia" w:ascii="宋体" w:hAnsi="宋体"/>
          <w:b/>
          <w:color w:val="auto"/>
          <w:sz w:val="24"/>
          <w:highlight w:val="none"/>
        </w:rPr>
      </w:pPr>
    </w:p>
    <w:p w14:paraId="161489F2">
      <w:pPr>
        <w:spacing w:line="360" w:lineRule="auto"/>
        <w:ind w:firstLine="596" w:firstLineChars="198"/>
        <w:contextualSpacing/>
        <w:rPr>
          <w:rFonts w:hint="eastAsia" w:ascii="仿宋" w:hAnsi="仿宋" w:eastAsia="仿宋" w:cs="仿宋_GB2312"/>
          <w:b/>
          <w:color w:val="auto"/>
          <w:kern w:val="0"/>
          <w:sz w:val="30"/>
          <w:szCs w:val="30"/>
          <w:highlight w:val="none"/>
        </w:rPr>
      </w:pPr>
      <w:r>
        <w:rPr>
          <w:rFonts w:hint="eastAsia" w:ascii="仿宋" w:hAnsi="仿宋" w:eastAsia="仿宋" w:cs="仿宋_GB2312"/>
          <w:b/>
          <w:color w:val="auto"/>
          <w:kern w:val="0"/>
          <w:sz w:val="30"/>
          <w:szCs w:val="30"/>
          <w:highlight w:val="none"/>
        </w:rPr>
        <w:t>四、供应商直接控股股东信息</w:t>
      </w:r>
    </w:p>
    <w:p w14:paraId="245C850B">
      <w:pPr>
        <w:spacing w:line="360" w:lineRule="auto"/>
        <w:contextualSpacing/>
        <w:jc w:val="center"/>
        <w:rPr>
          <w:rFonts w:hint="eastAsia" w:ascii="宋体" w:hAnsi="宋体"/>
          <w:b/>
          <w:color w:val="auto"/>
          <w:sz w:val="24"/>
          <w:highlight w:val="none"/>
        </w:rPr>
      </w:pPr>
    </w:p>
    <w:tbl>
      <w:tblPr>
        <w:tblStyle w:val="28"/>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24E9FEA7">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BFE0E25">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0FAF9C4">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6AE1CE7">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8B7ADCE">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7005513">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2D56BAF2">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953F5F9">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F8089D0">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95F6B24">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39DE73A">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3673831">
            <w:pPr>
              <w:widowControl/>
              <w:spacing w:line="360" w:lineRule="auto"/>
              <w:contextualSpacing/>
              <w:jc w:val="center"/>
              <w:rPr>
                <w:rFonts w:hint="eastAsia" w:ascii="宋体" w:hAnsi="宋体" w:cs="宋体"/>
                <w:color w:val="auto"/>
                <w:kern w:val="0"/>
                <w:sz w:val="24"/>
                <w:highlight w:val="none"/>
              </w:rPr>
            </w:pPr>
          </w:p>
        </w:tc>
      </w:tr>
      <w:tr w14:paraId="2A8800FE">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355813E">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ABE8C13">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434AC10">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48421A0">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E0E911D">
            <w:pPr>
              <w:widowControl/>
              <w:spacing w:line="360" w:lineRule="auto"/>
              <w:contextualSpacing/>
              <w:jc w:val="center"/>
              <w:rPr>
                <w:rFonts w:hint="eastAsia" w:ascii="宋体" w:hAnsi="宋体" w:cs="宋体"/>
                <w:color w:val="auto"/>
                <w:kern w:val="0"/>
                <w:sz w:val="24"/>
                <w:highlight w:val="none"/>
              </w:rPr>
            </w:pPr>
          </w:p>
        </w:tc>
      </w:tr>
      <w:tr w14:paraId="027FE715">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3500C46">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0A82633">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CE1B8B0">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23109CE">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118E48C">
            <w:pPr>
              <w:widowControl/>
              <w:spacing w:line="360" w:lineRule="auto"/>
              <w:contextualSpacing/>
              <w:jc w:val="center"/>
              <w:rPr>
                <w:rFonts w:hint="eastAsia" w:ascii="宋体" w:hAnsi="宋体" w:cs="宋体"/>
                <w:color w:val="auto"/>
                <w:kern w:val="0"/>
                <w:sz w:val="24"/>
                <w:highlight w:val="none"/>
              </w:rPr>
            </w:pPr>
          </w:p>
        </w:tc>
      </w:tr>
      <w:tr w14:paraId="39D879A0">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9ECC5BA">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BD71777">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23E00FF">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A2A72F9">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6EB829C">
            <w:pPr>
              <w:widowControl/>
              <w:spacing w:line="360" w:lineRule="auto"/>
              <w:contextualSpacing/>
              <w:jc w:val="center"/>
              <w:rPr>
                <w:rFonts w:hint="eastAsia" w:ascii="宋体" w:hAnsi="宋体" w:cs="宋体"/>
                <w:color w:val="auto"/>
                <w:kern w:val="0"/>
                <w:sz w:val="24"/>
                <w:highlight w:val="none"/>
              </w:rPr>
            </w:pPr>
          </w:p>
        </w:tc>
      </w:tr>
    </w:tbl>
    <w:p w14:paraId="7DFC0304">
      <w:pPr>
        <w:spacing w:line="360" w:lineRule="auto"/>
        <w:contextualSpacing/>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注：</w:t>
      </w:r>
    </w:p>
    <w:p w14:paraId="40EECF9B">
      <w:pPr>
        <w:spacing w:line="360" w:lineRule="auto"/>
        <w:ind w:firstLine="480" w:firstLineChars="200"/>
        <w:contextualSpacing/>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74970FC">
      <w:pPr>
        <w:spacing w:line="360" w:lineRule="auto"/>
        <w:ind w:firstLine="480" w:firstLineChars="200"/>
        <w:contextualSpacing/>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2.本表所指的控股关系仅限于直接控股关系，不包括间接的控股关系。公司实际控制人与公司之间的关系不属于本表所指的直接控股关系。</w:t>
      </w:r>
    </w:p>
    <w:p w14:paraId="6E11275F">
      <w:pPr>
        <w:spacing w:line="360" w:lineRule="auto"/>
        <w:ind w:firstLine="480" w:firstLineChars="200"/>
        <w:contextualSpacing/>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3.供应商不存在直接控股股东的，则填“无”。</w:t>
      </w:r>
    </w:p>
    <w:p w14:paraId="28A3B4CF">
      <w:pPr>
        <w:snapToGrid w:val="0"/>
        <w:spacing w:line="360" w:lineRule="auto"/>
        <w:jc w:val="left"/>
        <w:rPr>
          <w:rFonts w:hint="eastAsia" w:ascii="宋体" w:hAnsi="宋体" w:cs="宋体"/>
          <w:color w:val="auto"/>
          <w:sz w:val="24"/>
          <w:highlight w:val="none"/>
        </w:rPr>
      </w:pPr>
    </w:p>
    <w:p w14:paraId="0ED04154">
      <w:pPr>
        <w:snapToGrid w:val="0"/>
        <w:spacing w:line="360" w:lineRule="auto"/>
        <w:jc w:val="left"/>
        <w:rPr>
          <w:rFonts w:hint="eastAsia" w:ascii="宋体" w:hAnsi="宋体" w:cs="宋体"/>
          <w:color w:val="auto"/>
          <w:sz w:val="24"/>
          <w:highlight w:val="none"/>
        </w:rPr>
      </w:pPr>
    </w:p>
    <w:p w14:paraId="51C49F08">
      <w:pPr>
        <w:snapToGrid w:val="0"/>
        <w:spacing w:line="360" w:lineRule="auto"/>
        <w:jc w:val="left"/>
        <w:rPr>
          <w:rFonts w:hint="eastAsia" w:ascii="宋体" w:hAnsi="宋体" w:cs="宋体"/>
          <w:color w:val="auto"/>
          <w:sz w:val="24"/>
          <w:highlight w:val="none"/>
        </w:rPr>
      </w:pPr>
    </w:p>
    <w:p w14:paraId="7611CCDB">
      <w:pPr>
        <w:autoSpaceDE w:val="0"/>
        <w:autoSpaceDN w:val="0"/>
        <w:spacing w:line="360" w:lineRule="auto"/>
        <w:ind w:left="4365" w:leftChars="1850" w:hanging="480" w:hangingChars="2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31EDAF33">
      <w:pPr>
        <w:autoSpaceDE w:val="0"/>
        <w:autoSpaceDN w:val="0"/>
        <w:spacing w:line="360" w:lineRule="auto"/>
        <w:ind w:firstLine="6120" w:firstLineChars="2550"/>
        <w:rPr>
          <w:rFonts w:hint="eastAsia"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lang w:val="zh-CN"/>
        </w:rPr>
        <w:t>日期：  年  月   日</w:t>
      </w:r>
    </w:p>
    <w:p w14:paraId="6ED3BF4D">
      <w:pPr>
        <w:snapToGrid w:val="0"/>
        <w:rPr>
          <w:rFonts w:hint="eastAsia" w:ascii="仿宋" w:hAnsi="仿宋" w:eastAsia="仿宋" w:cs="仿宋_GB2312"/>
          <w:b/>
          <w:color w:val="auto"/>
          <w:kern w:val="0"/>
          <w:sz w:val="30"/>
          <w:szCs w:val="30"/>
          <w:highlight w:val="none"/>
        </w:rPr>
      </w:pPr>
    </w:p>
    <w:p w14:paraId="46F85247">
      <w:pPr>
        <w:snapToGrid w:val="0"/>
        <w:ind w:firstLine="596" w:firstLineChars="198"/>
        <w:rPr>
          <w:rFonts w:hint="eastAsia" w:ascii="仿宋" w:hAnsi="仿宋" w:eastAsia="仿宋" w:cs="仿宋_GB2312"/>
          <w:b/>
          <w:color w:val="auto"/>
          <w:kern w:val="0"/>
          <w:sz w:val="30"/>
          <w:szCs w:val="30"/>
          <w:highlight w:val="none"/>
        </w:rPr>
      </w:pPr>
      <w:r>
        <w:rPr>
          <w:rFonts w:hint="eastAsia" w:ascii="仿宋" w:hAnsi="仿宋" w:eastAsia="仿宋" w:cs="仿宋_GB2312"/>
          <w:b/>
          <w:color w:val="auto"/>
          <w:kern w:val="0"/>
          <w:sz w:val="30"/>
          <w:szCs w:val="30"/>
          <w:highlight w:val="none"/>
        </w:rPr>
        <w:t>五、供应商直接管理关系信息表</w:t>
      </w:r>
    </w:p>
    <w:p w14:paraId="18327703">
      <w:pPr>
        <w:snapToGrid w:val="0"/>
        <w:spacing w:line="360" w:lineRule="auto"/>
        <w:jc w:val="center"/>
        <w:rPr>
          <w:rFonts w:hint="eastAsia" w:ascii="宋体" w:hAnsi="宋体"/>
          <w:b/>
          <w:color w:val="auto"/>
          <w:sz w:val="24"/>
          <w:highlight w:val="none"/>
        </w:rPr>
      </w:pPr>
    </w:p>
    <w:tbl>
      <w:tblPr>
        <w:tblStyle w:val="28"/>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206E4BFB">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21ECBFD">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FA0B2A3">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7CCC618">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5E9BF30">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0EDD60A5">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E2FF074">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5EE18A8">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8AA25C1">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2A88E5B">
            <w:pPr>
              <w:widowControl/>
              <w:spacing w:line="360" w:lineRule="auto"/>
              <w:contextualSpacing/>
              <w:jc w:val="center"/>
              <w:rPr>
                <w:rFonts w:ascii="宋体" w:hAnsi="宋体" w:cs="宋体"/>
                <w:color w:val="auto"/>
                <w:kern w:val="0"/>
                <w:sz w:val="24"/>
                <w:highlight w:val="none"/>
              </w:rPr>
            </w:pPr>
          </w:p>
        </w:tc>
      </w:tr>
      <w:tr w14:paraId="26C16170">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B9B9C53">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E2881E3">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3CD10CF">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6E8E039">
            <w:pPr>
              <w:widowControl/>
              <w:spacing w:line="360" w:lineRule="auto"/>
              <w:contextualSpacing/>
              <w:jc w:val="center"/>
              <w:rPr>
                <w:rFonts w:ascii="宋体" w:hAnsi="宋体" w:cs="宋体"/>
                <w:color w:val="auto"/>
                <w:kern w:val="0"/>
                <w:sz w:val="24"/>
                <w:highlight w:val="none"/>
              </w:rPr>
            </w:pPr>
          </w:p>
        </w:tc>
      </w:tr>
      <w:tr w14:paraId="73963791">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3D77251">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A35B816">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C606981">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40615D1">
            <w:pPr>
              <w:widowControl/>
              <w:spacing w:line="360" w:lineRule="auto"/>
              <w:contextualSpacing/>
              <w:jc w:val="center"/>
              <w:rPr>
                <w:rFonts w:ascii="宋体" w:hAnsi="宋体" w:cs="宋体"/>
                <w:color w:val="auto"/>
                <w:kern w:val="0"/>
                <w:sz w:val="24"/>
                <w:highlight w:val="none"/>
              </w:rPr>
            </w:pPr>
          </w:p>
        </w:tc>
      </w:tr>
      <w:tr w14:paraId="0646CC1F">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2B6D1A3">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A84901A">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2231293">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DB1BD35">
            <w:pPr>
              <w:widowControl/>
              <w:spacing w:line="360" w:lineRule="auto"/>
              <w:contextualSpacing/>
              <w:jc w:val="center"/>
              <w:rPr>
                <w:rFonts w:ascii="宋体" w:hAnsi="宋体" w:cs="宋体"/>
                <w:color w:val="auto"/>
                <w:kern w:val="0"/>
                <w:sz w:val="24"/>
                <w:highlight w:val="none"/>
              </w:rPr>
            </w:pPr>
          </w:p>
        </w:tc>
      </w:tr>
    </w:tbl>
    <w:p w14:paraId="215BD7B5">
      <w:pPr>
        <w:spacing w:line="360" w:lineRule="auto"/>
        <w:ind w:firstLine="480" w:firstLineChars="200"/>
        <w:contextualSpacing/>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注：</w:t>
      </w:r>
    </w:p>
    <w:p w14:paraId="1EB4DE78">
      <w:pPr>
        <w:spacing w:line="360" w:lineRule="auto"/>
        <w:ind w:firstLine="480" w:firstLineChars="200"/>
        <w:contextualSpacing/>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1.管理关系：是指不具有出资持股关系的其他单位之间存在的管理与被管理关系，如一些上下级关系的事业单位和团体组织。</w:t>
      </w:r>
    </w:p>
    <w:p w14:paraId="025DBC4B">
      <w:pPr>
        <w:spacing w:line="360" w:lineRule="auto"/>
        <w:ind w:firstLine="480" w:firstLineChars="200"/>
        <w:contextualSpacing/>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2.本表所指的管理关系仅限于直接管理关系，不包括间接的管理关系。</w:t>
      </w:r>
    </w:p>
    <w:p w14:paraId="472244E7">
      <w:pPr>
        <w:spacing w:line="360" w:lineRule="auto"/>
        <w:ind w:firstLine="480" w:firstLineChars="200"/>
        <w:contextualSpacing/>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3.供应商不存在直接管理关系的，则填“无”。</w:t>
      </w:r>
    </w:p>
    <w:p w14:paraId="2C7744B0">
      <w:pPr>
        <w:spacing w:line="360" w:lineRule="auto"/>
        <w:contextualSpacing/>
        <w:jc w:val="left"/>
        <w:rPr>
          <w:rFonts w:hint="eastAsia"/>
          <w:color w:val="auto"/>
          <w:sz w:val="24"/>
          <w:highlight w:val="none"/>
        </w:rPr>
      </w:pPr>
    </w:p>
    <w:p w14:paraId="2E4C93BA">
      <w:pPr>
        <w:autoSpaceDE w:val="0"/>
        <w:autoSpaceDN w:val="0"/>
        <w:spacing w:line="360" w:lineRule="auto"/>
        <w:ind w:left="4365" w:leftChars="1850" w:hanging="480" w:hangingChars="2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28B33824">
      <w:pPr>
        <w:autoSpaceDE w:val="0"/>
        <w:autoSpaceDN w:val="0"/>
        <w:spacing w:line="360" w:lineRule="auto"/>
        <w:ind w:firstLine="6120" w:firstLineChars="2550"/>
        <w:rPr>
          <w:rFonts w:hint="eastAsia"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lang w:val="zh-CN"/>
        </w:rPr>
        <w:t>日期：  年  月   日</w:t>
      </w:r>
    </w:p>
    <w:p w14:paraId="5C06319C">
      <w:pPr>
        <w:spacing w:line="360" w:lineRule="auto"/>
        <w:ind w:right="480" w:firstLine="240" w:firstLineChars="100"/>
        <w:contextualSpacing/>
        <w:jc w:val="center"/>
        <w:rPr>
          <w:rFonts w:ascii="宋体" w:hAnsi="宋体"/>
          <w:color w:val="auto"/>
          <w:sz w:val="28"/>
          <w:szCs w:val="28"/>
          <w:highlight w:val="none"/>
        </w:rPr>
      </w:pPr>
      <w:r>
        <w:rPr>
          <w:rFonts w:hint="eastAsia" w:ascii="宋体" w:hAnsi="宋体"/>
          <w:color w:val="auto"/>
          <w:sz w:val="24"/>
          <w:highlight w:val="none"/>
        </w:rPr>
        <w:t xml:space="preserve">                                  </w:t>
      </w:r>
    </w:p>
    <w:p w14:paraId="1F1CD95A">
      <w:pPr>
        <w:spacing w:line="320" w:lineRule="exact"/>
        <w:ind w:firstLine="560" w:firstLineChars="200"/>
        <w:jc w:val="left"/>
        <w:rPr>
          <w:rFonts w:ascii="宋体" w:hAnsi="宋体"/>
          <w:color w:val="auto"/>
          <w:sz w:val="28"/>
          <w:szCs w:val="28"/>
          <w:highlight w:val="none"/>
        </w:rPr>
      </w:pPr>
      <w:r>
        <w:rPr>
          <w:rFonts w:ascii="宋体" w:hAnsi="宋体"/>
          <w:color w:val="auto"/>
          <w:sz w:val="28"/>
          <w:szCs w:val="28"/>
          <w:highlight w:val="none"/>
        </w:rPr>
        <w:br w:type="page"/>
      </w:r>
      <w:r>
        <w:rPr>
          <w:rFonts w:hint="eastAsia" w:ascii="仿宋" w:hAnsi="仿宋" w:eastAsia="仿宋" w:cs="仿宋_GB2312"/>
          <w:b/>
          <w:color w:val="auto"/>
          <w:kern w:val="0"/>
          <w:sz w:val="30"/>
          <w:szCs w:val="30"/>
          <w:highlight w:val="none"/>
        </w:rPr>
        <w:t>六、资格声明函</w:t>
      </w:r>
    </w:p>
    <w:p w14:paraId="0A7173C4">
      <w:pPr>
        <w:spacing w:line="320" w:lineRule="exact"/>
        <w:jc w:val="center"/>
        <w:rPr>
          <w:rFonts w:hint="eastAsia" w:ascii="宋体" w:hAnsi="宋体"/>
          <w:b/>
          <w:color w:val="auto"/>
          <w:sz w:val="32"/>
          <w:szCs w:val="32"/>
          <w:highlight w:val="none"/>
        </w:rPr>
      </w:pPr>
    </w:p>
    <w:p w14:paraId="1D2BAC45">
      <w:pPr>
        <w:spacing w:line="32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资格声明函</w:t>
      </w:r>
    </w:p>
    <w:p w14:paraId="7F28954B">
      <w:pPr>
        <w:spacing w:line="320" w:lineRule="exact"/>
        <w:jc w:val="center"/>
        <w:rPr>
          <w:rFonts w:hint="eastAsia" w:ascii="宋体" w:hAnsi="宋体"/>
          <w:color w:val="auto"/>
          <w:sz w:val="24"/>
          <w:szCs w:val="20"/>
          <w:highlight w:val="none"/>
        </w:rPr>
      </w:pPr>
    </w:p>
    <w:p w14:paraId="5A6428AB">
      <w:pPr>
        <w:spacing w:line="360" w:lineRule="auto"/>
        <w:contextualSpacing/>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致：</w:t>
      </w:r>
      <w:r>
        <w:rPr>
          <w:rFonts w:hint="eastAsia" w:ascii="仿宋_GB2312" w:hAnsi="宋体" w:eastAsia="仿宋_GB2312" w:cs="宋体"/>
          <w:color w:val="auto"/>
          <w:sz w:val="24"/>
          <w:highlight w:val="none"/>
          <w:u w:val="single"/>
        </w:rPr>
        <w:t>（采购代理机构名称）</w:t>
      </w:r>
      <w:r>
        <w:rPr>
          <w:rFonts w:hint="eastAsia" w:ascii="仿宋_GB2312" w:hAnsi="宋体" w:eastAsia="仿宋_GB2312" w:cs="宋体"/>
          <w:color w:val="auto"/>
          <w:sz w:val="24"/>
          <w:highlight w:val="none"/>
        </w:rPr>
        <w:t>：</w:t>
      </w:r>
    </w:p>
    <w:p w14:paraId="1C711607">
      <w:pPr>
        <w:spacing w:line="360" w:lineRule="auto"/>
        <w:ind w:firstLine="480" w:firstLineChars="200"/>
        <w:contextualSpacing/>
        <w:rPr>
          <w:rFonts w:hint="eastAsia" w:ascii="仿宋_GB2312" w:hAnsi="宋体" w:eastAsia="仿宋_GB2312" w:cs="宋体"/>
          <w:color w:val="auto"/>
          <w:sz w:val="24"/>
          <w:highlight w:val="none"/>
          <w:lang w:eastAsia="zh-CN"/>
        </w:rPr>
      </w:pPr>
      <w:r>
        <w:rPr>
          <w:rFonts w:hint="eastAsia" w:ascii="仿宋_GB2312" w:hAnsi="宋体" w:eastAsia="仿宋_GB2312" w:cs="宋体"/>
          <w:color w:val="auto"/>
          <w:sz w:val="24"/>
          <w:highlight w:val="none"/>
          <w:u w:val="single"/>
        </w:rPr>
        <w:t>（供应商名称）</w:t>
      </w:r>
      <w:r>
        <w:rPr>
          <w:rFonts w:hint="eastAsia" w:ascii="仿宋_GB2312" w:hAnsi="宋体" w:eastAsia="仿宋_GB2312" w:cs="宋体"/>
          <w:color w:val="auto"/>
          <w:sz w:val="24"/>
          <w:highlight w:val="none"/>
        </w:rPr>
        <w:t>系中华人民共和国合法供应商，经营地址</w:t>
      </w:r>
      <w:r>
        <w:rPr>
          <w:rFonts w:hint="eastAsia" w:ascii="仿宋_GB2312" w:hAnsi="宋体" w:eastAsia="仿宋_GB2312" w:cs="宋体"/>
          <w:color w:val="auto"/>
          <w:sz w:val="24"/>
          <w:highlight w:val="none"/>
          <w:u w:val="single"/>
        </w:rPr>
        <w:t xml:space="preserve">                             </w:t>
      </w:r>
      <w:r>
        <w:rPr>
          <w:rFonts w:hint="eastAsia" w:ascii="仿宋_GB2312" w:hAnsi="宋体" w:eastAsia="仿宋_GB2312" w:cs="宋体"/>
          <w:color w:val="auto"/>
          <w:sz w:val="24"/>
          <w:highlight w:val="none"/>
          <w:u w:val="single"/>
          <w:lang w:eastAsia="zh-CN"/>
        </w:rPr>
        <w:t>。</w:t>
      </w:r>
    </w:p>
    <w:p w14:paraId="61D4A38A">
      <w:pPr>
        <w:spacing w:line="360" w:lineRule="auto"/>
        <w:ind w:firstLine="480" w:firstLineChars="200"/>
        <w:contextualSpacing/>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我方愿意参加贵方组织的</w:t>
      </w:r>
      <w:r>
        <w:rPr>
          <w:rFonts w:hint="eastAsia" w:ascii="仿宋_GB2312" w:hAnsi="宋体" w:eastAsia="仿宋_GB2312" w:cs="宋体"/>
          <w:color w:val="auto"/>
          <w:sz w:val="24"/>
          <w:highlight w:val="none"/>
          <w:u w:val="single"/>
        </w:rPr>
        <w:t>（项目名称）</w:t>
      </w:r>
      <w:r>
        <w:rPr>
          <w:rFonts w:hint="eastAsia" w:ascii="仿宋_GB2312" w:hAnsi="宋体" w:eastAsia="仿宋_GB2312" w:cs="宋体"/>
          <w:color w:val="auto"/>
          <w:sz w:val="24"/>
          <w:highlight w:val="none"/>
        </w:rPr>
        <w:t>项目的竞标，为便于贵方公正、择优地确定成交供应商及其竞标产品和服务，我方就本次竞标有关事项郑重声明如下：</w:t>
      </w:r>
    </w:p>
    <w:p w14:paraId="08BF4D5F">
      <w:pPr>
        <w:spacing w:line="360" w:lineRule="auto"/>
        <w:ind w:firstLine="480" w:firstLineChars="200"/>
        <w:contextualSpacing/>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1.我方向贵方提交的所有响应文件、资料都是准确的和真实的。</w:t>
      </w:r>
    </w:p>
    <w:p w14:paraId="18034884">
      <w:pPr>
        <w:spacing w:line="360" w:lineRule="auto"/>
        <w:ind w:firstLine="480" w:firstLineChars="200"/>
        <w:contextualSpacing/>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12D4D33B">
      <w:pPr>
        <w:spacing w:line="360" w:lineRule="auto"/>
        <w:ind w:firstLine="480" w:firstLineChars="200"/>
        <w:contextualSpacing/>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3.在此，我方宣布同意如下：</w:t>
      </w:r>
    </w:p>
    <w:p w14:paraId="6E18E1E4">
      <w:pPr>
        <w:spacing w:line="360" w:lineRule="auto"/>
        <w:ind w:firstLine="480" w:firstLineChars="200"/>
        <w:contextualSpacing/>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（1）将按磋商文件的约定履行合同责任和义务；</w:t>
      </w:r>
    </w:p>
    <w:p w14:paraId="7139359B">
      <w:pPr>
        <w:spacing w:line="360" w:lineRule="auto"/>
        <w:ind w:firstLine="480" w:firstLineChars="200"/>
        <w:contextualSpacing/>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（2）已详细审查全部磋商文件，包括澄清或者更正公告（如有）；</w:t>
      </w:r>
    </w:p>
    <w:p w14:paraId="1813E580">
      <w:pPr>
        <w:spacing w:line="360" w:lineRule="auto"/>
        <w:ind w:firstLine="480" w:firstLineChars="200"/>
        <w:contextualSpacing/>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（3）同意提供按照贵方可能要求的与</w:t>
      </w:r>
      <w:r>
        <w:rPr>
          <w:rFonts w:hint="eastAsia" w:ascii="仿宋_GB2312" w:hAnsi="宋体" w:eastAsia="仿宋_GB2312" w:cs="宋体"/>
          <w:color w:val="auto"/>
          <w:sz w:val="24"/>
          <w:highlight w:val="none"/>
          <w:lang w:eastAsia="zh-CN"/>
        </w:rPr>
        <w:t>磋商</w:t>
      </w:r>
      <w:r>
        <w:rPr>
          <w:rFonts w:hint="eastAsia" w:ascii="仿宋_GB2312" w:hAnsi="宋体" w:eastAsia="仿宋_GB2312" w:cs="宋体"/>
          <w:color w:val="auto"/>
          <w:sz w:val="24"/>
          <w:highlight w:val="none"/>
        </w:rPr>
        <w:t>有关的一切数据或者资料；</w:t>
      </w:r>
    </w:p>
    <w:p w14:paraId="76785741">
      <w:pPr>
        <w:spacing w:line="360" w:lineRule="auto"/>
        <w:ind w:firstLine="480" w:firstLineChars="200"/>
        <w:contextualSpacing/>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（4）响应磋商文件规定的竞标有效期。</w:t>
      </w:r>
    </w:p>
    <w:p w14:paraId="49EFD52A">
      <w:pPr>
        <w:spacing w:line="360" w:lineRule="auto"/>
        <w:ind w:firstLine="480" w:firstLineChars="200"/>
        <w:contextualSpacing/>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4.我方承诺符合《中华人民共和国政府采购法》第二十二条规定：</w:t>
      </w:r>
    </w:p>
    <w:p w14:paraId="5B92B4D5">
      <w:pPr>
        <w:spacing w:line="360" w:lineRule="auto"/>
        <w:ind w:firstLine="480" w:firstLineChars="200"/>
        <w:contextualSpacing/>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（1）具有独立承担民事责任的能力；</w:t>
      </w:r>
    </w:p>
    <w:p w14:paraId="7EB3098E">
      <w:pPr>
        <w:spacing w:line="360" w:lineRule="auto"/>
        <w:ind w:firstLine="480" w:firstLineChars="200"/>
        <w:contextualSpacing/>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（2）具有良好的商业信誉和健全的财务会计制度；</w:t>
      </w:r>
    </w:p>
    <w:p w14:paraId="1398E1D6">
      <w:pPr>
        <w:spacing w:line="360" w:lineRule="auto"/>
        <w:ind w:firstLine="480" w:firstLineChars="200"/>
        <w:contextualSpacing/>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（3）具有履行合同所必需的设备和专业技术能力；</w:t>
      </w:r>
    </w:p>
    <w:p w14:paraId="4EB357F1">
      <w:pPr>
        <w:spacing w:line="360" w:lineRule="auto"/>
        <w:ind w:firstLine="480" w:firstLineChars="200"/>
        <w:contextualSpacing/>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（4）有依法缴纳税收和社会保障资金的良好记录；</w:t>
      </w:r>
    </w:p>
    <w:p w14:paraId="60865A6A">
      <w:pPr>
        <w:spacing w:line="360" w:lineRule="auto"/>
        <w:ind w:firstLine="480" w:firstLineChars="200"/>
        <w:contextualSpacing/>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（5）参加政府采购活动前三年内，在经营活动中没有重大违法记录；</w:t>
      </w:r>
    </w:p>
    <w:p w14:paraId="79E912AD">
      <w:pPr>
        <w:spacing w:line="360" w:lineRule="auto"/>
        <w:ind w:firstLine="480" w:firstLineChars="200"/>
        <w:contextualSpacing/>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（6）法律、行政法规规定的其他条件。</w:t>
      </w:r>
    </w:p>
    <w:p w14:paraId="455A6E4A">
      <w:pPr>
        <w:spacing w:line="360" w:lineRule="auto"/>
        <w:ind w:firstLine="480" w:firstLineChars="200"/>
        <w:contextualSpacing/>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7AC4DEE6">
      <w:pPr>
        <w:spacing w:line="360" w:lineRule="auto"/>
        <w:ind w:firstLine="480" w:firstLineChars="200"/>
        <w:contextualSpacing/>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6249DC91">
      <w:pPr>
        <w:spacing w:line="360" w:lineRule="auto"/>
        <w:ind w:firstLine="480" w:firstLineChars="200"/>
        <w:contextualSpacing/>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□我方本次响应文件</w:t>
      </w:r>
      <w:r>
        <w:rPr>
          <w:rFonts w:hint="eastAsia" w:ascii="仿宋_GB2312" w:hAnsi="宋体" w:eastAsia="仿宋_GB2312" w:cs="宋体"/>
          <w:color w:val="auto"/>
          <w:kern w:val="0"/>
          <w:sz w:val="24"/>
          <w:highlight w:val="none"/>
        </w:rPr>
        <w:t>内容中</w:t>
      </w:r>
      <w:r>
        <w:rPr>
          <w:rFonts w:hint="eastAsia" w:ascii="仿宋_GB2312" w:hAnsi="宋体" w:eastAsia="仿宋_GB2312" w:cs="宋体"/>
          <w:color w:val="auto"/>
          <w:sz w:val="24"/>
          <w:highlight w:val="none"/>
        </w:rPr>
        <w:t>未</w:t>
      </w:r>
      <w:r>
        <w:rPr>
          <w:rFonts w:hint="eastAsia" w:ascii="仿宋_GB2312" w:hAnsi="宋体" w:eastAsia="仿宋_GB2312" w:cs="宋体"/>
          <w:color w:val="auto"/>
          <w:kern w:val="0"/>
          <w:sz w:val="24"/>
          <w:highlight w:val="none"/>
        </w:rPr>
        <w:t>涉及商业秘密；</w:t>
      </w:r>
    </w:p>
    <w:p w14:paraId="0CD1E8FA">
      <w:pPr>
        <w:spacing w:line="360" w:lineRule="auto"/>
        <w:ind w:firstLine="480" w:firstLineChars="200"/>
        <w:contextualSpacing/>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□我方本次响应文件</w:t>
      </w:r>
      <w:r>
        <w:rPr>
          <w:rFonts w:hint="eastAsia" w:ascii="仿宋_GB2312" w:hAnsi="宋体" w:eastAsia="仿宋_GB2312" w:cs="宋体"/>
          <w:color w:val="auto"/>
          <w:kern w:val="0"/>
          <w:sz w:val="24"/>
          <w:highlight w:val="none"/>
        </w:rPr>
        <w:t>涉及商业秘密的内容有：</w:t>
      </w:r>
      <w:r>
        <w:rPr>
          <w:rFonts w:hint="eastAsia" w:ascii="仿宋_GB2312" w:hAnsi="宋体" w:eastAsia="仿宋_GB2312" w:cs="宋体"/>
          <w:color w:val="auto"/>
          <w:kern w:val="0"/>
          <w:sz w:val="24"/>
          <w:highlight w:val="none"/>
          <w:u w:val="single"/>
        </w:rPr>
        <w:t xml:space="preserve">                         </w:t>
      </w:r>
      <w:r>
        <w:rPr>
          <w:rFonts w:hint="eastAsia" w:ascii="仿宋_GB2312" w:hAnsi="宋体" w:eastAsia="仿宋_GB2312" w:cs="宋体"/>
          <w:color w:val="auto"/>
          <w:kern w:val="0"/>
          <w:sz w:val="24"/>
          <w:highlight w:val="none"/>
        </w:rPr>
        <w:t>；</w:t>
      </w:r>
    </w:p>
    <w:p w14:paraId="46CE75D1">
      <w:pPr>
        <w:pStyle w:val="16"/>
        <w:spacing w:line="360" w:lineRule="auto"/>
        <w:ind w:firstLine="480" w:firstLineChars="200"/>
        <w:contextualSpacing/>
        <w:rPr>
          <w:rFonts w:hint="eastAsia" w:ascii="仿宋_GB2312" w:hAnsi="宋体" w:eastAsia="仿宋_GB2312" w:cs="宋体"/>
          <w:color w:val="auto"/>
          <w:sz w:val="24"/>
          <w:szCs w:val="24"/>
          <w:highlight w:val="none"/>
          <w:u w:val="single"/>
        </w:rPr>
      </w:pPr>
      <w:r>
        <w:rPr>
          <w:rFonts w:hint="eastAsia" w:ascii="仿宋_GB2312" w:hAnsi="宋体" w:eastAsia="仿宋_GB2312" w:cs="宋体"/>
          <w:color w:val="auto"/>
          <w:sz w:val="24"/>
          <w:szCs w:val="24"/>
          <w:highlight w:val="none"/>
        </w:rPr>
        <w:t>7.与本</w:t>
      </w:r>
      <w:r>
        <w:rPr>
          <w:rFonts w:hint="eastAsia" w:ascii="仿宋_GB2312" w:hAnsi="宋体" w:eastAsia="仿宋_GB2312" w:cs="宋体"/>
          <w:color w:val="auto"/>
          <w:sz w:val="24"/>
          <w:szCs w:val="24"/>
          <w:highlight w:val="none"/>
          <w:lang w:eastAsia="zh-CN"/>
        </w:rPr>
        <w:t>磋商</w:t>
      </w:r>
      <w:r>
        <w:rPr>
          <w:rFonts w:hint="eastAsia" w:ascii="仿宋_GB2312" w:hAnsi="宋体" w:eastAsia="仿宋_GB2312" w:cs="宋体"/>
          <w:color w:val="auto"/>
          <w:sz w:val="24"/>
          <w:szCs w:val="24"/>
          <w:highlight w:val="none"/>
        </w:rPr>
        <w:t>有关的一切正式往来信函请寄：</w:t>
      </w:r>
      <w:r>
        <w:rPr>
          <w:rFonts w:hint="eastAsia" w:ascii="仿宋_GB2312" w:hAnsi="宋体" w:eastAsia="仿宋_GB2312" w:cs="宋体"/>
          <w:color w:val="auto"/>
          <w:sz w:val="24"/>
          <w:szCs w:val="24"/>
          <w:highlight w:val="none"/>
          <w:u w:val="single"/>
        </w:rPr>
        <w:t xml:space="preserve">                  </w:t>
      </w:r>
      <w:r>
        <w:rPr>
          <w:rFonts w:hint="eastAsia" w:ascii="仿宋_GB2312" w:hAnsi="宋体" w:eastAsia="仿宋_GB2312" w:cs="宋体"/>
          <w:color w:val="auto"/>
          <w:sz w:val="24"/>
          <w:szCs w:val="24"/>
          <w:highlight w:val="none"/>
        </w:rPr>
        <w:t>邮政编号：</w:t>
      </w:r>
      <w:r>
        <w:rPr>
          <w:rFonts w:hint="eastAsia" w:ascii="仿宋_GB2312" w:hAnsi="宋体" w:eastAsia="仿宋_GB2312" w:cs="宋体"/>
          <w:color w:val="auto"/>
          <w:sz w:val="24"/>
          <w:szCs w:val="24"/>
          <w:highlight w:val="none"/>
          <w:u w:val="single"/>
        </w:rPr>
        <w:t xml:space="preserve">        </w:t>
      </w:r>
    </w:p>
    <w:p w14:paraId="00B257F2">
      <w:pPr>
        <w:pStyle w:val="16"/>
        <w:spacing w:line="360" w:lineRule="auto"/>
        <w:ind w:firstLine="480" w:firstLineChars="200"/>
        <w:contextualSpacing/>
        <w:rPr>
          <w:rFonts w:hint="eastAsia"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电话/传真：</w:t>
      </w:r>
      <w:r>
        <w:rPr>
          <w:rFonts w:hint="eastAsia" w:ascii="仿宋_GB2312" w:hAnsi="宋体" w:eastAsia="仿宋_GB2312" w:cs="宋体"/>
          <w:color w:val="auto"/>
          <w:sz w:val="24"/>
          <w:szCs w:val="24"/>
          <w:highlight w:val="none"/>
          <w:u w:val="single"/>
        </w:rPr>
        <w:t xml:space="preserve">                        </w:t>
      </w:r>
      <w:r>
        <w:rPr>
          <w:rFonts w:hint="eastAsia" w:ascii="仿宋_GB2312" w:hAnsi="宋体" w:eastAsia="仿宋_GB2312" w:cs="宋体"/>
          <w:color w:val="auto"/>
          <w:sz w:val="24"/>
          <w:szCs w:val="24"/>
          <w:highlight w:val="none"/>
        </w:rPr>
        <w:t xml:space="preserve"> 电子函件：</w:t>
      </w:r>
      <w:r>
        <w:rPr>
          <w:rFonts w:hint="eastAsia" w:ascii="仿宋_GB2312" w:hAnsi="宋体" w:eastAsia="仿宋_GB2312" w:cs="宋体"/>
          <w:color w:val="auto"/>
          <w:sz w:val="24"/>
          <w:szCs w:val="24"/>
          <w:highlight w:val="none"/>
          <w:u w:val="single"/>
        </w:rPr>
        <w:t xml:space="preserve">                            </w:t>
      </w:r>
      <w:r>
        <w:rPr>
          <w:rFonts w:hint="eastAsia" w:ascii="仿宋_GB2312" w:hAnsi="宋体" w:eastAsia="仿宋_GB2312" w:cs="宋体"/>
          <w:color w:val="auto"/>
          <w:sz w:val="24"/>
          <w:szCs w:val="24"/>
          <w:highlight w:val="none"/>
        </w:rPr>
        <w:t xml:space="preserve">    </w:t>
      </w:r>
    </w:p>
    <w:p w14:paraId="20FB7B56">
      <w:pPr>
        <w:pStyle w:val="14"/>
        <w:tabs>
          <w:tab w:val="left" w:pos="939"/>
        </w:tabs>
        <w:spacing w:line="360" w:lineRule="auto"/>
        <w:ind w:left="141" w:leftChars="67" w:firstLine="360" w:firstLineChars="15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开户银行：</w:t>
      </w:r>
      <w:r>
        <w:rPr>
          <w:rFonts w:hint="eastAsia" w:ascii="仿宋_GB2312" w:hAnsi="宋体" w:eastAsia="仿宋_GB2312" w:cs="宋体"/>
          <w:color w:val="auto"/>
          <w:sz w:val="24"/>
          <w:highlight w:val="none"/>
          <w:u w:val="single"/>
        </w:rPr>
        <w:t xml:space="preserve">                         </w:t>
      </w:r>
      <w:r>
        <w:rPr>
          <w:rFonts w:hint="eastAsia" w:ascii="仿宋_GB2312" w:hAnsi="宋体" w:eastAsia="仿宋_GB2312" w:cs="宋体"/>
          <w:color w:val="auto"/>
          <w:sz w:val="24"/>
          <w:highlight w:val="none"/>
        </w:rPr>
        <w:t xml:space="preserve">  帐号：</w:t>
      </w:r>
      <w:r>
        <w:rPr>
          <w:rFonts w:hint="eastAsia" w:ascii="仿宋_GB2312" w:hAnsi="宋体" w:eastAsia="仿宋_GB2312" w:cs="宋体"/>
          <w:color w:val="auto"/>
          <w:sz w:val="24"/>
          <w:highlight w:val="none"/>
          <w:u w:val="single"/>
        </w:rPr>
        <w:t xml:space="preserve">                               </w:t>
      </w:r>
    </w:p>
    <w:p w14:paraId="30251480">
      <w:pPr>
        <w:pStyle w:val="14"/>
        <w:tabs>
          <w:tab w:val="left" w:pos="939"/>
        </w:tabs>
        <w:spacing w:line="360" w:lineRule="auto"/>
        <w:ind w:left="0" w:leftChars="0"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8.以上事项如有虚假或者隐瞒，我方愿意承担一切后果，并不再寻求任何旨在减轻或者免除法律责任的辩解。</w:t>
      </w:r>
    </w:p>
    <w:p w14:paraId="026B9AC7">
      <w:pPr>
        <w:pStyle w:val="14"/>
        <w:tabs>
          <w:tab w:val="left" w:pos="939"/>
        </w:tabs>
        <w:spacing w:line="360" w:lineRule="auto"/>
        <w:ind w:left="141" w:leftChars="67" w:firstLine="360" w:firstLineChars="15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特此承诺。</w:t>
      </w:r>
    </w:p>
    <w:p w14:paraId="4A0CB891">
      <w:pPr>
        <w:pStyle w:val="14"/>
        <w:tabs>
          <w:tab w:val="left" w:pos="939"/>
        </w:tabs>
        <w:spacing w:line="360" w:lineRule="auto"/>
        <w:ind w:left="0" w:leftChars="0" w:firstLine="480" w:firstLineChars="200"/>
        <w:rPr>
          <w:rFonts w:hint="eastAsia" w:ascii="宋体" w:hAnsi="宋体" w:cs="宋体"/>
          <w:color w:val="auto"/>
          <w:sz w:val="24"/>
          <w:highlight w:val="none"/>
        </w:rPr>
      </w:pPr>
      <w:r>
        <w:rPr>
          <w:rFonts w:hint="eastAsia" w:ascii="仿宋_GB2312" w:hAnsi="宋体" w:eastAsia="仿宋_GB2312" w:cs="宋体"/>
          <w:color w:val="auto"/>
          <w:sz w:val="24"/>
          <w:highlight w:val="none"/>
        </w:rPr>
        <w:t>注：如为联合体竞标，盖章处须加盖联合体各方公章并由联合体各方法定代表人签署，否则其响应文件按无效响应处理。</w:t>
      </w:r>
    </w:p>
    <w:p w14:paraId="509E60CF">
      <w:pPr>
        <w:pStyle w:val="14"/>
        <w:tabs>
          <w:tab w:val="left" w:pos="939"/>
        </w:tabs>
        <w:spacing w:line="360" w:lineRule="auto"/>
        <w:ind w:left="0" w:leftChars="0" w:firstLine="480" w:firstLineChars="200"/>
        <w:rPr>
          <w:rFonts w:hint="eastAsia" w:ascii="宋体" w:hAnsi="宋体" w:cs="宋体"/>
          <w:color w:val="auto"/>
          <w:sz w:val="24"/>
          <w:highlight w:val="none"/>
        </w:rPr>
      </w:pPr>
    </w:p>
    <w:p w14:paraId="5E87B2FA">
      <w:pPr>
        <w:autoSpaceDE w:val="0"/>
        <w:autoSpaceDN w:val="0"/>
        <w:spacing w:line="360" w:lineRule="auto"/>
        <w:ind w:left="4365" w:leftChars="1850" w:hanging="480" w:hangingChars="2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0850ED7D">
      <w:pPr>
        <w:autoSpaceDE w:val="0"/>
        <w:autoSpaceDN w:val="0"/>
        <w:spacing w:line="360" w:lineRule="auto"/>
        <w:ind w:firstLine="6120" w:firstLineChars="2550"/>
        <w:rPr>
          <w:rFonts w:ascii="仿宋_GB2312" w:hAnsi="仿宋" w:eastAsia="仿宋_GB2312" w:cs="仿宋_GB2312"/>
          <w:color w:val="auto"/>
          <w:kern w:val="0"/>
          <w:sz w:val="24"/>
          <w:highlight w:val="none"/>
          <w:lang w:val="zh-CN"/>
        </w:rPr>
        <w:sectPr>
          <w:pgSz w:w="11910" w:h="16840"/>
          <w:pgMar w:top="1340" w:right="1500" w:bottom="280" w:left="1680" w:header="720" w:footer="720" w:gutter="0"/>
          <w:cols w:space="720" w:num="1"/>
        </w:sectPr>
      </w:pPr>
      <w:r>
        <w:rPr>
          <w:rFonts w:hint="eastAsia" w:ascii="仿宋_GB2312" w:hAnsi="仿宋" w:eastAsia="仿宋_GB2312" w:cs="仿宋_GB2312"/>
          <w:color w:val="auto"/>
          <w:kern w:val="0"/>
          <w:sz w:val="24"/>
          <w:highlight w:val="none"/>
          <w:lang w:val="zh-CN"/>
        </w:rPr>
        <w:t>日期：  年  月   日</w:t>
      </w:r>
    </w:p>
    <w:p w14:paraId="3D5A8B0F">
      <w:pPr>
        <w:pStyle w:val="16"/>
        <w:spacing w:line="500" w:lineRule="exact"/>
        <w:ind w:firstLine="602" w:firstLineChars="200"/>
        <w:rPr>
          <w:rFonts w:hint="eastAsia" w:ascii="宋体" w:hAnsi="宋体" w:eastAsia="宋体" w:cs="宋体"/>
          <w:b/>
          <w:color w:val="auto"/>
          <w:kern w:val="2"/>
          <w:sz w:val="30"/>
          <w:szCs w:val="30"/>
          <w:highlight w:val="none"/>
          <w:lang w:val="zh-CN" w:eastAsia="zh-CN"/>
        </w:rPr>
      </w:pPr>
      <w:r>
        <w:rPr>
          <w:rFonts w:hint="eastAsia" w:ascii="仿宋" w:hAnsi="仿宋" w:eastAsia="仿宋" w:cs="仿宋_GB2312"/>
          <w:b/>
          <w:color w:val="auto"/>
          <w:kern w:val="0"/>
          <w:sz w:val="30"/>
          <w:szCs w:val="30"/>
          <w:highlight w:val="none"/>
        </w:rPr>
        <w:t>七、</w:t>
      </w:r>
      <w:bookmarkStart w:id="61" w:name="_Toc20691"/>
      <w:bookmarkStart w:id="62" w:name="_Toc80205940"/>
      <w:r>
        <w:rPr>
          <w:rFonts w:hint="eastAsia" w:ascii="宋体" w:hAnsi="宋体" w:eastAsia="宋体" w:cs="宋体"/>
          <w:b/>
          <w:color w:val="auto"/>
          <w:kern w:val="2"/>
          <w:sz w:val="30"/>
          <w:szCs w:val="30"/>
          <w:highlight w:val="none"/>
          <w:lang w:val="zh-CN" w:eastAsia="zh-CN"/>
        </w:rPr>
        <w:t>中小企业声明函或残疾人福利性单位声明函或监狱企业证明</w:t>
      </w:r>
    </w:p>
    <w:p w14:paraId="7A0EB335">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44"/>
          <w:szCs w:val="44"/>
          <w:highlight w:val="none"/>
        </w:rPr>
      </w:pPr>
      <w:r>
        <w:rPr>
          <w:rFonts w:hint="eastAsia" w:ascii="Times New Roman" w:hAnsi="Times New Roman"/>
          <w:b/>
          <w:color w:val="auto"/>
          <w:sz w:val="30"/>
          <w:szCs w:val="30"/>
          <w:highlight w:val="none"/>
        </w:rPr>
        <w:t>中小企业声明函</w:t>
      </w:r>
    </w:p>
    <w:p w14:paraId="238C0178">
      <w:pPr>
        <w:pStyle w:val="13"/>
        <w:spacing w:line="240" w:lineRule="auto"/>
        <w:ind w:left="0" w:leftChars="0" w:firstLine="0" w:firstLineChars="0"/>
        <w:rPr>
          <w:rFonts w:hint="eastAsia" w:ascii="Times New Roman" w:hAnsi="宋体"/>
          <w:color w:val="auto"/>
          <w:sz w:val="21"/>
          <w:szCs w:val="21"/>
          <w:highlight w:val="none"/>
        </w:rPr>
      </w:pPr>
    </w:p>
    <w:p w14:paraId="58713517">
      <w:pPr>
        <w:pStyle w:val="13"/>
        <w:spacing w:line="240" w:lineRule="auto"/>
        <w:ind w:left="0" w:leftChars="0" w:firstLine="0" w:firstLineChars="0"/>
        <w:rPr>
          <w:rFonts w:ascii="Times New Roman" w:hAnsi="Times New Roman"/>
          <w:color w:val="auto"/>
          <w:sz w:val="21"/>
          <w:szCs w:val="21"/>
          <w:highlight w:val="none"/>
        </w:rPr>
      </w:pPr>
      <w:r>
        <w:rPr>
          <w:rFonts w:hint="eastAsia" w:ascii="Times New Roman" w:hAnsi="宋体"/>
          <w:color w:val="auto"/>
          <w:sz w:val="21"/>
          <w:szCs w:val="21"/>
          <w:highlight w:val="none"/>
        </w:rPr>
        <w:t>说明：</w:t>
      </w:r>
    </w:p>
    <w:p w14:paraId="6B2E5064">
      <w:pPr>
        <w:pStyle w:val="13"/>
        <w:spacing w:line="240" w:lineRule="auto"/>
        <w:ind w:firstLine="420" w:firstLineChars="200"/>
        <w:rPr>
          <w:rFonts w:ascii="Times New Roman" w:hAnsi="Times New Roman"/>
          <w:color w:val="auto"/>
          <w:sz w:val="21"/>
          <w:szCs w:val="21"/>
          <w:highlight w:val="none"/>
        </w:rPr>
      </w:pPr>
      <w:r>
        <w:rPr>
          <w:rFonts w:ascii="Times New Roman" w:hAnsi="Times New Roman"/>
          <w:color w:val="auto"/>
          <w:sz w:val="21"/>
          <w:szCs w:val="21"/>
          <w:highlight w:val="none"/>
        </w:rPr>
        <w:t>1</w:t>
      </w:r>
      <w:r>
        <w:rPr>
          <w:rFonts w:hint="eastAsia" w:ascii="Times New Roman" w:hAnsi="宋体"/>
          <w:color w:val="auto"/>
          <w:sz w:val="21"/>
          <w:szCs w:val="21"/>
          <w:highlight w:val="none"/>
        </w:rPr>
        <w:t>、本声明函主要供参加政府采购活动的中小企业填写，非中小企业无需填写。</w:t>
      </w:r>
    </w:p>
    <w:p w14:paraId="35CB6874">
      <w:pPr>
        <w:pStyle w:val="13"/>
        <w:spacing w:line="240" w:lineRule="auto"/>
        <w:ind w:firstLine="420" w:firstLineChars="200"/>
        <w:rPr>
          <w:rFonts w:ascii="Times New Roman" w:hAnsi="宋体"/>
          <w:color w:val="auto"/>
          <w:sz w:val="21"/>
          <w:szCs w:val="21"/>
          <w:highlight w:val="none"/>
        </w:rPr>
      </w:pPr>
      <w:r>
        <w:rPr>
          <w:rFonts w:ascii="Times New Roman" w:hAnsi="Times New Roman"/>
          <w:color w:val="auto"/>
          <w:sz w:val="21"/>
          <w:szCs w:val="21"/>
          <w:highlight w:val="none"/>
        </w:rPr>
        <w:t>2</w:t>
      </w:r>
      <w:r>
        <w:rPr>
          <w:rFonts w:hint="eastAsia" w:ascii="Times New Roman" w:hAnsi="宋体"/>
          <w:color w:val="auto"/>
          <w:sz w:val="21"/>
          <w:szCs w:val="21"/>
          <w:highlight w:val="none"/>
        </w:rPr>
        <w:t>、小型、微型企业提供中型企业提供的服务的，视同为中型企业。</w:t>
      </w:r>
    </w:p>
    <w:p w14:paraId="57118B96">
      <w:pPr>
        <w:pStyle w:val="13"/>
        <w:spacing w:line="240" w:lineRule="auto"/>
        <w:ind w:firstLine="420" w:firstLineChars="200"/>
        <w:rPr>
          <w:rFonts w:ascii="Times New Roman" w:hAnsi="宋体"/>
          <w:color w:val="auto"/>
          <w:sz w:val="21"/>
          <w:szCs w:val="21"/>
          <w:highlight w:val="none"/>
        </w:rPr>
      </w:pPr>
    </w:p>
    <w:p w14:paraId="755A9C07">
      <w:pPr>
        <w:pStyle w:val="12"/>
        <w:spacing w:line="500" w:lineRule="exact"/>
        <w:ind w:right="142" w:firstLine="420" w:firstLineChars="200"/>
        <w:rPr>
          <w:rFonts w:ascii="宋体" w:hAnsi="宋体"/>
          <w:color w:val="auto"/>
          <w:highlight w:val="none"/>
        </w:rPr>
      </w:pPr>
      <w:r>
        <w:rPr>
          <w:rFonts w:ascii="宋体" w:hAnsi="宋体"/>
          <w:color w:val="auto"/>
          <w:highlight w:val="none"/>
        </w:rPr>
        <w:t>本公司（联合体）郑重声明，根据《政府采购促进中小企业发展管理办法》（财库﹝2020﹞46号）的规定，本公司（联合体）参加</w:t>
      </w:r>
      <w:r>
        <w:rPr>
          <w:rFonts w:ascii="宋体" w:hAnsi="宋体"/>
          <w:color w:val="auto"/>
          <w:highlight w:val="none"/>
          <w:u w:val="single"/>
        </w:rPr>
        <w:t>（单位名称）</w:t>
      </w:r>
      <w:r>
        <w:rPr>
          <w:rFonts w:ascii="宋体" w:hAnsi="宋体"/>
          <w:color w:val="auto"/>
          <w:highlight w:val="none"/>
        </w:rPr>
        <w:t>的</w:t>
      </w:r>
      <w:r>
        <w:rPr>
          <w:rFonts w:ascii="宋体" w:hAnsi="宋体"/>
          <w:color w:val="auto"/>
          <w:highlight w:val="none"/>
          <w:u w:val="single"/>
        </w:rPr>
        <w:t>（项目名称）</w:t>
      </w:r>
      <w:r>
        <w:rPr>
          <w:rFonts w:ascii="宋体" w:hAnsi="宋体"/>
          <w:color w:val="auto"/>
          <w:highlight w:val="none"/>
        </w:rPr>
        <w:t>采购活动，</w:t>
      </w:r>
      <w:r>
        <w:rPr>
          <w:rFonts w:hint="eastAsia" w:ascii="宋体" w:hAnsi="宋体"/>
          <w:color w:val="auto"/>
          <w:highlight w:val="none"/>
        </w:rPr>
        <w:t>服务全部由符合政策要求的中小企业承接。相关企业（含联合体中的中小企业、签订分包意向协议的中小企业）的具体情况如下：</w:t>
      </w:r>
    </w:p>
    <w:p w14:paraId="21A81BD2">
      <w:pPr>
        <w:tabs>
          <w:tab w:val="left" w:pos="1384"/>
          <w:tab w:val="left" w:pos="4562"/>
          <w:tab w:val="left" w:pos="6803"/>
        </w:tabs>
        <w:spacing w:before="13" w:line="500" w:lineRule="exact"/>
        <w:ind w:right="142" w:firstLine="600" w:firstLineChars="286"/>
        <w:rPr>
          <w:rFonts w:ascii="宋体" w:hAnsi="宋体"/>
          <w:color w:val="auto"/>
          <w:szCs w:val="21"/>
          <w:highlight w:val="none"/>
        </w:rPr>
      </w:pPr>
      <w:r>
        <w:rPr>
          <w:rFonts w:ascii="宋体" w:hAnsi="宋体"/>
          <w:color w:val="auto"/>
          <w:szCs w:val="21"/>
          <w:highlight w:val="none"/>
        </w:rPr>
        <w:t>1.</w:t>
      </w:r>
      <w:r>
        <w:rPr>
          <w:rFonts w:ascii="宋体" w:hAnsi="宋体"/>
          <w:color w:val="auto"/>
          <w:szCs w:val="21"/>
          <w:highlight w:val="none"/>
          <w:u w:val="single"/>
        </w:rPr>
        <w:t>（标的名称）</w:t>
      </w:r>
      <w:r>
        <w:rPr>
          <w:rFonts w:ascii="宋体" w:hAnsi="宋体"/>
          <w:color w:val="auto"/>
          <w:szCs w:val="21"/>
          <w:highlight w:val="none"/>
        </w:rPr>
        <w:t>，属于</w:t>
      </w:r>
      <w:r>
        <w:rPr>
          <w:rFonts w:ascii="宋体" w:hAnsi="宋体"/>
          <w:color w:val="auto"/>
          <w:szCs w:val="21"/>
          <w:highlight w:val="none"/>
          <w:u w:val="single"/>
        </w:rPr>
        <w:t>（采购文件中明确的所属</w:t>
      </w:r>
      <w:r>
        <w:rPr>
          <w:rFonts w:hint="eastAsia" w:ascii="宋体" w:hAnsi="宋体"/>
          <w:color w:val="auto"/>
          <w:szCs w:val="21"/>
          <w:highlight w:val="none"/>
          <w:u w:val="single"/>
        </w:rPr>
        <w:t>行</w:t>
      </w:r>
      <w:r>
        <w:rPr>
          <w:rFonts w:ascii="宋体" w:hAnsi="宋体"/>
          <w:color w:val="auto"/>
          <w:szCs w:val="21"/>
          <w:highlight w:val="none"/>
          <w:u w:val="single"/>
        </w:rPr>
        <w:t>业）</w:t>
      </w:r>
      <w:r>
        <w:rPr>
          <w:rFonts w:ascii="宋体" w:hAnsi="宋体"/>
          <w:color w:val="auto"/>
          <w:szCs w:val="21"/>
          <w:highlight w:val="none"/>
        </w:rPr>
        <w:t>；</w:t>
      </w:r>
      <w:r>
        <w:rPr>
          <w:rFonts w:hint="eastAsia" w:ascii="宋体" w:hAnsi="宋体"/>
          <w:color w:val="auto"/>
          <w:szCs w:val="21"/>
          <w:highlight w:val="none"/>
        </w:rPr>
        <w:t>承接企业为</w:t>
      </w:r>
      <w:r>
        <w:rPr>
          <w:rFonts w:hint="eastAsia" w:ascii="宋体" w:hAnsi="宋体"/>
          <w:color w:val="auto"/>
          <w:szCs w:val="21"/>
          <w:highlight w:val="none"/>
          <w:u w:val="single"/>
        </w:rPr>
        <w:t>（企业名称）</w:t>
      </w:r>
      <w:r>
        <w:rPr>
          <w:rFonts w:hint="eastAsia" w:ascii="宋体" w:hAnsi="宋体"/>
          <w:color w:val="auto"/>
          <w:szCs w:val="21"/>
          <w:highlight w:val="none"/>
        </w:rPr>
        <w:t>，从业人员</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人，营业收入为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万元，资产总额为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万元</w:t>
      </w:r>
      <w:r>
        <w:rPr>
          <w:rFonts w:ascii="宋体" w:hAnsi="宋体"/>
          <w:color w:val="auto"/>
          <w:szCs w:val="21"/>
          <w:highlight w:val="none"/>
        </w:rPr>
        <w:t>，属于</w:t>
      </w:r>
      <w:r>
        <w:rPr>
          <w:rFonts w:ascii="宋体" w:hAnsi="宋体"/>
          <w:color w:val="auto"/>
          <w:szCs w:val="21"/>
          <w:highlight w:val="none"/>
          <w:u w:val="single"/>
        </w:rPr>
        <w:t>（中型企业、</w:t>
      </w:r>
      <w:r>
        <w:rPr>
          <w:rFonts w:hint="eastAsia" w:ascii="宋体" w:hAnsi="宋体"/>
          <w:color w:val="auto"/>
          <w:szCs w:val="21"/>
          <w:highlight w:val="none"/>
          <w:u w:val="single"/>
        </w:rPr>
        <w:t>小型企业、微型企业）</w:t>
      </w:r>
      <w:r>
        <w:rPr>
          <w:rFonts w:hint="eastAsia" w:ascii="宋体" w:hAnsi="宋体"/>
          <w:color w:val="auto"/>
          <w:szCs w:val="21"/>
          <w:highlight w:val="none"/>
        </w:rPr>
        <w:t>；</w:t>
      </w:r>
    </w:p>
    <w:p w14:paraId="620B85CE">
      <w:pPr>
        <w:tabs>
          <w:tab w:val="left" w:pos="1065"/>
          <w:tab w:val="left" w:pos="4262"/>
          <w:tab w:val="left" w:pos="6477"/>
        </w:tabs>
        <w:spacing w:before="20" w:line="500" w:lineRule="exact"/>
        <w:ind w:right="84" w:firstLine="600" w:firstLineChars="286"/>
        <w:rPr>
          <w:rFonts w:ascii="宋体" w:hAnsi="宋体"/>
          <w:color w:val="auto"/>
          <w:szCs w:val="21"/>
          <w:highlight w:val="none"/>
          <w:u w:val="single"/>
        </w:rPr>
      </w:pPr>
      <w:r>
        <w:rPr>
          <w:rFonts w:ascii="宋体" w:hAnsi="宋体"/>
          <w:color w:val="auto"/>
          <w:szCs w:val="21"/>
          <w:highlight w:val="none"/>
        </w:rPr>
        <w:t>2.</w:t>
      </w:r>
      <w:r>
        <w:rPr>
          <w:rFonts w:ascii="宋体" w:hAnsi="宋体"/>
          <w:color w:val="auto"/>
          <w:szCs w:val="21"/>
          <w:highlight w:val="none"/>
          <w:u w:val="single"/>
        </w:rPr>
        <w:t>（标的名称）</w:t>
      </w:r>
      <w:r>
        <w:rPr>
          <w:rFonts w:ascii="宋体" w:hAnsi="宋体"/>
          <w:color w:val="auto"/>
          <w:szCs w:val="21"/>
          <w:highlight w:val="none"/>
        </w:rPr>
        <w:t>，属于</w:t>
      </w:r>
      <w:r>
        <w:rPr>
          <w:rFonts w:ascii="宋体" w:hAnsi="宋体"/>
          <w:color w:val="auto"/>
          <w:szCs w:val="21"/>
          <w:highlight w:val="none"/>
          <w:u w:val="single"/>
        </w:rPr>
        <w:t>（采购文件中明确的所属</w:t>
      </w:r>
      <w:r>
        <w:rPr>
          <w:rFonts w:hint="eastAsia" w:ascii="宋体" w:hAnsi="宋体"/>
          <w:color w:val="auto"/>
          <w:szCs w:val="21"/>
          <w:highlight w:val="none"/>
          <w:u w:val="single"/>
        </w:rPr>
        <w:t>行业</w:t>
      </w:r>
      <w:r>
        <w:rPr>
          <w:rFonts w:ascii="宋体" w:hAnsi="宋体"/>
          <w:color w:val="auto"/>
          <w:szCs w:val="21"/>
          <w:highlight w:val="none"/>
          <w:u w:val="single"/>
        </w:rPr>
        <w:t>）</w:t>
      </w:r>
      <w:r>
        <w:rPr>
          <w:rFonts w:ascii="宋体" w:hAnsi="宋体"/>
          <w:color w:val="auto"/>
          <w:szCs w:val="21"/>
          <w:highlight w:val="none"/>
        </w:rPr>
        <w:t>；</w:t>
      </w:r>
      <w:r>
        <w:rPr>
          <w:rFonts w:hint="eastAsia" w:ascii="宋体" w:hAnsi="宋体"/>
          <w:color w:val="auto"/>
          <w:szCs w:val="21"/>
          <w:highlight w:val="none"/>
        </w:rPr>
        <w:t>承接企业为</w:t>
      </w:r>
      <w:r>
        <w:rPr>
          <w:rFonts w:hint="eastAsia" w:ascii="宋体" w:hAnsi="宋体"/>
          <w:color w:val="auto"/>
          <w:szCs w:val="21"/>
          <w:highlight w:val="none"/>
          <w:u w:val="single"/>
        </w:rPr>
        <w:t>（企业名称）</w:t>
      </w:r>
      <w:r>
        <w:rPr>
          <w:rFonts w:hint="eastAsia" w:ascii="宋体" w:hAnsi="宋体"/>
          <w:color w:val="auto"/>
          <w:szCs w:val="21"/>
          <w:highlight w:val="none"/>
        </w:rPr>
        <w:t>，从业人员</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人，营业收入为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万元，资产总额为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万元</w:t>
      </w:r>
      <w:r>
        <w:rPr>
          <w:rFonts w:ascii="宋体" w:hAnsi="宋体"/>
          <w:color w:val="auto"/>
          <w:szCs w:val="21"/>
          <w:highlight w:val="none"/>
        </w:rPr>
        <w:t>，属于</w:t>
      </w:r>
      <w:r>
        <w:rPr>
          <w:rFonts w:ascii="宋体" w:hAnsi="宋体"/>
          <w:color w:val="auto"/>
          <w:szCs w:val="21"/>
          <w:highlight w:val="none"/>
          <w:u w:val="single"/>
        </w:rPr>
        <w:t>（中型企业、</w:t>
      </w:r>
      <w:r>
        <w:rPr>
          <w:rFonts w:hint="eastAsia" w:ascii="宋体" w:hAnsi="宋体"/>
          <w:color w:val="auto"/>
          <w:szCs w:val="21"/>
          <w:highlight w:val="none"/>
          <w:u w:val="single"/>
        </w:rPr>
        <w:t>小型企业、微型企业）</w:t>
      </w:r>
      <w:r>
        <w:rPr>
          <w:rFonts w:hint="eastAsia" w:ascii="宋体" w:hAnsi="宋体"/>
          <w:color w:val="auto"/>
          <w:szCs w:val="21"/>
          <w:highlight w:val="none"/>
        </w:rPr>
        <w:t>；</w:t>
      </w:r>
    </w:p>
    <w:p w14:paraId="7A90F943">
      <w:pPr>
        <w:pStyle w:val="12"/>
        <w:spacing w:before="34" w:line="500" w:lineRule="exact"/>
        <w:ind w:left="765" w:right="142" w:hanging="5"/>
        <w:rPr>
          <w:rFonts w:ascii="宋体" w:hAnsi="宋体"/>
          <w:color w:val="auto"/>
          <w:highlight w:val="none"/>
        </w:rPr>
      </w:pPr>
      <w:r>
        <w:rPr>
          <w:rFonts w:ascii="宋体" w:hAnsi="宋体"/>
          <w:color w:val="auto"/>
          <w:highlight w:val="none"/>
        </w:rPr>
        <w:t xml:space="preserve">…… </w:t>
      </w:r>
    </w:p>
    <w:p w14:paraId="6A3FD03E">
      <w:pPr>
        <w:pStyle w:val="12"/>
        <w:spacing w:before="34" w:line="500" w:lineRule="exact"/>
        <w:ind w:right="142" w:firstLine="643" w:firstLineChars="200"/>
        <w:rPr>
          <w:rFonts w:hint="eastAsia" w:ascii="宋体" w:hAnsi="宋体"/>
          <w:b/>
          <w:bCs/>
          <w:color w:val="auto"/>
          <w:sz w:val="32"/>
          <w:szCs w:val="40"/>
          <w:highlight w:val="none"/>
        </w:rPr>
      </w:pPr>
      <w:r>
        <w:rPr>
          <w:rFonts w:ascii="宋体" w:hAnsi="宋体"/>
          <w:b/>
          <w:bCs/>
          <w:color w:val="auto"/>
          <w:sz w:val="32"/>
          <w:szCs w:val="40"/>
          <w:highlight w:val="none"/>
        </w:rPr>
        <w:t>以上企业，不属于大企业的分支机构，不存在控股股东为大企业的情形，也不存在与大企业的负责人为同一人的情形。</w:t>
      </w:r>
    </w:p>
    <w:p w14:paraId="62B8A6AA">
      <w:pPr>
        <w:pStyle w:val="12"/>
        <w:spacing w:before="34" w:line="500" w:lineRule="exact"/>
        <w:ind w:right="142" w:firstLine="420" w:firstLineChars="200"/>
        <w:rPr>
          <w:rFonts w:ascii="宋体" w:hAnsi="宋体"/>
          <w:color w:val="auto"/>
          <w:highlight w:val="none"/>
        </w:rPr>
      </w:pPr>
      <w:r>
        <w:rPr>
          <w:rFonts w:ascii="宋体" w:hAnsi="宋体"/>
          <w:color w:val="auto"/>
          <w:highlight w:val="none"/>
        </w:rPr>
        <w:t>本企业对上述声明内容的真实性负责。如有虚假，将依法承担相应责任。</w:t>
      </w:r>
    </w:p>
    <w:p w14:paraId="4C59482C">
      <w:pPr>
        <w:pStyle w:val="16"/>
        <w:spacing w:line="360" w:lineRule="auto"/>
        <w:ind w:firstLine="400" w:firstLineChars="200"/>
        <w:rPr>
          <w:rFonts w:hint="eastAsia" w:hAnsi="宋体"/>
          <w:color w:val="auto"/>
          <w:szCs w:val="21"/>
          <w:highlight w:val="none"/>
        </w:rPr>
      </w:pPr>
    </w:p>
    <w:p w14:paraId="2F590F72">
      <w:pPr>
        <w:pStyle w:val="16"/>
        <w:spacing w:line="360" w:lineRule="auto"/>
        <w:ind w:firstLine="400" w:firstLineChars="200"/>
        <w:rPr>
          <w:rFonts w:hint="eastAsia" w:hAnsi="宋体"/>
          <w:color w:val="auto"/>
          <w:szCs w:val="21"/>
          <w:highlight w:val="none"/>
        </w:rPr>
      </w:pPr>
    </w:p>
    <w:p w14:paraId="5E9CA096">
      <w:pPr>
        <w:snapToGrid w:val="0"/>
        <w:spacing w:line="360" w:lineRule="auto"/>
        <w:ind w:firstLine="5040" w:firstLineChars="2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207FA5B0">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7A61B77D">
      <w:pPr>
        <w:snapToGrid w:val="0"/>
        <w:spacing w:before="50" w:after="165" w:afterLines="50" w:line="360" w:lineRule="auto"/>
        <w:jc w:val="left"/>
        <w:rPr>
          <w:rFonts w:hint="eastAsia" w:hAnsi="宋体" w:cs="宋体"/>
          <w:caps w:val="0"/>
          <w:smallCaps w:val="0"/>
          <w:color w:val="auto"/>
          <w:spacing w:val="0"/>
          <w:w w:val="100"/>
          <w:sz w:val="20"/>
          <w:highlight w:val="none"/>
        </w:rPr>
      </w:pPr>
      <w:r>
        <w:rPr>
          <w:rFonts w:hint="eastAsia" w:hAnsi="宋体" w:cs="宋体"/>
          <w:caps w:val="0"/>
          <w:smallCaps w:val="0"/>
          <w:color w:val="auto"/>
          <w:spacing w:val="0"/>
          <w:w w:val="100"/>
          <w:sz w:val="20"/>
          <w:highlight w:val="none"/>
        </w:rPr>
        <w:t>注：</w:t>
      </w:r>
    </w:p>
    <w:p w14:paraId="35279EA7">
      <w:pPr>
        <w:numPr>
          <w:ilvl w:val="0"/>
          <w:numId w:val="2"/>
        </w:numPr>
        <w:snapToGrid w:val="0"/>
        <w:spacing w:before="50" w:after="165" w:afterLines="50" w:line="360" w:lineRule="auto"/>
        <w:jc w:val="left"/>
        <w:rPr>
          <w:rFonts w:hint="eastAsia"/>
          <w:caps w:val="0"/>
          <w:smallCaps w:val="0"/>
          <w:color w:val="auto"/>
          <w:spacing w:val="0"/>
          <w:w w:val="100"/>
          <w:sz w:val="20"/>
          <w:highlight w:val="none"/>
        </w:rPr>
      </w:pPr>
      <w:r>
        <w:rPr>
          <w:rFonts w:hint="eastAsia"/>
          <w:caps w:val="0"/>
          <w:smallCaps w:val="0"/>
          <w:color w:val="auto"/>
          <w:spacing w:val="0"/>
          <w:w w:val="100"/>
          <w:sz w:val="20"/>
          <w:highlight w:val="none"/>
        </w:rPr>
        <w:t>从业人员、营业收入、资产总额填报上一年度数据，无上一年度数据的新成立企业可不填报。</w:t>
      </w:r>
    </w:p>
    <w:p w14:paraId="2DBFDFA3">
      <w:pPr>
        <w:snapToGrid w:val="0"/>
        <w:spacing w:before="50" w:after="165" w:afterLines="50" w:line="360" w:lineRule="auto"/>
        <w:ind w:firstLine="300" w:firstLineChars="150"/>
        <w:jc w:val="left"/>
        <w:rPr>
          <w:rFonts w:hint="eastAsia"/>
          <w:caps w:val="0"/>
          <w:smallCaps w:val="0"/>
          <w:color w:val="auto"/>
          <w:spacing w:val="0"/>
          <w:w w:val="100"/>
          <w:sz w:val="20"/>
          <w:highlight w:val="none"/>
        </w:rPr>
      </w:pPr>
      <w:r>
        <w:rPr>
          <w:rFonts w:hint="eastAsia"/>
          <w:caps w:val="0"/>
          <w:smallCaps w:val="0"/>
          <w:color w:val="auto"/>
          <w:spacing w:val="0"/>
          <w:w w:val="100"/>
          <w:sz w:val="20"/>
          <w:highlight w:val="none"/>
        </w:rPr>
        <w:t>2、请根据自己的真实情况出具《中小企业声明函》。依法享受中小企业优惠政策的，采购人或者采购代理机构在公告中标结果时，同时公告其《中小企业声明函》，接受社会监督。</w:t>
      </w:r>
    </w:p>
    <w:p w14:paraId="07140BD9">
      <w:pPr>
        <w:keepNext/>
        <w:keepLines/>
        <w:spacing w:line="416"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24"/>
          <w:highlight w:val="none"/>
        </w:rPr>
        <w:br w:type="page"/>
      </w:r>
      <w:bookmarkStart w:id="63" w:name="_Toc21450"/>
      <w:r>
        <w:rPr>
          <w:rFonts w:hint="eastAsia" w:ascii="宋体" w:hAnsi="宋体" w:eastAsia="宋体" w:cs="宋体"/>
          <w:color w:val="auto"/>
          <w:sz w:val="44"/>
          <w:szCs w:val="44"/>
          <w:highlight w:val="none"/>
        </w:rPr>
        <w:t>残疾人福利性单位声明函</w:t>
      </w:r>
      <w:bookmarkEnd w:id="63"/>
    </w:p>
    <w:p w14:paraId="1A3BD3C1">
      <w:pPr>
        <w:spacing w:line="520" w:lineRule="exact"/>
        <w:rPr>
          <w:rFonts w:hint="eastAsia" w:ascii="宋体" w:hAnsi="宋体" w:eastAsia="宋体" w:cs="宋体"/>
          <w:color w:val="auto"/>
          <w:sz w:val="32"/>
          <w:szCs w:val="32"/>
          <w:highlight w:val="none"/>
        </w:rPr>
      </w:pPr>
    </w:p>
    <w:p w14:paraId="085360DC">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单位的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项目采购活动由本单位提供服务。</w:t>
      </w:r>
    </w:p>
    <w:p w14:paraId="542281D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121DCBE1">
      <w:pPr>
        <w:spacing w:line="360" w:lineRule="auto"/>
        <w:ind w:firstLine="2400" w:firstLineChars="1000"/>
        <w:contextualSpacing/>
        <w:rPr>
          <w:rFonts w:hint="eastAsia" w:ascii="宋体" w:hAnsi="宋体" w:eastAsia="宋体" w:cs="宋体"/>
          <w:color w:val="auto"/>
          <w:sz w:val="24"/>
          <w:highlight w:val="none"/>
        </w:rPr>
      </w:pPr>
    </w:p>
    <w:p w14:paraId="3F4B2686">
      <w:pPr>
        <w:spacing w:line="360" w:lineRule="auto"/>
        <w:ind w:firstLine="2400" w:firstLineChars="10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供应商名称（电子签章）：</w:t>
      </w:r>
    </w:p>
    <w:p w14:paraId="02351B98">
      <w:pPr>
        <w:spacing w:line="360" w:lineRule="auto"/>
        <w:ind w:firstLine="4320" w:firstLineChars="18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     年   月   日</w:t>
      </w:r>
    </w:p>
    <w:p w14:paraId="7FD539EA">
      <w:pPr>
        <w:spacing w:line="360" w:lineRule="auto"/>
        <w:ind w:left="0" w:leftChars="0" w:firstLine="420" w:firstLineChars="17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61F1CA90">
      <w:pPr>
        <w:spacing w:line="360" w:lineRule="auto"/>
        <w:ind w:left="0" w:leftChars="0" w:firstLine="420" w:firstLineChars="17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请根据自己的真实情况出具《残疾人福利性单位声明函》。依法享受中小企业优惠政策的，采购人或者采购代理机构在公告</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结果时，同时公告其《残疾人福利性单位声明函》，接受社会监督。</w:t>
      </w:r>
    </w:p>
    <w:p w14:paraId="348686D0">
      <w:pPr>
        <w:spacing w:line="360" w:lineRule="auto"/>
        <w:ind w:left="0" w:leftChars="0" w:firstLine="420" w:firstLineChars="175"/>
        <w:contextualSpacing/>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根据《关于促进残疾人就业政府采购政策的通知》（财库〔2017〕141号）规定，享受政府采购支持政策的残疾人福利性单位应当同时满足以下条件：</w:t>
      </w:r>
    </w:p>
    <w:p w14:paraId="3FC5B058">
      <w:pPr>
        <w:spacing w:line="360" w:lineRule="auto"/>
        <w:ind w:left="0" w:leftChars="0" w:firstLine="420" w:firstLineChars="175"/>
        <w:contextualSpacing/>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（一）安置的残疾人占本单位在职职工人数的比例不低于25%（含25%），并且安置的残疾人人数不少于10人（含10人）；</w:t>
      </w:r>
    </w:p>
    <w:p w14:paraId="1A54A116">
      <w:pPr>
        <w:spacing w:line="360" w:lineRule="auto"/>
        <w:ind w:left="0" w:leftChars="0" w:firstLine="420" w:firstLineChars="175"/>
        <w:contextualSpacing/>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（二）依法与安置的每位残疾人签订了一年以上（含一年）的劳动合同或服务协议；</w:t>
      </w:r>
    </w:p>
    <w:p w14:paraId="09E3971F">
      <w:pPr>
        <w:spacing w:line="360" w:lineRule="auto"/>
        <w:ind w:left="0" w:leftChars="0" w:firstLine="420" w:firstLineChars="175"/>
        <w:contextualSpacing/>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（三）为安置的每位残疾人按月足额缴纳了基本养老保险、基本医疗保险、失业保险、工伤保险和生育保险等社会保险费；</w:t>
      </w:r>
    </w:p>
    <w:p w14:paraId="433D0C03">
      <w:pPr>
        <w:spacing w:line="360" w:lineRule="auto"/>
        <w:ind w:left="0" w:leftChars="0" w:firstLine="420" w:firstLineChars="175"/>
        <w:contextualSpacing/>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（四）通过银行等金融机构向安置的每位残疾人，按月支付了不低于单位所在区县适用的经省级人民政府批准的月最低工资标准的工资；</w:t>
      </w:r>
    </w:p>
    <w:p w14:paraId="6700311C">
      <w:pPr>
        <w:spacing w:line="360" w:lineRule="auto"/>
        <w:ind w:left="0" w:leftChars="0" w:firstLine="420" w:firstLineChars="175"/>
        <w:contextualSpacing/>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（五）提供本单位制造的货物、承担的工程或者服务（以下简称产品），或者提供其他残疾人福利性单位制造的货物（不包括使用非残疾人福利性单位注册商标的货物）。</w:t>
      </w:r>
    </w:p>
    <w:p w14:paraId="32BBE597">
      <w:pPr>
        <w:spacing w:line="360" w:lineRule="auto"/>
        <w:ind w:left="0" w:leftChars="0" w:firstLine="420" w:firstLineChars="17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8E32A65">
      <w:pPr>
        <w:pStyle w:val="19"/>
        <w:rPr>
          <w:rFonts w:hint="eastAsia"/>
          <w:color w:val="auto"/>
          <w:highlight w:val="none"/>
        </w:rPr>
      </w:pPr>
    </w:p>
    <w:p w14:paraId="69D981C2">
      <w:pPr>
        <w:spacing w:line="520" w:lineRule="exact"/>
        <w:jc w:val="center"/>
        <w:rPr>
          <w:rFonts w:hint="eastAsia" w:ascii="宋体" w:hAnsi="宋体" w:eastAsia="宋体" w:cs="宋体"/>
          <w:color w:val="auto"/>
          <w:sz w:val="44"/>
          <w:szCs w:val="44"/>
          <w:highlight w:val="none"/>
        </w:rPr>
      </w:pPr>
    </w:p>
    <w:p w14:paraId="0D6B63A6">
      <w:pPr>
        <w:spacing w:line="520" w:lineRule="exact"/>
        <w:jc w:val="center"/>
        <w:rPr>
          <w:rFonts w:hint="eastAsia" w:ascii="宋体" w:hAnsi="宋体" w:eastAsia="宋体" w:cs="宋体"/>
          <w:color w:val="auto"/>
          <w:sz w:val="44"/>
          <w:szCs w:val="44"/>
          <w:highlight w:val="none"/>
        </w:rPr>
      </w:pPr>
    </w:p>
    <w:p w14:paraId="213A020E">
      <w:pPr>
        <w:spacing w:line="520" w:lineRule="exact"/>
        <w:jc w:val="center"/>
        <w:rPr>
          <w:rFonts w:hint="eastAsia" w:ascii="宋体" w:hAnsi="宋体" w:eastAsia="宋体" w:cs="宋体"/>
          <w:color w:val="auto"/>
          <w:sz w:val="44"/>
          <w:szCs w:val="44"/>
          <w:highlight w:val="none"/>
        </w:rPr>
      </w:pPr>
    </w:p>
    <w:p w14:paraId="6E62F69D">
      <w:pPr>
        <w:spacing w:line="520" w:lineRule="exact"/>
        <w:jc w:val="center"/>
        <w:rPr>
          <w:rFonts w:hint="eastAsia" w:ascii="宋体" w:hAnsi="宋体" w:eastAsia="宋体" w:cs="宋体"/>
          <w:color w:val="auto"/>
          <w:sz w:val="44"/>
          <w:szCs w:val="44"/>
          <w:highlight w:val="none"/>
        </w:rPr>
      </w:pPr>
    </w:p>
    <w:p w14:paraId="1AEC5200">
      <w:pPr>
        <w:spacing w:line="520" w:lineRule="exact"/>
        <w:jc w:val="center"/>
        <w:rPr>
          <w:rFonts w:hint="eastAsia" w:ascii="宋体" w:hAnsi="宋体" w:eastAsia="宋体" w:cs="宋体"/>
          <w:color w:val="auto"/>
          <w:sz w:val="24"/>
          <w:highlight w:val="none"/>
        </w:rPr>
      </w:pPr>
      <w:r>
        <w:rPr>
          <w:rFonts w:hint="eastAsia" w:ascii="宋体" w:hAnsi="宋体" w:eastAsia="宋体" w:cs="宋体"/>
          <w:color w:val="auto"/>
          <w:sz w:val="44"/>
          <w:szCs w:val="44"/>
          <w:highlight w:val="none"/>
        </w:rPr>
        <w:t>监狱企业证明</w:t>
      </w:r>
    </w:p>
    <w:p w14:paraId="7009CA27">
      <w:pPr>
        <w:spacing w:line="520" w:lineRule="exact"/>
        <w:ind w:firstLine="480" w:firstLineChars="200"/>
        <w:jc w:val="left"/>
        <w:rPr>
          <w:rFonts w:hint="eastAsia" w:ascii="宋体" w:hAnsi="宋体" w:eastAsia="宋体" w:cs="宋体"/>
          <w:color w:val="auto"/>
          <w:sz w:val="24"/>
          <w:highlight w:val="none"/>
        </w:rPr>
      </w:pPr>
    </w:p>
    <w:p w14:paraId="2DCF86D0">
      <w:pPr>
        <w:spacing w:line="52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提供由省级以上监狱管理局、戒毒管理局（含新疆生产建设兵团）出具的属于监狱企业的证明文件。</w:t>
      </w:r>
    </w:p>
    <w:p w14:paraId="66697206">
      <w:pPr>
        <w:spacing w:line="520" w:lineRule="exact"/>
        <w:jc w:val="center"/>
        <w:rPr>
          <w:rFonts w:hint="eastAsia" w:ascii="宋体" w:hAnsi="宋体" w:eastAsia="宋体" w:cs="宋体"/>
          <w:color w:val="auto"/>
          <w:sz w:val="24"/>
          <w:highlight w:val="none"/>
        </w:rPr>
      </w:pPr>
    </w:p>
    <w:p w14:paraId="558C1EF0">
      <w:pPr>
        <w:spacing w:line="360" w:lineRule="auto"/>
        <w:jc w:val="center"/>
        <w:rPr>
          <w:rFonts w:hint="eastAsia" w:ascii="宋体" w:hAnsi="宋体" w:eastAsia="宋体" w:cs="宋体"/>
          <w:b/>
          <w:bCs/>
          <w:color w:val="auto"/>
          <w:sz w:val="44"/>
          <w:szCs w:val="44"/>
          <w:highlight w:val="none"/>
        </w:rPr>
      </w:pPr>
    </w:p>
    <w:p w14:paraId="07A80706">
      <w:pPr>
        <w:spacing w:line="360" w:lineRule="auto"/>
        <w:ind w:firstLine="4320" w:firstLineChars="18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供应商名称（电子签章）：</w:t>
      </w:r>
    </w:p>
    <w:p w14:paraId="7D6247E4">
      <w:pPr>
        <w:spacing w:line="360" w:lineRule="auto"/>
        <w:ind w:firstLine="4320" w:firstLineChars="18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     年   月   日</w:t>
      </w:r>
    </w:p>
    <w:p w14:paraId="7C37417D">
      <w:pPr>
        <w:pStyle w:val="3"/>
        <w:jc w:val="center"/>
        <w:rPr>
          <w:rFonts w:hint="eastAsia" w:ascii="宋体" w:hAnsi="宋体"/>
          <w:b w:val="0"/>
          <w:bCs w:val="0"/>
          <w:color w:val="auto"/>
          <w:highlight w:val="none"/>
        </w:rPr>
        <w:sectPr>
          <w:pgSz w:w="11910" w:h="16840"/>
          <w:pgMar w:top="1340" w:right="1500" w:bottom="280" w:left="1680" w:header="720" w:footer="720" w:gutter="0"/>
          <w:cols w:space="720" w:num="1"/>
        </w:sectPr>
      </w:pPr>
    </w:p>
    <w:p w14:paraId="55900794">
      <w:pPr>
        <w:pStyle w:val="3"/>
        <w:jc w:val="center"/>
        <w:rPr>
          <w:rFonts w:hint="eastAsia" w:ascii="宋体" w:hAnsi="宋体"/>
          <w:b w:val="0"/>
          <w:color w:val="auto"/>
          <w:highlight w:val="none"/>
        </w:rPr>
      </w:pPr>
      <w:r>
        <w:rPr>
          <w:rFonts w:hint="eastAsia" w:ascii="宋体" w:hAnsi="宋体"/>
          <w:b w:val="0"/>
          <w:bCs w:val="0"/>
          <w:color w:val="auto"/>
          <w:highlight w:val="none"/>
        </w:rPr>
        <w:t>第</w:t>
      </w:r>
      <w:r>
        <w:rPr>
          <w:rFonts w:hint="eastAsia" w:ascii="宋体" w:hAnsi="宋体"/>
          <w:b w:val="0"/>
          <w:bCs w:val="0"/>
          <w:color w:val="auto"/>
          <w:highlight w:val="none"/>
          <w:lang w:eastAsia="zh-CN"/>
        </w:rPr>
        <w:t>三</w:t>
      </w:r>
      <w:r>
        <w:rPr>
          <w:rFonts w:hint="eastAsia" w:ascii="宋体" w:hAnsi="宋体"/>
          <w:b w:val="0"/>
          <w:bCs w:val="0"/>
          <w:color w:val="auto"/>
          <w:highlight w:val="none"/>
        </w:rPr>
        <w:t xml:space="preserve">节 </w:t>
      </w:r>
      <w:r>
        <w:rPr>
          <w:rFonts w:hint="eastAsia" w:ascii="宋体" w:hAnsi="宋体"/>
          <w:b w:val="0"/>
          <w:color w:val="auto"/>
          <w:highlight w:val="none"/>
        </w:rPr>
        <w:t>商务技术文件格式</w:t>
      </w:r>
      <w:bookmarkEnd w:id="61"/>
      <w:bookmarkEnd w:id="62"/>
    </w:p>
    <w:p w14:paraId="065542CD">
      <w:pPr>
        <w:snapToGrid w:val="0"/>
        <w:spacing w:before="120"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全流程电子文件</w:t>
      </w:r>
    </w:p>
    <w:p w14:paraId="5327FDE0">
      <w:pPr>
        <w:snapToGrid w:val="0"/>
        <w:spacing w:before="120" w:beforeLines="50" w:after="50"/>
        <w:rPr>
          <w:rFonts w:hint="eastAsia" w:ascii="宋体" w:hAnsi="宋体"/>
          <w:color w:val="auto"/>
          <w:sz w:val="24"/>
          <w:szCs w:val="20"/>
          <w:highlight w:val="none"/>
        </w:rPr>
      </w:pPr>
    </w:p>
    <w:p w14:paraId="1958112D">
      <w:pPr>
        <w:snapToGrid w:val="0"/>
        <w:spacing w:before="120" w:beforeLines="50" w:after="50"/>
        <w:rPr>
          <w:rFonts w:hint="eastAsia" w:ascii="宋体" w:hAnsi="宋体"/>
          <w:color w:val="auto"/>
          <w:sz w:val="24"/>
          <w:szCs w:val="20"/>
          <w:highlight w:val="none"/>
        </w:rPr>
      </w:pPr>
    </w:p>
    <w:p w14:paraId="6E8753DA">
      <w:pPr>
        <w:snapToGrid w:val="0"/>
        <w:spacing w:before="120" w:beforeLines="50" w:after="50"/>
        <w:rPr>
          <w:rFonts w:hint="eastAsia" w:ascii="宋体" w:hAnsi="宋体"/>
          <w:color w:val="auto"/>
          <w:sz w:val="24"/>
          <w:szCs w:val="20"/>
          <w:highlight w:val="none"/>
        </w:rPr>
      </w:pPr>
    </w:p>
    <w:p w14:paraId="0DE95DAB">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  务  技  术  文  件（封面）</w:t>
      </w:r>
    </w:p>
    <w:p w14:paraId="055CE58B">
      <w:pPr>
        <w:snapToGrid w:val="0"/>
        <w:spacing w:before="120" w:beforeLines="50" w:after="50"/>
        <w:rPr>
          <w:rFonts w:hint="eastAsia" w:ascii="宋体" w:hAnsi="宋体"/>
          <w:bCs/>
          <w:color w:val="auto"/>
          <w:sz w:val="24"/>
          <w:szCs w:val="20"/>
          <w:highlight w:val="none"/>
        </w:rPr>
      </w:pPr>
    </w:p>
    <w:p w14:paraId="347B89F8">
      <w:pPr>
        <w:snapToGrid w:val="0"/>
        <w:spacing w:before="120" w:beforeLines="50" w:after="50"/>
        <w:rPr>
          <w:rFonts w:hint="eastAsia" w:ascii="宋体" w:hAnsi="宋体"/>
          <w:bCs/>
          <w:color w:val="auto"/>
          <w:sz w:val="24"/>
          <w:szCs w:val="20"/>
          <w:highlight w:val="none"/>
        </w:rPr>
      </w:pPr>
    </w:p>
    <w:p w14:paraId="0EF04724">
      <w:pPr>
        <w:snapToGrid w:val="0"/>
        <w:spacing w:before="120" w:beforeLines="50" w:after="50"/>
        <w:rPr>
          <w:rFonts w:hint="eastAsia" w:ascii="宋体" w:hAnsi="宋体"/>
          <w:bCs/>
          <w:color w:val="auto"/>
          <w:sz w:val="24"/>
          <w:szCs w:val="20"/>
          <w:highlight w:val="none"/>
        </w:rPr>
      </w:pPr>
    </w:p>
    <w:p w14:paraId="282E028B">
      <w:pPr>
        <w:snapToGrid w:val="0"/>
        <w:spacing w:before="120" w:beforeLines="50" w:after="50"/>
        <w:rPr>
          <w:rFonts w:hint="eastAsia" w:ascii="宋体" w:hAnsi="宋体"/>
          <w:bCs/>
          <w:color w:val="auto"/>
          <w:sz w:val="24"/>
          <w:szCs w:val="20"/>
          <w:highlight w:val="none"/>
        </w:rPr>
      </w:pPr>
    </w:p>
    <w:p w14:paraId="753A1D64">
      <w:pPr>
        <w:snapToGrid w:val="0"/>
        <w:spacing w:before="120" w:beforeLines="50" w:after="50"/>
        <w:rPr>
          <w:rFonts w:hint="eastAsia" w:ascii="宋体" w:hAnsi="宋体"/>
          <w:bCs/>
          <w:color w:val="auto"/>
          <w:sz w:val="24"/>
          <w:szCs w:val="20"/>
          <w:highlight w:val="none"/>
        </w:rPr>
      </w:pPr>
    </w:p>
    <w:p w14:paraId="6B5F2C3C">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1B342CAC">
      <w:pPr>
        <w:snapToGrid w:val="0"/>
        <w:spacing w:before="120" w:beforeLines="50" w:after="50"/>
        <w:ind w:firstLine="720" w:firstLineChars="225"/>
        <w:rPr>
          <w:rFonts w:hint="eastAsia" w:ascii="宋体" w:hAnsi="宋体" w:cs="仿宋_GB2312"/>
          <w:bCs/>
          <w:color w:val="auto"/>
          <w:sz w:val="32"/>
          <w:szCs w:val="32"/>
          <w:highlight w:val="none"/>
        </w:rPr>
      </w:pPr>
    </w:p>
    <w:p w14:paraId="4A41EAE8">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46F571D0">
      <w:pPr>
        <w:snapToGrid w:val="0"/>
        <w:spacing w:before="120"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591E00D4">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76AD3E48">
      <w:pPr>
        <w:snapToGrid w:val="0"/>
        <w:spacing w:before="120" w:beforeLines="50" w:after="50"/>
        <w:ind w:firstLine="720" w:firstLineChars="225"/>
        <w:rPr>
          <w:rFonts w:hint="eastAsia" w:ascii="宋体" w:hAnsi="宋体" w:cs="仿宋_GB2312"/>
          <w:bCs/>
          <w:color w:val="auto"/>
          <w:sz w:val="32"/>
          <w:szCs w:val="32"/>
          <w:highlight w:val="none"/>
        </w:rPr>
      </w:pPr>
    </w:p>
    <w:p w14:paraId="74292C36">
      <w:pPr>
        <w:pStyle w:val="7"/>
        <w:snapToGrid w:val="0"/>
        <w:spacing w:before="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255EC8BC">
      <w:pPr>
        <w:pStyle w:val="7"/>
        <w:snapToGrid w:val="0"/>
        <w:spacing w:before="50" w:after="50"/>
        <w:ind w:firstLine="720" w:firstLineChars="225"/>
        <w:rPr>
          <w:rFonts w:hint="eastAsia" w:ascii="宋体" w:hAnsi="宋体" w:cs="仿宋_GB2312"/>
          <w:bCs/>
          <w:color w:val="auto"/>
          <w:sz w:val="32"/>
          <w:szCs w:val="32"/>
          <w:highlight w:val="none"/>
        </w:rPr>
      </w:pPr>
    </w:p>
    <w:p w14:paraId="4D235930">
      <w:pPr>
        <w:pStyle w:val="7"/>
        <w:snapToGrid w:val="0"/>
        <w:spacing w:before="50" w:after="50"/>
        <w:ind w:firstLine="720" w:firstLineChars="225"/>
        <w:rPr>
          <w:rFonts w:hint="eastAsia" w:ascii="宋体" w:hAnsi="宋体" w:cs="仿宋_GB2312"/>
          <w:bCs/>
          <w:color w:val="auto"/>
          <w:sz w:val="32"/>
          <w:szCs w:val="32"/>
          <w:highlight w:val="none"/>
        </w:rPr>
      </w:pPr>
    </w:p>
    <w:p w14:paraId="30E05FB8">
      <w:pPr>
        <w:pStyle w:val="7"/>
        <w:snapToGrid w:val="0"/>
        <w:spacing w:before="50" w:after="50"/>
        <w:ind w:firstLine="1280" w:firstLineChars="400"/>
        <w:rPr>
          <w:rFonts w:hint="eastAsia" w:ascii="宋体" w:hAnsi="宋体" w:cs="仿宋_GB2312"/>
          <w:bCs/>
          <w:color w:val="auto"/>
          <w:sz w:val="32"/>
          <w:szCs w:val="32"/>
          <w:highlight w:val="none"/>
        </w:rPr>
      </w:pPr>
    </w:p>
    <w:p w14:paraId="5AF5CFBB">
      <w:pPr>
        <w:snapToGrid w:val="0"/>
        <w:spacing w:before="120"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0A84DC47">
      <w:pPr>
        <w:snapToGrid w:val="0"/>
        <w:spacing w:before="120" w:beforeLines="50" w:after="50" w:line="360" w:lineRule="auto"/>
        <w:ind w:left="142" w:firstLine="643" w:firstLineChars="200"/>
        <w:jc w:val="left"/>
        <w:rPr>
          <w:rFonts w:ascii="宋体" w:hAnsi="宋体"/>
          <w:b/>
          <w:bCs/>
          <w:color w:val="auto"/>
          <w:sz w:val="32"/>
          <w:szCs w:val="32"/>
          <w:highlight w:val="none"/>
        </w:rPr>
        <w:sectPr>
          <w:pgSz w:w="11910" w:h="16840"/>
          <w:pgMar w:top="1340" w:right="1500" w:bottom="280" w:left="1680" w:header="720" w:footer="720" w:gutter="0"/>
          <w:cols w:space="720" w:num="1"/>
        </w:sectPr>
      </w:pPr>
    </w:p>
    <w:p w14:paraId="72CC71A2">
      <w:pPr>
        <w:jc w:val="center"/>
        <w:rPr>
          <w:rFonts w:hint="eastAsia" w:ascii="仿宋_GB2312" w:hAnsi="仿宋" w:eastAsia="仿宋_GB2312" w:cs="仿宋_GB2312"/>
          <w:b/>
          <w:color w:val="auto"/>
          <w:kern w:val="0"/>
          <w:sz w:val="28"/>
          <w:szCs w:val="28"/>
          <w:highlight w:val="none"/>
        </w:rPr>
      </w:pPr>
      <w:r>
        <w:rPr>
          <w:rFonts w:hint="eastAsia" w:ascii="仿宋_GB2312" w:hAnsi="仿宋" w:eastAsia="仿宋_GB2312" w:cs="仿宋_GB2312"/>
          <w:b/>
          <w:color w:val="auto"/>
          <w:kern w:val="0"/>
          <w:sz w:val="28"/>
          <w:szCs w:val="28"/>
          <w:highlight w:val="none"/>
        </w:rPr>
        <w:t>商务技术文件目录</w:t>
      </w:r>
    </w:p>
    <w:p w14:paraId="51BBAA52">
      <w:pPr>
        <w:jc w:val="center"/>
        <w:rPr>
          <w:rFonts w:hint="eastAsia" w:ascii="仿宋_GB2312" w:hAnsi="仿宋" w:eastAsia="仿宋_GB2312" w:cs="仿宋_GB2312"/>
          <w:b/>
          <w:color w:val="auto"/>
          <w:kern w:val="0"/>
          <w:sz w:val="28"/>
          <w:szCs w:val="28"/>
          <w:highlight w:val="none"/>
        </w:rPr>
      </w:pPr>
    </w:p>
    <w:p w14:paraId="38695463">
      <w:pPr>
        <w:pStyle w:val="73"/>
        <w:spacing w:line="360" w:lineRule="auto"/>
        <w:rPr>
          <w:rFonts w:hint="eastAsia" w:cs="仿宋_GB2312"/>
          <w:color w:val="auto"/>
          <w:highlight w:val="none"/>
        </w:rPr>
      </w:pPr>
      <w:r>
        <w:rPr>
          <w:rFonts w:hint="eastAsia" w:cs="仿宋_GB2312"/>
          <w:color w:val="auto"/>
          <w:highlight w:val="none"/>
        </w:rPr>
        <w:t>一、无串标行为承诺函</w:t>
      </w:r>
      <w:r>
        <w:rPr>
          <w:rFonts w:hint="eastAsia" w:cs="仿宋_GB2312"/>
          <w:b/>
          <w:bCs/>
          <w:color w:val="auto"/>
          <w:highlight w:val="none"/>
          <w:lang w:eastAsia="zh-CN"/>
        </w:rPr>
        <w:t>及磋商保证金缴纳凭证</w:t>
      </w:r>
      <w:r>
        <w:rPr>
          <w:rFonts w:hint="eastAsia" w:cs="仿宋_GB2312"/>
          <w:color w:val="auto"/>
          <w:highlight w:val="none"/>
        </w:rPr>
        <w:t>……………………………（页码）</w:t>
      </w:r>
    </w:p>
    <w:p w14:paraId="507780E3">
      <w:pPr>
        <w:pStyle w:val="73"/>
        <w:spacing w:line="360" w:lineRule="auto"/>
        <w:rPr>
          <w:rFonts w:hint="eastAsia" w:cs="仿宋_GB2312"/>
          <w:color w:val="auto"/>
          <w:highlight w:val="none"/>
        </w:rPr>
      </w:pPr>
      <w:r>
        <w:rPr>
          <w:rFonts w:hint="eastAsia" w:cs="仿宋_GB2312"/>
          <w:color w:val="auto"/>
          <w:highlight w:val="none"/>
        </w:rPr>
        <w:t>二、法定代表人身份证明及法定代表人有效身份证正反面复印件………（页码）</w:t>
      </w:r>
    </w:p>
    <w:p w14:paraId="36DACB9E">
      <w:pPr>
        <w:pStyle w:val="73"/>
        <w:spacing w:line="360" w:lineRule="auto"/>
        <w:rPr>
          <w:rFonts w:hint="eastAsia" w:cs="仿宋_GB2312"/>
          <w:color w:val="auto"/>
          <w:highlight w:val="none"/>
        </w:rPr>
      </w:pPr>
      <w:r>
        <w:rPr>
          <w:rFonts w:hint="eastAsia" w:cs="仿宋_GB2312"/>
          <w:color w:val="auto"/>
          <w:highlight w:val="none"/>
        </w:rPr>
        <w:t>三、法定代表人授权委托书（如有委托时）………………………………（页码）</w:t>
      </w:r>
    </w:p>
    <w:p w14:paraId="6BD6EC39">
      <w:pPr>
        <w:pStyle w:val="73"/>
        <w:spacing w:line="360" w:lineRule="auto"/>
        <w:rPr>
          <w:rFonts w:hint="eastAsia" w:cs="仿宋_GB2312"/>
          <w:color w:val="auto"/>
          <w:highlight w:val="none"/>
        </w:rPr>
      </w:pPr>
      <w:r>
        <w:rPr>
          <w:rFonts w:hint="eastAsia" w:cs="仿宋_GB2312"/>
          <w:color w:val="auto"/>
          <w:highlight w:val="none"/>
        </w:rPr>
        <w:t>四、</w:t>
      </w:r>
      <w:r>
        <w:rPr>
          <w:rFonts w:hint="eastAsia" w:cs="仿宋_GB2312"/>
          <w:color w:val="auto"/>
          <w:highlight w:val="none"/>
          <w:lang w:val="zh-CN"/>
        </w:rPr>
        <w:t>商务条款偏离表………………………………</w:t>
      </w:r>
      <w:r>
        <w:rPr>
          <w:rFonts w:hint="eastAsia" w:cs="仿宋_GB2312"/>
          <w:color w:val="auto"/>
          <w:highlight w:val="none"/>
        </w:rPr>
        <w:t>…………………………（页码）</w:t>
      </w:r>
    </w:p>
    <w:p w14:paraId="729A2C47">
      <w:pPr>
        <w:pStyle w:val="73"/>
        <w:spacing w:line="360" w:lineRule="auto"/>
        <w:rPr>
          <w:rFonts w:hint="eastAsia" w:cs="仿宋_GB2312"/>
          <w:color w:val="auto"/>
          <w:highlight w:val="none"/>
        </w:rPr>
      </w:pPr>
      <w:bookmarkStart w:id="64" w:name="OLE_LINK7"/>
      <w:bookmarkStart w:id="65" w:name="OLE_LINK6"/>
      <w:bookmarkStart w:id="66" w:name="OLE_LINK5"/>
      <w:r>
        <w:rPr>
          <w:rFonts w:hint="eastAsia" w:cs="仿宋_GB2312"/>
          <w:color w:val="auto"/>
          <w:highlight w:val="none"/>
          <w:lang w:eastAsia="zh-CN"/>
        </w:rPr>
        <w:t>五</w:t>
      </w:r>
      <w:r>
        <w:rPr>
          <w:rFonts w:hint="eastAsia" w:cs="仿宋_GB2312"/>
          <w:color w:val="auto"/>
          <w:highlight w:val="none"/>
        </w:rPr>
        <w:t>、供应商类似业绩的证明文件（如有要求）</w:t>
      </w:r>
      <w:r>
        <w:rPr>
          <w:rFonts w:hint="eastAsia" w:cs="仿宋_GB2312"/>
          <w:color w:val="auto"/>
          <w:highlight w:val="none"/>
          <w:lang w:val="zh-CN"/>
        </w:rPr>
        <w:t>……………………………</w:t>
      </w:r>
      <w:r>
        <w:rPr>
          <w:rFonts w:hint="eastAsia" w:cs="仿宋_GB2312"/>
          <w:color w:val="auto"/>
          <w:highlight w:val="none"/>
        </w:rPr>
        <w:t>（页码）</w:t>
      </w:r>
      <w:bookmarkEnd w:id="64"/>
      <w:bookmarkEnd w:id="65"/>
    </w:p>
    <w:bookmarkEnd w:id="66"/>
    <w:p w14:paraId="4032897B">
      <w:pPr>
        <w:pStyle w:val="73"/>
        <w:spacing w:line="360" w:lineRule="auto"/>
        <w:rPr>
          <w:rFonts w:hint="eastAsia" w:cs="仿宋_GB2312"/>
          <w:color w:val="auto"/>
          <w:highlight w:val="none"/>
        </w:rPr>
      </w:pPr>
      <w:r>
        <w:rPr>
          <w:rFonts w:hint="eastAsia" w:cs="仿宋_GB2312"/>
          <w:color w:val="auto"/>
          <w:highlight w:val="none"/>
          <w:lang w:eastAsia="zh-CN"/>
        </w:rPr>
        <w:t>六</w:t>
      </w:r>
      <w:r>
        <w:rPr>
          <w:rFonts w:hint="eastAsia" w:cs="仿宋_GB2312"/>
          <w:color w:val="auto"/>
          <w:highlight w:val="none"/>
        </w:rPr>
        <w:t>、</w:t>
      </w:r>
      <w:r>
        <w:rPr>
          <w:rFonts w:hint="eastAsia" w:cs="仿宋_GB2312"/>
          <w:color w:val="auto"/>
          <w:highlight w:val="none"/>
          <w:lang w:eastAsia="zh-CN"/>
        </w:rPr>
        <w:t>技术需求偏离表</w:t>
      </w:r>
      <w:r>
        <w:rPr>
          <w:rFonts w:hint="eastAsia" w:cs="仿宋_GB2312"/>
          <w:color w:val="auto"/>
          <w:highlight w:val="none"/>
        </w:rPr>
        <w:t>…………………………………………………………（页码）</w:t>
      </w:r>
    </w:p>
    <w:p w14:paraId="38FA7FB4">
      <w:pPr>
        <w:pStyle w:val="73"/>
        <w:spacing w:line="360" w:lineRule="auto"/>
        <w:rPr>
          <w:rFonts w:hint="eastAsia" w:cs="仿宋_GB2312"/>
          <w:color w:val="auto"/>
          <w:highlight w:val="none"/>
        </w:rPr>
      </w:pPr>
      <w:r>
        <w:rPr>
          <w:rFonts w:hint="eastAsia" w:cs="仿宋_GB2312"/>
          <w:color w:val="auto"/>
          <w:highlight w:val="none"/>
          <w:lang w:eastAsia="zh-CN"/>
        </w:rPr>
        <w:t>七</w:t>
      </w:r>
      <w:r>
        <w:rPr>
          <w:rFonts w:hint="eastAsia" w:cs="仿宋_GB2312"/>
          <w:color w:val="auto"/>
          <w:highlight w:val="none"/>
        </w:rPr>
        <w:t>、技术方案…………………………………………………………………（页码）</w:t>
      </w:r>
    </w:p>
    <w:p w14:paraId="4CD7A022">
      <w:pPr>
        <w:pStyle w:val="73"/>
        <w:spacing w:line="360" w:lineRule="auto"/>
        <w:rPr>
          <w:rFonts w:hint="eastAsia" w:cs="仿宋_GB2312"/>
          <w:color w:val="auto"/>
          <w:highlight w:val="none"/>
        </w:rPr>
      </w:pPr>
      <w:r>
        <w:rPr>
          <w:rFonts w:hint="eastAsia" w:cs="仿宋_GB2312"/>
          <w:color w:val="auto"/>
          <w:highlight w:val="none"/>
          <w:lang w:eastAsia="zh-CN"/>
        </w:rPr>
        <w:t>八</w:t>
      </w:r>
      <w:r>
        <w:rPr>
          <w:rFonts w:hint="eastAsia" w:cs="仿宋_GB2312"/>
          <w:color w:val="auto"/>
          <w:highlight w:val="none"/>
        </w:rPr>
        <w:t>、售后服务方案………………………………</w:t>
      </w:r>
      <w:r>
        <w:rPr>
          <w:rFonts w:hint="eastAsia" w:cs="仿宋_GB2312"/>
          <w:color w:val="auto"/>
          <w:highlight w:val="none"/>
          <w:lang w:val="zh-CN"/>
        </w:rPr>
        <w:t>………</w:t>
      </w:r>
      <w:r>
        <w:rPr>
          <w:rFonts w:hint="eastAsia" w:cs="仿宋_GB2312"/>
          <w:color w:val="auto"/>
          <w:highlight w:val="none"/>
        </w:rPr>
        <w:t>……………………（页码）</w:t>
      </w:r>
    </w:p>
    <w:p w14:paraId="1AF6F6A1">
      <w:pPr>
        <w:pStyle w:val="73"/>
        <w:spacing w:line="360" w:lineRule="auto"/>
        <w:rPr>
          <w:rFonts w:hint="eastAsia" w:cs="仿宋_GB2312"/>
          <w:color w:val="auto"/>
          <w:highlight w:val="none"/>
        </w:rPr>
      </w:pPr>
      <w:r>
        <w:rPr>
          <w:rFonts w:hint="eastAsia" w:cs="仿宋_GB2312"/>
          <w:color w:val="auto"/>
          <w:highlight w:val="none"/>
          <w:lang w:eastAsia="zh-CN"/>
        </w:rPr>
        <w:t>九</w:t>
      </w:r>
      <w:r>
        <w:rPr>
          <w:rFonts w:hint="eastAsia" w:cs="仿宋_GB2312"/>
          <w:color w:val="auto"/>
          <w:highlight w:val="none"/>
        </w:rPr>
        <w:t>、</w:t>
      </w:r>
      <w:r>
        <w:rPr>
          <w:rFonts w:hint="eastAsia" w:cs="仿宋_GB2312"/>
          <w:color w:val="auto"/>
          <w:highlight w:val="none"/>
          <w:lang w:val="zh-CN"/>
        </w:rPr>
        <w:t>项目实施人员一览表………………………………</w:t>
      </w:r>
      <w:r>
        <w:rPr>
          <w:rFonts w:hint="eastAsia" w:cs="仿宋_GB2312"/>
          <w:color w:val="auto"/>
          <w:highlight w:val="none"/>
        </w:rPr>
        <w:t>……………………（页码）</w:t>
      </w:r>
    </w:p>
    <w:p w14:paraId="4E1C9989">
      <w:pPr>
        <w:pStyle w:val="73"/>
        <w:spacing w:line="360" w:lineRule="auto"/>
        <w:rPr>
          <w:rFonts w:hint="eastAsia" w:cs="仿宋_GB2312"/>
          <w:color w:val="auto"/>
          <w:highlight w:val="none"/>
        </w:rPr>
      </w:pPr>
      <w:r>
        <w:rPr>
          <w:rFonts w:hint="eastAsia" w:cs="仿宋_GB2312"/>
          <w:color w:val="auto"/>
          <w:highlight w:val="none"/>
        </w:rPr>
        <w:t>十、对应采购需求的服务需求、商务条款提供的其他文件资料</w:t>
      </w:r>
      <w:r>
        <w:rPr>
          <w:rFonts w:hint="eastAsia" w:cs="仿宋_GB2312"/>
          <w:color w:val="auto"/>
          <w:highlight w:val="none"/>
          <w:lang w:val="zh-CN"/>
        </w:rPr>
        <w:t>…………</w:t>
      </w:r>
      <w:r>
        <w:rPr>
          <w:rFonts w:hint="eastAsia" w:cs="仿宋_GB2312"/>
          <w:color w:val="auto"/>
          <w:highlight w:val="none"/>
        </w:rPr>
        <w:t>（页码）</w:t>
      </w:r>
    </w:p>
    <w:p w14:paraId="0978A8F4">
      <w:pPr>
        <w:pStyle w:val="73"/>
        <w:spacing w:line="360" w:lineRule="auto"/>
        <w:rPr>
          <w:rFonts w:hint="eastAsia" w:cs="仿宋_GB2312"/>
          <w:color w:val="auto"/>
          <w:highlight w:val="none"/>
        </w:rPr>
      </w:pPr>
      <w:r>
        <w:rPr>
          <w:rFonts w:hint="eastAsia" w:cs="仿宋_GB2312"/>
          <w:color w:val="auto"/>
          <w:highlight w:val="none"/>
        </w:rPr>
        <w:t>十</w:t>
      </w:r>
      <w:r>
        <w:rPr>
          <w:rFonts w:hint="eastAsia" w:cs="仿宋_GB2312"/>
          <w:color w:val="auto"/>
          <w:highlight w:val="none"/>
          <w:lang w:eastAsia="zh-CN"/>
        </w:rPr>
        <w:t>一</w:t>
      </w:r>
      <w:r>
        <w:rPr>
          <w:rFonts w:hint="eastAsia" w:cs="仿宋_GB2312"/>
          <w:color w:val="auto"/>
          <w:highlight w:val="none"/>
        </w:rPr>
        <w:t>、供应商认为需要提供的其他有关资料</w:t>
      </w:r>
      <w:r>
        <w:rPr>
          <w:rFonts w:hint="eastAsia" w:cs="仿宋_GB2312"/>
          <w:color w:val="auto"/>
          <w:highlight w:val="none"/>
          <w:lang w:val="zh-CN"/>
        </w:rPr>
        <w:t>………………………………</w:t>
      </w:r>
      <w:r>
        <w:rPr>
          <w:rFonts w:hint="eastAsia" w:cs="仿宋_GB2312"/>
          <w:color w:val="auto"/>
          <w:highlight w:val="none"/>
        </w:rPr>
        <w:t>（页码）</w:t>
      </w:r>
    </w:p>
    <w:p w14:paraId="39CC6B66">
      <w:pPr>
        <w:spacing w:line="360" w:lineRule="auto"/>
        <w:rPr>
          <w:rFonts w:hint="eastAsia" w:ascii="仿宋_GB2312" w:hAnsi="仿宋" w:eastAsia="仿宋_GB2312" w:cs="仿宋_GB2312"/>
          <w:b/>
          <w:bCs/>
          <w:color w:val="auto"/>
          <w:sz w:val="24"/>
          <w:highlight w:val="none"/>
        </w:rPr>
      </w:pPr>
    </w:p>
    <w:p w14:paraId="026B3A58">
      <w:pPr>
        <w:spacing w:line="360" w:lineRule="auto"/>
        <w:rPr>
          <w:rFonts w:hint="eastAsia"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注：以上目录是基本格式要求，各供应商可根据自身情况进一步向下增加内容或细化。</w:t>
      </w:r>
    </w:p>
    <w:p w14:paraId="26A09681">
      <w:pPr>
        <w:spacing w:line="400" w:lineRule="exact"/>
        <w:rPr>
          <w:rFonts w:hint="eastAsia" w:ascii="仿宋_GB2312" w:hAnsi="仿宋_GB2312" w:eastAsia="仿宋_GB2312" w:cs="仿宋_GB2312"/>
          <w:color w:val="auto"/>
          <w:sz w:val="32"/>
          <w:szCs w:val="32"/>
          <w:highlight w:val="none"/>
        </w:rPr>
      </w:pPr>
    </w:p>
    <w:p w14:paraId="30C35E7E">
      <w:pPr>
        <w:spacing w:line="520" w:lineRule="exact"/>
        <w:ind w:firstLine="880" w:firstLineChars="200"/>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仿宋" w:hAnsi="仿宋" w:eastAsia="仿宋" w:cs="仿宋_GB2312"/>
          <w:b/>
          <w:color w:val="auto"/>
          <w:sz w:val="30"/>
          <w:szCs w:val="30"/>
          <w:highlight w:val="none"/>
        </w:rPr>
        <w:t>一、无串标行为承诺函及磋商保证金缴纳凭证</w:t>
      </w:r>
    </w:p>
    <w:p w14:paraId="49918933">
      <w:pPr>
        <w:spacing w:line="520" w:lineRule="exact"/>
        <w:jc w:val="center"/>
        <w:rPr>
          <w:rFonts w:hint="eastAsia" w:ascii="方正小标宋简体" w:hAnsi="方正小标宋简体" w:eastAsia="方正小标宋简体" w:cs="方正小标宋简体"/>
          <w:color w:val="auto"/>
          <w:sz w:val="44"/>
          <w:szCs w:val="44"/>
          <w:highlight w:val="none"/>
        </w:rPr>
      </w:pPr>
    </w:p>
    <w:p w14:paraId="741881F6">
      <w:pPr>
        <w:spacing w:line="520" w:lineRule="exact"/>
        <w:jc w:val="center"/>
        <w:rPr>
          <w:rFonts w:hint="eastAsia"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rPr>
        <w:t>无串通竞标行为的承诺函</w:t>
      </w:r>
    </w:p>
    <w:p w14:paraId="66284610">
      <w:pPr>
        <w:spacing w:line="520" w:lineRule="exact"/>
        <w:ind w:firstLine="640" w:firstLineChars="200"/>
        <w:rPr>
          <w:rFonts w:hint="eastAsia" w:ascii="仿宋_GB2312" w:hAnsi="仿宋_GB2312" w:eastAsia="仿宋_GB2312" w:cs="仿宋_GB2312"/>
          <w:color w:val="auto"/>
          <w:sz w:val="32"/>
          <w:szCs w:val="32"/>
          <w:highlight w:val="none"/>
        </w:rPr>
      </w:pPr>
    </w:p>
    <w:p w14:paraId="589401DF">
      <w:pPr>
        <w:spacing w:line="360" w:lineRule="auto"/>
        <w:ind w:firstLine="482" w:firstLineChars="200"/>
        <w:contextualSpacing/>
        <w:rPr>
          <w:rFonts w:hint="eastAsia" w:ascii="宋体" w:hAnsi="宋体" w:cs="仿宋_GB2312"/>
          <w:b/>
          <w:bCs/>
          <w:color w:val="auto"/>
          <w:sz w:val="24"/>
          <w:highlight w:val="none"/>
        </w:rPr>
      </w:pPr>
      <w:r>
        <w:rPr>
          <w:rFonts w:hint="eastAsia" w:ascii="宋体" w:hAnsi="宋体" w:cs="仿宋_GB2312"/>
          <w:b/>
          <w:bCs/>
          <w:color w:val="auto"/>
          <w:sz w:val="24"/>
          <w:highlight w:val="none"/>
        </w:rPr>
        <w:t>一、我方承诺无下列相互串通竞标的情形：</w:t>
      </w:r>
    </w:p>
    <w:p w14:paraId="604FA406">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1.不同供应商的响应文件由同一单位或者个人编制； </w:t>
      </w:r>
    </w:p>
    <w:p w14:paraId="014981DB">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2.不同供应商委托同一单位或者个人办理竞标事宜；</w:t>
      </w:r>
    </w:p>
    <w:p w14:paraId="6F07AA54">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3.不同供应商的响应文件载明的项目管理员为同一个人；</w:t>
      </w:r>
    </w:p>
    <w:p w14:paraId="18082B5D">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4.不</w:t>
      </w:r>
      <w:r>
        <w:rPr>
          <w:rFonts w:hint="eastAsia" w:ascii="宋体" w:hAnsi="宋体" w:cs="仿宋_GB2312"/>
          <w:color w:val="auto"/>
          <w:spacing w:val="-6"/>
          <w:sz w:val="24"/>
          <w:highlight w:val="none"/>
        </w:rPr>
        <w:t>同供应商的响应文件异常一致或者响应报价呈规律性差异；</w:t>
      </w:r>
    </w:p>
    <w:p w14:paraId="548EC80C">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5.不同供应商的响应文件相互混装；</w:t>
      </w:r>
    </w:p>
    <w:p w14:paraId="7595F681">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6.不同供应商的磋商保证金从同一单位或者个人账户转出。</w:t>
      </w:r>
    </w:p>
    <w:p w14:paraId="0F00801C">
      <w:pPr>
        <w:spacing w:line="360" w:lineRule="auto"/>
        <w:ind w:firstLine="482" w:firstLineChars="200"/>
        <w:contextualSpacing/>
        <w:rPr>
          <w:rFonts w:hint="eastAsia" w:ascii="宋体" w:hAnsi="宋体" w:cs="仿宋_GB2312"/>
          <w:b/>
          <w:bCs/>
          <w:color w:val="auto"/>
          <w:sz w:val="24"/>
          <w:highlight w:val="none"/>
        </w:rPr>
      </w:pPr>
      <w:r>
        <w:rPr>
          <w:rFonts w:hint="eastAsia" w:ascii="宋体" w:hAnsi="宋体" w:cs="仿宋_GB2312"/>
          <w:b/>
          <w:bCs/>
          <w:color w:val="auto"/>
          <w:sz w:val="24"/>
          <w:highlight w:val="none"/>
        </w:rPr>
        <w:t>二、我方承诺无下列恶意串通的情形：</w:t>
      </w:r>
    </w:p>
    <w:p w14:paraId="44A7A573">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1.供应商直接或者间接从采购人或者采购代理机构处获得其他供应商的相关信息并修改其响应文件；</w:t>
      </w:r>
    </w:p>
    <w:p w14:paraId="1A269B9F">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2.供应商按照采购人或者采购代理机构的授意撤换、修改响应文件；</w:t>
      </w:r>
    </w:p>
    <w:p w14:paraId="4250490A">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3.供</w:t>
      </w:r>
      <w:r>
        <w:rPr>
          <w:rFonts w:hint="eastAsia" w:ascii="宋体" w:hAnsi="宋体" w:cs="仿宋_GB2312"/>
          <w:color w:val="auto"/>
          <w:spacing w:val="-6"/>
          <w:sz w:val="24"/>
          <w:highlight w:val="none"/>
        </w:rPr>
        <w:t>应商之间协商报价、技术方案等响应文件的实质性内容；</w:t>
      </w:r>
    </w:p>
    <w:p w14:paraId="4A40E017">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4.属于同一集团、协会、商会等组织成员的供应商按照该组织要求协同参加政府采购活动；</w:t>
      </w:r>
    </w:p>
    <w:p w14:paraId="276D4096">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5.供应商之间事先约定一致抬高或者压低响应报价，或者在竞争性磋商项目中事先约定轮流以高价位或者低价位成交，或者事先约定由某一特定供应商成交，然后再参加竞标；</w:t>
      </w:r>
    </w:p>
    <w:p w14:paraId="2ABACD88">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6.供应商之间商定部分供应商放弃参加政府采购活动或者放弃成交；</w:t>
      </w:r>
    </w:p>
    <w:p w14:paraId="54694015">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7.供应商与采购人或者采购代理机构之间、供应商相互之间，为</w:t>
      </w:r>
      <w:r>
        <w:rPr>
          <w:rFonts w:hint="eastAsia" w:ascii="宋体" w:hAnsi="宋体" w:cs="仿宋_GB2312"/>
          <w:color w:val="auto"/>
          <w:spacing w:val="-6"/>
          <w:sz w:val="24"/>
          <w:highlight w:val="none"/>
        </w:rPr>
        <w:t>谋求特定供应商成交或者排斥其他供应商的其他串通行为。</w:t>
      </w:r>
    </w:p>
    <w:p w14:paraId="2ECE8267">
      <w:pPr>
        <w:spacing w:line="360" w:lineRule="auto"/>
        <w:ind w:firstLine="482" w:firstLineChars="200"/>
        <w:contextualSpacing/>
        <w:rPr>
          <w:rFonts w:hint="eastAsia" w:ascii="宋体" w:hAnsi="宋体" w:cs="仿宋_GB2312"/>
          <w:b/>
          <w:bCs/>
          <w:color w:val="auto"/>
          <w:sz w:val="24"/>
          <w:highlight w:val="none"/>
        </w:rPr>
      </w:pPr>
      <w:r>
        <w:rPr>
          <w:rFonts w:hint="eastAsia" w:ascii="宋体" w:hAnsi="宋体" w:cs="仿宋_GB2312"/>
          <w:b/>
          <w:bCs/>
          <w:color w:val="auto"/>
          <w:sz w:val="24"/>
          <w:highlight w:val="none"/>
        </w:rPr>
        <w:t>以上情形一经核查属实，我方愿意承担一切后果，并不再寻求任何旨在减轻或者免除法律责任的辩解。</w:t>
      </w:r>
    </w:p>
    <w:p w14:paraId="496C1226">
      <w:pPr>
        <w:autoSpaceDE w:val="0"/>
        <w:autoSpaceDN w:val="0"/>
        <w:spacing w:line="360" w:lineRule="auto"/>
        <w:ind w:left="4335" w:leftChars="1950" w:hanging="240" w:hangingChars="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04A983BD">
      <w:pPr>
        <w:spacing w:line="520" w:lineRule="exact"/>
        <w:ind w:left="239" w:leftChars="114" w:firstLine="6120" w:firstLineChars="2550"/>
        <w:jc w:val="lef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日期：  年  月   日   </w:t>
      </w:r>
    </w:p>
    <w:p w14:paraId="2E37E4E3">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br w:type="page"/>
      </w:r>
      <w:r>
        <w:rPr>
          <w:rFonts w:hint="eastAsia" w:ascii="方正小标宋简体" w:hAnsi="方正小标宋简体" w:eastAsia="方正小标宋简体" w:cs="方正小标宋简体"/>
          <w:color w:val="auto"/>
          <w:sz w:val="44"/>
          <w:szCs w:val="44"/>
          <w:highlight w:val="none"/>
          <w:lang w:eastAsia="zh-CN"/>
        </w:rPr>
        <w:t>磋商保证金缴纳凭证</w:t>
      </w:r>
    </w:p>
    <w:p w14:paraId="29402896">
      <w:pPr>
        <w:autoSpaceDE w:val="0"/>
        <w:autoSpaceDN w:val="0"/>
        <w:spacing w:line="360" w:lineRule="auto"/>
        <w:ind w:left="4335" w:leftChars="1950" w:hanging="240" w:hangingChars="100"/>
        <w:rPr>
          <w:rFonts w:hint="eastAsia" w:ascii="仿宋_GB2312" w:hAnsi="仿宋" w:eastAsia="仿宋_GB2312" w:cs="仿宋_GB2312"/>
          <w:color w:val="auto"/>
          <w:kern w:val="0"/>
          <w:sz w:val="24"/>
          <w:highlight w:val="none"/>
        </w:rPr>
      </w:pPr>
    </w:p>
    <w:p w14:paraId="0EFBC442">
      <w:pPr>
        <w:autoSpaceDE w:val="0"/>
        <w:autoSpaceDN w:val="0"/>
        <w:spacing w:line="360" w:lineRule="auto"/>
        <w:ind w:left="4335" w:leftChars="1950" w:hanging="240" w:hangingChars="100"/>
        <w:rPr>
          <w:rFonts w:hint="eastAsia" w:ascii="仿宋_GB2312" w:hAnsi="仿宋" w:eastAsia="仿宋_GB2312" w:cs="仿宋_GB2312"/>
          <w:color w:val="auto"/>
          <w:kern w:val="0"/>
          <w:sz w:val="24"/>
          <w:highlight w:val="none"/>
        </w:rPr>
      </w:pPr>
    </w:p>
    <w:p w14:paraId="54372B04">
      <w:pPr>
        <w:autoSpaceDE w:val="0"/>
        <w:autoSpaceDN w:val="0"/>
        <w:spacing w:line="360" w:lineRule="auto"/>
        <w:ind w:left="4335" w:leftChars="1950" w:hanging="240" w:hangingChars="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0E517707">
      <w:pPr>
        <w:spacing w:line="520" w:lineRule="exact"/>
        <w:ind w:firstLine="6360" w:firstLineChars="2650"/>
        <w:jc w:val="lef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日期：  年  月   日  </w:t>
      </w:r>
    </w:p>
    <w:p w14:paraId="3392C5F1">
      <w:pPr>
        <w:keepNext w:val="0"/>
        <w:keepLines w:val="0"/>
        <w:pageBreakBefore w:val="0"/>
        <w:widowControl w:val="0"/>
        <w:kinsoku/>
        <w:wordWrap/>
        <w:overflowPunct/>
        <w:topLinePunct w:val="0"/>
        <w:autoSpaceDE/>
        <w:autoSpaceDN/>
        <w:bidi w:val="0"/>
        <w:adjustRightInd/>
        <w:snapToGrid/>
        <w:spacing w:line="520" w:lineRule="exact"/>
        <w:ind w:left="239" w:leftChars="114" w:firstLine="0" w:firstLineChars="0"/>
        <w:jc w:val="left"/>
        <w:textAlignment w:val="auto"/>
        <w:rPr>
          <w:rFonts w:ascii="方正小标宋简体" w:hAnsi="方正小标宋简体" w:eastAsia="方正小标宋简体" w:cs="方正小标宋简体"/>
          <w:bCs/>
          <w:color w:val="auto"/>
          <w:sz w:val="44"/>
          <w:szCs w:val="44"/>
          <w:highlight w:val="none"/>
        </w:rPr>
      </w:pPr>
      <w:r>
        <w:rPr>
          <w:rFonts w:ascii="宋体" w:hAnsi="宋体"/>
          <w:b/>
          <w:bCs/>
          <w:color w:val="auto"/>
          <w:sz w:val="32"/>
          <w:szCs w:val="32"/>
          <w:highlight w:val="none"/>
        </w:rPr>
        <w:br w:type="page"/>
      </w:r>
      <w:r>
        <w:rPr>
          <w:rFonts w:hint="eastAsia" w:ascii="仿宋" w:hAnsi="仿宋" w:eastAsia="仿宋" w:cs="仿宋_GB2312"/>
          <w:b/>
          <w:color w:val="auto"/>
          <w:sz w:val="30"/>
          <w:szCs w:val="30"/>
          <w:highlight w:val="none"/>
        </w:rPr>
        <w:t>二、法定代表人身份证明及法定代表人有效身份证正反面复印件</w:t>
      </w:r>
    </w:p>
    <w:p w14:paraId="7BEB2F4C">
      <w:pPr>
        <w:spacing w:line="520" w:lineRule="exact"/>
        <w:jc w:val="center"/>
        <w:rPr>
          <w:rFonts w:hint="eastAsia" w:ascii="方正小标宋简体" w:hAnsi="方正小标宋简体" w:eastAsia="方正小标宋简体" w:cs="方正小标宋简体"/>
          <w:bCs/>
          <w:color w:val="auto"/>
          <w:sz w:val="44"/>
          <w:szCs w:val="44"/>
          <w:highlight w:val="none"/>
        </w:rPr>
      </w:pPr>
    </w:p>
    <w:p w14:paraId="30F9B1FD">
      <w:pPr>
        <w:spacing w:line="520" w:lineRule="exact"/>
        <w:jc w:val="center"/>
        <w:rPr>
          <w:rFonts w:hint="eastAsia"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t>法定代表人证明书</w:t>
      </w:r>
    </w:p>
    <w:p w14:paraId="0E67642B">
      <w:pPr>
        <w:spacing w:line="360" w:lineRule="auto"/>
        <w:ind w:left="540"/>
        <w:contextualSpacing/>
        <w:rPr>
          <w:rFonts w:hint="eastAsia" w:ascii="仿宋_GB2312" w:hAnsi="仿宋_GB2312" w:eastAsia="仿宋_GB2312" w:cs="仿宋_GB2312"/>
          <w:color w:val="auto"/>
          <w:sz w:val="32"/>
          <w:szCs w:val="32"/>
          <w:highlight w:val="none"/>
        </w:rPr>
      </w:pPr>
    </w:p>
    <w:p w14:paraId="6F36DA73">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u w:val="single"/>
        </w:rPr>
        <w:t xml:space="preserve">                                                        </w:t>
      </w:r>
    </w:p>
    <w:p w14:paraId="360A515A">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地    址：</w:t>
      </w:r>
      <w:r>
        <w:rPr>
          <w:rFonts w:hint="eastAsia" w:ascii="宋体" w:hAnsi="宋体" w:cs="仿宋_GB2312"/>
          <w:color w:val="auto"/>
          <w:sz w:val="24"/>
          <w:highlight w:val="none"/>
          <w:u w:val="single"/>
        </w:rPr>
        <w:t xml:space="preserve">                                                        </w:t>
      </w:r>
    </w:p>
    <w:p w14:paraId="5A70CE85">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姓    名：</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性     别：</w:t>
      </w:r>
      <w:r>
        <w:rPr>
          <w:rFonts w:hint="eastAsia" w:ascii="宋体" w:hAnsi="宋体" w:cs="仿宋_GB2312"/>
          <w:color w:val="auto"/>
          <w:sz w:val="24"/>
          <w:highlight w:val="none"/>
          <w:u w:val="single"/>
        </w:rPr>
        <w:t xml:space="preserve">                </w:t>
      </w:r>
    </w:p>
    <w:p w14:paraId="6A030559">
      <w:pPr>
        <w:spacing w:line="360" w:lineRule="auto"/>
        <w:ind w:left="540"/>
        <w:contextualSpacing/>
        <w:rPr>
          <w:rFonts w:hint="eastAsia" w:ascii="宋体" w:hAnsi="宋体" w:cs="仿宋_GB2312"/>
          <w:color w:val="auto"/>
          <w:sz w:val="24"/>
          <w:highlight w:val="none"/>
          <w:u w:val="single"/>
        </w:rPr>
      </w:pPr>
      <w:r>
        <w:rPr>
          <w:rFonts w:hint="eastAsia" w:ascii="宋体" w:hAnsi="宋体" w:cs="仿宋_GB2312"/>
          <w:color w:val="auto"/>
          <w:sz w:val="24"/>
          <w:highlight w:val="none"/>
        </w:rPr>
        <w:t>年    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职     务：</w:t>
      </w:r>
      <w:r>
        <w:rPr>
          <w:rFonts w:hint="eastAsia" w:ascii="宋体" w:hAnsi="宋体" w:cs="仿宋_GB2312"/>
          <w:color w:val="auto"/>
          <w:sz w:val="24"/>
          <w:highlight w:val="none"/>
          <w:u w:val="single"/>
        </w:rPr>
        <w:t xml:space="preserve">                </w:t>
      </w:r>
    </w:p>
    <w:p w14:paraId="0ED3EE8D">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身份证号码：</w:t>
      </w:r>
      <w:r>
        <w:rPr>
          <w:rFonts w:hint="eastAsia" w:ascii="宋体" w:hAnsi="宋体" w:cs="仿宋_GB2312"/>
          <w:color w:val="auto"/>
          <w:sz w:val="24"/>
          <w:highlight w:val="none"/>
          <w:u w:val="single"/>
        </w:rPr>
        <w:t xml:space="preserve">                                        </w:t>
      </w:r>
    </w:p>
    <w:p w14:paraId="0DE5BCC7">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系</w:t>
      </w:r>
      <w:r>
        <w:rPr>
          <w:rFonts w:hint="eastAsia" w:ascii="宋体" w:hAnsi="宋体" w:cs="仿宋_GB2312"/>
          <w:color w:val="auto"/>
          <w:sz w:val="24"/>
          <w:highlight w:val="none"/>
          <w:u w:val="single"/>
        </w:rPr>
        <w:t>（供应商名称）</w:t>
      </w:r>
      <w:r>
        <w:rPr>
          <w:rFonts w:hint="eastAsia" w:ascii="宋体" w:hAnsi="宋体" w:cs="仿宋_GB2312"/>
          <w:color w:val="auto"/>
          <w:sz w:val="24"/>
          <w:highlight w:val="none"/>
        </w:rPr>
        <w:t>的法定代表人。</w:t>
      </w:r>
    </w:p>
    <w:p w14:paraId="0746F2DF">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特此证明。</w:t>
      </w:r>
    </w:p>
    <w:p w14:paraId="3EB9DB13">
      <w:pPr>
        <w:spacing w:line="360" w:lineRule="auto"/>
        <w:ind w:left="540"/>
        <w:contextualSpacing/>
        <w:rPr>
          <w:rFonts w:hint="eastAsia" w:ascii="宋体" w:hAnsi="宋体" w:cs="仿宋_GB2312"/>
          <w:color w:val="auto"/>
          <w:sz w:val="24"/>
          <w:highlight w:val="none"/>
        </w:rPr>
      </w:pPr>
    </w:p>
    <w:p w14:paraId="4D3E074C">
      <w:pPr>
        <w:spacing w:line="360" w:lineRule="auto"/>
        <w:ind w:left="540"/>
        <w:contextualSpacing/>
        <w:rPr>
          <w:rFonts w:hint="eastAsia" w:ascii="宋体" w:hAnsi="宋体" w:cs="仿宋_GB2312"/>
          <w:color w:val="auto"/>
          <w:sz w:val="24"/>
          <w:highlight w:val="none"/>
        </w:rPr>
      </w:pPr>
    </w:p>
    <w:p w14:paraId="38679DF9">
      <w:pPr>
        <w:spacing w:line="360" w:lineRule="auto"/>
        <w:ind w:left="540"/>
        <w:contextualSpacing/>
        <w:rPr>
          <w:rFonts w:hint="eastAsia" w:ascii="宋体" w:hAnsi="宋体" w:cs="仿宋_GB2312"/>
          <w:color w:val="auto"/>
          <w:sz w:val="24"/>
          <w:highlight w:val="none"/>
        </w:rPr>
      </w:pPr>
    </w:p>
    <w:p w14:paraId="26FE7218">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附件：法定代表人有效身份证正反面复印件</w:t>
      </w:r>
    </w:p>
    <w:p w14:paraId="0E9752DC">
      <w:pPr>
        <w:spacing w:line="360" w:lineRule="auto"/>
        <w:ind w:left="540"/>
        <w:contextualSpacing/>
        <w:rPr>
          <w:rFonts w:hint="eastAsia" w:ascii="宋体" w:hAnsi="宋体" w:cs="仿宋_GB2312"/>
          <w:color w:val="auto"/>
          <w:sz w:val="24"/>
          <w:highlight w:val="none"/>
        </w:rPr>
      </w:pPr>
    </w:p>
    <w:p w14:paraId="7C42CED0">
      <w:pPr>
        <w:autoSpaceDE w:val="0"/>
        <w:autoSpaceDN w:val="0"/>
        <w:spacing w:line="360" w:lineRule="auto"/>
        <w:ind w:left="4335" w:leftChars="1950" w:hanging="240" w:hangingChars="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3FC982D3">
      <w:pPr>
        <w:spacing w:line="360" w:lineRule="auto"/>
        <w:contextualSpacing/>
        <w:jc w:val="center"/>
        <w:rPr>
          <w:rFonts w:hint="eastAsia" w:ascii="宋体" w:hAnsi="宋体" w:cs="仿宋_GB2312"/>
          <w:b/>
          <w:color w:val="auto"/>
          <w:sz w:val="24"/>
          <w:highlight w:val="none"/>
        </w:rPr>
      </w:pPr>
      <w:r>
        <w:rPr>
          <w:rFonts w:hint="eastAsia" w:ascii="仿宋_GB2312" w:hAnsi="仿宋" w:eastAsia="仿宋_GB2312" w:cs="仿宋_GB2312"/>
          <w:color w:val="auto"/>
          <w:kern w:val="0"/>
          <w:sz w:val="24"/>
          <w:highlight w:val="none"/>
          <w:lang w:val="zh-CN"/>
        </w:rPr>
        <w:t xml:space="preserve">                                                   日期：  年  月   日</w:t>
      </w:r>
    </w:p>
    <w:p w14:paraId="2884BF44">
      <w:pPr>
        <w:spacing w:line="360" w:lineRule="auto"/>
        <w:contextualSpacing/>
        <w:jc w:val="left"/>
        <w:rPr>
          <w:rFonts w:hint="eastAsia" w:ascii="宋体" w:hAnsi="宋体" w:cs="仿宋_GB2312"/>
          <w:color w:val="auto"/>
          <w:sz w:val="24"/>
          <w:highlight w:val="none"/>
        </w:rPr>
      </w:pPr>
    </w:p>
    <w:p w14:paraId="6D685229">
      <w:pPr>
        <w:spacing w:line="360" w:lineRule="auto"/>
        <w:contextualSpacing/>
        <w:jc w:val="left"/>
        <w:rPr>
          <w:rFonts w:ascii="宋体" w:hAnsi="宋体" w:cs="仿宋_GB2312"/>
          <w:color w:val="auto"/>
          <w:sz w:val="24"/>
          <w:highlight w:val="none"/>
        </w:rPr>
      </w:pPr>
      <w:r>
        <w:rPr>
          <w:rFonts w:hint="eastAsia" w:ascii="宋体" w:hAnsi="宋体" w:cs="仿宋_GB2312"/>
          <w:color w:val="auto"/>
          <w:sz w:val="24"/>
          <w:highlight w:val="none"/>
        </w:rPr>
        <w:t>注：1</w:t>
      </w:r>
      <w:r>
        <w:rPr>
          <w:rFonts w:ascii="宋体" w:hAnsi="宋体" w:cs="仿宋_GB2312"/>
          <w:color w:val="auto"/>
          <w:sz w:val="24"/>
          <w:highlight w:val="none"/>
        </w:rPr>
        <w:t>.</w:t>
      </w:r>
      <w:r>
        <w:rPr>
          <w:rFonts w:hint="eastAsia" w:ascii="宋体" w:hAnsi="宋体" w:cs="仿宋_GB2312"/>
          <w:color w:val="auto"/>
          <w:sz w:val="24"/>
          <w:highlight w:val="none"/>
        </w:rPr>
        <w:t>自然人竞标的无需提供，联合体竞标的只需牵头人出具。</w:t>
      </w:r>
    </w:p>
    <w:p w14:paraId="05302865">
      <w:pPr>
        <w:spacing w:line="360" w:lineRule="auto"/>
        <w:ind w:firstLine="480" w:firstLineChars="200"/>
        <w:contextualSpacing/>
        <w:jc w:val="left"/>
        <w:rPr>
          <w:rFonts w:ascii="宋体" w:hAnsi="宋体" w:cs="仿宋_GB2312"/>
          <w:color w:val="auto"/>
          <w:sz w:val="24"/>
          <w:highlight w:val="none"/>
        </w:rPr>
        <w:sectPr>
          <w:pgSz w:w="11910" w:h="16840"/>
          <w:pgMar w:top="1340" w:right="1500" w:bottom="280" w:left="1680" w:header="720" w:footer="720" w:gutter="0"/>
          <w:cols w:space="720" w:num="1"/>
        </w:sectPr>
      </w:pPr>
      <w:r>
        <w:rPr>
          <w:rFonts w:hint="eastAsia" w:ascii="宋体" w:hAnsi="宋体" w:cs="仿宋_GB2312"/>
          <w:color w:val="auto"/>
          <w:sz w:val="24"/>
          <w:highlight w:val="none"/>
        </w:rPr>
        <w:t>2</w:t>
      </w:r>
      <w:r>
        <w:rPr>
          <w:rFonts w:ascii="宋体" w:hAnsi="宋体" w:cs="仿宋_GB2312"/>
          <w:color w:val="auto"/>
          <w:sz w:val="24"/>
          <w:highlight w:val="none"/>
        </w:rPr>
        <w:t>.</w:t>
      </w:r>
      <w:r>
        <w:rPr>
          <w:rFonts w:hint="eastAsia" w:ascii="宋体" w:hAnsi="宋体" w:cs="仿宋_GB2312"/>
          <w:color w:val="auto"/>
          <w:sz w:val="24"/>
          <w:highlight w:val="none"/>
        </w:rPr>
        <w:t>供应商为其他组织或者自然人时，本磋商文件规定的法定代表人指负责人或者自然人。本磋商文件所称负责人是指参加竞标的其他组织营业执照上的负责人，本磋商文件所称自然人指参与竞标的自然人本人。</w:t>
      </w:r>
    </w:p>
    <w:tbl>
      <w:tblPr>
        <w:tblStyle w:val="28"/>
        <w:tblpPr w:leftFromText="180" w:rightFromText="180" w:vertAnchor="text" w:horzAnchor="margin" w:tblpY="1169"/>
        <w:tblW w:w="8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5D557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noWrap w:val="0"/>
            <w:vAlign w:val="top"/>
          </w:tcPr>
          <w:p w14:paraId="18C0D9CA">
            <w:pPr>
              <w:spacing w:line="360" w:lineRule="auto"/>
              <w:rPr>
                <w:rFonts w:ascii="宋体"/>
                <w:b/>
                <w:color w:val="auto"/>
                <w:sz w:val="24"/>
                <w:highlight w:val="none"/>
              </w:rPr>
            </w:pPr>
          </w:p>
          <w:p w14:paraId="49FF58A3">
            <w:pPr>
              <w:spacing w:line="360" w:lineRule="auto"/>
              <w:rPr>
                <w:rFonts w:ascii="宋体"/>
                <w:b/>
                <w:color w:val="auto"/>
                <w:sz w:val="24"/>
                <w:highlight w:val="none"/>
              </w:rPr>
            </w:pPr>
            <w:r>
              <w:rPr>
                <w:rFonts w:hint="eastAsia" w:ascii="宋体"/>
                <w:b/>
                <w:color w:val="auto"/>
                <w:sz w:val="24"/>
                <w:highlight w:val="none"/>
              </w:rPr>
              <w:t>法定代表身份证复印件粘帖处（正、反面）</w:t>
            </w:r>
          </w:p>
        </w:tc>
      </w:tr>
    </w:tbl>
    <w:p w14:paraId="08995454">
      <w:pPr>
        <w:spacing w:line="360" w:lineRule="auto"/>
        <w:ind w:firstLine="482" w:firstLineChars="200"/>
        <w:contextualSpacing/>
        <w:jc w:val="left"/>
        <w:rPr>
          <w:rFonts w:hint="eastAsia" w:ascii="仿宋_GB2312" w:hAnsi="仿宋_GB2312" w:eastAsia="仿宋_GB2312" w:cs="仿宋_GB2312"/>
          <w:b/>
          <w:color w:val="auto"/>
          <w:sz w:val="32"/>
          <w:szCs w:val="32"/>
          <w:highlight w:val="none"/>
        </w:rPr>
      </w:pPr>
      <w:r>
        <w:rPr>
          <w:rFonts w:hint="eastAsia" w:hAnsi="宋体"/>
          <w:b/>
          <w:color w:val="auto"/>
          <w:sz w:val="24"/>
          <w:highlight w:val="none"/>
        </w:rPr>
        <w:t>附件：</w:t>
      </w:r>
    </w:p>
    <w:p w14:paraId="7B5A9E21">
      <w:pPr>
        <w:adjustRightInd w:val="0"/>
        <w:snapToGrid w:val="0"/>
        <w:spacing w:line="300" w:lineRule="auto"/>
        <w:jc w:val="left"/>
        <w:rPr>
          <w:rFonts w:hint="eastAsia" w:ascii="宋体" w:hAnsi="宋体"/>
          <w:b/>
          <w:color w:val="auto"/>
          <w:szCs w:val="21"/>
          <w:highlight w:val="none"/>
        </w:rPr>
      </w:pPr>
    </w:p>
    <w:p w14:paraId="359193A2">
      <w:pPr>
        <w:spacing w:line="520" w:lineRule="exact"/>
        <w:ind w:firstLine="880"/>
        <w:jc w:val="left"/>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仿宋" w:hAnsi="仿宋" w:eastAsia="仿宋" w:cs="仿宋_GB2312"/>
          <w:b/>
          <w:color w:val="auto"/>
          <w:sz w:val="30"/>
          <w:szCs w:val="30"/>
          <w:highlight w:val="none"/>
        </w:rPr>
        <w:t>三、法定代表人授权委托书</w:t>
      </w:r>
    </w:p>
    <w:p w14:paraId="2612D904">
      <w:pPr>
        <w:spacing w:line="500" w:lineRule="exact"/>
        <w:jc w:val="center"/>
        <w:rPr>
          <w:rFonts w:hint="eastAsia" w:ascii="方正小标宋简体" w:hAnsi="方正小标宋简体" w:eastAsia="方正小标宋简体" w:cs="方正小标宋简体"/>
          <w:color w:val="auto"/>
          <w:sz w:val="44"/>
          <w:szCs w:val="44"/>
          <w:highlight w:val="none"/>
        </w:rPr>
      </w:pPr>
    </w:p>
    <w:p w14:paraId="01849025">
      <w:pPr>
        <w:spacing w:line="52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授权委托书（非联合体竞标格式）</w:t>
      </w:r>
    </w:p>
    <w:p w14:paraId="171AAE85">
      <w:pPr>
        <w:spacing w:line="52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（如有委托时）</w:t>
      </w:r>
    </w:p>
    <w:p w14:paraId="379F50A3">
      <w:pPr>
        <w:spacing w:line="520" w:lineRule="exact"/>
        <w:rPr>
          <w:rFonts w:hint="eastAsia" w:ascii="仿宋_GB2312" w:hAnsi="仿宋_GB2312" w:eastAsia="仿宋_GB2312" w:cs="仿宋_GB2312"/>
          <w:color w:val="auto"/>
          <w:sz w:val="32"/>
          <w:szCs w:val="32"/>
          <w:highlight w:val="none"/>
        </w:rPr>
      </w:pPr>
    </w:p>
    <w:p w14:paraId="0AEE1DD5">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致：</w:t>
      </w:r>
      <w:r>
        <w:rPr>
          <w:rFonts w:hint="eastAsia" w:ascii="宋体" w:hAnsi="宋体" w:cs="仿宋_GB2312"/>
          <w:color w:val="auto"/>
          <w:sz w:val="24"/>
          <w:highlight w:val="none"/>
          <w:u w:val="single"/>
        </w:rPr>
        <w:t>（采购人名称）</w:t>
      </w:r>
      <w:r>
        <w:rPr>
          <w:rFonts w:hint="eastAsia" w:ascii="宋体" w:hAnsi="宋体" w:cs="仿宋_GB2312"/>
          <w:color w:val="auto"/>
          <w:sz w:val="24"/>
          <w:highlight w:val="none"/>
        </w:rPr>
        <w:t>：</w:t>
      </w:r>
    </w:p>
    <w:p w14:paraId="546C6E71">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我</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系</w:t>
      </w:r>
      <w:r>
        <w:rPr>
          <w:rFonts w:hint="eastAsia" w:ascii="宋体" w:hAnsi="宋体" w:cs="仿宋_GB2312"/>
          <w:color w:val="auto"/>
          <w:sz w:val="24"/>
          <w:highlight w:val="none"/>
          <w:u w:val="single"/>
        </w:rPr>
        <w:t xml:space="preserve">  （供应商名称）  </w:t>
      </w:r>
      <w:r>
        <w:rPr>
          <w:rFonts w:hint="eastAsia" w:ascii="宋体" w:hAnsi="宋体" w:cs="仿宋_GB2312"/>
          <w:color w:val="auto"/>
          <w:sz w:val="24"/>
          <w:highlight w:val="none"/>
        </w:rPr>
        <w:t>的（</w:t>
      </w:r>
      <w:r>
        <w:rPr>
          <w:rFonts w:hint="eastAsia" w:ascii="宋体" w:hAnsi="宋体" w:cs="仿宋_GB2312"/>
          <w:color w:val="auto"/>
          <w:sz w:val="24"/>
          <w:highlight w:val="none"/>
          <w:u w:val="single"/>
        </w:rPr>
        <w:t>□法定代表人/□负责人/□自然人本人</w:t>
      </w:r>
      <w:r>
        <w:rPr>
          <w:rFonts w:hint="eastAsia" w:ascii="宋体" w:hAnsi="宋体" w:cs="仿宋_GB2312"/>
          <w:color w:val="auto"/>
          <w:sz w:val="24"/>
          <w:highlight w:val="none"/>
        </w:rPr>
        <w:t>），现授权</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以我方的名义参加</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项目的竞标活动，并代表我方全权办理针对上述项目的所有采购程序和环节的具体事务和签署相关文件。</w:t>
      </w:r>
    </w:p>
    <w:p w14:paraId="12AFFB73">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我方对委托代理人的签字事项负全部责任。</w:t>
      </w:r>
    </w:p>
    <w:p w14:paraId="6AC9CB8C">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6D8CD06B">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14:paraId="7B53FF1B">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附：法定代表人身份证明书及委托代理人有效身份证正反面复印件</w:t>
      </w:r>
    </w:p>
    <w:p w14:paraId="6B457C7F">
      <w:pPr>
        <w:spacing w:line="360" w:lineRule="auto"/>
        <w:rPr>
          <w:rFonts w:hint="eastAsia" w:ascii="宋体" w:hAnsi="宋体" w:cs="仿宋_GB2312"/>
          <w:color w:val="auto"/>
          <w:sz w:val="24"/>
          <w:highlight w:val="none"/>
        </w:rPr>
      </w:pPr>
    </w:p>
    <w:p w14:paraId="5982BFAB">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委托代理人（签字）：         法定代表人（签字）：                    </w:t>
      </w:r>
    </w:p>
    <w:p w14:paraId="653B07DD">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委托代理人身份证号码：                              </w:t>
      </w:r>
    </w:p>
    <w:p w14:paraId="2D317FB9">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w:t>
      </w:r>
    </w:p>
    <w:p w14:paraId="548C6AFF">
      <w:pPr>
        <w:spacing w:line="360" w:lineRule="auto"/>
        <w:rPr>
          <w:rFonts w:ascii="宋体" w:hAnsi="宋体" w:cs="仿宋_GB2312"/>
          <w:color w:val="auto"/>
          <w:sz w:val="24"/>
          <w:highlight w:val="none"/>
        </w:rPr>
      </w:pPr>
      <w:r>
        <w:rPr>
          <w:rFonts w:hint="eastAsia" w:ascii="宋体" w:hAnsi="宋体" w:cs="仿宋_GB2312"/>
          <w:color w:val="auto"/>
          <w:sz w:val="24"/>
          <w:highlight w:val="none"/>
        </w:rPr>
        <w:t xml:space="preserve">                         </w:t>
      </w:r>
      <w:r>
        <w:rPr>
          <w:rFonts w:hint="eastAsia" w:ascii="仿宋_GB2312" w:hAnsi="仿宋" w:eastAsia="仿宋_GB2312" w:cs="仿宋_GB2312"/>
          <w:color w:val="auto"/>
          <w:kern w:val="0"/>
          <w:sz w:val="24"/>
          <w:highlight w:val="none"/>
        </w:rPr>
        <w:t>供应商名称（电子签章）：</w:t>
      </w:r>
    </w:p>
    <w:p w14:paraId="447CDB81">
      <w:pPr>
        <w:spacing w:line="360" w:lineRule="auto"/>
        <w:contextualSpacing/>
        <w:jc w:val="center"/>
        <w:rPr>
          <w:rFonts w:hint="eastAsia" w:ascii="宋体" w:hAnsi="宋体" w:cs="仿宋_GB2312"/>
          <w:b/>
          <w:color w:val="auto"/>
          <w:sz w:val="24"/>
          <w:highlight w:val="none"/>
        </w:rPr>
      </w:pPr>
      <w:r>
        <w:rPr>
          <w:rFonts w:hint="eastAsia" w:ascii="仿宋_GB2312" w:hAnsi="仿宋" w:eastAsia="仿宋_GB2312" w:cs="仿宋_GB2312"/>
          <w:color w:val="auto"/>
          <w:kern w:val="0"/>
          <w:sz w:val="24"/>
          <w:highlight w:val="none"/>
          <w:lang w:val="zh-CN"/>
        </w:rPr>
        <w:t xml:space="preserve">                                                   日期：  年  月   日</w:t>
      </w:r>
    </w:p>
    <w:p w14:paraId="4C06AE89">
      <w:pPr>
        <w:spacing w:line="360" w:lineRule="auto"/>
        <w:rPr>
          <w:rFonts w:hint="eastAsia" w:ascii="宋体" w:hAnsi="宋体" w:cs="仿宋_GB2312"/>
          <w:color w:val="auto"/>
          <w:sz w:val="24"/>
          <w:highlight w:val="none"/>
        </w:rPr>
      </w:pPr>
    </w:p>
    <w:p w14:paraId="11EB14D4">
      <w:pPr>
        <w:spacing w:line="360" w:lineRule="auto"/>
        <w:rPr>
          <w:rFonts w:ascii="宋体" w:hAnsi="宋体" w:cs="仿宋_GB2312"/>
          <w:color w:val="auto"/>
          <w:sz w:val="24"/>
          <w:highlight w:val="none"/>
        </w:rPr>
      </w:pPr>
      <w:r>
        <w:rPr>
          <w:rFonts w:hint="eastAsia" w:ascii="宋体" w:hAnsi="宋体" w:cs="仿宋_GB2312"/>
          <w:color w:val="auto"/>
          <w:sz w:val="24"/>
          <w:highlight w:val="none"/>
        </w:rPr>
        <w:t>注：1. 法定代表人和委托代理人必须在授权委托书上</w:t>
      </w:r>
      <w:r>
        <w:rPr>
          <w:rFonts w:hint="eastAsia" w:ascii="宋体" w:hAnsi="宋体" w:cs="仿宋_GB2312"/>
          <w:color w:val="auto"/>
          <w:sz w:val="24"/>
          <w:highlight w:val="none"/>
          <w:lang w:eastAsia="zh-CN"/>
        </w:rPr>
        <w:t>签字</w:t>
      </w:r>
      <w:r>
        <w:rPr>
          <w:rFonts w:hint="eastAsia" w:ascii="宋体" w:hAnsi="宋体" w:cs="仿宋_GB2312"/>
          <w:color w:val="auto"/>
          <w:sz w:val="24"/>
          <w:highlight w:val="none"/>
        </w:rPr>
        <w:t>，并加盖供应商公章</w:t>
      </w:r>
      <w:r>
        <w:rPr>
          <w:rFonts w:hint="eastAsia" w:ascii="宋体" w:hAnsi="宋体" w:cs="仿宋_GB2312"/>
          <w:color w:val="auto"/>
          <w:sz w:val="24"/>
          <w:highlight w:val="none"/>
          <w:lang w:eastAsia="zh-CN"/>
        </w:rPr>
        <w:t>，</w:t>
      </w:r>
      <w:r>
        <w:rPr>
          <w:rFonts w:hint="eastAsia" w:ascii="宋体" w:hAnsi="宋体" w:cs="仿宋_GB2312"/>
          <w:b/>
          <w:color w:val="auto"/>
          <w:sz w:val="24"/>
          <w:highlight w:val="none"/>
        </w:rPr>
        <w:t>否则其响应文件按无效响应处理。</w:t>
      </w:r>
    </w:p>
    <w:p w14:paraId="69781304">
      <w:pPr>
        <w:spacing w:line="360" w:lineRule="auto"/>
        <w:ind w:firstLine="480" w:firstLineChars="200"/>
        <w:jc w:val="left"/>
        <w:rPr>
          <w:rFonts w:ascii="宋体" w:hAnsi="宋体" w:cs="仿宋_GB2312"/>
          <w:color w:val="auto"/>
          <w:sz w:val="24"/>
          <w:highlight w:val="none"/>
        </w:rPr>
      </w:pPr>
      <w:r>
        <w:rPr>
          <w:rFonts w:ascii="宋体" w:hAnsi="宋体" w:cs="仿宋_GB2312"/>
          <w:color w:val="auto"/>
          <w:sz w:val="24"/>
          <w:highlight w:val="none"/>
        </w:rPr>
        <w:t>2.</w:t>
      </w:r>
      <w:r>
        <w:rPr>
          <w:rFonts w:hint="eastAsia" w:ascii="宋体" w:hAnsi="宋体" w:cs="仿宋_GB2312"/>
          <w:color w:val="auto"/>
          <w:sz w:val="24"/>
          <w:highlight w:val="none"/>
        </w:rPr>
        <w:t>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16F245F1">
      <w:pPr>
        <w:spacing w:line="360" w:lineRule="auto"/>
        <w:ind w:firstLine="480" w:firstLineChars="200"/>
        <w:jc w:val="left"/>
        <w:rPr>
          <w:rFonts w:hint="eastAsia" w:ascii="仿宋_GB2312" w:hAnsi="仿宋_GB2312" w:eastAsia="仿宋_GB2312" w:cs="仿宋_GB2312"/>
          <w:color w:val="auto"/>
          <w:szCs w:val="21"/>
          <w:highlight w:val="none"/>
        </w:rPr>
      </w:pPr>
      <w:r>
        <w:rPr>
          <w:rFonts w:hint="eastAsia" w:ascii="宋体" w:hAnsi="宋体" w:cs="仿宋_GB2312"/>
          <w:color w:val="auto"/>
          <w:sz w:val="24"/>
          <w:highlight w:val="none"/>
        </w:rPr>
        <w:t>3</w:t>
      </w:r>
      <w:r>
        <w:rPr>
          <w:rFonts w:ascii="宋体" w:hAnsi="宋体" w:cs="仿宋_GB2312"/>
          <w:color w:val="auto"/>
          <w:sz w:val="24"/>
          <w:highlight w:val="none"/>
        </w:rPr>
        <w:t>.</w:t>
      </w:r>
      <w:r>
        <w:rPr>
          <w:rFonts w:hint="eastAsia" w:ascii="宋体" w:hAnsi="宋体" w:cs="仿宋_GB2312"/>
          <w:color w:val="auto"/>
          <w:sz w:val="24"/>
          <w:highlight w:val="none"/>
        </w:rPr>
        <w:t xml:space="preserve"> 法人、其他组织竞标时“我方”是指“我单位”，自然人竞标时“我方”是指“本人”。</w:t>
      </w:r>
    </w:p>
    <w:p w14:paraId="33C3C9F0">
      <w:pPr>
        <w:spacing w:line="500" w:lineRule="exact"/>
        <w:jc w:val="center"/>
        <w:rPr>
          <w:rFonts w:hint="eastAsia" w:ascii="方正小标宋简体" w:hAnsi="方正小标宋简体" w:eastAsia="方正小标宋简体" w:cs="方正小标宋简体"/>
          <w:color w:val="auto"/>
          <w:sz w:val="44"/>
          <w:szCs w:val="44"/>
          <w:highlight w:val="none"/>
        </w:rPr>
      </w:pPr>
      <w:r>
        <w:rPr>
          <w:rFonts w:ascii="仿宋_GB2312" w:hAnsi="仿宋_GB2312" w:eastAsia="仿宋_GB2312" w:cs="仿宋_GB2312"/>
          <w:color w:val="auto"/>
          <w:szCs w:val="21"/>
          <w:highlight w:val="none"/>
        </w:rPr>
        <w:br w:type="page"/>
      </w:r>
      <w:r>
        <w:rPr>
          <w:rFonts w:hint="eastAsia" w:ascii="方正小标宋简体" w:hAnsi="方正小标宋简体" w:eastAsia="方正小标宋简体" w:cs="方正小标宋简体"/>
          <w:color w:val="auto"/>
          <w:sz w:val="44"/>
          <w:szCs w:val="44"/>
          <w:highlight w:val="none"/>
        </w:rPr>
        <w:t>授权委托书（联合体竞标格式）</w:t>
      </w:r>
    </w:p>
    <w:p w14:paraId="221C8540">
      <w:pPr>
        <w:spacing w:line="50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（如有委托时）</w:t>
      </w:r>
    </w:p>
    <w:p w14:paraId="1743ED1D">
      <w:pPr>
        <w:spacing w:line="500" w:lineRule="exact"/>
        <w:jc w:val="center"/>
        <w:rPr>
          <w:rFonts w:ascii="方正小标宋简体" w:hAnsi="方正小标宋简体" w:eastAsia="方正小标宋简体" w:cs="方正小标宋简体"/>
          <w:color w:val="auto"/>
          <w:sz w:val="44"/>
          <w:szCs w:val="44"/>
          <w:highlight w:val="none"/>
        </w:rPr>
      </w:pPr>
    </w:p>
    <w:p w14:paraId="5A578650">
      <w:pPr>
        <w:spacing w:line="500" w:lineRule="exact"/>
        <w:jc w:val="center"/>
        <w:rPr>
          <w:rFonts w:hint="eastAsia" w:ascii="仿宋_GB2312" w:hAnsi="仿宋_GB2312" w:eastAsia="仿宋_GB2312" w:cs="仿宋_GB2312"/>
          <w:color w:val="auto"/>
          <w:sz w:val="32"/>
          <w:szCs w:val="32"/>
          <w:highlight w:val="none"/>
        </w:rPr>
      </w:pPr>
    </w:p>
    <w:p w14:paraId="2F89D037">
      <w:pPr>
        <w:spacing w:line="360" w:lineRule="auto"/>
        <w:ind w:firstLine="480" w:firstLineChars="200"/>
        <w:jc w:val="left"/>
        <w:rPr>
          <w:rFonts w:hint="eastAsia" w:ascii="宋体" w:hAnsi="宋体" w:cs="仿宋_GB2312"/>
          <w:color w:val="auto"/>
          <w:sz w:val="24"/>
          <w:highlight w:val="none"/>
        </w:rPr>
      </w:pPr>
      <w:r>
        <w:rPr>
          <w:rFonts w:hint="eastAsia" w:ascii="宋体" w:hAnsi="宋体" w:cs="仿宋_GB2312"/>
          <w:color w:val="auto"/>
          <w:sz w:val="24"/>
          <w:highlight w:val="none"/>
        </w:rPr>
        <w:t>本授权委托书声明：根据</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（牵头人名称）与</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（联合体其他成员名称）签订的《联合体竞标协议书》的内容，</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（牵头人名称）的法定代表人</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（姓名）现授权</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（姓名）为联合委托代理人，并代表我方全权办理针对上述项目的所有采购程序和环节的具体事务和签署相关文件。</w:t>
      </w:r>
    </w:p>
    <w:p w14:paraId="3DCEAA98">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我方对委托代理人的签字事项负全部责任。</w:t>
      </w:r>
    </w:p>
    <w:p w14:paraId="098A6881">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5A4AA20D">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14:paraId="05C6D51E">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w:t>
      </w:r>
    </w:p>
    <w:p w14:paraId="44FD84EF">
      <w:pPr>
        <w:spacing w:line="360" w:lineRule="auto"/>
        <w:ind w:firstLine="1560" w:firstLineChars="650"/>
        <w:rPr>
          <w:rFonts w:hint="eastAsia" w:ascii="宋体" w:hAnsi="宋体" w:cs="仿宋_GB2312"/>
          <w:color w:val="auto"/>
          <w:sz w:val="24"/>
          <w:highlight w:val="none"/>
        </w:rPr>
      </w:pPr>
      <w:r>
        <w:rPr>
          <w:rFonts w:hint="eastAsia" w:ascii="宋体" w:hAnsi="宋体" w:cs="仿宋_GB2312"/>
          <w:color w:val="auto"/>
          <w:sz w:val="24"/>
          <w:highlight w:val="none"/>
        </w:rPr>
        <w:t>牵头人法定代表人（签字）：</w:t>
      </w:r>
    </w:p>
    <w:p w14:paraId="38E9DF8A">
      <w:pPr>
        <w:spacing w:line="360" w:lineRule="auto"/>
        <w:ind w:firstLine="3120" w:firstLineChars="1300"/>
        <w:rPr>
          <w:rFonts w:hint="eastAsia" w:ascii="宋体" w:hAnsi="宋体" w:cs="仿宋_GB2312"/>
          <w:color w:val="auto"/>
          <w:sz w:val="24"/>
          <w:highlight w:val="none"/>
        </w:rPr>
      </w:pPr>
      <w:r>
        <w:rPr>
          <w:rFonts w:hint="eastAsia" w:ascii="宋体" w:hAnsi="宋体" w:cs="仿宋_GB2312"/>
          <w:color w:val="auto"/>
          <w:sz w:val="24"/>
          <w:highlight w:val="none"/>
        </w:rPr>
        <w:t>牵头人（电子签章）：</w:t>
      </w:r>
    </w:p>
    <w:p w14:paraId="27F26641">
      <w:pPr>
        <w:spacing w:line="360" w:lineRule="auto"/>
        <w:ind w:firstLine="3840" w:firstLineChars="1600"/>
        <w:rPr>
          <w:rFonts w:hint="eastAsia" w:ascii="宋体" w:hAnsi="宋体" w:cs="仿宋_GB2312"/>
          <w:color w:val="auto"/>
          <w:sz w:val="24"/>
          <w:highlight w:val="none"/>
        </w:rPr>
      </w:pPr>
      <w:r>
        <w:rPr>
          <w:rFonts w:hint="eastAsia" w:ascii="宋体" w:hAnsi="宋体" w:cs="仿宋_GB2312"/>
          <w:color w:val="auto"/>
          <w:sz w:val="24"/>
          <w:highlight w:val="none"/>
        </w:rPr>
        <w:t>日期：    年   月   日</w:t>
      </w:r>
    </w:p>
    <w:p w14:paraId="6839ADF1">
      <w:pPr>
        <w:spacing w:line="360" w:lineRule="auto"/>
        <w:rPr>
          <w:rFonts w:hint="eastAsia" w:ascii="宋体" w:hAnsi="宋体" w:cs="仿宋_GB2312"/>
          <w:color w:val="auto"/>
          <w:sz w:val="24"/>
          <w:highlight w:val="none"/>
        </w:rPr>
      </w:pPr>
    </w:p>
    <w:p w14:paraId="57744DC2">
      <w:pPr>
        <w:spacing w:line="360" w:lineRule="auto"/>
        <w:ind w:firstLine="3120" w:firstLineChars="1300"/>
        <w:rPr>
          <w:rFonts w:hint="eastAsia" w:ascii="宋体" w:hAnsi="宋体" w:cs="仿宋_GB2312"/>
          <w:color w:val="auto"/>
          <w:sz w:val="24"/>
          <w:highlight w:val="none"/>
        </w:rPr>
      </w:pPr>
      <w:r>
        <w:rPr>
          <w:rFonts w:hint="eastAsia" w:ascii="宋体" w:hAnsi="宋体" w:cs="仿宋_GB2312"/>
          <w:color w:val="auto"/>
          <w:sz w:val="24"/>
          <w:highlight w:val="none"/>
        </w:rPr>
        <w:t>被授权人（签字）：</w:t>
      </w:r>
    </w:p>
    <w:p w14:paraId="4BC8E64F">
      <w:pPr>
        <w:spacing w:line="360" w:lineRule="auto"/>
        <w:ind w:firstLine="3840" w:firstLineChars="1600"/>
        <w:rPr>
          <w:rFonts w:hint="eastAsia" w:ascii="宋体" w:hAnsi="宋体" w:cs="仿宋_GB2312"/>
          <w:color w:val="auto"/>
          <w:sz w:val="24"/>
          <w:highlight w:val="none"/>
        </w:rPr>
      </w:pPr>
      <w:r>
        <w:rPr>
          <w:rFonts w:hint="eastAsia" w:ascii="宋体" w:hAnsi="宋体" w:cs="仿宋_GB2312"/>
          <w:color w:val="auto"/>
          <w:sz w:val="24"/>
          <w:highlight w:val="none"/>
        </w:rPr>
        <w:t>日期：    年   月   日</w:t>
      </w:r>
    </w:p>
    <w:p w14:paraId="7C509206">
      <w:pPr>
        <w:spacing w:line="360" w:lineRule="auto"/>
        <w:rPr>
          <w:rFonts w:hint="eastAsia" w:ascii="宋体" w:hAnsi="宋体" w:cs="仿宋_GB2312"/>
          <w:color w:val="auto"/>
          <w:sz w:val="24"/>
          <w:highlight w:val="none"/>
        </w:rPr>
      </w:pPr>
    </w:p>
    <w:p w14:paraId="183567E7">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注：1. 法定代表人和委托代理人必须在授权委托书上</w:t>
      </w:r>
      <w:r>
        <w:rPr>
          <w:rFonts w:hint="eastAsia" w:ascii="宋体" w:hAnsi="宋体" w:cs="仿宋_GB2312"/>
          <w:color w:val="auto"/>
          <w:sz w:val="24"/>
          <w:highlight w:val="none"/>
          <w:lang w:eastAsia="zh-CN"/>
        </w:rPr>
        <w:t>签字</w:t>
      </w:r>
      <w:r>
        <w:rPr>
          <w:rFonts w:hint="eastAsia" w:ascii="宋体" w:hAnsi="宋体" w:cs="仿宋_GB2312"/>
          <w:color w:val="auto"/>
          <w:sz w:val="24"/>
          <w:highlight w:val="none"/>
        </w:rPr>
        <w:t>，并加盖供应商公章</w:t>
      </w:r>
      <w:r>
        <w:rPr>
          <w:rFonts w:hint="eastAsia" w:ascii="宋体" w:hAnsi="宋体" w:cs="仿宋_GB2312"/>
          <w:color w:val="auto"/>
          <w:sz w:val="24"/>
          <w:highlight w:val="none"/>
          <w:lang w:eastAsia="zh-CN"/>
        </w:rPr>
        <w:t>，</w:t>
      </w:r>
      <w:r>
        <w:rPr>
          <w:rFonts w:hint="eastAsia" w:ascii="宋体" w:hAnsi="宋体" w:cs="仿宋_GB2312"/>
          <w:b/>
          <w:color w:val="auto"/>
          <w:sz w:val="24"/>
          <w:highlight w:val="none"/>
        </w:rPr>
        <w:t>否则其响应文件按无效响应处理。</w:t>
      </w:r>
    </w:p>
    <w:p w14:paraId="511A6FFE">
      <w:pPr>
        <w:spacing w:line="360" w:lineRule="auto"/>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rPr>
        <w:t>2.本授权委托书应由联合体牵头人的法定代表人按上述规定签署。</w:t>
      </w:r>
    </w:p>
    <w:p w14:paraId="39911047">
      <w:pPr>
        <w:spacing w:line="360" w:lineRule="auto"/>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rPr>
        <w:t>3</w:t>
      </w:r>
      <w:r>
        <w:rPr>
          <w:rFonts w:ascii="宋体" w:hAnsi="宋体" w:cs="仿宋_GB2312"/>
          <w:color w:val="auto"/>
          <w:sz w:val="24"/>
          <w:highlight w:val="none"/>
        </w:rPr>
        <w:t>.</w:t>
      </w:r>
      <w:r>
        <w:rPr>
          <w:rFonts w:hint="eastAsia" w:ascii="宋体" w:hAnsi="宋体" w:cs="仿宋_GB2312"/>
          <w:color w:val="auto"/>
          <w:sz w:val="24"/>
          <w:highlight w:val="none"/>
        </w:rPr>
        <w:t>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546C3518">
      <w:pPr>
        <w:spacing w:line="360" w:lineRule="auto"/>
        <w:ind w:firstLine="480" w:firstLineChars="200"/>
        <w:jc w:val="left"/>
        <w:rPr>
          <w:rFonts w:hint="eastAsia" w:ascii="宋体" w:hAnsi="宋体" w:cs="仿宋_GB2312"/>
          <w:color w:val="auto"/>
          <w:sz w:val="24"/>
          <w:highlight w:val="none"/>
        </w:rPr>
      </w:pPr>
      <w:r>
        <w:rPr>
          <w:rFonts w:hint="eastAsia" w:ascii="宋体" w:hAnsi="宋体" w:cs="仿宋_GB2312"/>
          <w:color w:val="auto"/>
          <w:sz w:val="24"/>
          <w:highlight w:val="none"/>
        </w:rPr>
        <w:t>4</w:t>
      </w:r>
      <w:r>
        <w:rPr>
          <w:rFonts w:ascii="宋体" w:hAnsi="宋体" w:cs="仿宋_GB2312"/>
          <w:color w:val="auto"/>
          <w:sz w:val="24"/>
          <w:highlight w:val="none"/>
        </w:rPr>
        <w:t>.</w:t>
      </w:r>
      <w:r>
        <w:rPr>
          <w:rFonts w:hint="eastAsia" w:ascii="宋体" w:hAnsi="宋体" w:cs="仿宋_GB2312"/>
          <w:color w:val="auto"/>
          <w:sz w:val="24"/>
          <w:highlight w:val="none"/>
        </w:rPr>
        <w:t>法人、其他组织竞标时“我方”是指“我单位”，自然人竞标时“我方”是指“本人”。</w:t>
      </w:r>
    </w:p>
    <w:p w14:paraId="2BA3EEFA">
      <w:pPr>
        <w:spacing w:line="360" w:lineRule="auto"/>
        <w:ind w:firstLine="480" w:firstLineChars="200"/>
        <w:jc w:val="left"/>
        <w:rPr>
          <w:rFonts w:hint="eastAsia" w:ascii="宋体" w:hAnsi="宋体" w:cs="仿宋_GB2312"/>
          <w:color w:val="auto"/>
          <w:sz w:val="24"/>
          <w:highlight w:val="none"/>
        </w:rPr>
      </w:pPr>
    </w:p>
    <w:p w14:paraId="0A06C400">
      <w:pPr>
        <w:spacing w:line="360" w:lineRule="auto"/>
        <w:ind w:firstLine="482" w:firstLineChars="200"/>
        <w:contextualSpacing/>
        <w:jc w:val="left"/>
        <w:rPr>
          <w:rFonts w:hint="eastAsia" w:ascii="仿宋_GB2312" w:hAnsi="仿宋_GB2312" w:eastAsia="仿宋_GB2312" w:cs="仿宋_GB2312"/>
          <w:b/>
          <w:color w:val="auto"/>
          <w:sz w:val="32"/>
          <w:szCs w:val="32"/>
          <w:highlight w:val="none"/>
        </w:rPr>
      </w:pPr>
      <w:r>
        <w:rPr>
          <w:rFonts w:hint="eastAsia" w:hAnsi="宋体"/>
          <w:b/>
          <w:color w:val="auto"/>
          <w:sz w:val="24"/>
          <w:highlight w:val="none"/>
        </w:rPr>
        <w:t>附件：</w:t>
      </w:r>
    </w:p>
    <w:tbl>
      <w:tblPr>
        <w:tblStyle w:val="28"/>
        <w:tblpPr w:leftFromText="180" w:rightFromText="180" w:vertAnchor="text" w:horzAnchor="margin" w:tblpY="1169"/>
        <w:tblW w:w="8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6130B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noWrap w:val="0"/>
            <w:vAlign w:val="top"/>
          </w:tcPr>
          <w:p w14:paraId="524242A4">
            <w:pPr>
              <w:spacing w:line="360" w:lineRule="auto"/>
              <w:rPr>
                <w:rFonts w:ascii="宋体"/>
                <w:b/>
                <w:color w:val="auto"/>
                <w:sz w:val="24"/>
                <w:highlight w:val="none"/>
              </w:rPr>
            </w:pPr>
          </w:p>
          <w:p w14:paraId="3A6AEBC5">
            <w:pPr>
              <w:spacing w:line="360" w:lineRule="auto"/>
              <w:rPr>
                <w:rFonts w:ascii="宋体"/>
                <w:b/>
                <w:color w:val="auto"/>
                <w:sz w:val="24"/>
                <w:highlight w:val="none"/>
              </w:rPr>
            </w:pPr>
            <w:r>
              <w:rPr>
                <w:rFonts w:hint="eastAsia" w:ascii="宋体"/>
                <w:b/>
                <w:color w:val="auto"/>
                <w:sz w:val="24"/>
                <w:highlight w:val="none"/>
              </w:rPr>
              <w:t>委托代理人有效身份证正反面复印件复印件粘帖处（正、反面）</w:t>
            </w:r>
          </w:p>
        </w:tc>
      </w:tr>
    </w:tbl>
    <w:p w14:paraId="23B71403">
      <w:pPr>
        <w:adjustRightInd w:val="0"/>
        <w:snapToGrid w:val="0"/>
        <w:spacing w:line="300" w:lineRule="auto"/>
        <w:jc w:val="left"/>
        <w:rPr>
          <w:rFonts w:hint="eastAsia" w:ascii="宋体" w:hAnsi="宋体"/>
          <w:b/>
          <w:color w:val="auto"/>
          <w:szCs w:val="21"/>
          <w:highlight w:val="none"/>
        </w:rPr>
      </w:pPr>
    </w:p>
    <w:p w14:paraId="2FAF3F79">
      <w:pPr>
        <w:spacing w:line="360" w:lineRule="auto"/>
        <w:jc w:val="left"/>
        <w:rPr>
          <w:rFonts w:hint="eastAsia" w:ascii="仿宋_GB2312" w:hAnsi="仿宋_GB2312" w:eastAsia="仿宋_GB2312" w:cs="仿宋_GB2312"/>
          <w:color w:val="auto"/>
          <w:szCs w:val="21"/>
          <w:highlight w:val="none"/>
        </w:rPr>
      </w:pPr>
    </w:p>
    <w:p w14:paraId="4CD46A2F">
      <w:pPr>
        <w:spacing w:line="520" w:lineRule="exact"/>
        <w:ind w:firstLine="640" w:firstLineChars="200"/>
        <w:jc w:val="left"/>
        <w:rPr>
          <w:rFonts w:hint="eastAsia" w:ascii="仿宋" w:hAnsi="仿宋" w:eastAsia="仿宋" w:cs="仿宋_GB2312"/>
          <w:b/>
          <w:color w:val="auto"/>
          <w:sz w:val="30"/>
          <w:szCs w:val="30"/>
          <w:highlight w:val="none"/>
        </w:rPr>
      </w:pPr>
      <w:r>
        <w:rPr>
          <w:rFonts w:hint="eastAsia" w:ascii="仿宋_GB2312" w:hAnsi="仿宋_GB2312" w:eastAsia="仿宋_GB2312" w:cs="仿宋_GB2312"/>
          <w:color w:val="auto"/>
          <w:sz w:val="32"/>
          <w:szCs w:val="32"/>
          <w:highlight w:val="none"/>
        </w:rPr>
        <w:br w:type="page"/>
      </w:r>
      <w:r>
        <w:rPr>
          <w:rFonts w:hint="eastAsia" w:ascii="仿宋" w:hAnsi="仿宋" w:eastAsia="仿宋" w:cs="仿宋_GB2312"/>
          <w:b/>
          <w:color w:val="auto"/>
          <w:sz w:val="30"/>
          <w:szCs w:val="30"/>
          <w:highlight w:val="none"/>
        </w:rPr>
        <w:t>四、商务条款偏离表</w:t>
      </w:r>
    </w:p>
    <w:p w14:paraId="72E0F7FB">
      <w:pPr>
        <w:spacing w:line="500" w:lineRule="exact"/>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商务条款偏离表</w:t>
      </w:r>
    </w:p>
    <w:p w14:paraId="263C923D">
      <w:pPr>
        <w:spacing w:line="520" w:lineRule="exact"/>
        <w:rPr>
          <w:rFonts w:hint="eastAsia" w:ascii="仿宋_GB2312" w:hAnsi="仿宋_GB2312" w:eastAsia="仿宋_GB2312" w:cs="仿宋_GB2312"/>
          <w:color w:val="auto"/>
          <w:sz w:val="32"/>
          <w:szCs w:val="32"/>
          <w:highlight w:val="none"/>
        </w:rPr>
      </w:pPr>
    </w:p>
    <w:p w14:paraId="7F462641">
      <w:pPr>
        <w:spacing w:line="360" w:lineRule="auto"/>
        <w:contextualSpacing/>
        <w:rPr>
          <w:rFonts w:hint="eastAsia" w:ascii="宋体" w:hAnsi="宋体" w:cs="仿宋_GB2312"/>
          <w:color w:val="auto"/>
          <w:sz w:val="24"/>
          <w:highlight w:val="none"/>
          <w:u w:val="single"/>
        </w:rPr>
      </w:pPr>
      <w:r>
        <w:rPr>
          <w:rFonts w:hint="eastAsia" w:ascii="宋体" w:hAnsi="宋体" w:cs="仿宋_GB2312"/>
          <w:color w:val="auto"/>
          <w:sz w:val="24"/>
          <w:highlight w:val="none"/>
        </w:rPr>
        <w:t>采购项目编号：</w:t>
      </w:r>
      <w:r>
        <w:rPr>
          <w:rFonts w:hint="eastAsia" w:ascii="宋体" w:hAnsi="宋体" w:cs="仿宋_GB2312"/>
          <w:color w:val="auto"/>
          <w:sz w:val="24"/>
          <w:highlight w:val="none"/>
          <w:u w:val="single"/>
        </w:rPr>
        <w:t xml:space="preserve">                 </w:t>
      </w:r>
    </w:p>
    <w:p w14:paraId="312E1A4E">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采购项目名称：</w:t>
      </w:r>
      <w:r>
        <w:rPr>
          <w:rFonts w:hint="eastAsia" w:ascii="宋体" w:hAnsi="宋体" w:cs="仿宋_GB2312"/>
          <w:color w:val="auto"/>
          <w:sz w:val="24"/>
          <w:highlight w:val="none"/>
          <w:u w:val="single"/>
        </w:rPr>
        <w:t xml:space="preserve">                 </w:t>
      </w:r>
    </w:p>
    <w:p w14:paraId="55927911">
      <w:pPr>
        <w:spacing w:line="360" w:lineRule="auto"/>
        <w:contextualSpacing/>
        <w:rPr>
          <w:rFonts w:hint="eastAsia" w:ascii="宋体" w:hAnsi="宋体" w:cs="仿宋_GB2312"/>
          <w:color w:val="auto"/>
          <w:sz w:val="24"/>
          <w:highlight w:val="none"/>
          <w:u w:val="single"/>
        </w:rPr>
      </w:pPr>
      <w:r>
        <w:rPr>
          <w:rFonts w:hint="eastAsia" w:ascii="宋体" w:hAnsi="宋体" w:cs="仿宋_GB2312"/>
          <w:color w:val="auto"/>
          <w:sz w:val="24"/>
          <w:highlight w:val="none"/>
        </w:rPr>
        <w:t>分标号</w:t>
      </w:r>
      <w:r>
        <w:rPr>
          <w:rFonts w:hint="eastAsia" w:ascii="宋体" w:hAnsi="宋体"/>
          <w:color w:val="auto"/>
          <w:szCs w:val="21"/>
          <w:highlight w:val="none"/>
        </w:rPr>
        <w:t>（此处有分标时填写具体分标号，无分标时填写“无”）</w:t>
      </w:r>
      <w:r>
        <w:rPr>
          <w:rFonts w:hint="eastAsia" w:ascii="宋体" w:hAnsi="宋体" w:cs="仿宋_GB2312"/>
          <w:color w:val="auto"/>
          <w:sz w:val="24"/>
          <w:highlight w:val="none"/>
        </w:rPr>
        <w:t>：</w:t>
      </w:r>
      <w:r>
        <w:rPr>
          <w:rFonts w:hint="eastAsia" w:ascii="宋体" w:hAnsi="宋体" w:cs="仿宋_GB2312"/>
          <w:color w:val="auto"/>
          <w:sz w:val="24"/>
          <w:highlight w:val="none"/>
          <w:u w:val="single"/>
        </w:rPr>
        <w:t xml:space="preserve">                       </w:t>
      </w:r>
    </w:p>
    <w:tbl>
      <w:tblPr>
        <w:tblStyle w:val="28"/>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78EC8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14:paraId="4309DEB7">
            <w:pPr>
              <w:spacing w:line="340" w:lineRule="exact"/>
              <w:jc w:val="center"/>
              <w:rPr>
                <w:rFonts w:ascii="宋体" w:hAnsi="宋体"/>
                <w:color w:val="auto"/>
                <w:szCs w:val="21"/>
                <w:highlight w:val="none"/>
              </w:rPr>
            </w:pPr>
            <w:r>
              <w:rPr>
                <w:rFonts w:hint="eastAsia" w:ascii="宋体" w:hAnsi="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704E36B3">
            <w:pPr>
              <w:spacing w:line="340" w:lineRule="exact"/>
              <w:jc w:val="center"/>
              <w:rPr>
                <w:rFonts w:ascii="宋体" w:hAnsi="宋体"/>
                <w:color w:val="auto"/>
                <w:szCs w:val="21"/>
                <w:highlight w:val="none"/>
              </w:rPr>
            </w:pPr>
            <w:r>
              <w:rPr>
                <w:rFonts w:hint="eastAsia" w:ascii="宋体" w:hAnsi="宋体"/>
                <w:color w:val="auto"/>
                <w:szCs w:val="21"/>
                <w:highlight w:val="none"/>
              </w:rPr>
              <w:t>竞争性磋商采购文件的商务需求</w:t>
            </w:r>
          </w:p>
        </w:tc>
        <w:tc>
          <w:tcPr>
            <w:tcW w:w="3589" w:type="dxa"/>
            <w:tcBorders>
              <w:top w:val="single" w:color="auto" w:sz="4" w:space="0"/>
              <w:left w:val="single" w:color="auto" w:sz="4" w:space="0"/>
              <w:bottom w:val="single" w:color="auto" w:sz="4" w:space="0"/>
              <w:right w:val="single" w:color="auto" w:sz="4" w:space="0"/>
            </w:tcBorders>
            <w:noWrap w:val="0"/>
            <w:vAlign w:val="center"/>
          </w:tcPr>
          <w:p w14:paraId="0EBD2C00">
            <w:pPr>
              <w:spacing w:line="340" w:lineRule="exact"/>
              <w:jc w:val="center"/>
              <w:rPr>
                <w:rFonts w:ascii="宋体" w:hAnsi="宋体"/>
                <w:color w:val="auto"/>
                <w:szCs w:val="21"/>
                <w:highlight w:val="none"/>
              </w:rPr>
            </w:pPr>
            <w:r>
              <w:rPr>
                <w:rFonts w:hint="eastAsia" w:ascii="宋体" w:hAnsi="宋体"/>
                <w:color w:val="auto"/>
                <w:szCs w:val="21"/>
                <w:highlight w:val="none"/>
              </w:rPr>
              <w:t>响应文件承诺的商务条款</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0CFAAF63">
            <w:pPr>
              <w:spacing w:line="340" w:lineRule="exact"/>
              <w:jc w:val="center"/>
              <w:rPr>
                <w:rFonts w:ascii="宋体" w:hAnsi="宋体"/>
                <w:color w:val="auto"/>
                <w:szCs w:val="21"/>
                <w:highlight w:val="none"/>
              </w:rPr>
            </w:pPr>
            <w:r>
              <w:rPr>
                <w:rFonts w:hint="eastAsia" w:ascii="宋体" w:hAnsi="宋体"/>
                <w:color w:val="auto"/>
                <w:szCs w:val="21"/>
                <w:highlight w:val="none"/>
              </w:rPr>
              <w:t>偏离说明</w:t>
            </w:r>
          </w:p>
        </w:tc>
      </w:tr>
      <w:tr w14:paraId="5068F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2848A59B">
            <w:pPr>
              <w:spacing w:line="340" w:lineRule="exact"/>
              <w:rPr>
                <w:rFonts w:ascii="宋体" w:hAnsi="宋体"/>
                <w:color w:val="auto"/>
                <w:szCs w:val="21"/>
                <w:highlight w:val="none"/>
              </w:rPr>
            </w:pPr>
            <w:r>
              <w:rPr>
                <w:rFonts w:hint="eastAsia" w:ascii="宋体" w:hAnsi="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2C21F22F">
            <w:pPr>
              <w:spacing w:line="340" w:lineRule="exact"/>
              <w:rPr>
                <w:rFonts w:ascii="宋体" w:hAnsi="宋体"/>
                <w:color w:val="auto"/>
                <w:szCs w:val="21"/>
                <w:highlight w:val="none"/>
              </w:rPr>
            </w:pPr>
            <w:r>
              <w:rPr>
                <w:rFonts w:hint="eastAsia" w:ascii="宋体" w:hAnsi="宋体"/>
                <w:color w:val="auto"/>
                <w:szCs w:val="21"/>
                <w:highlight w:val="none"/>
              </w:rPr>
              <w:t>1  ……</w:t>
            </w:r>
          </w:p>
          <w:p w14:paraId="7BA1A641">
            <w:pPr>
              <w:spacing w:line="340" w:lineRule="exact"/>
              <w:rPr>
                <w:rFonts w:ascii="宋体" w:hAnsi="宋体"/>
                <w:color w:val="auto"/>
                <w:szCs w:val="21"/>
                <w:highlight w:val="none"/>
              </w:rPr>
            </w:pPr>
            <w:r>
              <w:rPr>
                <w:rFonts w:hint="eastAsia" w:ascii="宋体" w:hAnsi="宋体"/>
                <w:color w:val="auto"/>
                <w:szCs w:val="21"/>
                <w:highlight w:val="none"/>
              </w:rPr>
              <w:t>2  ……</w:t>
            </w:r>
          </w:p>
          <w:p w14:paraId="13FC97DF">
            <w:pPr>
              <w:spacing w:line="340" w:lineRule="exact"/>
              <w:rPr>
                <w:rFonts w:ascii="宋体" w:hAnsi="宋体"/>
                <w:color w:val="auto"/>
                <w:szCs w:val="21"/>
                <w:highlight w:val="none"/>
              </w:rPr>
            </w:pPr>
            <w:r>
              <w:rPr>
                <w:rFonts w:hint="eastAsia" w:ascii="宋体" w:hAnsi="宋体"/>
                <w:color w:val="auto"/>
                <w:szCs w:val="21"/>
                <w:highlight w:val="none"/>
              </w:rPr>
              <w:t>3  ……</w:t>
            </w:r>
          </w:p>
          <w:p w14:paraId="17F56887">
            <w:pPr>
              <w:spacing w:line="340" w:lineRule="exact"/>
              <w:rPr>
                <w:rFonts w:ascii="宋体" w:hAnsi="宋体"/>
                <w:color w:val="auto"/>
                <w:szCs w:val="21"/>
                <w:highlight w:val="none"/>
              </w:rPr>
            </w:pPr>
            <w:r>
              <w:rPr>
                <w:rFonts w:hint="eastAsia" w:ascii="宋体" w:hAnsi="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5D235E9E">
            <w:pPr>
              <w:spacing w:line="340" w:lineRule="exact"/>
              <w:rPr>
                <w:rFonts w:ascii="宋体" w:hAnsi="宋体"/>
                <w:color w:val="auto"/>
                <w:szCs w:val="21"/>
                <w:highlight w:val="none"/>
              </w:rPr>
            </w:pPr>
            <w:r>
              <w:rPr>
                <w:rFonts w:hint="eastAsia" w:ascii="宋体" w:hAnsi="宋体"/>
                <w:color w:val="auto"/>
                <w:szCs w:val="21"/>
                <w:highlight w:val="none"/>
              </w:rPr>
              <w:t>1  ……</w:t>
            </w:r>
          </w:p>
          <w:p w14:paraId="35ED7EBB">
            <w:pPr>
              <w:spacing w:line="340" w:lineRule="exact"/>
              <w:rPr>
                <w:rFonts w:ascii="宋体" w:hAnsi="宋体"/>
                <w:color w:val="auto"/>
                <w:szCs w:val="21"/>
                <w:highlight w:val="none"/>
              </w:rPr>
            </w:pPr>
            <w:r>
              <w:rPr>
                <w:rFonts w:hint="eastAsia" w:ascii="宋体" w:hAnsi="宋体"/>
                <w:color w:val="auto"/>
                <w:szCs w:val="21"/>
                <w:highlight w:val="none"/>
              </w:rPr>
              <w:t>2  ……</w:t>
            </w:r>
          </w:p>
          <w:p w14:paraId="0BEC7632">
            <w:pPr>
              <w:spacing w:line="340" w:lineRule="exact"/>
              <w:rPr>
                <w:rFonts w:ascii="宋体" w:hAnsi="宋体"/>
                <w:color w:val="auto"/>
                <w:szCs w:val="21"/>
                <w:highlight w:val="none"/>
              </w:rPr>
            </w:pPr>
            <w:r>
              <w:rPr>
                <w:rFonts w:hint="eastAsia" w:ascii="宋体" w:hAnsi="宋体"/>
                <w:color w:val="auto"/>
                <w:szCs w:val="21"/>
                <w:highlight w:val="none"/>
              </w:rPr>
              <w:t>3  ……</w:t>
            </w:r>
          </w:p>
          <w:p w14:paraId="2EE2EECE">
            <w:pPr>
              <w:spacing w:line="340" w:lineRule="exact"/>
              <w:rPr>
                <w:rFonts w:ascii="宋体" w:hAnsi="宋体"/>
                <w:color w:val="auto"/>
                <w:szCs w:val="21"/>
                <w:highlight w:val="none"/>
              </w:rPr>
            </w:pPr>
            <w:r>
              <w:rPr>
                <w:rFonts w:hint="eastAsia" w:ascii="宋体" w:hAnsi="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34A217EC">
            <w:pPr>
              <w:spacing w:line="300" w:lineRule="exact"/>
              <w:rPr>
                <w:rFonts w:ascii="宋体" w:hAnsi="宋体"/>
                <w:color w:val="auto"/>
                <w:szCs w:val="21"/>
                <w:highlight w:val="none"/>
              </w:rPr>
            </w:pPr>
          </w:p>
        </w:tc>
      </w:tr>
      <w:tr w14:paraId="63799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4AEDF0D1">
            <w:pPr>
              <w:spacing w:line="340" w:lineRule="exact"/>
              <w:rPr>
                <w:rFonts w:ascii="宋体" w:hAnsi="宋体"/>
                <w:color w:val="auto"/>
                <w:szCs w:val="21"/>
                <w:highlight w:val="none"/>
              </w:rPr>
            </w:pPr>
            <w:r>
              <w:rPr>
                <w:rFonts w:hint="eastAsia" w:ascii="宋体" w:hAnsi="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76A552E7">
            <w:pPr>
              <w:spacing w:line="340" w:lineRule="exact"/>
              <w:rPr>
                <w:rFonts w:ascii="宋体" w:hAnsi="宋体"/>
                <w:color w:val="auto"/>
                <w:szCs w:val="21"/>
                <w:highlight w:val="none"/>
              </w:rPr>
            </w:pPr>
            <w:r>
              <w:rPr>
                <w:rFonts w:hint="eastAsia" w:ascii="宋体" w:hAnsi="宋体"/>
                <w:color w:val="auto"/>
                <w:szCs w:val="21"/>
                <w:highlight w:val="none"/>
              </w:rPr>
              <w:t>1  ……</w:t>
            </w:r>
          </w:p>
          <w:p w14:paraId="30EA80A5">
            <w:pPr>
              <w:spacing w:line="340" w:lineRule="exact"/>
              <w:rPr>
                <w:rFonts w:ascii="宋体" w:hAnsi="宋体"/>
                <w:color w:val="auto"/>
                <w:szCs w:val="21"/>
                <w:highlight w:val="none"/>
              </w:rPr>
            </w:pPr>
            <w:r>
              <w:rPr>
                <w:rFonts w:hint="eastAsia" w:ascii="宋体" w:hAnsi="宋体"/>
                <w:color w:val="auto"/>
                <w:szCs w:val="21"/>
                <w:highlight w:val="none"/>
              </w:rPr>
              <w:t>2  ……</w:t>
            </w:r>
          </w:p>
          <w:p w14:paraId="60309447">
            <w:pPr>
              <w:spacing w:line="340" w:lineRule="exact"/>
              <w:rPr>
                <w:rFonts w:ascii="宋体" w:hAnsi="宋体"/>
                <w:color w:val="auto"/>
                <w:szCs w:val="21"/>
                <w:highlight w:val="none"/>
              </w:rPr>
            </w:pPr>
            <w:r>
              <w:rPr>
                <w:rFonts w:hint="eastAsia" w:ascii="宋体" w:hAnsi="宋体"/>
                <w:color w:val="auto"/>
                <w:szCs w:val="21"/>
                <w:highlight w:val="none"/>
              </w:rPr>
              <w:t>3  ……</w:t>
            </w:r>
          </w:p>
          <w:p w14:paraId="0A9AFE2B">
            <w:pPr>
              <w:spacing w:line="340" w:lineRule="exact"/>
              <w:rPr>
                <w:rFonts w:ascii="宋体" w:hAnsi="宋体"/>
                <w:color w:val="auto"/>
                <w:szCs w:val="21"/>
                <w:highlight w:val="none"/>
              </w:rPr>
            </w:pPr>
            <w:r>
              <w:rPr>
                <w:rFonts w:hint="eastAsia" w:ascii="宋体" w:hAnsi="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35F7F3B2">
            <w:pPr>
              <w:spacing w:line="340" w:lineRule="exact"/>
              <w:rPr>
                <w:rFonts w:ascii="宋体" w:hAnsi="宋体"/>
                <w:color w:val="auto"/>
                <w:szCs w:val="21"/>
                <w:highlight w:val="none"/>
              </w:rPr>
            </w:pPr>
            <w:r>
              <w:rPr>
                <w:rFonts w:hint="eastAsia" w:ascii="宋体" w:hAnsi="宋体"/>
                <w:color w:val="auto"/>
                <w:szCs w:val="21"/>
                <w:highlight w:val="none"/>
              </w:rPr>
              <w:t>1  ……</w:t>
            </w:r>
          </w:p>
          <w:p w14:paraId="4717969A">
            <w:pPr>
              <w:spacing w:line="340" w:lineRule="exact"/>
              <w:rPr>
                <w:rFonts w:ascii="宋体" w:hAnsi="宋体"/>
                <w:color w:val="auto"/>
                <w:szCs w:val="21"/>
                <w:highlight w:val="none"/>
              </w:rPr>
            </w:pPr>
            <w:r>
              <w:rPr>
                <w:rFonts w:hint="eastAsia" w:ascii="宋体" w:hAnsi="宋体"/>
                <w:color w:val="auto"/>
                <w:szCs w:val="21"/>
                <w:highlight w:val="none"/>
              </w:rPr>
              <w:t>2  ……</w:t>
            </w:r>
          </w:p>
          <w:p w14:paraId="2985B2DC">
            <w:pPr>
              <w:spacing w:line="340" w:lineRule="exact"/>
              <w:rPr>
                <w:rFonts w:ascii="宋体" w:hAnsi="宋体"/>
                <w:color w:val="auto"/>
                <w:szCs w:val="21"/>
                <w:highlight w:val="none"/>
              </w:rPr>
            </w:pPr>
            <w:r>
              <w:rPr>
                <w:rFonts w:hint="eastAsia" w:ascii="宋体" w:hAnsi="宋体"/>
                <w:color w:val="auto"/>
                <w:szCs w:val="21"/>
                <w:highlight w:val="none"/>
              </w:rPr>
              <w:t>3  ……</w:t>
            </w:r>
          </w:p>
          <w:p w14:paraId="63BBE74A">
            <w:pPr>
              <w:spacing w:line="340" w:lineRule="exact"/>
              <w:rPr>
                <w:rFonts w:ascii="宋体" w:hAnsi="宋体"/>
                <w:color w:val="auto"/>
                <w:szCs w:val="21"/>
                <w:highlight w:val="none"/>
              </w:rPr>
            </w:pPr>
            <w:r>
              <w:rPr>
                <w:rFonts w:hint="eastAsia" w:ascii="宋体" w:hAnsi="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4F1D47AB">
            <w:pPr>
              <w:spacing w:line="300" w:lineRule="exact"/>
              <w:rPr>
                <w:rFonts w:ascii="宋体" w:hAnsi="宋体"/>
                <w:color w:val="auto"/>
                <w:szCs w:val="21"/>
                <w:highlight w:val="none"/>
              </w:rPr>
            </w:pPr>
          </w:p>
        </w:tc>
      </w:tr>
      <w:tr w14:paraId="5FA15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5CB59C9F">
            <w:pPr>
              <w:spacing w:line="340" w:lineRule="exact"/>
              <w:rPr>
                <w:rFonts w:ascii="宋体" w:hAnsi="宋体"/>
                <w:color w:val="auto"/>
                <w:szCs w:val="21"/>
                <w:highlight w:val="none"/>
              </w:rPr>
            </w:pPr>
            <w:r>
              <w:rPr>
                <w:rFonts w:hint="eastAsia" w:ascii="宋体" w:hAnsi="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15D199FE">
            <w:pPr>
              <w:spacing w:line="340" w:lineRule="exact"/>
              <w:rPr>
                <w:rFonts w:ascii="宋体" w:hAnsi="宋体"/>
                <w:color w:val="auto"/>
                <w:szCs w:val="21"/>
                <w:highlight w:val="none"/>
              </w:rPr>
            </w:pPr>
            <w:r>
              <w:rPr>
                <w:rFonts w:hint="eastAsia" w:ascii="宋体" w:hAnsi="宋体"/>
                <w:color w:val="auto"/>
                <w:szCs w:val="21"/>
                <w:highlight w:val="none"/>
              </w:rPr>
              <w:t>1  ……</w:t>
            </w:r>
          </w:p>
          <w:p w14:paraId="3309C711">
            <w:pPr>
              <w:spacing w:line="340" w:lineRule="exact"/>
              <w:rPr>
                <w:rFonts w:ascii="宋体" w:hAnsi="宋体"/>
                <w:color w:val="auto"/>
                <w:szCs w:val="21"/>
                <w:highlight w:val="none"/>
              </w:rPr>
            </w:pPr>
            <w:r>
              <w:rPr>
                <w:rFonts w:hint="eastAsia" w:ascii="宋体" w:hAnsi="宋体"/>
                <w:color w:val="auto"/>
                <w:szCs w:val="21"/>
                <w:highlight w:val="none"/>
              </w:rPr>
              <w:t>2  ……</w:t>
            </w:r>
          </w:p>
          <w:p w14:paraId="218CE5A2">
            <w:pPr>
              <w:spacing w:line="340" w:lineRule="exact"/>
              <w:rPr>
                <w:rFonts w:ascii="宋体" w:hAnsi="宋体"/>
                <w:color w:val="auto"/>
                <w:szCs w:val="21"/>
                <w:highlight w:val="none"/>
              </w:rPr>
            </w:pPr>
            <w:r>
              <w:rPr>
                <w:rFonts w:hint="eastAsia" w:ascii="宋体" w:hAnsi="宋体"/>
                <w:color w:val="auto"/>
                <w:szCs w:val="21"/>
                <w:highlight w:val="none"/>
              </w:rPr>
              <w:t>3  ……</w:t>
            </w:r>
          </w:p>
          <w:p w14:paraId="15C76F49">
            <w:pPr>
              <w:spacing w:line="340" w:lineRule="exact"/>
              <w:rPr>
                <w:rFonts w:hint="eastAsia" w:ascii="宋体" w:hAnsi="宋体"/>
                <w:color w:val="auto"/>
                <w:szCs w:val="21"/>
                <w:highlight w:val="none"/>
              </w:rPr>
            </w:pPr>
            <w:r>
              <w:rPr>
                <w:rFonts w:hint="eastAsia" w:ascii="宋体" w:hAnsi="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75E0B2F2">
            <w:pPr>
              <w:spacing w:line="340" w:lineRule="exact"/>
              <w:rPr>
                <w:rFonts w:ascii="宋体" w:hAnsi="宋体"/>
                <w:color w:val="auto"/>
                <w:szCs w:val="21"/>
                <w:highlight w:val="none"/>
              </w:rPr>
            </w:pPr>
            <w:r>
              <w:rPr>
                <w:rFonts w:hint="eastAsia" w:ascii="宋体" w:hAnsi="宋体"/>
                <w:color w:val="auto"/>
                <w:szCs w:val="21"/>
                <w:highlight w:val="none"/>
              </w:rPr>
              <w:t>1  ……</w:t>
            </w:r>
          </w:p>
          <w:p w14:paraId="2B24A054">
            <w:pPr>
              <w:spacing w:line="340" w:lineRule="exact"/>
              <w:rPr>
                <w:rFonts w:ascii="宋体" w:hAnsi="宋体"/>
                <w:color w:val="auto"/>
                <w:szCs w:val="21"/>
                <w:highlight w:val="none"/>
              </w:rPr>
            </w:pPr>
            <w:r>
              <w:rPr>
                <w:rFonts w:hint="eastAsia" w:ascii="宋体" w:hAnsi="宋体"/>
                <w:color w:val="auto"/>
                <w:szCs w:val="21"/>
                <w:highlight w:val="none"/>
              </w:rPr>
              <w:t>2  ……</w:t>
            </w:r>
          </w:p>
          <w:p w14:paraId="643119D7">
            <w:pPr>
              <w:spacing w:line="340" w:lineRule="exact"/>
              <w:rPr>
                <w:rFonts w:ascii="宋体" w:hAnsi="宋体"/>
                <w:color w:val="auto"/>
                <w:szCs w:val="21"/>
                <w:highlight w:val="none"/>
              </w:rPr>
            </w:pPr>
            <w:r>
              <w:rPr>
                <w:rFonts w:hint="eastAsia" w:ascii="宋体" w:hAnsi="宋体"/>
                <w:color w:val="auto"/>
                <w:szCs w:val="21"/>
                <w:highlight w:val="none"/>
              </w:rPr>
              <w:t>3  ……</w:t>
            </w:r>
          </w:p>
          <w:p w14:paraId="6DE332F3">
            <w:pPr>
              <w:spacing w:line="340" w:lineRule="exact"/>
              <w:rPr>
                <w:rFonts w:ascii="宋体" w:hAnsi="宋体"/>
                <w:color w:val="auto"/>
                <w:szCs w:val="21"/>
                <w:highlight w:val="none"/>
              </w:rPr>
            </w:pPr>
            <w:r>
              <w:rPr>
                <w:rFonts w:hint="eastAsia" w:ascii="宋体" w:hAnsi="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74BE14DE">
            <w:pPr>
              <w:spacing w:line="300" w:lineRule="exact"/>
              <w:rPr>
                <w:rFonts w:ascii="宋体" w:hAnsi="宋体"/>
                <w:color w:val="auto"/>
                <w:szCs w:val="21"/>
                <w:highlight w:val="none"/>
              </w:rPr>
            </w:pPr>
          </w:p>
        </w:tc>
      </w:tr>
    </w:tbl>
    <w:p w14:paraId="04862DCF">
      <w:pPr>
        <w:pStyle w:val="13"/>
        <w:spacing w:line="400" w:lineRule="exact"/>
        <w:ind w:firstLine="0" w:firstLineChars="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注：</w:t>
      </w:r>
    </w:p>
    <w:p w14:paraId="63CB30CE">
      <w:pPr>
        <w:pStyle w:val="13"/>
        <w:spacing w:line="400" w:lineRule="exact"/>
        <w:ind w:firstLine="0" w:firstLineChars="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1.说明：应对照磋商文件</w:t>
      </w:r>
      <w:r>
        <w:rPr>
          <w:rFonts w:hint="eastAsia" w:ascii="宋体" w:hAnsi="宋体" w:eastAsia="宋体" w:cs="仿宋_GB2312"/>
          <w:b/>
          <w:bCs/>
          <w:color w:val="auto"/>
          <w:sz w:val="28"/>
          <w:szCs w:val="28"/>
          <w:highlight w:val="none"/>
        </w:rPr>
        <w:t>“第</w:t>
      </w:r>
      <w:r>
        <w:rPr>
          <w:rFonts w:hint="eastAsia" w:ascii="宋体" w:hAnsi="宋体" w:eastAsia="宋体" w:cs="仿宋_GB2312"/>
          <w:b/>
          <w:bCs/>
          <w:color w:val="auto"/>
          <w:sz w:val="28"/>
          <w:szCs w:val="28"/>
          <w:highlight w:val="none"/>
          <w:lang w:eastAsia="zh-CN"/>
        </w:rPr>
        <w:t>二</w:t>
      </w:r>
      <w:r>
        <w:rPr>
          <w:rFonts w:hint="eastAsia" w:ascii="宋体" w:hAnsi="宋体" w:eastAsia="宋体" w:cs="仿宋_GB2312"/>
          <w:b/>
          <w:bCs/>
          <w:color w:val="auto"/>
          <w:sz w:val="28"/>
          <w:szCs w:val="28"/>
          <w:highlight w:val="none"/>
        </w:rPr>
        <w:t>章 采购需求”中的</w:t>
      </w:r>
      <w:r>
        <w:rPr>
          <w:rFonts w:hint="eastAsia" w:ascii="宋体" w:hAnsi="宋体" w:eastAsia="宋体" w:cs="仿宋_GB2312"/>
          <w:b/>
          <w:bCs/>
          <w:color w:val="auto"/>
          <w:sz w:val="28"/>
          <w:szCs w:val="28"/>
          <w:highlight w:val="none"/>
          <w:lang w:eastAsia="zh-CN"/>
        </w:rPr>
        <w:t>商务条款</w:t>
      </w:r>
      <w:r>
        <w:rPr>
          <w:rFonts w:hint="eastAsia" w:ascii="宋体" w:hAnsi="宋体" w:eastAsia="宋体" w:cs="仿宋_GB2312"/>
          <w:b/>
          <w:bCs/>
          <w:color w:val="auto"/>
          <w:sz w:val="32"/>
          <w:szCs w:val="32"/>
          <w:highlight w:val="none"/>
        </w:rPr>
        <w:t>逐条</w:t>
      </w:r>
      <w:r>
        <w:rPr>
          <w:rFonts w:hint="eastAsia" w:ascii="宋体" w:hAnsi="宋体" w:eastAsia="宋体" w:cs="仿宋_GB2312"/>
          <w:b/>
          <w:bCs/>
          <w:color w:val="auto"/>
          <w:sz w:val="28"/>
          <w:szCs w:val="28"/>
          <w:highlight w:val="none"/>
        </w:rPr>
        <w:t>作出明确响应</w:t>
      </w:r>
      <w:r>
        <w:rPr>
          <w:rFonts w:hint="eastAsia" w:ascii="宋体" w:hAnsi="宋体" w:eastAsia="宋体" w:cs="仿宋_GB2312"/>
          <w:color w:val="auto"/>
          <w:sz w:val="24"/>
          <w:szCs w:val="24"/>
          <w:highlight w:val="none"/>
        </w:rPr>
        <w:t>，并作出偏离说明。</w:t>
      </w:r>
    </w:p>
    <w:p w14:paraId="2B921E77">
      <w:pPr>
        <w:pStyle w:val="13"/>
        <w:spacing w:line="400" w:lineRule="exact"/>
        <w:ind w:firstLine="0" w:firstLineChars="0"/>
        <w:contextualSpacing/>
        <w:rPr>
          <w:rFonts w:hint="eastAsia" w:ascii="宋体" w:hAnsi="宋体" w:eastAsia="宋体" w:cs="仿宋_GB2312"/>
          <w:color w:val="auto"/>
          <w:sz w:val="24"/>
          <w:szCs w:val="24"/>
          <w:highlight w:val="none"/>
          <w:lang w:eastAsia="zh-CN"/>
        </w:rPr>
      </w:pPr>
      <w:r>
        <w:rPr>
          <w:rFonts w:hint="eastAsia" w:ascii="宋体" w:hAnsi="宋体" w:eastAsia="宋体" w:cs="仿宋_GB2312"/>
          <w:color w:val="auto"/>
          <w:sz w:val="24"/>
          <w:szCs w:val="24"/>
          <w:highlight w:val="none"/>
        </w:rPr>
        <w:t>2.供应商应根据自身的承诺，对照磋商文件要求，在“偏离说明”中注明“正偏离”、“负偏离”或者“无偏离”。既不属于“正偏离”也不属于“负偏离”即为“无偏离”。</w:t>
      </w:r>
      <w:r>
        <w:rPr>
          <w:rFonts w:hint="eastAsia" w:ascii="宋体" w:hAnsi="宋体" w:cs="仿宋_GB2312"/>
          <w:color w:val="auto"/>
          <w:sz w:val="24"/>
          <w:szCs w:val="24"/>
          <w:highlight w:val="none"/>
        </w:rPr>
        <w:t xml:space="preserve"> 当响应文件的</w:t>
      </w:r>
      <w:r>
        <w:rPr>
          <w:rFonts w:hint="eastAsia" w:ascii="宋体" w:hAnsi="宋体" w:eastAsia="宋体" w:cs="仿宋_GB2312"/>
          <w:color w:val="auto"/>
          <w:sz w:val="24"/>
          <w:szCs w:val="24"/>
          <w:highlight w:val="none"/>
        </w:rPr>
        <w:t>商务内容低于竞争性磋商采购文件要求时，竞标人应当如实写明“负偏离”，否则视为虚假应标</w:t>
      </w:r>
      <w:r>
        <w:rPr>
          <w:rFonts w:hint="eastAsia" w:ascii="宋体" w:hAnsi="宋体" w:eastAsia="宋体" w:cs="仿宋_GB2312"/>
          <w:color w:val="auto"/>
          <w:sz w:val="24"/>
          <w:szCs w:val="24"/>
          <w:highlight w:val="none"/>
          <w:lang w:eastAsia="zh-CN"/>
        </w:rPr>
        <w:t>。</w:t>
      </w:r>
    </w:p>
    <w:p w14:paraId="6DCBAE84">
      <w:pPr>
        <w:spacing w:line="400" w:lineRule="exact"/>
        <w:rPr>
          <w:rFonts w:ascii="宋体" w:hAnsi="宋体" w:cs="仿宋_GB2312"/>
          <w:color w:val="auto"/>
          <w:kern w:val="0"/>
          <w:sz w:val="24"/>
          <w:highlight w:val="none"/>
        </w:rPr>
      </w:pPr>
      <w:r>
        <w:rPr>
          <w:rFonts w:hint="eastAsia" w:ascii="宋体" w:hAnsi="宋体" w:cs="仿宋_GB2312"/>
          <w:color w:val="auto"/>
          <w:kern w:val="0"/>
          <w:sz w:val="24"/>
          <w:highlight w:val="none"/>
        </w:rPr>
        <w:t>3</w:t>
      </w:r>
      <w:r>
        <w:rPr>
          <w:rFonts w:ascii="宋体" w:hAnsi="宋体" w:cs="仿宋_GB2312"/>
          <w:color w:val="auto"/>
          <w:kern w:val="0"/>
          <w:sz w:val="24"/>
          <w:highlight w:val="none"/>
        </w:rPr>
        <w:t>.</w:t>
      </w:r>
      <w:r>
        <w:rPr>
          <w:rFonts w:hint="eastAsia" w:ascii="宋体" w:hAnsi="宋体" w:cs="仿宋_GB2312"/>
          <w:color w:val="auto"/>
          <w:kern w:val="0"/>
          <w:sz w:val="24"/>
          <w:highlight w:val="none"/>
        </w:rPr>
        <w:t>表格内容均需按要求填写，不得留空，否则按竞标无效处理。</w:t>
      </w:r>
    </w:p>
    <w:p w14:paraId="486E7BB7">
      <w:pPr>
        <w:spacing w:line="360" w:lineRule="auto"/>
        <w:ind w:firstLine="3840" w:firstLineChars="1600"/>
        <w:rPr>
          <w:rFonts w:hint="eastAsia" w:ascii="仿宋_GB2312" w:hAnsi="仿宋" w:eastAsia="仿宋_GB2312" w:cs="仿宋_GB2312"/>
          <w:color w:val="auto"/>
          <w:kern w:val="0"/>
          <w:sz w:val="24"/>
          <w:highlight w:val="none"/>
        </w:rPr>
      </w:pPr>
    </w:p>
    <w:p w14:paraId="7F8AF1A8">
      <w:pPr>
        <w:spacing w:line="360" w:lineRule="auto"/>
        <w:ind w:firstLine="3840" w:firstLineChars="1600"/>
        <w:rPr>
          <w:rFonts w:ascii="宋体" w:hAnsi="宋体" w:cs="仿宋_GB2312"/>
          <w:color w:val="auto"/>
          <w:sz w:val="24"/>
          <w:highlight w:val="none"/>
        </w:rPr>
      </w:pPr>
      <w:r>
        <w:rPr>
          <w:rFonts w:hint="eastAsia" w:ascii="仿宋_GB2312" w:hAnsi="仿宋" w:eastAsia="仿宋_GB2312" w:cs="仿宋_GB2312"/>
          <w:color w:val="auto"/>
          <w:kern w:val="0"/>
          <w:sz w:val="24"/>
          <w:highlight w:val="none"/>
        </w:rPr>
        <w:t>供应商名称（电子签章）：</w:t>
      </w:r>
    </w:p>
    <w:p w14:paraId="4CB1ED89">
      <w:pPr>
        <w:spacing w:line="360" w:lineRule="auto"/>
        <w:contextualSpacing/>
        <w:jc w:val="center"/>
        <w:rPr>
          <w:rFonts w:hint="eastAsia" w:ascii="宋体" w:hAnsi="宋体" w:cs="仿宋_GB2312"/>
          <w:b/>
          <w:color w:val="auto"/>
          <w:sz w:val="24"/>
          <w:highlight w:val="none"/>
        </w:rPr>
      </w:pPr>
      <w:r>
        <w:rPr>
          <w:rFonts w:hint="eastAsia" w:ascii="仿宋_GB2312" w:hAnsi="仿宋" w:eastAsia="仿宋_GB2312" w:cs="仿宋_GB2312"/>
          <w:color w:val="auto"/>
          <w:kern w:val="0"/>
          <w:sz w:val="24"/>
          <w:highlight w:val="none"/>
          <w:lang w:val="zh-CN"/>
        </w:rPr>
        <w:t xml:space="preserve">                                                   日期：  年  月   日</w:t>
      </w:r>
    </w:p>
    <w:p w14:paraId="5BCF3D1E">
      <w:pPr>
        <w:snapToGrid w:val="0"/>
        <w:spacing w:before="120" w:beforeLines="50" w:after="50"/>
        <w:ind w:firstLine="602" w:firstLineChars="200"/>
        <w:rPr>
          <w:rFonts w:hint="eastAsia" w:ascii="仿宋" w:hAnsi="仿宋" w:eastAsia="仿宋" w:cs="仿宋_GB2312"/>
          <w:b/>
          <w:color w:val="auto"/>
          <w:sz w:val="30"/>
          <w:szCs w:val="30"/>
          <w:highlight w:val="none"/>
          <w:lang w:eastAsia="zh-CN"/>
        </w:rPr>
        <w:sectPr>
          <w:pgSz w:w="11910" w:h="16840"/>
          <w:pgMar w:top="1340" w:right="1500" w:bottom="280" w:left="1680" w:header="720" w:footer="720" w:gutter="0"/>
          <w:cols w:space="720" w:num="1"/>
        </w:sectPr>
      </w:pPr>
    </w:p>
    <w:p w14:paraId="7F12ED98">
      <w:pPr>
        <w:snapToGrid w:val="0"/>
        <w:spacing w:before="120" w:beforeLines="50" w:after="50"/>
        <w:ind w:firstLine="602" w:firstLineChars="200"/>
        <w:rPr>
          <w:rFonts w:hint="eastAsia"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lang w:eastAsia="zh-CN"/>
        </w:rPr>
        <w:t>五</w:t>
      </w:r>
      <w:r>
        <w:rPr>
          <w:rFonts w:hint="eastAsia" w:ascii="仿宋" w:hAnsi="仿宋" w:eastAsia="仿宋" w:cs="仿宋_GB2312"/>
          <w:b/>
          <w:color w:val="auto"/>
          <w:sz w:val="30"/>
          <w:szCs w:val="30"/>
          <w:highlight w:val="none"/>
        </w:rPr>
        <w:t>、供应商类似的业绩证明文件</w:t>
      </w:r>
    </w:p>
    <w:p w14:paraId="5B08E42A">
      <w:pPr>
        <w:pStyle w:val="23"/>
        <w:snapToGrid w:val="0"/>
        <w:ind w:left="480" w:hanging="480"/>
        <w:rPr>
          <w:rFonts w:hint="eastAsia" w:ascii="宋体" w:hAnsi="宋体"/>
          <w:color w:val="auto"/>
          <w:sz w:val="24"/>
          <w:highlight w:val="none"/>
        </w:rPr>
      </w:pPr>
    </w:p>
    <w:p w14:paraId="47FC1272">
      <w:pPr>
        <w:pStyle w:val="23"/>
        <w:snapToGrid w:val="0"/>
        <w:ind w:left="480" w:hanging="480"/>
        <w:rPr>
          <w:rFonts w:hint="eastAsia" w:ascii="宋体" w:hAnsi="宋体"/>
          <w:color w:val="auto"/>
          <w:sz w:val="24"/>
          <w:highlight w:val="none"/>
        </w:rPr>
      </w:pPr>
    </w:p>
    <w:p w14:paraId="7C8E958F">
      <w:pPr>
        <w:autoSpaceDE w:val="0"/>
        <w:autoSpaceDN w:val="0"/>
        <w:spacing w:line="360" w:lineRule="auto"/>
        <w:ind w:firstLine="120"/>
        <w:rPr>
          <w:rFonts w:hint="eastAsia" w:ascii="宋体" w:hAnsi="宋体"/>
          <w:color w:val="auto"/>
          <w:sz w:val="24"/>
          <w:highlight w:val="none"/>
        </w:rPr>
      </w:pPr>
      <w:r>
        <w:rPr>
          <w:rFonts w:hint="eastAsia" w:ascii="仿宋_GB2312" w:hAnsi="仿宋" w:eastAsia="仿宋_GB2312" w:cs="仿宋_GB2312"/>
          <w:b/>
          <w:color w:val="auto"/>
          <w:sz w:val="24"/>
          <w:highlight w:val="none"/>
        </w:rPr>
        <w:t>附表 :相关项目业绩一览表</w:t>
      </w:r>
    </w:p>
    <w:p w14:paraId="4B81374E">
      <w:pPr>
        <w:pStyle w:val="23"/>
        <w:snapToGrid w:val="0"/>
        <w:ind w:left="480" w:hanging="480"/>
        <w:rPr>
          <w:rFonts w:hint="eastAsia" w:ascii="宋体" w:hAnsi="宋体"/>
          <w:color w:val="auto"/>
          <w:sz w:val="24"/>
          <w:highlight w:val="none"/>
        </w:rPr>
      </w:pPr>
    </w:p>
    <w:tbl>
      <w:tblPr>
        <w:tblStyle w:val="28"/>
        <w:tblW w:w="1031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4"/>
        <w:gridCol w:w="1843"/>
        <w:gridCol w:w="1134"/>
        <w:gridCol w:w="1134"/>
        <w:gridCol w:w="1701"/>
        <w:gridCol w:w="1276"/>
        <w:gridCol w:w="1842"/>
      </w:tblGrid>
      <w:tr w14:paraId="116F27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jc w:val="center"/>
        </w:trPr>
        <w:tc>
          <w:tcPr>
            <w:tcW w:w="1384" w:type="dxa"/>
            <w:vMerge w:val="restart"/>
            <w:tcBorders>
              <w:top w:val="single" w:color="auto" w:sz="4" w:space="0"/>
              <w:left w:val="single" w:color="auto" w:sz="4" w:space="0"/>
              <w:bottom w:val="single" w:color="auto" w:sz="4" w:space="0"/>
              <w:right w:val="single" w:color="auto" w:sz="4" w:space="0"/>
            </w:tcBorders>
            <w:noWrap w:val="0"/>
            <w:vAlign w:val="center"/>
          </w:tcPr>
          <w:p w14:paraId="1CBDC7CE">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采购人名称</w:t>
            </w:r>
          </w:p>
        </w:tc>
        <w:tc>
          <w:tcPr>
            <w:tcW w:w="1843" w:type="dxa"/>
            <w:vMerge w:val="restart"/>
            <w:tcBorders>
              <w:top w:val="single" w:color="auto" w:sz="4" w:space="0"/>
              <w:left w:val="single" w:color="auto" w:sz="4" w:space="0"/>
              <w:bottom w:val="single" w:color="auto" w:sz="4" w:space="0"/>
              <w:right w:val="single" w:color="auto" w:sz="4" w:space="0"/>
            </w:tcBorders>
            <w:noWrap w:val="0"/>
            <w:vAlign w:val="center"/>
          </w:tcPr>
          <w:p w14:paraId="43E7C413">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项目名称</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14:paraId="6F2BB2F6">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合同</w:t>
            </w:r>
          </w:p>
          <w:p w14:paraId="6B6ACFB9">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金额</w:t>
            </w:r>
          </w:p>
          <w:p w14:paraId="06C1F514">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（万元）</w:t>
            </w:r>
          </w:p>
        </w:tc>
        <w:tc>
          <w:tcPr>
            <w:tcW w:w="4111" w:type="dxa"/>
            <w:gridSpan w:val="3"/>
            <w:tcBorders>
              <w:top w:val="single" w:color="auto" w:sz="4" w:space="0"/>
              <w:left w:val="single" w:color="auto" w:sz="4" w:space="0"/>
              <w:bottom w:val="single" w:color="auto" w:sz="4" w:space="0"/>
              <w:right w:val="single" w:color="auto" w:sz="4" w:space="0"/>
            </w:tcBorders>
            <w:noWrap w:val="0"/>
            <w:vAlign w:val="center"/>
          </w:tcPr>
          <w:p w14:paraId="3BC671D4">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附件在响应文件中页码</w:t>
            </w:r>
          </w:p>
        </w:tc>
        <w:tc>
          <w:tcPr>
            <w:tcW w:w="1842" w:type="dxa"/>
            <w:vMerge w:val="restart"/>
            <w:tcBorders>
              <w:top w:val="single" w:color="auto" w:sz="4" w:space="0"/>
              <w:left w:val="single" w:color="auto" w:sz="4" w:space="0"/>
              <w:bottom w:val="single" w:color="auto" w:sz="4" w:space="0"/>
              <w:right w:val="single" w:color="auto" w:sz="4" w:space="0"/>
            </w:tcBorders>
            <w:noWrap w:val="0"/>
            <w:vAlign w:val="center"/>
          </w:tcPr>
          <w:p w14:paraId="570E6FAC">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采购人联系人及联系电话</w:t>
            </w:r>
          </w:p>
        </w:tc>
      </w:tr>
      <w:tr w14:paraId="2D57C1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jc w:val="center"/>
        </w:trPr>
        <w:tc>
          <w:tcPr>
            <w:tcW w:w="1384" w:type="dxa"/>
            <w:vMerge w:val="continue"/>
            <w:tcBorders>
              <w:top w:val="single" w:color="auto" w:sz="4" w:space="0"/>
              <w:left w:val="single" w:color="auto" w:sz="4" w:space="0"/>
              <w:bottom w:val="single" w:color="auto" w:sz="4" w:space="0"/>
              <w:right w:val="single" w:color="auto" w:sz="4" w:space="0"/>
            </w:tcBorders>
            <w:noWrap w:val="0"/>
            <w:vAlign w:val="center"/>
          </w:tcPr>
          <w:p w14:paraId="3978CAFE">
            <w:pPr>
              <w:jc w:val="left"/>
              <w:rPr>
                <w:rFonts w:hint="eastAsia" w:ascii="宋体" w:hAnsi="宋体"/>
                <w:color w:val="auto"/>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noWrap w:val="0"/>
            <w:vAlign w:val="center"/>
          </w:tcPr>
          <w:p w14:paraId="6D339A90">
            <w:pPr>
              <w:jc w:val="left"/>
              <w:rPr>
                <w:rFonts w:hint="eastAsia" w:ascii="宋体" w:hAnsi="宋体"/>
                <w:color w:val="auto"/>
                <w:sz w:val="24"/>
                <w:highlight w:val="none"/>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69E0CE52">
            <w:pPr>
              <w:jc w:val="left"/>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48DD0A7">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合同</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6057077">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验收报告</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68063D6">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用户评价</w:t>
            </w:r>
          </w:p>
        </w:tc>
        <w:tc>
          <w:tcPr>
            <w:tcW w:w="1842" w:type="dxa"/>
            <w:vMerge w:val="continue"/>
            <w:tcBorders>
              <w:top w:val="single" w:color="auto" w:sz="4" w:space="0"/>
              <w:left w:val="single" w:color="auto" w:sz="4" w:space="0"/>
              <w:bottom w:val="single" w:color="auto" w:sz="4" w:space="0"/>
              <w:right w:val="single" w:color="auto" w:sz="4" w:space="0"/>
            </w:tcBorders>
            <w:noWrap w:val="0"/>
            <w:vAlign w:val="center"/>
          </w:tcPr>
          <w:p w14:paraId="30337745">
            <w:pPr>
              <w:jc w:val="left"/>
              <w:rPr>
                <w:rFonts w:hint="eastAsia" w:ascii="宋体" w:hAnsi="宋体"/>
                <w:color w:val="auto"/>
                <w:sz w:val="24"/>
                <w:highlight w:val="none"/>
              </w:rPr>
            </w:pPr>
          </w:p>
        </w:tc>
      </w:tr>
      <w:tr w14:paraId="40741B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1384" w:type="dxa"/>
            <w:tcBorders>
              <w:top w:val="single" w:color="auto" w:sz="4" w:space="0"/>
              <w:left w:val="single" w:color="auto" w:sz="4" w:space="0"/>
              <w:bottom w:val="single" w:color="auto" w:sz="4" w:space="0"/>
              <w:right w:val="single" w:color="auto" w:sz="4" w:space="0"/>
            </w:tcBorders>
            <w:noWrap w:val="0"/>
            <w:vAlign w:val="top"/>
          </w:tcPr>
          <w:p w14:paraId="212CDEA5">
            <w:pPr>
              <w:snapToGrid w:val="0"/>
              <w:spacing w:line="240" w:lineRule="exact"/>
              <w:jc w:val="left"/>
              <w:rPr>
                <w:rFonts w:hint="eastAsia" w:ascii="宋体" w:hAnsi="宋体"/>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51DDF397">
            <w:pPr>
              <w:snapToGrid w:val="0"/>
              <w:spacing w:line="240" w:lineRule="exact"/>
              <w:jc w:val="left"/>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7D9D224F">
            <w:pPr>
              <w:snapToGrid w:val="0"/>
              <w:spacing w:line="240" w:lineRule="exact"/>
              <w:jc w:val="left"/>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5F928D59">
            <w:pPr>
              <w:snapToGrid w:val="0"/>
              <w:spacing w:line="240" w:lineRule="exact"/>
              <w:jc w:val="left"/>
              <w:rPr>
                <w:rFonts w:hint="eastAsia"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34A7738F">
            <w:pPr>
              <w:snapToGrid w:val="0"/>
              <w:spacing w:line="240" w:lineRule="exact"/>
              <w:jc w:val="left"/>
              <w:rPr>
                <w:rFonts w:hint="eastAsia"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078D4A7">
            <w:pPr>
              <w:snapToGrid w:val="0"/>
              <w:spacing w:line="240" w:lineRule="exact"/>
              <w:jc w:val="left"/>
              <w:rPr>
                <w:rFonts w:hint="eastAsia"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34B719B3">
            <w:pPr>
              <w:snapToGrid w:val="0"/>
              <w:spacing w:line="240" w:lineRule="exact"/>
              <w:jc w:val="left"/>
              <w:rPr>
                <w:rFonts w:hint="eastAsia" w:ascii="宋体" w:hAnsi="宋体"/>
                <w:color w:val="auto"/>
                <w:sz w:val="24"/>
                <w:highlight w:val="none"/>
              </w:rPr>
            </w:pPr>
          </w:p>
        </w:tc>
      </w:tr>
      <w:tr w14:paraId="6339EB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84" w:type="dxa"/>
            <w:tcBorders>
              <w:top w:val="single" w:color="auto" w:sz="4" w:space="0"/>
              <w:left w:val="single" w:color="auto" w:sz="4" w:space="0"/>
              <w:bottom w:val="single" w:color="auto" w:sz="4" w:space="0"/>
              <w:right w:val="single" w:color="auto" w:sz="4" w:space="0"/>
            </w:tcBorders>
            <w:noWrap w:val="0"/>
            <w:vAlign w:val="top"/>
          </w:tcPr>
          <w:p w14:paraId="12E6C1D4">
            <w:pPr>
              <w:snapToGrid w:val="0"/>
              <w:spacing w:before="50" w:after="120" w:afterLines="50" w:line="400" w:lineRule="exact"/>
              <w:jc w:val="left"/>
              <w:rPr>
                <w:rFonts w:hint="eastAsia" w:ascii="宋体" w:hAnsi="宋体"/>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1D181008">
            <w:pPr>
              <w:snapToGrid w:val="0"/>
              <w:spacing w:before="50" w:after="120" w:afterLines="50" w:line="400" w:lineRule="exact"/>
              <w:jc w:val="left"/>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6AD98E69">
            <w:pPr>
              <w:snapToGrid w:val="0"/>
              <w:spacing w:before="50" w:after="120" w:afterLines="50" w:line="400" w:lineRule="exact"/>
              <w:jc w:val="left"/>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057E0548">
            <w:pPr>
              <w:snapToGrid w:val="0"/>
              <w:spacing w:before="50" w:after="120" w:afterLines="50" w:line="400" w:lineRule="exact"/>
              <w:jc w:val="left"/>
              <w:rPr>
                <w:rFonts w:hint="eastAsia"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18BAF1AF">
            <w:pPr>
              <w:snapToGrid w:val="0"/>
              <w:spacing w:before="50" w:after="120" w:afterLines="50" w:line="400" w:lineRule="exact"/>
              <w:jc w:val="left"/>
              <w:rPr>
                <w:rFonts w:hint="eastAsia"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18CCDB1">
            <w:pPr>
              <w:snapToGrid w:val="0"/>
              <w:spacing w:before="50" w:after="120" w:afterLines="50" w:line="400" w:lineRule="exact"/>
              <w:jc w:val="left"/>
              <w:rPr>
                <w:rFonts w:hint="eastAsia"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0CE4A6BF">
            <w:pPr>
              <w:snapToGrid w:val="0"/>
              <w:spacing w:before="50" w:after="120" w:afterLines="50" w:line="400" w:lineRule="exact"/>
              <w:jc w:val="left"/>
              <w:rPr>
                <w:rFonts w:hint="eastAsia" w:ascii="宋体" w:hAnsi="宋体"/>
                <w:color w:val="auto"/>
                <w:sz w:val="24"/>
                <w:highlight w:val="none"/>
              </w:rPr>
            </w:pPr>
          </w:p>
        </w:tc>
      </w:tr>
      <w:tr w14:paraId="5CAA8A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384" w:type="dxa"/>
            <w:tcBorders>
              <w:top w:val="single" w:color="auto" w:sz="4" w:space="0"/>
              <w:left w:val="single" w:color="auto" w:sz="4" w:space="0"/>
              <w:bottom w:val="single" w:color="auto" w:sz="4" w:space="0"/>
              <w:right w:val="single" w:color="auto" w:sz="4" w:space="0"/>
            </w:tcBorders>
            <w:noWrap w:val="0"/>
            <w:vAlign w:val="top"/>
          </w:tcPr>
          <w:p w14:paraId="102582DD">
            <w:pPr>
              <w:snapToGrid w:val="0"/>
              <w:spacing w:before="50" w:after="120" w:afterLines="50" w:line="400" w:lineRule="exact"/>
              <w:jc w:val="left"/>
              <w:rPr>
                <w:rFonts w:hint="eastAsia" w:ascii="宋体" w:hAnsi="宋体"/>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432496EC">
            <w:pPr>
              <w:snapToGrid w:val="0"/>
              <w:spacing w:before="50" w:after="120" w:afterLines="50" w:line="400" w:lineRule="exact"/>
              <w:jc w:val="left"/>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54EBBECC">
            <w:pPr>
              <w:snapToGrid w:val="0"/>
              <w:spacing w:before="50" w:after="120" w:afterLines="50" w:line="400" w:lineRule="exact"/>
              <w:jc w:val="left"/>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5E43445C">
            <w:pPr>
              <w:snapToGrid w:val="0"/>
              <w:spacing w:before="50" w:after="120" w:afterLines="50" w:line="400" w:lineRule="exact"/>
              <w:jc w:val="left"/>
              <w:rPr>
                <w:rFonts w:hint="eastAsia"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19265736">
            <w:pPr>
              <w:snapToGrid w:val="0"/>
              <w:spacing w:before="50" w:after="120" w:afterLines="50" w:line="400" w:lineRule="exact"/>
              <w:jc w:val="left"/>
              <w:rPr>
                <w:rFonts w:hint="eastAsia"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4752AD0">
            <w:pPr>
              <w:snapToGrid w:val="0"/>
              <w:spacing w:before="50" w:after="120" w:afterLines="50" w:line="400" w:lineRule="exact"/>
              <w:jc w:val="left"/>
              <w:rPr>
                <w:rFonts w:hint="eastAsia"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68182188">
            <w:pPr>
              <w:snapToGrid w:val="0"/>
              <w:spacing w:before="50" w:after="120" w:afterLines="50" w:line="400" w:lineRule="exact"/>
              <w:jc w:val="left"/>
              <w:rPr>
                <w:rFonts w:hint="eastAsia" w:ascii="宋体" w:hAnsi="宋体"/>
                <w:color w:val="auto"/>
                <w:sz w:val="24"/>
                <w:highlight w:val="none"/>
              </w:rPr>
            </w:pPr>
          </w:p>
        </w:tc>
      </w:tr>
      <w:tr w14:paraId="1D8F81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84" w:type="dxa"/>
            <w:tcBorders>
              <w:top w:val="single" w:color="auto" w:sz="4" w:space="0"/>
              <w:left w:val="single" w:color="auto" w:sz="4" w:space="0"/>
              <w:bottom w:val="single" w:color="auto" w:sz="4" w:space="0"/>
              <w:right w:val="single" w:color="auto" w:sz="4" w:space="0"/>
            </w:tcBorders>
            <w:noWrap w:val="0"/>
            <w:vAlign w:val="top"/>
          </w:tcPr>
          <w:p w14:paraId="726DCC5E">
            <w:pPr>
              <w:snapToGrid w:val="0"/>
              <w:spacing w:before="50" w:after="120" w:afterLines="50" w:line="400" w:lineRule="exact"/>
              <w:jc w:val="left"/>
              <w:rPr>
                <w:rFonts w:hint="eastAsia" w:ascii="宋体" w:hAnsi="宋体"/>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1B0DEC64">
            <w:pPr>
              <w:snapToGrid w:val="0"/>
              <w:spacing w:before="50" w:after="120" w:afterLines="50" w:line="400" w:lineRule="exact"/>
              <w:jc w:val="left"/>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3587C5BF">
            <w:pPr>
              <w:snapToGrid w:val="0"/>
              <w:spacing w:before="50" w:after="120" w:afterLines="50" w:line="400" w:lineRule="exact"/>
              <w:jc w:val="left"/>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3EC21672">
            <w:pPr>
              <w:snapToGrid w:val="0"/>
              <w:spacing w:before="50" w:after="120" w:afterLines="50" w:line="400" w:lineRule="exact"/>
              <w:jc w:val="left"/>
              <w:rPr>
                <w:rFonts w:hint="eastAsia"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429A4874">
            <w:pPr>
              <w:snapToGrid w:val="0"/>
              <w:spacing w:before="50" w:after="120" w:afterLines="50" w:line="400" w:lineRule="exact"/>
              <w:jc w:val="left"/>
              <w:rPr>
                <w:rFonts w:hint="eastAsia"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D157BDB">
            <w:pPr>
              <w:snapToGrid w:val="0"/>
              <w:spacing w:before="50" w:after="120" w:afterLines="50" w:line="400" w:lineRule="exact"/>
              <w:jc w:val="left"/>
              <w:rPr>
                <w:rFonts w:hint="eastAsia"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799E2399">
            <w:pPr>
              <w:snapToGrid w:val="0"/>
              <w:spacing w:before="50" w:after="120" w:afterLines="50" w:line="400" w:lineRule="exact"/>
              <w:jc w:val="left"/>
              <w:rPr>
                <w:rFonts w:hint="eastAsia" w:ascii="宋体" w:hAnsi="宋体"/>
                <w:color w:val="auto"/>
                <w:sz w:val="24"/>
                <w:highlight w:val="none"/>
              </w:rPr>
            </w:pPr>
          </w:p>
        </w:tc>
      </w:tr>
      <w:tr w14:paraId="4956BE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84" w:type="dxa"/>
            <w:tcBorders>
              <w:top w:val="single" w:color="auto" w:sz="4" w:space="0"/>
              <w:left w:val="single" w:color="auto" w:sz="4" w:space="0"/>
              <w:bottom w:val="single" w:color="auto" w:sz="4" w:space="0"/>
              <w:right w:val="single" w:color="auto" w:sz="4" w:space="0"/>
            </w:tcBorders>
            <w:noWrap w:val="0"/>
            <w:vAlign w:val="top"/>
          </w:tcPr>
          <w:p w14:paraId="15FD3343">
            <w:pPr>
              <w:snapToGrid w:val="0"/>
              <w:spacing w:before="50" w:after="120" w:afterLines="50" w:line="400" w:lineRule="exact"/>
              <w:jc w:val="left"/>
              <w:rPr>
                <w:rFonts w:hint="eastAsia" w:ascii="宋体" w:hAnsi="宋体"/>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1C8CB79C">
            <w:pPr>
              <w:snapToGrid w:val="0"/>
              <w:spacing w:before="50" w:after="120" w:afterLines="50" w:line="400" w:lineRule="exact"/>
              <w:jc w:val="left"/>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44A084A2">
            <w:pPr>
              <w:snapToGrid w:val="0"/>
              <w:spacing w:before="50" w:after="120" w:afterLines="50" w:line="400" w:lineRule="exact"/>
              <w:jc w:val="left"/>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75B2F079">
            <w:pPr>
              <w:snapToGrid w:val="0"/>
              <w:spacing w:before="50" w:after="120" w:afterLines="50" w:line="400" w:lineRule="exact"/>
              <w:jc w:val="left"/>
              <w:rPr>
                <w:rFonts w:hint="eastAsia"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6E976B4C">
            <w:pPr>
              <w:snapToGrid w:val="0"/>
              <w:spacing w:before="50" w:after="120" w:afterLines="50" w:line="400" w:lineRule="exact"/>
              <w:jc w:val="left"/>
              <w:rPr>
                <w:rFonts w:hint="eastAsia"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0747CE4">
            <w:pPr>
              <w:snapToGrid w:val="0"/>
              <w:spacing w:before="50" w:after="120" w:afterLines="50" w:line="400" w:lineRule="exact"/>
              <w:jc w:val="left"/>
              <w:rPr>
                <w:rFonts w:hint="eastAsia"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12526EDD">
            <w:pPr>
              <w:snapToGrid w:val="0"/>
              <w:spacing w:before="50" w:after="120" w:afterLines="50" w:line="400" w:lineRule="exact"/>
              <w:jc w:val="left"/>
              <w:rPr>
                <w:rFonts w:hint="eastAsia" w:ascii="宋体" w:hAnsi="宋体"/>
                <w:color w:val="auto"/>
                <w:sz w:val="24"/>
                <w:highlight w:val="none"/>
              </w:rPr>
            </w:pPr>
          </w:p>
        </w:tc>
      </w:tr>
    </w:tbl>
    <w:p w14:paraId="5E50F5C3">
      <w:pPr>
        <w:pStyle w:val="23"/>
        <w:snapToGrid w:val="0"/>
        <w:ind w:left="480" w:hanging="480"/>
        <w:rPr>
          <w:rFonts w:hint="eastAsia" w:ascii="宋体" w:hAnsi="宋体"/>
          <w:color w:val="auto"/>
          <w:sz w:val="24"/>
          <w:highlight w:val="none"/>
        </w:rPr>
      </w:pPr>
    </w:p>
    <w:p w14:paraId="3C3E3DCD">
      <w:pPr>
        <w:pStyle w:val="23"/>
        <w:snapToGrid w:val="0"/>
        <w:ind w:left="480" w:hanging="480"/>
        <w:rPr>
          <w:rFonts w:hint="eastAsia" w:ascii="宋体" w:hAnsi="宋体"/>
          <w:color w:val="auto"/>
          <w:sz w:val="24"/>
          <w:highlight w:val="none"/>
        </w:rPr>
      </w:pPr>
    </w:p>
    <w:p w14:paraId="5B8ADAB8">
      <w:pPr>
        <w:pStyle w:val="16"/>
        <w:spacing w:line="360" w:lineRule="auto"/>
        <w:ind w:left="72"/>
        <w:rPr>
          <w:rFonts w:hint="eastAsia" w:ascii="Times New Roman" w:hAnsi="Times New Roman" w:eastAsia="宋体"/>
          <w:color w:val="auto"/>
          <w:highlight w:val="none"/>
          <w:lang w:eastAsia="zh-CN"/>
        </w:rPr>
      </w:pPr>
      <w:r>
        <w:rPr>
          <w:rFonts w:hint="eastAsia" w:ascii="Times New Roman" w:hAnsi="Times New Roman"/>
          <w:color w:val="auto"/>
          <w:highlight w:val="none"/>
        </w:rPr>
        <w:t>注：供应商可按</w:t>
      </w:r>
      <w:r>
        <w:rPr>
          <w:rFonts w:hint="eastAsia" w:ascii="Times New Roman" w:hAnsi="Times New Roman"/>
          <w:color w:val="auto"/>
          <w:highlight w:val="none"/>
          <w:lang w:eastAsia="zh-CN"/>
        </w:rPr>
        <w:t>上</w:t>
      </w:r>
      <w:r>
        <w:rPr>
          <w:rFonts w:hint="eastAsia" w:ascii="Times New Roman" w:hAnsi="Times New Roman"/>
          <w:color w:val="auto"/>
          <w:highlight w:val="none"/>
        </w:rPr>
        <w:t>述的格式自行编制</w:t>
      </w:r>
      <w:r>
        <w:rPr>
          <w:rFonts w:hint="eastAsia" w:ascii="Times New Roman" w:hAnsi="Times New Roman"/>
          <w:color w:val="auto"/>
          <w:highlight w:val="none"/>
          <w:lang w:eastAsia="zh-CN"/>
        </w:rPr>
        <w:t>。</w:t>
      </w:r>
    </w:p>
    <w:p w14:paraId="0F755068">
      <w:pPr>
        <w:snapToGrid w:val="0"/>
        <w:spacing w:line="360" w:lineRule="auto"/>
        <w:ind w:firstLine="4935" w:firstLineChars="2350"/>
        <w:rPr>
          <w:rFonts w:hint="eastAsia" w:hAnsi="宋体"/>
          <w:color w:val="auto"/>
          <w:szCs w:val="21"/>
          <w:highlight w:val="none"/>
        </w:rPr>
      </w:pPr>
    </w:p>
    <w:p w14:paraId="46274E8F">
      <w:pPr>
        <w:snapToGrid w:val="0"/>
        <w:spacing w:line="360" w:lineRule="auto"/>
        <w:ind w:left="4410" w:leftChars="2100" w:firstLine="5670" w:firstLineChars="2700"/>
        <w:rPr>
          <w:rFonts w:hint="eastAsia" w:ascii="仿宋_GB2312" w:hAnsi="仿宋" w:eastAsia="仿宋_GB2312" w:cs="仿宋_GB2312"/>
          <w:color w:val="auto"/>
          <w:kern w:val="0"/>
          <w:sz w:val="24"/>
          <w:highlight w:val="none"/>
        </w:rPr>
      </w:pPr>
      <w:r>
        <w:rPr>
          <w:rFonts w:hAnsi="宋体"/>
          <w:color w:val="auto"/>
          <w:szCs w:val="21"/>
          <w:highlight w:val="none"/>
        </w:rPr>
        <w:t xml:space="preserve"> </w:t>
      </w:r>
      <w:r>
        <w:rPr>
          <w:rFonts w:hint="eastAsia" w:ascii="仿宋_GB2312" w:hAnsi="仿宋" w:eastAsia="仿宋_GB2312" w:cs="仿宋_GB2312"/>
          <w:color w:val="auto"/>
          <w:kern w:val="0"/>
          <w:sz w:val="24"/>
          <w:highlight w:val="none"/>
          <w:lang w:val="zh-CN"/>
        </w:rPr>
        <w:t>供应商名称(电子签章)：</w:t>
      </w:r>
    </w:p>
    <w:p w14:paraId="14259D3C">
      <w:pPr>
        <w:spacing w:line="500" w:lineRule="exact"/>
        <w:jc w:val="center"/>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43B233E5">
      <w:pPr>
        <w:pStyle w:val="19"/>
        <w:rPr>
          <w:rFonts w:hint="eastAsia" w:ascii="仿宋_GB2312" w:hAnsi="仿宋" w:eastAsia="仿宋_GB2312" w:cs="仿宋_GB2312"/>
          <w:color w:val="auto"/>
          <w:kern w:val="0"/>
          <w:sz w:val="24"/>
          <w:highlight w:val="none"/>
          <w:lang w:val="zh-CN"/>
        </w:rPr>
      </w:pPr>
    </w:p>
    <w:p w14:paraId="53759475">
      <w:pPr>
        <w:snapToGrid w:val="0"/>
        <w:spacing w:line="360" w:lineRule="auto"/>
        <w:ind w:firstLine="602" w:firstLineChars="200"/>
        <w:jc w:val="center"/>
        <w:rPr>
          <w:rFonts w:hint="eastAsia" w:ascii="仿宋" w:hAnsi="仿宋" w:eastAsia="仿宋" w:cs="仿宋_GB2312"/>
          <w:b/>
          <w:color w:val="auto"/>
          <w:sz w:val="30"/>
          <w:szCs w:val="30"/>
          <w:highlight w:val="none"/>
        </w:rPr>
      </w:pPr>
    </w:p>
    <w:p w14:paraId="192A3ADC">
      <w:pPr>
        <w:snapToGrid w:val="0"/>
        <w:spacing w:line="360" w:lineRule="auto"/>
        <w:ind w:firstLine="602" w:firstLineChars="200"/>
        <w:jc w:val="center"/>
        <w:rPr>
          <w:rFonts w:hint="eastAsia" w:ascii="仿宋" w:hAnsi="仿宋" w:eastAsia="仿宋" w:cs="仿宋_GB2312"/>
          <w:b/>
          <w:color w:val="auto"/>
          <w:sz w:val="30"/>
          <w:szCs w:val="30"/>
          <w:highlight w:val="none"/>
          <w:lang w:eastAsia="zh-CN"/>
        </w:rPr>
        <w:sectPr>
          <w:pgSz w:w="11910" w:h="16840"/>
          <w:pgMar w:top="1340" w:right="1500" w:bottom="280" w:left="1680" w:header="720" w:footer="720" w:gutter="0"/>
          <w:cols w:space="720" w:num="1"/>
        </w:sectPr>
      </w:pPr>
    </w:p>
    <w:p w14:paraId="102E506D">
      <w:pPr>
        <w:snapToGrid w:val="0"/>
        <w:spacing w:line="360" w:lineRule="auto"/>
        <w:ind w:firstLine="602" w:firstLineChars="200"/>
        <w:jc w:val="center"/>
        <w:rPr>
          <w:rFonts w:hint="eastAsia" w:ascii="仿宋_GB2312" w:hAnsi="仿宋_GB2312" w:eastAsia="仿宋" w:cs="仿宋_GB2312"/>
          <w:color w:val="auto"/>
          <w:sz w:val="32"/>
          <w:szCs w:val="32"/>
          <w:highlight w:val="none"/>
          <w:lang w:eastAsia="zh-CN"/>
        </w:rPr>
      </w:pPr>
      <w:r>
        <w:rPr>
          <w:rFonts w:hint="eastAsia" w:ascii="仿宋" w:hAnsi="仿宋" w:eastAsia="仿宋" w:cs="仿宋_GB2312"/>
          <w:b/>
          <w:color w:val="auto"/>
          <w:sz w:val="30"/>
          <w:szCs w:val="30"/>
          <w:highlight w:val="none"/>
          <w:lang w:eastAsia="zh-CN"/>
        </w:rPr>
        <w:t>六</w:t>
      </w:r>
      <w:r>
        <w:rPr>
          <w:rFonts w:hint="eastAsia" w:ascii="仿宋" w:hAnsi="仿宋" w:eastAsia="仿宋" w:cs="仿宋_GB2312"/>
          <w:b/>
          <w:color w:val="auto"/>
          <w:sz w:val="30"/>
          <w:szCs w:val="30"/>
          <w:highlight w:val="none"/>
        </w:rPr>
        <w:t>、</w:t>
      </w:r>
      <w:r>
        <w:rPr>
          <w:rFonts w:hint="eastAsia" w:ascii="仿宋" w:hAnsi="仿宋" w:eastAsia="仿宋" w:cs="仿宋_GB2312"/>
          <w:b/>
          <w:color w:val="auto"/>
          <w:sz w:val="30"/>
          <w:szCs w:val="30"/>
          <w:highlight w:val="none"/>
          <w:lang w:eastAsia="zh-CN"/>
        </w:rPr>
        <w:t>技术需求偏离表</w:t>
      </w:r>
    </w:p>
    <w:p w14:paraId="3C231B3C">
      <w:pPr>
        <w:spacing w:line="360" w:lineRule="auto"/>
        <w:contextualSpacing/>
        <w:jc w:val="left"/>
        <w:rPr>
          <w:rFonts w:hint="eastAsia" w:ascii="宋体" w:hAnsi="宋体"/>
          <w:color w:val="auto"/>
          <w:sz w:val="24"/>
          <w:highlight w:val="none"/>
        </w:rPr>
      </w:pPr>
    </w:p>
    <w:p w14:paraId="03506450">
      <w:pPr>
        <w:pStyle w:val="16"/>
        <w:spacing w:line="360" w:lineRule="auto"/>
        <w:contextualSpacing/>
        <w:rPr>
          <w:rFonts w:hint="eastAsia" w:hAnsi="宋体" w:cs="仿宋_GB2312"/>
          <w:color w:val="auto"/>
          <w:sz w:val="24"/>
          <w:szCs w:val="24"/>
          <w:highlight w:val="none"/>
        </w:rPr>
      </w:pPr>
      <w:r>
        <w:rPr>
          <w:rFonts w:hint="eastAsia" w:hAnsi="宋体" w:cs="仿宋_GB2312"/>
          <w:color w:val="auto"/>
          <w:sz w:val="24"/>
          <w:szCs w:val="24"/>
          <w:highlight w:val="none"/>
        </w:rPr>
        <w:t>所竞分标：</w:t>
      </w:r>
      <w:r>
        <w:rPr>
          <w:rFonts w:hint="eastAsia" w:hAnsi="宋体" w:cs="仿宋_GB2312"/>
          <w:color w:val="auto"/>
          <w:sz w:val="24"/>
          <w:szCs w:val="24"/>
          <w:highlight w:val="none"/>
          <w:u w:val="single"/>
        </w:rPr>
        <w:t xml:space="preserve">              </w:t>
      </w:r>
    </w:p>
    <w:tbl>
      <w:tblPr>
        <w:tblStyle w:val="28"/>
        <w:tblW w:w="8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142"/>
        <w:gridCol w:w="736"/>
        <w:gridCol w:w="1576"/>
        <w:gridCol w:w="1140"/>
        <w:gridCol w:w="658"/>
        <w:gridCol w:w="1146"/>
        <w:gridCol w:w="1095"/>
      </w:tblGrid>
      <w:tr w14:paraId="3E9F0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593" w:type="dxa"/>
            <w:vMerge w:val="restart"/>
            <w:tcBorders>
              <w:top w:val="single" w:color="auto" w:sz="4" w:space="0"/>
              <w:left w:val="single" w:color="auto" w:sz="4" w:space="0"/>
              <w:bottom w:val="single" w:color="auto" w:sz="4" w:space="0"/>
              <w:right w:val="single" w:color="auto" w:sz="4" w:space="0"/>
            </w:tcBorders>
            <w:noWrap w:val="0"/>
            <w:vAlign w:val="center"/>
          </w:tcPr>
          <w:p w14:paraId="1C3D0C52">
            <w:pPr>
              <w:rPr>
                <w:rFonts w:ascii="宋体" w:hAnsi="宋体"/>
                <w:color w:val="auto"/>
                <w:szCs w:val="21"/>
                <w:highlight w:val="none"/>
              </w:rPr>
            </w:pPr>
            <w:r>
              <w:rPr>
                <w:rFonts w:hint="eastAsia" w:ascii="宋体" w:hAnsi="宋体"/>
                <w:color w:val="auto"/>
                <w:szCs w:val="21"/>
                <w:highlight w:val="none"/>
              </w:rPr>
              <w:t>项号</w:t>
            </w:r>
          </w:p>
        </w:tc>
        <w:tc>
          <w:tcPr>
            <w:tcW w:w="3454" w:type="dxa"/>
            <w:gridSpan w:val="3"/>
            <w:tcBorders>
              <w:top w:val="single" w:color="auto" w:sz="4" w:space="0"/>
              <w:left w:val="single" w:color="auto" w:sz="4" w:space="0"/>
              <w:bottom w:val="single" w:color="auto" w:sz="4" w:space="0"/>
              <w:right w:val="single" w:color="auto" w:sz="4" w:space="0"/>
            </w:tcBorders>
            <w:noWrap w:val="0"/>
            <w:vAlign w:val="center"/>
          </w:tcPr>
          <w:p w14:paraId="75356149">
            <w:pPr>
              <w:jc w:val="center"/>
              <w:rPr>
                <w:rFonts w:ascii="宋体" w:hAnsi="宋体"/>
                <w:color w:val="auto"/>
                <w:szCs w:val="21"/>
                <w:highlight w:val="none"/>
              </w:rPr>
            </w:pPr>
            <w:r>
              <w:rPr>
                <w:rFonts w:hint="eastAsia" w:ascii="宋体" w:hAnsi="宋体"/>
                <w:color w:val="auto"/>
                <w:szCs w:val="21"/>
                <w:highlight w:val="none"/>
              </w:rPr>
              <w:t>竞争性磋商采购文件需求</w:t>
            </w:r>
          </w:p>
        </w:tc>
        <w:tc>
          <w:tcPr>
            <w:tcW w:w="2944" w:type="dxa"/>
            <w:gridSpan w:val="3"/>
            <w:tcBorders>
              <w:top w:val="single" w:color="auto" w:sz="4" w:space="0"/>
              <w:left w:val="single" w:color="auto" w:sz="4" w:space="0"/>
              <w:bottom w:val="single" w:color="auto" w:sz="4" w:space="0"/>
              <w:right w:val="single" w:color="auto" w:sz="4" w:space="0"/>
            </w:tcBorders>
            <w:noWrap w:val="0"/>
            <w:vAlign w:val="center"/>
          </w:tcPr>
          <w:p w14:paraId="1596279F">
            <w:pPr>
              <w:jc w:val="center"/>
              <w:rPr>
                <w:rFonts w:ascii="宋体" w:hAnsi="宋体"/>
                <w:color w:val="auto"/>
                <w:szCs w:val="21"/>
                <w:highlight w:val="none"/>
              </w:rPr>
            </w:pPr>
            <w:r>
              <w:rPr>
                <w:rFonts w:hint="eastAsia" w:ascii="宋体" w:hAnsi="宋体"/>
                <w:color w:val="auto"/>
                <w:szCs w:val="21"/>
                <w:highlight w:val="none"/>
              </w:rPr>
              <w:t>响应文件承诺</w:t>
            </w:r>
          </w:p>
        </w:tc>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14:paraId="699F4B00">
            <w:pPr>
              <w:rPr>
                <w:rFonts w:ascii="宋体" w:hAnsi="宋体"/>
                <w:color w:val="auto"/>
                <w:szCs w:val="21"/>
                <w:highlight w:val="none"/>
              </w:rPr>
            </w:pPr>
            <w:r>
              <w:rPr>
                <w:rFonts w:hint="eastAsia" w:ascii="宋体" w:hAnsi="宋体"/>
                <w:color w:val="auto"/>
                <w:szCs w:val="21"/>
                <w:highlight w:val="none"/>
              </w:rPr>
              <w:t>偏离说明</w:t>
            </w:r>
          </w:p>
        </w:tc>
      </w:tr>
      <w:tr w14:paraId="78C9A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93" w:type="dxa"/>
            <w:vMerge w:val="continue"/>
            <w:tcBorders>
              <w:top w:val="single" w:color="auto" w:sz="4" w:space="0"/>
              <w:left w:val="single" w:color="auto" w:sz="4" w:space="0"/>
              <w:bottom w:val="single" w:color="auto" w:sz="4" w:space="0"/>
              <w:right w:val="single" w:color="auto" w:sz="4" w:space="0"/>
            </w:tcBorders>
            <w:noWrap w:val="0"/>
            <w:vAlign w:val="center"/>
          </w:tcPr>
          <w:p w14:paraId="3D3F789B">
            <w:pPr>
              <w:widowControl/>
              <w:jc w:val="left"/>
              <w:rPr>
                <w:rFonts w:ascii="宋体" w:hAnsi="宋体"/>
                <w:color w:val="auto"/>
                <w:szCs w:val="21"/>
                <w:highlight w:val="none"/>
              </w:rPr>
            </w:pPr>
          </w:p>
        </w:tc>
        <w:tc>
          <w:tcPr>
            <w:tcW w:w="1142" w:type="dxa"/>
            <w:tcBorders>
              <w:top w:val="single" w:color="auto" w:sz="4" w:space="0"/>
              <w:left w:val="single" w:color="auto" w:sz="4" w:space="0"/>
              <w:bottom w:val="single" w:color="auto" w:sz="4" w:space="0"/>
              <w:right w:val="single" w:color="auto" w:sz="4" w:space="0"/>
            </w:tcBorders>
            <w:noWrap w:val="0"/>
            <w:vAlign w:val="center"/>
          </w:tcPr>
          <w:p w14:paraId="346DCD82">
            <w:pP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标的名称</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787E1D46">
            <w:pPr>
              <w:rPr>
                <w:rFonts w:ascii="宋体" w:hAnsi="宋体"/>
                <w:color w:val="auto"/>
                <w:szCs w:val="21"/>
                <w:highlight w:val="none"/>
              </w:rPr>
            </w:pPr>
            <w:r>
              <w:rPr>
                <w:rFonts w:hint="eastAsia" w:ascii="宋体" w:hAnsi="宋体"/>
                <w:color w:val="auto"/>
                <w:szCs w:val="21"/>
                <w:highlight w:val="none"/>
              </w:rPr>
              <w:t>数量</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06711742">
            <w:pPr>
              <w:rPr>
                <w:rFonts w:ascii="宋体" w:hAnsi="宋体"/>
                <w:color w:val="auto"/>
                <w:szCs w:val="21"/>
                <w:highlight w:val="none"/>
              </w:rPr>
            </w:pPr>
            <w:r>
              <w:rPr>
                <w:rFonts w:hint="eastAsia" w:ascii="宋体" w:hAnsi="宋体"/>
                <w:color w:val="auto"/>
                <w:szCs w:val="21"/>
                <w:highlight w:val="none"/>
              </w:rPr>
              <w:t>服务参数要求</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703DFFB3">
            <w:pP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标的名称</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34FBF4CF">
            <w:pPr>
              <w:rPr>
                <w:rFonts w:ascii="宋体" w:hAnsi="宋体"/>
                <w:color w:val="auto"/>
                <w:szCs w:val="21"/>
                <w:highlight w:val="none"/>
              </w:rPr>
            </w:pPr>
            <w:r>
              <w:rPr>
                <w:rFonts w:hint="eastAsia" w:ascii="宋体" w:hAnsi="宋体"/>
                <w:color w:val="auto"/>
                <w:szCs w:val="21"/>
                <w:highlight w:val="none"/>
              </w:rPr>
              <w:t>数量</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5FE854FC">
            <w:pPr>
              <w:rPr>
                <w:rFonts w:ascii="宋体" w:hAnsi="宋体"/>
                <w:color w:val="auto"/>
                <w:szCs w:val="21"/>
                <w:highlight w:val="none"/>
              </w:rPr>
            </w:pPr>
            <w:r>
              <w:rPr>
                <w:rFonts w:hint="eastAsia" w:ascii="宋体" w:hAnsi="宋体"/>
                <w:color w:val="auto"/>
                <w:szCs w:val="21"/>
                <w:highlight w:val="none"/>
              </w:rPr>
              <w:t>服务参数</w:t>
            </w: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21087A12">
            <w:pPr>
              <w:widowControl/>
              <w:jc w:val="left"/>
              <w:rPr>
                <w:rFonts w:ascii="宋体" w:hAnsi="宋体"/>
                <w:color w:val="auto"/>
                <w:szCs w:val="21"/>
                <w:highlight w:val="none"/>
              </w:rPr>
            </w:pPr>
          </w:p>
        </w:tc>
      </w:tr>
      <w:tr w14:paraId="63543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2522BD03">
            <w:pPr>
              <w:rPr>
                <w:rFonts w:ascii="宋体" w:hAnsi="宋体"/>
                <w:color w:val="auto"/>
                <w:szCs w:val="21"/>
                <w:highlight w:val="none"/>
              </w:rPr>
            </w:pPr>
            <w:r>
              <w:rPr>
                <w:rFonts w:hint="eastAsia" w:ascii="宋体" w:hAnsi="宋体"/>
                <w:color w:val="auto"/>
                <w:szCs w:val="21"/>
                <w:highlight w:val="none"/>
              </w:rPr>
              <w:t>1</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182FB97E">
            <w:pPr>
              <w:rPr>
                <w:rFonts w:ascii="宋体" w:hAnsi="宋体"/>
                <w:color w:val="auto"/>
                <w:szCs w:val="21"/>
                <w:highlight w:val="none"/>
              </w:rPr>
            </w:pPr>
            <w:r>
              <w:rPr>
                <w:rFonts w:hint="eastAsia" w:ascii="宋体" w:hAnsi="宋体"/>
                <w:color w:val="auto"/>
                <w:szCs w:val="21"/>
                <w:highlight w:val="none"/>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388452AC">
            <w:pPr>
              <w:rPr>
                <w:rFonts w:ascii="宋体" w:hAnsi="宋体"/>
                <w:color w:val="auto"/>
                <w:szCs w:val="21"/>
                <w:highlight w:val="none"/>
              </w:rPr>
            </w:pPr>
            <w:r>
              <w:rPr>
                <w:rFonts w:hint="eastAsia" w:ascii="宋体" w:hAnsi="宋体"/>
                <w:color w:val="auto"/>
                <w:szCs w:val="21"/>
                <w:highlight w:val="none"/>
              </w:rPr>
              <w:t>…</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56A8E8AD">
            <w:pPr>
              <w:rPr>
                <w:rFonts w:ascii="宋体" w:hAnsi="宋体"/>
                <w:color w:val="auto"/>
                <w:szCs w:val="21"/>
                <w:highlight w:val="none"/>
              </w:rPr>
            </w:pPr>
            <w:r>
              <w:rPr>
                <w:rFonts w:hint="eastAsia" w:ascii="宋体" w:hAnsi="宋体"/>
                <w:color w:val="auto"/>
                <w:szCs w:val="21"/>
                <w:highlight w:val="none"/>
              </w:rPr>
              <w:t>1  ……</w:t>
            </w:r>
          </w:p>
          <w:p w14:paraId="74C99C29">
            <w:pPr>
              <w:rPr>
                <w:rFonts w:ascii="宋体" w:hAnsi="宋体"/>
                <w:color w:val="auto"/>
                <w:szCs w:val="21"/>
                <w:highlight w:val="none"/>
              </w:rPr>
            </w:pPr>
            <w:r>
              <w:rPr>
                <w:rFonts w:hint="eastAsia" w:ascii="宋体" w:hAnsi="宋体"/>
                <w:color w:val="auto"/>
                <w:szCs w:val="21"/>
                <w:highlight w:val="none"/>
              </w:rPr>
              <w:t>2  ……</w:t>
            </w:r>
          </w:p>
          <w:p w14:paraId="470B1C1C">
            <w:pPr>
              <w:rPr>
                <w:rFonts w:ascii="宋体" w:hAnsi="宋体"/>
                <w:color w:val="auto"/>
                <w:szCs w:val="21"/>
                <w:highlight w:val="none"/>
              </w:rPr>
            </w:pPr>
            <w:r>
              <w:rPr>
                <w:rFonts w:hint="eastAsia" w:ascii="宋体" w:hAnsi="宋体"/>
                <w:color w:val="auto"/>
                <w:szCs w:val="21"/>
                <w:highlight w:val="none"/>
              </w:rPr>
              <w:t>3  ……</w:t>
            </w:r>
          </w:p>
          <w:p w14:paraId="7A172C58">
            <w:pPr>
              <w:rPr>
                <w:rFonts w:ascii="宋体" w:hAnsi="宋体"/>
                <w:color w:val="auto"/>
                <w:szCs w:val="21"/>
                <w:highlight w:val="none"/>
              </w:rPr>
            </w:pPr>
            <w:r>
              <w:rPr>
                <w:rFonts w:hint="eastAsia" w:ascii="宋体" w:hAnsi="宋体"/>
                <w:color w:val="auto"/>
                <w:szCs w:val="21"/>
                <w:highlight w:val="none"/>
              </w:rPr>
              <w:t>……</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75E74348">
            <w:pPr>
              <w:rPr>
                <w:rFonts w:ascii="宋体" w:hAnsi="宋体"/>
                <w:color w:val="auto"/>
                <w:szCs w:val="21"/>
                <w:highlight w:val="none"/>
              </w:rPr>
            </w:pPr>
            <w:r>
              <w:rPr>
                <w:rFonts w:hint="eastAsia" w:ascii="宋体" w:hAnsi="宋体"/>
                <w:color w:val="auto"/>
                <w:szCs w:val="21"/>
                <w:highlight w:val="none"/>
              </w:rPr>
              <w:t>……</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48B61CF4">
            <w:pPr>
              <w:rPr>
                <w:rFonts w:ascii="宋体" w:hAnsi="宋体"/>
                <w:color w:val="auto"/>
                <w:szCs w:val="21"/>
                <w:highlight w:val="none"/>
              </w:rPr>
            </w:pPr>
            <w:r>
              <w:rPr>
                <w:rFonts w:hint="eastAsia" w:ascii="宋体" w:hAnsi="宋体"/>
                <w:color w:val="auto"/>
                <w:szCs w:val="21"/>
                <w:highlight w:val="none"/>
              </w:rPr>
              <w:t>…</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6E59BC00">
            <w:pPr>
              <w:rPr>
                <w:rFonts w:ascii="宋体" w:hAnsi="宋体"/>
                <w:color w:val="auto"/>
                <w:szCs w:val="21"/>
                <w:highlight w:val="none"/>
              </w:rPr>
            </w:pPr>
            <w:r>
              <w:rPr>
                <w:rFonts w:hint="eastAsia" w:ascii="宋体" w:hAnsi="宋体"/>
                <w:color w:val="auto"/>
                <w:szCs w:val="21"/>
                <w:highlight w:val="none"/>
              </w:rPr>
              <w:t>1  ……</w:t>
            </w:r>
          </w:p>
          <w:p w14:paraId="54E9C721">
            <w:pPr>
              <w:rPr>
                <w:rFonts w:ascii="宋体" w:hAnsi="宋体"/>
                <w:color w:val="auto"/>
                <w:szCs w:val="21"/>
                <w:highlight w:val="none"/>
              </w:rPr>
            </w:pPr>
            <w:r>
              <w:rPr>
                <w:rFonts w:hint="eastAsia" w:ascii="宋体" w:hAnsi="宋体"/>
                <w:color w:val="auto"/>
                <w:szCs w:val="21"/>
                <w:highlight w:val="none"/>
              </w:rPr>
              <w:t>2  ……</w:t>
            </w:r>
          </w:p>
          <w:p w14:paraId="2D2BA3ED">
            <w:pPr>
              <w:rPr>
                <w:rFonts w:ascii="宋体" w:hAnsi="宋体"/>
                <w:color w:val="auto"/>
                <w:szCs w:val="21"/>
                <w:highlight w:val="none"/>
              </w:rPr>
            </w:pPr>
            <w:r>
              <w:rPr>
                <w:rFonts w:hint="eastAsia" w:ascii="宋体" w:hAnsi="宋体"/>
                <w:color w:val="auto"/>
                <w:szCs w:val="21"/>
                <w:highlight w:val="none"/>
              </w:rPr>
              <w:t>3  ……</w:t>
            </w:r>
          </w:p>
          <w:p w14:paraId="3291D65D">
            <w:pPr>
              <w:rPr>
                <w:rFonts w:ascii="宋体" w:hAnsi="宋体"/>
                <w:color w:val="auto"/>
                <w:szCs w:val="21"/>
                <w:highlight w:val="none"/>
              </w:rPr>
            </w:pPr>
            <w:r>
              <w:rPr>
                <w:rFonts w:hint="eastAsia" w:ascii="宋体" w:hAnsi="宋体"/>
                <w:color w:val="auto"/>
                <w:szCs w:val="21"/>
                <w:highlight w:val="none"/>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0418E4CF">
            <w:pPr>
              <w:rPr>
                <w:rFonts w:ascii="宋体" w:hAnsi="宋体"/>
                <w:color w:val="auto"/>
                <w:szCs w:val="21"/>
                <w:highlight w:val="none"/>
              </w:rPr>
            </w:pPr>
          </w:p>
        </w:tc>
      </w:tr>
      <w:tr w14:paraId="29C15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413E8810">
            <w:pPr>
              <w:rPr>
                <w:rFonts w:ascii="宋体" w:hAnsi="宋体"/>
                <w:color w:val="auto"/>
                <w:szCs w:val="21"/>
                <w:highlight w:val="none"/>
              </w:rPr>
            </w:pPr>
            <w:r>
              <w:rPr>
                <w:rFonts w:hint="eastAsia" w:ascii="宋体" w:hAnsi="宋体"/>
                <w:color w:val="auto"/>
                <w:szCs w:val="21"/>
                <w:highlight w:val="none"/>
              </w:rPr>
              <w:t>2</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15912FED">
            <w:pPr>
              <w:rPr>
                <w:rFonts w:ascii="宋体" w:hAnsi="宋体"/>
                <w:color w:val="auto"/>
                <w:szCs w:val="21"/>
                <w:highlight w:val="none"/>
              </w:rPr>
            </w:pPr>
            <w:r>
              <w:rPr>
                <w:rFonts w:hint="eastAsia" w:ascii="宋体" w:hAnsi="宋体"/>
                <w:color w:val="auto"/>
                <w:szCs w:val="21"/>
                <w:highlight w:val="none"/>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0D1A53FA">
            <w:pPr>
              <w:rPr>
                <w:rFonts w:ascii="宋体" w:hAnsi="宋体"/>
                <w:color w:val="auto"/>
                <w:szCs w:val="21"/>
                <w:highlight w:val="none"/>
              </w:rPr>
            </w:pPr>
            <w:r>
              <w:rPr>
                <w:rFonts w:hint="eastAsia" w:ascii="宋体" w:hAnsi="宋体"/>
                <w:color w:val="auto"/>
                <w:szCs w:val="21"/>
                <w:highlight w:val="none"/>
              </w:rPr>
              <w:t>…</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5ECDBF6E">
            <w:pPr>
              <w:rPr>
                <w:rFonts w:ascii="宋体" w:hAnsi="宋体"/>
                <w:color w:val="auto"/>
                <w:szCs w:val="21"/>
                <w:highlight w:val="none"/>
              </w:rPr>
            </w:pPr>
            <w:r>
              <w:rPr>
                <w:rFonts w:hint="eastAsia" w:ascii="宋体" w:hAnsi="宋体"/>
                <w:color w:val="auto"/>
                <w:szCs w:val="21"/>
                <w:highlight w:val="none"/>
              </w:rPr>
              <w:t>1  ……</w:t>
            </w:r>
          </w:p>
          <w:p w14:paraId="64DD54E5">
            <w:pPr>
              <w:rPr>
                <w:rFonts w:ascii="宋体" w:hAnsi="宋体"/>
                <w:color w:val="auto"/>
                <w:szCs w:val="21"/>
                <w:highlight w:val="none"/>
              </w:rPr>
            </w:pPr>
            <w:r>
              <w:rPr>
                <w:rFonts w:hint="eastAsia" w:ascii="宋体" w:hAnsi="宋体"/>
                <w:color w:val="auto"/>
                <w:szCs w:val="21"/>
                <w:highlight w:val="none"/>
              </w:rPr>
              <w:t>2  ……</w:t>
            </w:r>
          </w:p>
          <w:p w14:paraId="3F6D573B">
            <w:pPr>
              <w:rPr>
                <w:rFonts w:ascii="宋体" w:hAnsi="宋体"/>
                <w:color w:val="auto"/>
                <w:szCs w:val="21"/>
                <w:highlight w:val="none"/>
              </w:rPr>
            </w:pPr>
            <w:r>
              <w:rPr>
                <w:rFonts w:hint="eastAsia" w:ascii="宋体" w:hAnsi="宋体"/>
                <w:color w:val="auto"/>
                <w:szCs w:val="21"/>
                <w:highlight w:val="none"/>
              </w:rPr>
              <w:t>3  ……</w:t>
            </w:r>
          </w:p>
          <w:p w14:paraId="59A24C35">
            <w:pPr>
              <w:rPr>
                <w:rFonts w:ascii="宋体" w:hAnsi="宋体"/>
                <w:color w:val="auto"/>
                <w:szCs w:val="21"/>
                <w:highlight w:val="none"/>
              </w:rPr>
            </w:pPr>
            <w:r>
              <w:rPr>
                <w:rFonts w:hint="eastAsia" w:ascii="宋体" w:hAnsi="宋体"/>
                <w:color w:val="auto"/>
                <w:szCs w:val="21"/>
                <w:highlight w:val="none"/>
              </w:rPr>
              <w:t>……</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1AF02066">
            <w:pPr>
              <w:rPr>
                <w:rFonts w:ascii="宋体" w:hAnsi="宋体"/>
                <w:color w:val="auto"/>
                <w:szCs w:val="21"/>
                <w:highlight w:val="none"/>
              </w:rPr>
            </w:pPr>
            <w:r>
              <w:rPr>
                <w:rFonts w:hint="eastAsia" w:ascii="宋体" w:hAnsi="宋体"/>
                <w:color w:val="auto"/>
                <w:szCs w:val="21"/>
                <w:highlight w:val="none"/>
              </w:rPr>
              <w:t>……</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3FA7AA76">
            <w:pPr>
              <w:rPr>
                <w:rFonts w:ascii="宋体" w:hAnsi="宋体"/>
                <w:color w:val="auto"/>
                <w:szCs w:val="21"/>
                <w:highlight w:val="none"/>
              </w:rPr>
            </w:pPr>
            <w:r>
              <w:rPr>
                <w:rFonts w:hint="eastAsia" w:ascii="宋体" w:hAnsi="宋体"/>
                <w:color w:val="auto"/>
                <w:szCs w:val="21"/>
                <w:highlight w:val="none"/>
              </w:rPr>
              <w:t>…</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7E720307">
            <w:pPr>
              <w:rPr>
                <w:rFonts w:ascii="宋体" w:hAnsi="宋体"/>
                <w:color w:val="auto"/>
                <w:szCs w:val="21"/>
                <w:highlight w:val="none"/>
              </w:rPr>
            </w:pPr>
            <w:r>
              <w:rPr>
                <w:rFonts w:hint="eastAsia" w:ascii="宋体" w:hAnsi="宋体"/>
                <w:color w:val="auto"/>
                <w:szCs w:val="21"/>
                <w:highlight w:val="none"/>
              </w:rPr>
              <w:t>1  ……</w:t>
            </w:r>
          </w:p>
          <w:p w14:paraId="41E9B9C2">
            <w:pPr>
              <w:rPr>
                <w:rFonts w:ascii="宋体" w:hAnsi="宋体"/>
                <w:color w:val="auto"/>
                <w:szCs w:val="21"/>
                <w:highlight w:val="none"/>
              </w:rPr>
            </w:pPr>
            <w:r>
              <w:rPr>
                <w:rFonts w:hint="eastAsia" w:ascii="宋体" w:hAnsi="宋体"/>
                <w:color w:val="auto"/>
                <w:szCs w:val="21"/>
                <w:highlight w:val="none"/>
              </w:rPr>
              <w:t>2  ……</w:t>
            </w:r>
          </w:p>
          <w:p w14:paraId="40DABAD1">
            <w:pPr>
              <w:rPr>
                <w:rFonts w:ascii="宋体" w:hAnsi="宋体"/>
                <w:color w:val="auto"/>
                <w:szCs w:val="21"/>
                <w:highlight w:val="none"/>
              </w:rPr>
            </w:pPr>
            <w:r>
              <w:rPr>
                <w:rFonts w:hint="eastAsia" w:ascii="宋体" w:hAnsi="宋体"/>
                <w:color w:val="auto"/>
                <w:szCs w:val="21"/>
                <w:highlight w:val="none"/>
              </w:rPr>
              <w:t>3  ……</w:t>
            </w:r>
          </w:p>
          <w:p w14:paraId="3BAD0F41">
            <w:pPr>
              <w:rPr>
                <w:rFonts w:ascii="宋体" w:hAnsi="宋体"/>
                <w:color w:val="auto"/>
                <w:szCs w:val="21"/>
                <w:highlight w:val="none"/>
              </w:rPr>
            </w:pPr>
            <w:r>
              <w:rPr>
                <w:rFonts w:hint="eastAsia" w:ascii="宋体" w:hAnsi="宋体"/>
                <w:color w:val="auto"/>
                <w:szCs w:val="21"/>
                <w:highlight w:val="none"/>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368A373">
            <w:pPr>
              <w:rPr>
                <w:rFonts w:ascii="宋体" w:hAnsi="宋体"/>
                <w:color w:val="auto"/>
                <w:szCs w:val="21"/>
                <w:highlight w:val="none"/>
              </w:rPr>
            </w:pPr>
          </w:p>
        </w:tc>
      </w:tr>
      <w:tr w14:paraId="34705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5897FB48">
            <w:pPr>
              <w:rPr>
                <w:rFonts w:ascii="宋体" w:hAnsi="宋体"/>
                <w:color w:val="auto"/>
                <w:szCs w:val="21"/>
                <w:highlight w:val="none"/>
              </w:rPr>
            </w:pPr>
            <w:r>
              <w:rPr>
                <w:rFonts w:hint="eastAsia" w:ascii="宋体" w:hAnsi="宋体"/>
                <w:color w:val="auto"/>
                <w:szCs w:val="21"/>
                <w:highlight w:val="none"/>
              </w:rPr>
              <w:t>...</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70FBB685">
            <w:pPr>
              <w:rPr>
                <w:rFonts w:ascii="宋体" w:hAnsi="宋体"/>
                <w:color w:val="auto"/>
                <w:szCs w:val="21"/>
                <w:highlight w:val="none"/>
              </w:rPr>
            </w:pPr>
          </w:p>
        </w:tc>
        <w:tc>
          <w:tcPr>
            <w:tcW w:w="736" w:type="dxa"/>
            <w:tcBorders>
              <w:top w:val="single" w:color="auto" w:sz="4" w:space="0"/>
              <w:left w:val="single" w:color="auto" w:sz="4" w:space="0"/>
              <w:bottom w:val="single" w:color="auto" w:sz="4" w:space="0"/>
              <w:right w:val="single" w:color="auto" w:sz="4" w:space="0"/>
            </w:tcBorders>
            <w:noWrap w:val="0"/>
            <w:vAlign w:val="center"/>
          </w:tcPr>
          <w:p w14:paraId="5731E0F0">
            <w:pPr>
              <w:rPr>
                <w:rFonts w:ascii="宋体" w:hAnsi="宋体"/>
                <w:color w:val="auto"/>
                <w:szCs w:val="21"/>
                <w:highlight w:val="none"/>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14:paraId="2B88691D">
            <w:pPr>
              <w:rPr>
                <w:rFonts w:ascii="宋体" w:hAnsi="宋体"/>
                <w:color w:val="auto"/>
                <w:szCs w:val="21"/>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59EA75E3">
            <w:pPr>
              <w:rPr>
                <w:rFonts w:ascii="宋体" w:hAnsi="宋体"/>
                <w:color w:val="auto"/>
                <w:szCs w:val="21"/>
                <w:highlight w:val="none"/>
              </w:rPr>
            </w:pPr>
          </w:p>
        </w:tc>
        <w:tc>
          <w:tcPr>
            <w:tcW w:w="658" w:type="dxa"/>
            <w:tcBorders>
              <w:top w:val="single" w:color="auto" w:sz="4" w:space="0"/>
              <w:left w:val="single" w:color="auto" w:sz="4" w:space="0"/>
              <w:bottom w:val="single" w:color="auto" w:sz="4" w:space="0"/>
              <w:right w:val="single" w:color="auto" w:sz="4" w:space="0"/>
            </w:tcBorders>
            <w:noWrap w:val="0"/>
            <w:vAlign w:val="center"/>
          </w:tcPr>
          <w:p w14:paraId="2611BFDA">
            <w:pPr>
              <w:rPr>
                <w:rFonts w:ascii="宋体" w:hAnsi="宋体"/>
                <w:color w:val="auto"/>
                <w:szCs w:val="21"/>
                <w:highlight w:val="none"/>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14:paraId="18FF1CAD">
            <w:pPr>
              <w:rPr>
                <w:rFonts w:ascii="宋体" w:hAnsi="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6E630E9C">
            <w:pPr>
              <w:rPr>
                <w:rFonts w:ascii="宋体" w:hAnsi="宋体"/>
                <w:color w:val="auto"/>
                <w:szCs w:val="21"/>
                <w:highlight w:val="none"/>
              </w:rPr>
            </w:pPr>
          </w:p>
        </w:tc>
      </w:tr>
    </w:tbl>
    <w:p w14:paraId="00142761">
      <w:pPr>
        <w:pStyle w:val="11"/>
        <w:spacing w:after="0" w:line="360" w:lineRule="auto"/>
        <w:contextualSpacing/>
        <w:rPr>
          <w:rFonts w:hint="eastAsia" w:ascii="宋体" w:hAnsi="宋体"/>
          <w:color w:val="auto"/>
          <w:kern w:val="0"/>
          <w:sz w:val="21"/>
          <w:szCs w:val="21"/>
          <w:highlight w:val="none"/>
        </w:rPr>
      </w:pPr>
    </w:p>
    <w:p w14:paraId="7D53B5DA">
      <w:pPr>
        <w:pStyle w:val="11"/>
        <w:spacing w:after="0" w:line="360" w:lineRule="auto"/>
        <w:contextualSpacing/>
        <w:rPr>
          <w:rFonts w:hint="eastAsia" w:ascii="宋体" w:hAnsi="宋体"/>
          <w:color w:val="auto"/>
          <w:kern w:val="0"/>
          <w:sz w:val="21"/>
          <w:szCs w:val="21"/>
          <w:highlight w:val="none"/>
        </w:rPr>
      </w:pPr>
      <w:r>
        <w:rPr>
          <w:rFonts w:hint="eastAsia" w:ascii="宋体" w:hAnsi="宋体"/>
          <w:color w:val="auto"/>
          <w:kern w:val="0"/>
          <w:sz w:val="21"/>
          <w:szCs w:val="21"/>
          <w:highlight w:val="none"/>
        </w:rPr>
        <w:t>注：</w:t>
      </w:r>
    </w:p>
    <w:p w14:paraId="2A8B2C4F">
      <w:pPr>
        <w:pStyle w:val="11"/>
        <w:keepNext w:val="0"/>
        <w:keepLines w:val="0"/>
        <w:pageBreakBefore w:val="0"/>
        <w:widowControl w:val="0"/>
        <w:kinsoku/>
        <w:wordWrap/>
        <w:overflowPunct/>
        <w:topLinePunct w:val="0"/>
        <w:autoSpaceDE/>
        <w:autoSpaceDN/>
        <w:bidi w:val="0"/>
        <w:adjustRightInd/>
        <w:snapToGrid/>
        <w:spacing w:after="0" w:line="360" w:lineRule="auto"/>
        <w:contextualSpacing/>
        <w:textAlignment w:val="auto"/>
        <w:rPr>
          <w:rFonts w:hint="eastAsia" w:ascii="宋体" w:hAnsi="宋体" w:cs="仿宋_GB2312"/>
          <w:color w:val="auto"/>
          <w:kern w:val="0"/>
          <w:sz w:val="21"/>
          <w:szCs w:val="21"/>
          <w:highlight w:val="none"/>
        </w:rPr>
      </w:pPr>
      <w:r>
        <w:rPr>
          <w:rFonts w:hint="eastAsia" w:ascii="宋体" w:hAnsi="宋体" w:cs="仿宋_GB2312"/>
          <w:color w:val="auto"/>
          <w:kern w:val="0"/>
          <w:sz w:val="21"/>
          <w:szCs w:val="21"/>
          <w:highlight w:val="none"/>
        </w:rPr>
        <w:t>1.说明：应对照磋商文件</w:t>
      </w:r>
      <w:r>
        <w:rPr>
          <w:rFonts w:hint="eastAsia" w:ascii="宋体" w:hAnsi="宋体" w:cs="仿宋_GB2312"/>
          <w:b/>
          <w:bCs/>
          <w:color w:val="auto"/>
          <w:kern w:val="0"/>
          <w:sz w:val="22"/>
          <w:szCs w:val="22"/>
          <w:highlight w:val="none"/>
        </w:rPr>
        <w:t>“第</w:t>
      </w:r>
      <w:r>
        <w:rPr>
          <w:rFonts w:hint="eastAsia" w:ascii="宋体" w:hAnsi="宋体" w:cs="仿宋_GB2312"/>
          <w:b/>
          <w:bCs/>
          <w:color w:val="auto"/>
          <w:kern w:val="0"/>
          <w:sz w:val="22"/>
          <w:szCs w:val="22"/>
          <w:highlight w:val="none"/>
          <w:lang w:eastAsia="zh-CN"/>
        </w:rPr>
        <w:t>二</w:t>
      </w:r>
      <w:r>
        <w:rPr>
          <w:rFonts w:hint="eastAsia" w:ascii="宋体" w:hAnsi="宋体" w:cs="仿宋_GB2312"/>
          <w:b/>
          <w:bCs/>
          <w:color w:val="auto"/>
          <w:kern w:val="0"/>
          <w:sz w:val="22"/>
          <w:szCs w:val="22"/>
          <w:highlight w:val="none"/>
        </w:rPr>
        <w:t>章”中</w:t>
      </w:r>
      <w:r>
        <w:rPr>
          <w:rFonts w:hint="eastAsia" w:ascii="宋体" w:hAnsi="宋体" w:cs="仿宋_GB2312"/>
          <w:b/>
          <w:bCs/>
          <w:color w:val="auto"/>
          <w:kern w:val="0"/>
          <w:sz w:val="22"/>
          <w:szCs w:val="22"/>
          <w:highlight w:val="none"/>
          <w:lang w:eastAsia="zh-CN"/>
        </w:rPr>
        <w:t>“服务需求一览表”</w:t>
      </w:r>
      <w:r>
        <w:rPr>
          <w:rFonts w:hint="eastAsia" w:ascii="宋体" w:hAnsi="宋体" w:cs="仿宋_GB2312"/>
          <w:b/>
          <w:bCs/>
          <w:color w:val="auto"/>
          <w:kern w:val="0"/>
          <w:sz w:val="22"/>
          <w:szCs w:val="22"/>
          <w:highlight w:val="none"/>
        </w:rPr>
        <w:t>的服务参数条款</w:t>
      </w:r>
      <w:r>
        <w:rPr>
          <w:rFonts w:hint="eastAsia" w:ascii="宋体" w:hAnsi="宋体" w:cs="仿宋_GB2312"/>
          <w:b/>
          <w:bCs/>
          <w:color w:val="auto"/>
          <w:kern w:val="0"/>
          <w:sz w:val="24"/>
          <w:szCs w:val="24"/>
          <w:highlight w:val="none"/>
        </w:rPr>
        <w:t>逐条</w:t>
      </w:r>
      <w:r>
        <w:rPr>
          <w:rFonts w:hint="eastAsia" w:ascii="宋体" w:hAnsi="宋体" w:cs="仿宋_GB2312"/>
          <w:b/>
          <w:bCs/>
          <w:color w:val="auto"/>
          <w:kern w:val="0"/>
          <w:sz w:val="22"/>
          <w:szCs w:val="22"/>
          <w:highlight w:val="none"/>
        </w:rPr>
        <w:t>作出明确响应</w:t>
      </w:r>
      <w:r>
        <w:rPr>
          <w:rFonts w:hint="eastAsia" w:ascii="宋体" w:hAnsi="宋体" w:cs="仿宋_GB2312"/>
          <w:color w:val="auto"/>
          <w:kern w:val="0"/>
          <w:sz w:val="21"/>
          <w:szCs w:val="21"/>
          <w:highlight w:val="none"/>
        </w:rPr>
        <w:t>，并作出偏离说明。</w:t>
      </w:r>
    </w:p>
    <w:p w14:paraId="7E1EFFBB">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contextualSpacing/>
        <w:textAlignment w:val="auto"/>
        <w:rPr>
          <w:rFonts w:hint="eastAsia"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14:paraId="6534FACF">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仿宋_GB2312"/>
          <w:color w:val="auto"/>
          <w:kern w:val="0"/>
          <w:szCs w:val="21"/>
          <w:highlight w:val="none"/>
        </w:rPr>
      </w:pPr>
      <w:r>
        <w:rPr>
          <w:rFonts w:hint="eastAsia" w:ascii="宋体" w:hAnsi="宋体" w:cs="仿宋_GB2312"/>
          <w:color w:val="auto"/>
          <w:kern w:val="0"/>
          <w:szCs w:val="21"/>
          <w:highlight w:val="none"/>
        </w:rPr>
        <w:t>3</w:t>
      </w:r>
      <w:r>
        <w:rPr>
          <w:rFonts w:ascii="宋体" w:hAnsi="宋体" w:cs="仿宋_GB2312"/>
          <w:color w:val="auto"/>
          <w:kern w:val="0"/>
          <w:szCs w:val="21"/>
          <w:highlight w:val="none"/>
        </w:rPr>
        <w:t>.</w:t>
      </w:r>
      <w:r>
        <w:rPr>
          <w:rFonts w:hint="eastAsia" w:ascii="宋体" w:hAnsi="宋体" w:cs="仿宋_GB2312"/>
          <w:color w:val="auto"/>
          <w:kern w:val="0"/>
          <w:szCs w:val="21"/>
          <w:highlight w:val="none"/>
        </w:rPr>
        <w:t>表格内容均需按要求填写并盖章，不得留空，否则按竞标无效处理。</w:t>
      </w:r>
    </w:p>
    <w:p w14:paraId="45CC23DB">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contextualSpacing/>
        <w:textAlignment w:val="auto"/>
        <w:rPr>
          <w:rFonts w:hint="eastAsia" w:ascii="宋体" w:hAnsi="宋体" w:cs="仿宋_GB2312"/>
          <w:color w:val="auto"/>
          <w:sz w:val="24"/>
          <w:highlight w:val="none"/>
        </w:rPr>
      </w:pPr>
      <w:r>
        <w:rPr>
          <w:rFonts w:hint="eastAsia" w:ascii="宋体" w:hAnsi="宋体" w:eastAsia="宋体" w:cs="仿宋_GB2312"/>
          <w:color w:val="auto"/>
          <w:sz w:val="21"/>
          <w:szCs w:val="21"/>
          <w:highlight w:val="none"/>
          <w:lang w:val="en-US" w:eastAsia="zh-CN"/>
        </w:rPr>
        <w:t>4</w:t>
      </w:r>
      <w:r>
        <w:rPr>
          <w:rFonts w:ascii="宋体" w:hAnsi="宋体" w:eastAsia="宋体" w:cs="仿宋_GB2312"/>
          <w:color w:val="auto"/>
          <w:sz w:val="21"/>
          <w:szCs w:val="21"/>
          <w:highlight w:val="none"/>
        </w:rPr>
        <w:t>.</w:t>
      </w:r>
      <w:r>
        <w:rPr>
          <w:rFonts w:hint="eastAsia" w:ascii="宋体" w:hAnsi="宋体" w:eastAsia="宋体" w:cs="仿宋_GB2312"/>
          <w:color w:val="auto"/>
          <w:sz w:val="21"/>
          <w:szCs w:val="21"/>
          <w:highlight w:val="none"/>
        </w:rPr>
        <w:t xml:space="preserve"> 如技术偏离表中的竞标响应与佐证材料不一致的，以佐证材料为准。</w:t>
      </w:r>
    </w:p>
    <w:p w14:paraId="496D7E1F">
      <w:pPr>
        <w:snapToGrid w:val="0"/>
        <w:spacing w:line="360" w:lineRule="auto"/>
        <w:ind w:firstLine="602" w:firstLineChars="200"/>
        <w:rPr>
          <w:rFonts w:ascii="仿宋" w:hAnsi="仿宋" w:eastAsia="仿宋" w:cs="仿宋_GB2312"/>
          <w:b/>
          <w:color w:val="auto"/>
          <w:sz w:val="30"/>
          <w:szCs w:val="30"/>
          <w:highlight w:val="none"/>
        </w:rPr>
      </w:pPr>
    </w:p>
    <w:p w14:paraId="6228ACB6">
      <w:pPr>
        <w:autoSpaceDE w:val="0"/>
        <w:autoSpaceDN w:val="0"/>
        <w:spacing w:line="360" w:lineRule="auto"/>
        <w:ind w:left="4335" w:leftChars="1950" w:hanging="240" w:hangingChars="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3A71D83C">
      <w:pPr>
        <w:autoSpaceDE w:val="0"/>
        <w:autoSpaceDN w:val="0"/>
        <w:spacing w:line="360" w:lineRule="auto"/>
        <w:ind w:firstLine="6480" w:firstLineChars="2700"/>
        <w:rPr>
          <w:rFonts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lang w:val="zh-CN"/>
        </w:rPr>
        <w:t>日期：  年  月   日</w:t>
      </w:r>
    </w:p>
    <w:p w14:paraId="39196D12">
      <w:pPr>
        <w:adjustRightInd w:val="0"/>
        <w:snapToGrid w:val="0"/>
        <w:spacing w:line="520" w:lineRule="exact"/>
        <w:jc w:val="center"/>
        <w:rPr>
          <w:rFonts w:hint="eastAsia" w:ascii="方正小标宋简体" w:hAnsi="方正小标宋简体" w:eastAsia="方正小标宋简体" w:cs="方正小标宋简体"/>
          <w:bCs/>
          <w:color w:val="auto"/>
          <w:sz w:val="44"/>
          <w:szCs w:val="44"/>
          <w:highlight w:val="none"/>
        </w:rPr>
      </w:pPr>
    </w:p>
    <w:p w14:paraId="423E7EE1">
      <w:pPr>
        <w:adjustRightInd w:val="0"/>
        <w:snapToGrid w:val="0"/>
        <w:spacing w:line="520" w:lineRule="exact"/>
        <w:jc w:val="center"/>
        <w:rPr>
          <w:rFonts w:hint="eastAsia" w:ascii="宋体" w:hAnsi="宋体"/>
          <w:b/>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rPr>
        <w:t>服务配置清单（如有）</w:t>
      </w:r>
    </w:p>
    <w:p w14:paraId="1070C352">
      <w:pPr>
        <w:spacing w:line="300" w:lineRule="auto"/>
        <w:rPr>
          <w:rFonts w:hint="eastAsia" w:ascii="宋体" w:hAnsi="宋体"/>
          <w:color w:val="auto"/>
          <w:szCs w:val="21"/>
          <w:highlight w:val="none"/>
        </w:rPr>
      </w:pPr>
    </w:p>
    <w:p w14:paraId="261BF6A3">
      <w:pPr>
        <w:spacing w:line="360" w:lineRule="auto"/>
        <w:rPr>
          <w:rFonts w:hint="eastAsia" w:ascii="宋体" w:hAnsi="宋体" w:cs="仿宋_GB2312"/>
          <w:color w:val="auto"/>
          <w:sz w:val="24"/>
          <w:highlight w:val="none"/>
          <w:u w:val="single"/>
        </w:rPr>
      </w:pPr>
      <w:r>
        <w:rPr>
          <w:rFonts w:hint="eastAsia" w:ascii="宋体" w:hAnsi="宋体" w:cs="仿宋_GB2312"/>
          <w:color w:val="auto"/>
          <w:sz w:val="24"/>
          <w:highlight w:val="none"/>
        </w:rPr>
        <w:t>所竞分标：</w:t>
      </w:r>
      <w:r>
        <w:rPr>
          <w:rFonts w:hint="eastAsia" w:ascii="宋体" w:hAnsi="宋体" w:cs="仿宋_GB2312"/>
          <w:color w:val="auto"/>
          <w:sz w:val="24"/>
          <w:highlight w:val="none"/>
          <w:u w:val="single"/>
        </w:rPr>
        <w:t xml:space="preserve">                 </w:t>
      </w:r>
    </w:p>
    <w:tbl>
      <w:tblPr>
        <w:tblStyle w:val="28"/>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39"/>
        <w:gridCol w:w="1245"/>
        <w:gridCol w:w="803"/>
        <w:gridCol w:w="895"/>
        <w:gridCol w:w="1786"/>
        <w:gridCol w:w="1245"/>
        <w:gridCol w:w="737"/>
        <w:gridCol w:w="1496"/>
      </w:tblGrid>
      <w:tr w14:paraId="4B1677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0133368B">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序号</w:t>
            </w:r>
          </w:p>
        </w:tc>
        <w:tc>
          <w:tcPr>
            <w:tcW w:w="696" w:type="pct"/>
            <w:tcBorders>
              <w:top w:val="single" w:color="auto" w:sz="4" w:space="0"/>
              <w:left w:val="single" w:color="auto" w:sz="4" w:space="0"/>
              <w:bottom w:val="single" w:color="auto" w:sz="4" w:space="0"/>
              <w:right w:val="single" w:color="auto" w:sz="4" w:space="0"/>
            </w:tcBorders>
            <w:noWrap w:val="0"/>
            <w:vAlign w:val="center"/>
          </w:tcPr>
          <w:p w14:paraId="5CE3488B">
            <w:pPr>
              <w:snapToGrid w:val="0"/>
              <w:spacing w:before="50" w:after="50"/>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标的名称</w:t>
            </w:r>
          </w:p>
        </w:tc>
        <w:tc>
          <w:tcPr>
            <w:tcW w:w="449" w:type="pct"/>
            <w:tcBorders>
              <w:top w:val="single" w:color="auto" w:sz="4" w:space="0"/>
              <w:left w:val="single" w:color="auto" w:sz="4" w:space="0"/>
              <w:bottom w:val="single" w:color="auto" w:sz="4" w:space="0"/>
              <w:right w:val="single" w:color="auto" w:sz="4" w:space="0"/>
            </w:tcBorders>
            <w:noWrap w:val="0"/>
            <w:vAlign w:val="center"/>
          </w:tcPr>
          <w:p w14:paraId="63EFCD34">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数量及单位</w:t>
            </w:r>
          </w:p>
        </w:tc>
        <w:tc>
          <w:tcPr>
            <w:tcW w:w="500" w:type="pct"/>
            <w:tcBorders>
              <w:top w:val="single" w:color="auto" w:sz="4" w:space="0"/>
              <w:left w:val="single" w:color="auto" w:sz="4" w:space="0"/>
              <w:bottom w:val="single" w:color="auto" w:sz="4" w:space="0"/>
              <w:right w:val="single" w:color="auto" w:sz="4" w:space="0"/>
            </w:tcBorders>
            <w:noWrap w:val="0"/>
            <w:vAlign w:val="center"/>
          </w:tcPr>
          <w:p w14:paraId="000EBFDE">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品牌</w:t>
            </w:r>
          </w:p>
        </w:tc>
        <w:tc>
          <w:tcPr>
            <w:tcW w:w="998" w:type="pct"/>
            <w:tcBorders>
              <w:top w:val="single" w:color="auto" w:sz="4" w:space="0"/>
              <w:left w:val="single" w:color="auto" w:sz="4" w:space="0"/>
              <w:bottom w:val="single" w:color="auto" w:sz="4" w:space="0"/>
              <w:right w:val="single" w:color="auto" w:sz="4" w:space="0"/>
            </w:tcBorders>
            <w:noWrap w:val="0"/>
            <w:vAlign w:val="top"/>
          </w:tcPr>
          <w:p w14:paraId="273F6598">
            <w:pPr>
              <w:snapToGrid w:val="0"/>
              <w:spacing w:before="50" w:after="50"/>
              <w:jc w:val="center"/>
              <w:rPr>
                <w:rFonts w:ascii="宋体" w:hAnsi="宋体"/>
                <w:color w:val="auto"/>
                <w:sz w:val="24"/>
                <w:highlight w:val="none"/>
              </w:rPr>
            </w:pPr>
          </w:p>
          <w:p w14:paraId="5E8EC116">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规格型号</w:t>
            </w:r>
          </w:p>
        </w:tc>
        <w:tc>
          <w:tcPr>
            <w:tcW w:w="696" w:type="pct"/>
            <w:tcBorders>
              <w:top w:val="single" w:color="auto" w:sz="4" w:space="0"/>
              <w:left w:val="single" w:color="auto" w:sz="4" w:space="0"/>
              <w:bottom w:val="single" w:color="auto" w:sz="4" w:space="0"/>
              <w:right w:val="single" w:color="auto" w:sz="4" w:space="0"/>
            </w:tcBorders>
            <w:noWrap w:val="0"/>
            <w:vAlign w:val="center"/>
          </w:tcPr>
          <w:p w14:paraId="1285463C">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制造商</w:t>
            </w:r>
          </w:p>
        </w:tc>
        <w:tc>
          <w:tcPr>
            <w:tcW w:w="412" w:type="pct"/>
            <w:tcBorders>
              <w:top w:val="single" w:color="auto" w:sz="4" w:space="0"/>
              <w:left w:val="single" w:color="auto" w:sz="4" w:space="0"/>
              <w:bottom w:val="single" w:color="auto" w:sz="4" w:space="0"/>
              <w:right w:val="single" w:color="auto" w:sz="4" w:space="0"/>
            </w:tcBorders>
            <w:noWrap w:val="0"/>
            <w:vAlign w:val="center"/>
          </w:tcPr>
          <w:p w14:paraId="0D16CBA8">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原产地</w:t>
            </w:r>
          </w:p>
        </w:tc>
        <w:tc>
          <w:tcPr>
            <w:tcW w:w="836" w:type="pct"/>
            <w:tcBorders>
              <w:top w:val="single" w:color="auto" w:sz="4" w:space="0"/>
              <w:left w:val="single" w:color="auto" w:sz="4" w:space="0"/>
              <w:bottom w:val="single" w:color="auto" w:sz="4" w:space="0"/>
              <w:right w:val="single" w:color="auto" w:sz="4" w:space="0"/>
            </w:tcBorders>
            <w:noWrap w:val="0"/>
            <w:vAlign w:val="center"/>
          </w:tcPr>
          <w:p w14:paraId="5F735B6A">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参数性能、指标及配置</w:t>
            </w:r>
          </w:p>
        </w:tc>
      </w:tr>
      <w:tr w14:paraId="7B87BE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710F5584">
            <w:pPr>
              <w:snapToGrid w:val="0"/>
              <w:spacing w:before="50" w:after="50"/>
              <w:jc w:val="center"/>
              <w:rPr>
                <w:rFonts w:hint="eastAsia" w:ascii="宋体" w:hAnsi="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28F24958">
            <w:pPr>
              <w:snapToGrid w:val="0"/>
              <w:spacing w:before="50" w:after="50"/>
              <w:jc w:val="center"/>
              <w:rPr>
                <w:rFonts w:hint="eastAsia" w:ascii="宋体" w:hAnsi="宋体"/>
                <w:color w:val="auto"/>
                <w:sz w:val="24"/>
                <w:highlight w:val="none"/>
              </w:rPr>
            </w:pPr>
          </w:p>
        </w:tc>
        <w:tc>
          <w:tcPr>
            <w:tcW w:w="449" w:type="pct"/>
            <w:tcBorders>
              <w:top w:val="single" w:color="auto" w:sz="4" w:space="0"/>
              <w:left w:val="single" w:color="auto" w:sz="4" w:space="0"/>
              <w:bottom w:val="single" w:color="auto" w:sz="4" w:space="0"/>
              <w:right w:val="single" w:color="auto" w:sz="4" w:space="0"/>
            </w:tcBorders>
            <w:noWrap w:val="0"/>
            <w:vAlign w:val="center"/>
          </w:tcPr>
          <w:p w14:paraId="6D22094F">
            <w:pPr>
              <w:snapToGrid w:val="0"/>
              <w:spacing w:before="50" w:after="50"/>
              <w:jc w:val="center"/>
              <w:rPr>
                <w:rFonts w:hint="eastAsia" w:ascii="宋体" w:hAnsi="宋体"/>
                <w:color w:val="auto"/>
                <w:sz w:val="24"/>
                <w:highlight w:val="none"/>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6AFC64A4">
            <w:pPr>
              <w:snapToGrid w:val="0"/>
              <w:spacing w:before="50" w:after="50"/>
              <w:jc w:val="center"/>
              <w:rPr>
                <w:rFonts w:hint="eastAsia" w:ascii="宋体" w:hAnsi="宋体"/>
                <w:color w:val="auto"/>
                <w:sz w:val="24"/>
                <w:highlight w:val="none"/>
              </w:rPr>
            </w:pPr>
          </w:p>
        </w:tc>
        <w:tc>
          <w:tcPr>
            <w:tcW w:w="998" w:type="pct"/>
            <w:tcBorders>
              <w:top w:val="single" w:color="auto" w:sz="4" w:space="0"/>
              <w:left w:val="single" w:color="auto" w:sz="4" w:space="0"/>
              <w:bottom w:val="single" w:color="auto" w:sz="4" w:space="0"/>
              <w:right w:val="single" w:color="auto" w:sz="4" w:space="0"/>
            </w:tcBorders>
            <w:noWrap w:val="0"/>
            <w:vAlign w:val="top"/>
          </w:tcPr>
          <w:p w14:paraId="3E3881A7">
            <w:pPr>
              <w:snapToGrid w:val="0"/>
              <w:spacing w:before="50" w:after="50"/>
              <w:jc w:val="center"/>
              <w:rPr>
                <w:rFonts w:hint="eastAsia" w:ascii="宋体" w:hAnsi="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05DA6D3C">
            <w:pPr>
              <w:snapToGrid w:val="0"/>
              <w:spacing w:before="50" w:after="50"/>
              <w:jc w:val="center"/>
              <w:rPr>
                <w:rFonts w:hint="eastAsia" w:ascii="宋体" w:hAnsi="宋体"/>
                <w:color w:val="auto"/>
                <w:sz w:val="24"/>
                <w:highlight w:val="none"/>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2C36AC6E">
            <w:pPr>
              <w:snapToGrid w:val="0"/>
              <w:spacing w:before="50" w:after="50"/>
              <w:jc w:val="center"/>
              <w:rPr>
                <w:rFonts w:hint="eastAsia" w:ascii="宋体" w:hAnsi="宋体"/>
                <w:color w:val="auto"/>
                <w:sz w:val="24"/>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center"/>
          </w:tcPr>
          <w:p w14:paraId="2135DECA">
            <w:pPr>
              <w:snapToGrid w:val="0"/>
              <w:spacing w:before="50" w:after="50"/>
              <w:jc w:val="center"/>
              <w:rPr>
                <w:rFonts w:hint="eastAsia" w:ascii="宋体" w:hAnsi="宋体"/>
                <w:color w:val="auto"/>
                <w:sz w:val="24"/>
                <w:highlight w:val="none"/>
              </w:rPr>
            </w:pPr>
          </w:p>
        </w:tc>
      </w:tr>
      <w:tr w14:paraId="396B63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2B97E8F1">
            <w:pPr>
              <w:snapToGrid w:val="0"/>
              <w:spacing w:before="50" w:after="50"/>
              <w:jc w:val="center"/>
              <w:rPr>
                <w:rFonts w:hint="eastAsia" w:ascii="宋体" w:hAnsi="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777E75AB">
            <w:pPr>
              <w:snapToGrid w:val="0"/>
              <w:spacing w:before="50" w:after="50"/>
              <w:jc w:val="center"/>
              <w:rPr>
                <w:rFonts w:hint="eastAsia" w:ascii="宋体" w:hAnsi="宋体"/>
                <w:color w:val="auto"/>
                <w:sz w:val="24"/>
                <w:highlight w:val="none"/>
              </w:rPr>
            </w:pPr>
          </w:p>
        </w:tc>
        <w:tc>
          <w:tcPr>
            <w:tcW w:w="449" w:type="pct"/>
            <w:tcBorders>
              <w:top w:val="single" w:color="auto" w:sz="4" w:space="0"/>
              <w:left w:val="single" w:color="auto" w:sz="4" w:space="0"/>
              <w:bottom w:val="single" w:color="auto" w:sz="4" w:space="0"/>
              <w:right w:val="single" w:color="auto" w:sz="4" w:space="0"/>
            </w:tcBorders>
            <w:noWrap w:val="0"/>
            <w:vAlign w:val="center"/>
          </w:tcPr>
          <w:p w14:paraId="09AC1230">
            <w:pPr>
              <w:snapToGrid w:val="0"/>
              <w:spacing w:before="50" w:after="50"/>
              <w:jc w:val="center"/>
              <w:rPr>
                <w:rFonts w:hint="eastAsia" w:ascii="宋体" w:hAnsi="宋体"/>
                <w:color w:val="auto"/>
                <w:sz w:val="24"/>
                <w:highlight w:val="none"/>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679904C1">
            <w:pPr>
              <w:snapToGrid w:val="0"/>
              <w:spacing w:before="50" w:after="50"/>
              <w:jc w:val="center"/>
              <w:rPr>
                <w:rFonts w:hint="eastAsia" w:ascii="宋体" w:hAnsi="宋体"/>
                <w:color w:val="auto"/>
                <w:sz w:val="24"/>
                <w:highlight w:val="none"/>
              </w:rPr>
            </w:pPr>
          </w:p>
        </w:tc>
        <w:tc>
          <w:tcPr>
            <w:tcW w:w="998" w:type="pct"/>
            <w:tcBorders>
              <w:top w:val="single" w:color="auto" w:sz="4" w:space="0"/>
              <w:left w:val="single" w:color="auto" w:sz="4" w:space="0"/>
              <w:bottom w:val="single" w:color="auto" w:sz="4" w:space="0"/>
              <w:right w:val="single" w:color="auto" w:sz="4" w:space="0"/>
            </w:tcBorders>
            <w:noWrap w:val="0"/>
            <w:vAlign w:val="top"/>
          </w:tcPr>
          <w:p w14:paraId="5F4349C4">
            <w:pPr>
              <w:snapToGrid w:val="0"/>
              <w:spacing w:before="50" w:after="50"/>
              <w:jc w:val="center"/>
              <w:rPr>
                <w:rFonts w:hint="eastAsia" w:ascii="宋体" w:hAnsi="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7981C559">
            <w:pPr>
              <w:snapToGrid w:val="0"/>
              <w:spacing w:before="50" w:after="50"/>
              <w:jc w:val="center"/>
              <w:rPr>
                <w:rFonts w:hint="eastAsia" w:ascii="宋体" w:hAnsi="宋体"/>
                <w:color w:val="auto"/>
                <w:sz w:val="24"/>
                <w:highlight w:val="none"/>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5ACC9310">
            <w:pPr>
              <w:snapToGrid w:val="0"/>
              <w:spacing w:before="50" w:after="50"/>
              <w:jc w:val="center"/>
              <w:rPr>
                <w:rFonts w:hint="eastAsia" w:ascii="宋体" w:hAnsi="宋体"/>
                <w:color w:val="auto"/>
                <w:sz w:val="24"/>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center"/>
          </w:tcPr>
          <w:p w14:paraId="68012FBE">
            <w:pPr>
              <w:snapToGrid w:val="0"/>
              <w:spacing w:before="50" w:after="50"/>
              <w:jc w:val="center"/>
              <w:rPr>
                <w:rFonts w:hint="eastAsia" w:ascii="宋体" w:hAnsi="宋体"/>
                <w:color w:val="auto"/>
                <w:sz w:val="24"/>
                <w:highlight w:val="none"/>
              </w:rPr>
            </w:pPr>
          </w:p>
        </w:tc>
      </w:tr>
      <w:tr w14:paraId="17B4D0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2A49B665">
            <w:pPr>
              <w:snapToGrid w:val="0"/>
              <w:spacing w:before="50" w:after="50"/>
              <w:jc w:val="center"/>
              <w:rPr>
                <w:rFonts w:hint="eastAsia" w:ascii="宋体" w:hAnsi="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0F71C427">
            <w:pPr>
              <w:snapToGrid w:val="0"/>
              <w:spacing w:before="50" w:after="50"/>
              <w:jc w:val="center"/>
              <w:rPr>
                <w:rFonts w:hint="eastAsia" w:ascii="宋体" w:hAnsi="宋体"/>
                <w:color w:val="auto"/>
                <w:sz w:val="24"/>
                <w:highlight w:val="none"/>
              </w:rPr>
            </w:pPr>
          </w:p>
        </w:tc>
        <w:tc>
          <w:tcPr>
            <w:tcW w:w="449" w:type="pct"/>
            <w:tcBorders>
              <w:top w:val="single" w:color="auto" w:sz="4" w:space="0"/>
              <w:left w:val="single" w:color="auto" w:sz="4" w:space="0"/>
              <w:bottom w:val="single" w:color="auto" w:sz="4" w:space="0"/>
              <w:right w:val="single" w:color="auto" w:sz="4" w:space="0"/>
            </w:tcBorders>
            <w:noWrap w:val="0"/>
            <w:vAlign w:val="center"/>
          </w:tcPr>
          <w:p w14:paraId="470F89D5">
            <w:pPr>
              <w:snapToGrid w:val="0"/>
              <w:spacing w:before="50" w:after="50"/>
              <w:jc w:val="center"/>
              <w:rPr>
                <w:rFonts w:hint="eastAsia" w:ascii="宋体" w:hAnsi="宋体"/>
                <w:color w:val="auto"/>
                <w:sz w:val="24"/>
                <w:highlight w:val="none"/>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66CE800F">
            <w:pPr>
              <w:snapToGrid w:val="0"/>
              <w:spacing w:before="50" w:after="50"/>
              <w:jc w:val="center"/>
              <w:rPr>
                <w:rFonts w:hint="eastAsia" w:ascii="宋体" w:hAnsi="宋体"/>
                <w:color w:val="auto"/>
                <w:sz w:val="24"/>
                <w:highlight w:val="none"/>
              </w:rPr>
            </w:pPr>
          </w:p>
        </w:tc>
        <w:tc>
          <w:tcPr>
            <w:tcW w:w="998" w:type="pct"/>
            <w:tcBorders>
              <w:top w:val="single" w:color="auto" w:sz="4" w:space="0"/>
              <w:left w:val="single" w:color="auto" w:sz="4" w:space="0"/>
              <w:bottom w:val="single" w:color="auto" w:sz="4" w:space="0"/>
              <w:right w:val="single" w:color="auto" w:sz="4" w:space="0"/>
            </w:tcBorders>
            <w:noWrap w:val="0"/>
            <w:vAlign w:val="top"/>
          </w:tcPr>
          <w:p w14:paraId="216998E8">
            <w:pPr>
              <w:snapToGrid w:val="0"/>
              <w:spacing w:before="50" w:after="50"/>
              <w:jc w:val="center"/>
              <w:rPr>
                <w:rFonts w:hint="eastAsia" w:ascii="宋体" w:hAnsi="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48C6D6BC">
            <w:pPr>
              <w:snapToGrid w:val="0"/>
              <w:spacing w:before="50" w:after="50"/>
              <w:jc w:val="center"/>
              <w:rPr>
                <w:rFonts w:hint="eastAsia" w:ascii="宋体" w:hAnsi="宋体"/>
                <w:color w:val="auto"/>
                <w:sz w:val="24"/>
                <w:highlight w:val="none"/>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11371AC0">
            <w:pPr>
              <w:snapToGrid w:val="0"/>
              <w:spacing w:before="50" w:after="50"/>
              <w:jc w:val="center"/>
              <w:rPr>
                <w:rFonts w:hint="eastAsia" w:ascii="宋体" w:hAnsi="宋体"/>
                <w:color w:val="auto"/>
                <w:sz w:val="24"/>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center"/>
          </w:tcPr>
          <w:p w14:paraId="383C8422">
            <w:pPr>
              <w:snapToGrid w:val="0"/>
              <w:spacing w:before="50" w:after="50"/>
              <w:jc w:val="center"/>
              <w:rPr>
                <w:rFonts w:hint="eastAsia" w:ascii="宋体" w:hAnsi="宋体"/>
                <w:color w:val="auto"/>
                <w:sz w:val="24"/>
                <w:highlight w:val="none"/>
              </w:rPr>
            </w:pPr>
          </w:p>
        </w:tc>
      </w:tr>
    </w:tbl>
    <w:p w14:paraId="4F16338E">
      <w:pPr>
        <w:spacing w:line="360" w:lineRule="auto"/>
        <w:contextualSpacing/>
        <w:rPr>
          <w:rFonts w:hint="eastAsia" w:ascii="宋体" w:hAnsi="宋体"/>
          <w:color w:val="auto"/>
          <w:sz w:val="24"/>
          <w:highlight w:val="none"/>
        </w:rPr>
      </w:pPr>
      <w:r>
        <w:rPr>
          <w:rFonts w:hint="eastAsia" w:ascii="宋体" w:hAnsi="宋体"/>
          <w:color w:val="auto"/>
          <w:sz w:val="24"/>
          <w:highlight w:val="none"/>
        </w:rPr>
        <w:t>备注：</w:t>
      </w:r>
    </w:p>
    <w:p w14:paraId="5C788949">
      <w:pPr>
        <w:tabs>
          <w:tab w:val="left" w:pos="1065"/>
        </w:tabs>
        <w:adjustRightInd w:val="0"/>
        <w:spacing w:line="360" w:lineRule="auto"/>
        <w:contextualSpacing/>
        <w:rPr>
          <w:rFonts w:hint="eastAsia" w:ascii="宋体" w:hAnsi="宋体" w:cs="仿宋_GB2312"/>
          <w:color w:val="auto"/>
          <w:sz w:val="24"/>
          <w:highlight w:val="none"/>
        </w:rPr>
      </w:pPr>
      <w:r>
        <w:rPr>
          <w:rFonts w:hint="eastAsia" w:ascii="宋体" w:hAnsi="宋体"/>
          <w:b/>
          <w:bCs/>
          <w:color w:val="auto"/>
          <w:sz w:val="24"/>
          <w:highlight w:val="none"/>
        </w:rPr>
        <w:t>以上性能配置清单中“</w:t>
      </w:r>
      <w:r>
        <w:rPr>
          <w:rFonts w:hint="eastAsia" w:ascii="宋体" w:hAnsi="宋体"/>
          <w:b/>
          <w:bCs/>
          <w:color w:val="auto"/>
          <w:sz w:val="24"/>
          <w:highlight w:val="none"/>
          <w:lang w:eastAsia="zh-CN"/>
        </w:rPr>
        <w:t>标的名称</w:t>
      </w:r>
      <w:r>
        <w:rPr>
          <w:rFonts w:hint="eastAsia" w:ascii="宋体" w:hAnsi="宋体"/>
          <w:b/>
          <w:bCs/>
          <w:color w:val="auto"/>
          <w:sz w:val="24"/>
          <w:highlight w:val="none"/>
        </w:rPr>
        <w:t>、数量及单位、品牌、规格型号、制造商、原产地、参数性能、指标及配置”必须如实填写完整，品牌、规格型号没有则填无，填写有缺漏的，响应文件作无效处理</w:t>
      </w:r>
      <w:r>
        <w:rPr>
          <w:rFonts w:hint="eastAsia" w:ascii="宋体" w:hAnsi="宋体"/>
          <w:b/>
          <w:color w:val="auto"/>
          <w:sz w:val="24"/>
          <w:highlight w:val="none"/>
        </w:rPr>
        <w:t>。</w:t>
      </w:r>
      <w:r>
        <w:rPr>
          <w:rFonts w:hint="eastAsia" w:ascii="宋体" w:hAnsi="宋体"/>
          <w:color w:val="auto"/>
          <w:sz w:val="24"/>
          <w:highlight w:val="none"/>
          <w:lang w:eastAsia="zh-CN"/>
        </w:rPr>
        <w:t>标的名称</w:t>
      </w:r>
      <w:r>
        <w:rPr>
          <w:rFonts w:hint="eastAsia" w:ascii="宋体" w:hAnsi="宋体"/>
          <w:color w:val="auto"/>
          <w:sz w:val="24"/>
          <w:highlight w:val="none"/>
        </w:rPr>
        <w:t>、数量及单位、品牌必须与“服务需求一览表”一致，</w:t>
      </w:r>
      <w:r>
        <w:rPr>
          <w:rFonts w:hint="eastAsia" w:ascii="宋体" w:hAnsi="宋体"/>
          <w:bCs/>
          <w:color w:val="auto"/>
          <w:sz w:val="24"/>
          <w:highlight w:val="none"/>
        </w:rPr>
        <w:t>否则响应文件作无效处理</w:t>
      </w:r>
      <w:r>
        <w:rPr>
          <w:rFonts w:hint="eastAsia" w:ascii="宋体" w:hAnsi="宋体"/>
          <w:b/>
          <w:color w:val="auto"/>
          <w:sz w:val="24"/>
          <w:highlight w:val="none"/>
        </w:rPr>
        <w:t>。</w:t>
      </w:r>
      <w:r>
        <w:rPr>
          <w:rFonts w:hint="eastAsia" w:ascii="宋体" w:hAnsi="宋体" w:cs="仿宋_GB2312"/>
          <w:color w:val="auto"/>
          <w:sz w:val="24"/>
          <w:highlight w:val="none"/>
        </w:rPr>
        <w:tab/>
      </w:r>
    </w:p>
    <w:p w14:paraId="3EB82011">
      <w:pPr>
        <w:adjustRightInd w:val="0"/>
        <w:spacing w:line="360" w:lineRule="auto"/>
        <w:contextualSpacing/>
        <w:jc w:val="left"/>
        <w:rPr>
          <w:rFonts w:hint="eastAsia" w:ascii="宋体" w:hAnsi="宋体" w:cs="仿宋_GB2312"/>
          <w:color w:val="auto"/>
          <w:sz w:val="24"/>
          <w:highlight w:val="none"/>
        </w:rPr>
      </w:pPr>
    </w:p>
    <w:p w14:paraId="5E7A493F">
      <w:pPr>
        <w:autoSpaceDE w:val="0"/>
        <w:autoSpaceDN w:val="0"/>
        <w:spacing w:line="360" w:lineRule="auto"/>
        <w:ind w:left="4335" w:leftChars="1950" w:hanging="240" w:hangingChars="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3E4635BB">
      <w:pPr>
        <w:spacing w:line="500" w:lineRule="exact"/>
        <w:jc w:val="center"/>
        <w:rPr>
          <w:rFonts w:ascii="仿宋_GB2312" w:hAnsi="仿宋" w:eastAsia="仿宋_GB2312" w:cs="仿宋_GB2312"/>
          <w:color w:val="auto"/>
          <w:kern w:val="0"/>
          <w:sz w:val="24"/>
          <w:highlight w:val="none"/>
          <w:lang w:val="zh-CN"/>
        </w:rPr>
        <w:sectPr>
          <w:pgSz w:w="11910" w:h="16840"/>
          <w:pgMar w:top="1340" w:right="1500" w:bottom="280" w:left="1680" w:header="720" w:footer="720" w:gutter="0"/>
          <w:cols w:space="720" w:num="1"/>
        </w:sectPr>
      </w:pPr>
      <w:r>
        <w:rPr>
          <w:rFonts w:hint="eastAsia" w:ascii="仿宋_GB2312" w:hAnsi="仿宋" w:eastAsia="仿宋_GB2312" w:cs="仿宋_GB2312"/>
          <w:color w:val="auto"/>
          <w:kern w:val="0"/>
          <w:sz w:val="24"/>
          <w:highlight w:val="none"/>
          <w:lang w:val="zh-CN"/>
        </w:rPr>
        <w:t>日期：  年  月   日</w:t>
      </w:r>
    </w:p>
    <w:p w14:paraId="719EE68C">
      <w:pPr>
        <w:snapToGrid w:val="0"/>
        <w:spacing w:line="360" w:lineRule="auto"/>
        <w:ind w:firstLine="602" w:firstLineChars="200"/>
        <w:rPr>
          <w:rFonts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lang w:eastAsia="zh-CN"/>
        </w:rPr>
        <w:t>七</w:t>
      </w:r>
      <w:r>
        <w:rPr>
          <w:rFonts w:hint="eastAsia" w:ascii="仿宋" w:hAnsi="仿宋" w:eastAsia="仿宋" w:cs="仿宋_GB2312"/>
          <w:b/>
          <w:color w:val="auto"/>
          <w:sz w:val="30"/>
          <w:szCs w:val="30"/>
          <w:highlight w:val="none"/>
        </w:rPr>
        <w:t>、</w:t>
      </w:r>
      <w:r>
        <w:rPr>
          <w:rFonts w:hint="eastAsia" w:ascii="仿宋" w:hAnsi="仿宋" w:eastAsia="仿宋" w:cs="仿宋_GB2312"/>
          <w:b/>
          <w:color w:val="auto"/>
          <w:sz w:val="30"/>
          <w:szCs w:val="30"/>
          <w:highlight w:val="none"/>
          <w:lang w:eastAsia="zh-CN"/>
        </w:rPr>
        <w:t>技术</w:t>
      </w:r>
      <w:r>
        <w:rPr>
          <w:rFonts w:hint="eastAsia" w:ascii="仿宋" w:hAnsi="仿宋" w:eastAsia="仿宋" w:cs="仿宋_GB2312"/>
          <w:b/>
          <w:color w:val="auto"/>
          <w:sz w:val="30"/>
          <w:szCs w:val="30"/>
          <w:highlight w:val="none"/>
        </w:rPr>
        <w:t>方案</w:t>
      </w:r>
    </w:p>
    <w:p w14:paraId="2DED4316">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（由供应商根据采购需求及采购文件要求编制）</w:t>
      </w:r>
    </w:p>
    <w:p w14:paraId="7827A51F">
      <w:pPr>
        <w:spacing w:line="500" w:lineRule="exact"/>
        <w:rPr>
          <w:rFonts w:hint="eastAsia" w:ascii="仿宋_GB2312" w:hAnsi="仿宋_GB2312" w:eastAsia="仿宋_GB2312" w:cs="仿宋_GB2312"/>
          <w:color w:val="auto"/>
          <w:sz w:val="32"/>
          <w:szCs w:val="32"/>
          <w:highlight w:val="none"/>
        </w:rPr>
      </w:pPr>
    </w:p>
    <w:p w14:paraId="555E7700">
      <w:pPr>
        <w:autoSpaceDE w:val="0"/>
        <w:autoSpaceDN w:val="0"/>
        <w:spacing w:line="360" w:lineRule="auto"/>
        <w:ind w:left="4335" w:leftChars="1950" w:hanging="240" w:hangingChars="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0D840D80">
      <w:pPr>
        <w:autoSpaceDE w:val="0"/>
        <w:autoSpaceDN w:val="0"/>
        <w:spacing w:line="360" w:lineRule="auto"/>
        <w:ind w:firstLine="6480" w:firstLineChars="2700"/>
        <w:rPr>
          <w:rFonts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lang w:val="zh-CN"/>
        </w:rPr>
        <w:t>日期：  年  月   日</w:t>
      </w:r>
    </w:p>
    <w:p w14:paraId="684BAEAD">
      <w:pPr>
        <w:snapToGrid w:val="0"/>
        <w:spacing w:before="120" w:beforeLines="50" w:after="50"/>
        <w:ind w:left="143" w:leftChars="68" w:firstLine="596" w:firstLineChars="198"/>
        <w:rPr>
          <w:rFonts w:hint="eastAsia"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lang w:eastAsia="zh-CN"/>
        </w:rPr>
        <w:t>八</w:t>
      </w:r>
      <w:r>
        <w:rPr>
          <w:rFonts w:hint="eastAsia" w:ascii="仿宋" w:hAnsi="仿宋" w:eastAsia="仿宋" w:cs="仿宋_GB2312"/>
          <w:b/>
          <w:color w:val="auto"/>
          <w:sz w:val="30"/>
          <w:szCs w:val="30"/>
          <w:highlight w:val="none"/>
        </w:rPr>
        <w:t>、售后服务方案</w:t>
      </w:r>
    </w:p>
    <w:p w14:paraId="70A64A21">
      <w:pPr>
        <w:snapToGrid w:val="0"/>
        <w:spacing w:before="120" w:beforeLines="50" w:after="50"/>
        <w:ind w:left="143" w:leftChars="68" w:firstLine="420" w:firstLineChars="200"/>
        <w:rPr>
          <w:rFonts w:hint="eastAsia" w:hAnsi="宋体"/>
          <w:color w:val="auto"/>
          <w:highlight w:val="none"/>
        </w:rPr>
      </w:pPr>
      <w:r>
        <w:rPr>
          <w:rFonts w:hint="eastAsia" w:hAnsi="宋体"/>
          <w:color w:val="auto"/>
          <w:highlight w:val="none"/>
        </w:rPr>
        <w:t>由竞标人按本项目竞争性磋商采购文件第二章“服务需求一览表”中商务条款部分的售后服务要求自行填写，其中要包含售后服务承诺书。</w:t>
      </w:r>
    </w:p>
    <w:p w14:paraId="5CB8B5EC">
      <w:pPr>
        <w:snapToGrid w:val="0"/>
        <w:spacing w:before="120" w:beforeLines="50" w:after="50"/>
        <w:ind w:left="142"/>
        <w:jc w:val="center"/>
        <w:rPr>
          <w:rFonts w:hint="eastAsia" w:ascii="宋体" w:hAnsi="宋体"/>
          <w:b/>
          <w:color w:val="auto"/>
          <w:sz w:val="32"/>
          <w:szCs w:val="32"/>
          <w:highlight w:val="none"/>
        </w:rPr>
      </w:pPr>
    </w:p>
    <w:p w14:paraId="4E7E9CAF">
      <w:pPr>
        <w:snapToGrid w:val="0"/>
        <w:spacing w:before="120" w:beforeLines="50" w:after="50"/>
        <w:ind w:left="142"/>
        <w:jc w:val="center"/>
        <w:rPr>
          <w:rFonts w:hint="eastAsia" w:ascii="宋体" w:hAnsi="宋体"/>
          <w:b/>
          <w:color w:val="auto"/>
          <w:sz w:val="32"/>
          <w:szCs w:val="32"/>
          <w:highlight w:val="none"/>
        </w:rPr>
      </w:pPr>
      <w:r>
        <w:rPr>
          <w:rFonts w:hint="eastAsia" w:ascii="宋体" w:hAnsi="宋体"/>
          <w:b/>
          <w:color w:val="auto"/>
          <w:sz w:val="32"/>
          <w:szCs w:val="32"/>
          <w:highlight w:val="none"/>
        </w:rPr>
        <w:t>售后服务承诺书</w:t>
      </w:r>
    </w:p>
    <w:p w14:paraId="4068DF2F">
      <w:pPr>
        <w:autoSpaceDE w:val="0"/>
        <w:autoSpaceDN w:val="0"/>
        <w:spacing w:line="360" w:lineRule="auto"/>
        <w:jc w:val="center"/>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根据第二章要求及供应商自身能力编制，格式自拟。后附附表A、附表B</w:t>
      </w:r>
    </w:p>
    <w:p w14:paraId="01980B35">
      <w:pPr>
        <w:autoSpaceDE w:val="0"/>
        <w:autoSpaceDN w:val="0"/>
        <w:spacing w:line="360" w:lineRule="auto"/>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附表A:售后服务机构情况表</w:t>
      </w:r>
      <w:r>
        <w:rPr>
          <w:rFonts w:hint="eastAsia" w:ascii="仿宋_GB2312" w:hAnsi="仿宋" w:eastAsia="仿宋_GB2312" w:cs="仿宋_GB2312"/>
          <w:color w:val="auto"/>
          <w:sz w:val="24"/>
          <w:highlight w:val="none"/>
        </w:rPr>
        <w:t>（按此格式自制）</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6658C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6E0A84B2">
            <w:pPr>
              <w:autoSpaceDE w:val="0"/>
              <w:autoSpaceDN w:val="0"/>
              <w:spacing w:line="360" w:lineRule="auto"/>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序号</w:t>
            </w:r>
          </w:p>
        </w:tc>
        <w:tc>
          <w:tcPr>
            <w:tcW w:w="2340" w:type="dxa"/>
            <w:noWrap w:val="0"/>
            <w:vAlign w:val="top"/>
          </w:tcPr>
          <w:p w14:paraId="42243A66">
            <w:pPr>
              <w:autoSpaceDE w:val="0"/>
              <w:autoSpaceDN w:val="0"/>
              <w:spacing w:line="360" w:lineRule="auto"/>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机构名称</w:t>
            </w:r>
          </w:p>
        </w:tc>
        <w:tc>
          <w:tcPr>
            <w:tcW w:w="1095" w:type="dxa"/>
            <w:noWrap w:val="0"/>
            <w:vAlign w:val="top"/>
          </w:tcPr>
          <w:p w14:paraId="5C382082">
            <w:pPr>
              <w:autoSpaceDE w:val="0"/>
              <w:autoSpaceDN w:val="0"/>
              <w:spacing w:line="360" w:lineRule="auto"/>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机构性质</w:t>
            </w:r>
          </w:p>
        </w:tc>
        <w:tc>
          <w:tcPr>
            <w:tcW w:w="1245" w:type="dxa"/>
            <w:noWrap w:val="0"/>
            <w:vAlign w:val="top"/>
          </w:tcPr>
          <w:p w14:paraId="3AD24301">
            <w:pPr>
              <w:autoSpaceDE w:val="0"/>
              <w:autoSpaceDN w:val="0"/>
              <w:spacing w:line="360" w:lineRule="auto"/>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注册地址</w:t>
            </w:r>
          </w:p>
        </w:tc>
        <w:tc>
          <w:tcPr>
            <w:tcW w:w="1980" w:type="dxa"/>
            <w:noWrap w:val="0"/>
            <w:vAlign w:val="top"/>
          </w:tcPr>
          <w:p w14:paraId="49F4A8CD">
            <w:pPr>
              <w:autoSpaceDE w:val="0"/>
              <w:autoSpaceDN w:val="0"/>
              <w:spacing w:line="360" w:lineRule="auto"/>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服务技术人员数量</w:t>
            </w:r>
          </w:p>
        </w:tc>
        <w:tc>
          <w:tcPr>
            <w:tcW w:w="1260" w:type="dxa"/>
            <w:noWrap w:val="0"/>
            <w:vAlign w:val="top"/>
          </w:tcPr>
          <w:p w14:paraId="331A9574">
            <w:pPr>
              <w:autoSpaceDE w:val="0"/>
              <w:autoSpaceDN w:val="0"/>
              <w:spacing w:line="360" w:lineRule="auto"/>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联系电话</w:t>
            </w:r>
          </w:p>
        </w:tc>
      </w:tr>
      <w:tr w14:paraId="6762A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78D5A99E">
            <w:pPr>
              <w:autoSpaceDE w:val="0"/>
              <w:autoSpaceDN w:val="0"/>
              <w:spacing w:line="360" w:lineRule="auto"/>
              <w:jc w:val="center"/>
              <w:rPr>
                <w:rFonts w:hint="eastAsia" w:ascii="仿宋_GB2312" w:hAnsi="仿宋" w:eastAsia="仿宋_GB2312" w:cs="仿宋_GB2312"/>
                <w:color w:val="auto"/>
                <w:sz w:val="24"/>
                <w:highlight w:val="none"/>
              </w:rPr>
            </w:pPr>
          </w:p>
        </w:tc>
        <w:tc>
          <w:tcPr>
            <w:tcW w:w="2340" w:type="dxa"/>
            <w:noWrap w:val="0"/>
            <w:vAlign w:val="top"/>
          </w:tcPr>
          <w:p w14:paraId="7FB03AAE">
            <w:pPr>
              <w:autoSpaceDE w:val="0"/>
              <w:autoSpaceDN w:val="0"/>
              <w:spacing w:line="360" w:lineRule="auto"/>
              <w:jc w:val="center"/>
              <w:rPr>
                <w:rFonts w:hint="eastAsia" w:ascii="仿宋_GB2312" w:hAnsi="仿宋" w:eastAsia="仿宋_GB2312" w:cs="仿宋_GB2312"/>
                <w:color w:val="auto"/>
                <w:sz w:val="24"/>
                <w:highlight w:val="none"/>
              </w:rPr>
            </w:pPr>
          </w:p>
        </w:tc>
        <w:tc>
          <w:tcPr>
            <w:tcW w:w="1095" w:type="dxa"/>
            <w:noWrap w:val="0"/>
            <w:vAlign w:val="top"/>
          </w:tcPr>
          <w:p w14:paraId="2255F544">
            <w:pPr>
              <w:autoSpaceDE w:val="0"/>
              <w:autoSpaceDN w:val="0"/>
              <w:spacing w:line="360" w:lineRule="auto"/>
              <w:jc w:val="center"/>
              <w:rPr>
                <w:rFonts w:hint="eastAsia" w:ascii="仿宋_GB2312" w:hAnsi="仿宋" w:eastAsia="仿宋_GB2312" w:cs="仿宋_GB2312"/>
                <w:color w:val="auto"/>
                <w:sz w:val="24"/>
                <w:highlight w:val="none"/>
              </w:rPr>
            </w:pPr>
          </w:p>
        </w:tc>
        <w:tc>
          <w:tcPr>
            <w:tcW w:w="1245" w:type="dxa"/>
            <w:noWrap w:val="0"/>
            <w:vAlign w:val="top"/>
          </w:tcPr>
          <w:p w14:paraId="68264636">
            <w:pPr>
              <w:autoSpaceDE w:val="0"/>
              <w:autoSpaceDN w:val="0"/>
              <w:spacing w:line="360" w:lineRule="auto"/>
              <w:jc w:val="center"/>
              <w:rPr>
                <w:rFonts w:hint="eastAsia" w:ascii="仿宋_GB2312" w:hAnsi="仿宋" w:eastAsia="仿宋_GB2312" w:cs="仿宋_GB2312"/>
                <w:color w:val="auto"/>
                <w:sz w:val="24"/>
                <w:highlight w:val="none"/>
              </w:rPr>
            </w:pPr>
          </w:p>
        </w:tc>
        <w:tc>
          <w:tcPr>
            <w:tcW w:w="1980" w:type="dxa"/>
            <w:noWrap w:val="0"/>
            <w:vAlign w:val="top"/>
          </w:tcPr>
          <w:p w14:paraId="6D739808">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noWrap w:val="0"/>
            <w:vAlign w:val="top"/>
          </w:tcPr>
          <w:p w14:paraId="3A647ACE">
            <w:pPr>
              <w:autoSpaceDE w:val="0"/>
              <w:autoSpaceDN w:val="0"/>
              <w:spacing w:line="360" w:lineRule="auto"/>
              <w:jc w:val="center"/>
              <w:rPr>
                <w:rFonts w:hint="eastAsia" w:ascii="仿宋_GB2312" w:hAnsi="仿宋" w:eastAsia="仿宋_GB2312" w:cs="仿宋_GB2312"/>
                <w:color w:val="auto"/>
                <w:sz w:val="24"/>
                <w:highlight w:val="none"/>
              </w:rPr>
            </w:pPr>
          </w:p>
        </w:tc>
      </w:tr>
      <w:tr w14:paraId="7F239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591CEB8B">
            <w:pPr>
              <w:autoSpaceDE w:val="0"/>
              <w:autoSpaceDN w:val="0"/>
              <w:spacing w:line="360" w:lineRule="auto"/>
              <w:jc w:val="center"/>
              <w:rPr>
                <w:rFonts w:hint="eastAsia" w:ascii="仿宋_GB2312" w:hAnsi="仿宋" w:eastAsia="仿宋_GB2312" w:cs="仿宋_GB2312"/>
                <w:color w:val="auto"/>
                <w:sz w:val="24"/>
                <w:highlight w:val="none"/>
              </w:rPr>
            </w:pPr>
          </w:p>
        </w:tc>
        <w:tc>
          <w:tcPr>
            <w:tcW w:w="2340" w:type="dxa"/>
            <w:noWrap w:val="0"/>
            <w:vAlign w:val="top"/>
          </w:tcPr>
          <w:p w14:paraId="175FE291">
            <w:pPr>
              <w:autoSpaceDE w:val="0"/>
              <w:autoSpaceDN w:val="0"/>
              <w:spacing w:line="360" w:lineRule="auto"/>
              <w:jc w:val="center"/>
              <w:rPr>
                <w:rFonts w:hint="eastAsia" w:ascii="仿宋_GB2312" w:hAnsi="仿宋" w:eastAsia="仿宋_GB2312" w:cs="仿宋_GB2312"/>
                <w:color w:val="auto"/>
                <w:sz w:val="24"/>
                <w:highlight w:val="none"/>
              </w:rPr>
            </w:pPr>
          </w:p>
        </w:tc>
        <w:tc>
          <w:tcPr>
            <w:tcW w:w="1095" w:type="dxa"/>
            <w:noWrap w:val="0"/>
            <w:vAlign w:val="top"/>
          </w:tcPr>
          <w:p w14:paraId="08540FE1">
            <w:pPr>
              <w:autoSpaceDE w:val="0"/>
              <w:autoSpaceDN w:val="0"/>
              <w:spacing w:line="360" w:lineRule="auto"/>
              <w:jc w:val="center"/>
              <w:rPr>
                <w:rFonts w:hint="eastAsia" w:ascii="仿宋_GB2312" w:hAnsi="仿宋" w:eastAsia="仿宋_GB2312" w:cs="仿宋_GB2312"/>
                <w:color w:val="auto"/>
                <w:sz w:val="24"/>
                <w:highlight w:val="none"/>
              </w:rPr>
            </w:pPr>
          </w:p>
        </w:tc>
        <w:tc>
          <w:tcPr>
            <w:tcW w:w="1245" w:type="dxa"/>
            <w:noWrap w:val="0"/>
            <w:vAlign w:val="top"/>
          </w:tcPr>
          <w:p w14:paraId="73DB9FE2">
            <w:pPr>
              <w:autoSpaceDE w:val="0"/>
              <w:autoSpaceDN w:val="0"/>
              <w:spacing w:line="360" w:lineRule="auto"/>
              <w:jc w:val="center"/>
              <w:rPr>
                <w:rFonts w:hint="eastAsia" w:ascii="仿宋_GB2312" w:hAnsi="仿宋" w:eastAsia="仿宋_GB2312" w:cs="仿宋_GB2312"/>
                <w:color w:val="auto"/>
                <w:sz w:val="24"/>
                <w:highlight w:val="none"/>
              </w:rPr>
            </w:pPr>
          </w:p>
        </w:tc>
        <w:tc>
          <w:tcPr>
            <w:tcW w:w="1980" w:type="dxa"/>
            <w:noWrap w:val="0"/>
            <w:vAlign w:val="top"/>
          </w:tcPr>
          <w:p w14:paraId="2A811236">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noWrap w:val="0"/>
            <w:vAlign w:val="top"/>
          </w:tcPr>
          <w:p w14:paraId="6B227964">
            <w:pPr>
              <w:autoSpaceDE w:val="0"/>
              <w:autoSpaceDN w:val="0"/>
              <w:spacing w:line="360" w:lineRule="auto"/>
              <w:jc w:val="center"/>
              <w:rPr>
                <w:rFonts w:hint="eastAsia" w:ascii="仿宋_GB2312" w:hAnsi="仿宋" w:eastAsia="仿宋_GB2312" w:cs="仿宋_GB2312"/>
                <w:color w:val="auto"/>
                <w:sz w:val="24"/>
                <w:highlight w:val="none"/>
              </w:rPr>
            </w:pPr>
          </w:p>
        </w:tc>
      </w:tr>
      <w:tr w14:paraId="10182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18DA836F">
            <w:pPr>
              <w:autoSpaceDE w:val="0"/>
              <w:autoSpaceDN w:val="0"/>
              <w:spacing w:line="360" w:lineRule="auto"/>
              <w:jc w:val="center"/>
              <w:rPr>
                <w:rFonts w:hint="eastAsia" w:ascii="仿宋_GB2312" w:hAnsi="仿宋" w:eastAsia="仿宋_GB2312" w:cs="仿宋_GB2312"/>
                <w:color w:val="auto"/>
                <w:sz w:val="24"/>
                <w:highlight w:val="none"/>
              </w:rPr>
            </w:pPr>
          </w:p>
        </w:tc>
        <w:tc>
          <w:tcPr>
            <w:tcW w:w="2340" w:type="dxa"/>
            <w:noWrap w:val="0"/>
            <w:vAlign w:val="top"/>
          </w:tcPr>
          <w:p w14:paraId="1462E511">
            <w:pPr>
              <w:autoSpaceDE w:val="0"/>
              <w:autoSpaceDN w:val="0"/>
              <w:spacing w:line="360" w:lineRule="auto"/>
              <w:jc w:val="center"/>
              <w:rPr>
                <w:rFonts w:hint="eastAsia" w:ascii="仿宋_GB2312" w:hAnsi="仿宋" w:eastAsia="仿宋_GB2312" w:cs="仿宋_GB2312"/>
                <w:color w:val="auto"/>
                <w:sz w:val="24"/>
                <w:highlight w:val="none"/>
              </w:rPr>
            </w:pPr>
          </w:p>
        </w:tc>
        <w:tc>
          <w:tcPr>
            <w:tcW w:w="1095" w:type="dxa"/>
            <w:noWrap w:val="0"/>
            <w:vAlign w:val="top"/>
          </w:tcPr>
          <w:p w14:paraId="0AC26F2C">
            <w:pPr>
              <w:autoSpaceDE w:val="0"/>
              <w:autoSpaceDN w:val="0"/>
              <w:spacing w:line="360" w:lineRule="auto"/>
              <w:jc w:val="center"/>
              <w:rPr>
                <w:rFonts w:hint="eastAsia" w:ascii="仿宋_GB2312" w:hAnsi="仿宋" w:eastAsia="仿宋_GB2312" w:cs="仿宋_GB2312"/>
                <w:color w:val="auto"/>
                <w:sz w:val="24"/>
                <w:highlight w:val="none"/>
              </w:rPr>
            </w:pPr>
          </w:p>
        </w:tc>
        <w:tc>
          <w:tcPr>
            <w:tcW w:w="1245" w:type="dxa"/>
            <w:noWrap w:val="0"/>
            <w:vAlign w:val="top"/>
          </w:tcPr>
          <w:p w14:paraId="0A8FCE23">
            <w:pPr>
              <w:autoSpaceDE w:val="0"/>
              <w:autoSpaceDN w:val="0"/>
              <w:spacing w:line="360" w:lineRule="auto"/>
              <w:jc w:val="center"/>
              <w:rPr>
                <w:rFonts w:hint="eastAsia" w:ascii="仿宋_GB2312" w:hAnsi="仿宋" w:eastAsia="仿宋_GB2312" w:cs="仿宋_GB2312"/>
                <w:color w:val="auto"/>
                <w:sz w:val="24"/>
                <w:highlight w:val="none"/>
              </w:rPr>
            </w:pPr>
          </w:p>
        </w:tc>
        <w:tc>
          <w:tcPr>
            <w:tcW w:w="1980" w:type="dxa"/>
            <w:noWrap w:val="0"/>
            <w:vAlign w:val="top"/>
          </w:tcPr>
          <w:p w14:paraId="4C3B785B">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noWrap w:val="0"/>
            <w:vAlign w:val="top"/>
          </w:tcPr>
          <w:p w14:paraId="78BDD46F">
            <w:pPr>
              <w:autoSpaceDE w:val="0"/>
              <w:autoSpaceDN w:val="0"/>
              <w:spacing w:line="360" w:lineRule="auto"/>
              <w:jc w:val="center"/>
              <w:rPr>
                <w:rFonts w:hint="eastAsia" w:ascii="仿宋_GB2312" w:hAnsi="仿宋" w:eastAsia="仿宋_GB2312" w:cs="仿宋_GB2312"/>
                <w:color w:val="auto"/>
                <w:sz w:val="24"/>
                <w:highlight w:val="none"/>
              </w:rPr>
            </w:pPr>
          </w:p>
        </w:tc>
      </w:tr>
    </w:tbl>
    <w:p w14:paraId="67A3B181">
      <w:pPr>
        <w:autoSpaceDE w:val="0"/>
        <w:autoSpaceDN w:val="0"/>
        <w:spacing w:line="360" w:lineRule="auto"/>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注：关于项目涉及的所有售后服务机构均在本表注明，包括供应商本单位和符合条件的第三方服务机构；</w:t>
      </w:r>
    </w:p>
    <w:p w14:paraId="5A8983D3">
      <w:pPr>
        <w:autoSpaceDE w:val="0"/>
        <w:autoSpaceDN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b/>
          <w:color w:val="auto"/>
          <w:kern w:val="0"/>
          <w:sz w:val="24"/>
          <w:highlight w:val="none"/>
        </w:rPr>
        <w:t>附表B：售后服务人员情况表</w:t>
      </w:r>
      <w:r>
        <w:rPr>
          <w:rFonts w:hint="eastAsia" w:ascii="仿宋_GB2312" w:hAnsi="仿宋" w:eastAsia="仿宋_GB2312" w:cs="仿宋_GB2312"/>
          <w:color w:val="auto"/>
          <w:sz w:val="24"/>
          <w:highlight w:val="none"/>
        </w:rPr>
        <w:t>（按此格式自制）</w:t>
      </w:r>
    </w:p>
    <w:tbl>
      <w:tblPr>
        <w:tblStyle w:val="28"/>
        <w:tblW w:w="0" w:type="auto"/>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00421151">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noWrap w:val="0"/>
            <w:vAlign w:val="center"/>
          </w:tcPr>
          <w:p w14:paraId="1DB25B01">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序号</w:t>
            </w:r>
          </w:p>
          <w:p w14:paraId="7F23701E">
            <w:pPr>
              <w:autoSpaceDE w:val="0"/>
              <w:autoSpaceDN w:val="0"/>
              <w:spacing w:line="360" w:lineRule="auto"/>
              <w:jc w:val="center"/>
              <w:rPr>
                <w:rFonts w:hint="eastAsia" w:ascii="仿宋_GB2312" w:hAnsi="仿宋" w:eastAsia="仿宋_GB2312" w:cs="仿宋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center"/>
          </w:tcPr>
          <w:p w14:paraId="2DCD4981">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类别</w:t>
            </w:r>
          </w:p>
        </w:tc>
        <w:tc>
          <w:tcPr>
            <w:tcW w:w="787" w:type="dxa"/>
            <w:tcBorders>
              <w:top w:val="single" w:color="auto" w:sz="6" w:space="0"/>
              <w:left w:val="single" w:color="auto" w:sz="6" w:space="0"/>
              <w:bottom w:val="single" w:color="auto" w:sz="6" w:space="0"/>
              <w:right w:val="single" w:color="auto" w:sz="6" w:space="0"/>
            </w:tcBorders>
            <w:noWrap w:val="0"/>
            <w:vAlign w:val="center"/>
          </w:tcPr>
          <w:p w14:paraId="6DDC391A">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14:paraId="4C7301E7">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性别</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2869F11B">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年龄</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5530D07B">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学历</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73118A6E">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专业</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6C9B3829">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职称</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588407F6">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2DEE0C5B">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noWrap w:val="0"/>
            <w:vAlign w:val="center"/>
          </w:tcPr>
          <w:p w14:paraId="393668CA">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到达现场时间</w:t>
            </w:r>
          </w:p>
        </w:tc>
      </w:tr>
      <w:tr w14:paraId="6807EC89">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2BC7BFA6">
            <w:pPr>
              <w:autoSpaceDE w:val="0"/>
              <w:autoSpaceDN w:val="0"/>
              <w:spacing w:line="360" w:lineRule="auto"/>
              <w:jc w:val="center"/>
              <w:rPr>
                <w:rFonts w:hint="eastAsia" w:ascii="仿宋_GB2312" w:hAnsi="仿宋" w:eastAsia="仿宋_GB2312" w:cs="仿宋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1492D5F2">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总协调人</w:t>
            </w:r>
          </w:p>
        </w:tc>
        <w:tc>
          <w:tcPr>
            <w:tcW w:w="787" w:type="dxa"/>
            <w:tcBorders>
              <w:top w:val="single" w:color="auto" w:sz="6" w:space="0"/>
              <w:left w:val="single" w:color="auto" w:sz="6" w:space="0"/>
              <w:bottom w:val="single" w:color="auto" w:sz="6" w:space="0"/>
              <w:right w:val="single" w:color="auto" w:sz="6" w:space="0"/>
            </w:tcBorders>
            <w:noWrap w:val="0"/>
            <w:vAlign w:val="top"/>
          </w:tcPr>
          <w:p w14:paraId="44A17FCE">
            <w:pPr>
              <w:autoSpaceDE w:val="0"/>
              <w:autoSpaceDN w:val="0"/>
              <w:spacing w:line="360" w:lineRule="auto"/>
              <w:rPr>
                <w:rFonts w:hint="eastAsia"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4E29E690">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41C7198C">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313D3810">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77FDF9F8">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3F942724">
            <w:pPr>
              <w:autoSpaceDE w:val="0"/>
              <w:autoSpaceDN w:val="0"/>
              <w:spacing w:line="360" w:lineRule="auto"/>
              <w:rPr>
                <w:rFonts w:hint="eastAsia"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65BAA180">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3BD20F9E">
            <w:pPr>
              <w:autoSpaceDE w:val="0"/>
              <w:autoSpaceDN w:val="0"/>
              <w:spacing w:line="360" w:lineRule="auto"/>
              <w:rPr>
                <w:rFonts w:hint="eastAsia" w:ascii="仿宋_GB2312" w:hAnsi="仿宋" w:eastAsia="仿宋_GB2312"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3F787D2B">
            <w:pPr>
              <w:autoSpaceDE w:val="0"/>
              <w:autoSpaceDN w:val="0"/>
              <w:spacing w:line="360" w:lineRule="auto"/>
              <w:rPr>
                <w:rFonts w:hint="eastAsia" w:ascii="仿宋_GB2312" w:hAnsi="仿宋" w:eastAsia="仿宋_GB2312" w:cs="仿宋_GB2312"/>
                <w:color w:val="auto"/>
                <w:sz w:val="24"/>
                <w:highlight w:val="none"/>
              </w:rPr>
            </w:pPr>
          </w:p>
        </w:tc>
      </w:tr>
      <w:tr w14:paraId="382CE442">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64777DC3">
            <w:pPr>
              <w:autoSpaceDE w:val="0"/>
              <w:autoSpaceDN w:val="0"/>
              <w:spacing w:line="360" w:lineRule="auto"/>
              <w:jc w:val="center"/>
              <w:rPr>
                <w:rFonts w:hint="eastAsia" w:ascii="仿宋_GB2312" w:hAnsi="仿宋" w:eastAsia="仿宋_GB2312" w:cs="仿宋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29382F90">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售后人员</w:t>
            </w:r>
          </w:p>
        </w:tc>
        <w:tc>
          <w:tcPr>
            <w:tcW w:w="787" w:type="dxa"/>
            <w:tcBorders>
              <w:top w:val="single" w:color="auto" w:sz="6" w:space="0"/>
              <w:left w:val="single" w:color="auto" w:sz="6" w:space="0"/>
              <w:bottom w:val="single" w:color="auto" w:sz="6" w:space="0"/>
              <w:right w:val="single" w:color="auto" w:sz="6" w:space="0"/>
            </w:tcBorders>
            <w:noWrap w:val="0"/>
            <w:vAlign w:val="top"/>
          </w:tcPr>
          <w:p w14:paraId="5F03F3D4">
            <w:pPr>
              <w:autoSpaceDE w:val="0"/>
              <w:autoSpaceDN w:val="0"/>
              <w:spacing w:line="360" w:lineRule="auto"/>
              <w:rPr>
                <w:rFonts w:hint="eastAsia"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7E0B4AB1">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2345967A">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17605C6E">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44C59BE8">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7DA441B">
            <w:pPr>
              <w:autoSpaceDE w:val="0"/>
              <w:autoSpaceDN w:val="0"/>
              <w:spacing w:line="360" w:lineRule="auto"/>
              <w:rPr>
                <w:rFonts w:hint="eastAsia"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64B26563">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5339B954">
            <w:pPr>
              <w:autoSpaceDE w:val="0"/>
              <w:autoSpaceDN w:val="0"/>
              <w:spacing w:line="360" w:lineRule="auto"/>
              <w:rPr>
                <w:rFonts w:hint="eastAsia" w:ascii="仿宋_GB2312" w:hAnsi="仿宋" w:eastAsia="仿宋_GB2312"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48AE82E2">
            <w:pPr>
              <w:autoSpaceDE w:val="0"/>
              <w:autoSpaceDN w:val="0"/>
              <w:spacing w:line="360" w:lineRule="auto"/>
              <w:rPr>
                <w:rFonts w:hint="eastAsia" w:ascii="仿宋_GB2312" w:hAnsi="仿宋" w:eastAsia="仿宋_GB2312" w:cs="仿宋_GB2312"/>
                <w:color w:val="auto"/>
                <w:sz w:val="24"/>
                <w:highlight w:val="none"/>
              </w:rPr>
            </w:pPr>
          </w:p>
        </w:tc>
      </w:tr>
      <w:tr w14:paraId="42F973C4">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34C888BD">
            <w:pPr>
              <w:autoSpaceDE w:val="0"/>
              <w:autoSpaceDN w:val="0"/>
              <w:spacing w:line="360" w:lineRule="auto"/>
              <w:jc w:val="center"/>
              <w:rPr>
                <w:rFonts w:hint="eastAsia" w:ascii="仿宋_GB2312" w:hAnsi="仿宋" w:eastAsia="仿宋_GB2312" w:cs="仿宋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0619F745">
            <w:pPr>
              <w:autoSpaceDE w:val="0"/>
              <w:autoSpaceDN w:val="0"/>
              <w:spacing w:line="360" w:lineRule="auto"/>
              <w:jc w:val="center"/>
              <w:rPr>
                <w:rFonts w:hint="eastAsia" w:ascii="仿宋_GB2312" w:hAnsi="仿宋" w:eastAsia="仿宋_GB2312"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6A578D45">
            <w:pPr>
              <w:autoSpaceDE w:val="0"/>
              <w:autoSpaceDN w:val="0"/>
              <w:spacing w:line="360" w:lineRule="auto"/>
              <w:rPr>
                <w:rFonts w:hint="eastAsia"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6C986CAA">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34528D4C">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2AC92D2A">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0E79803">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6C48362A">
            <w:pPr>
              <w:autoSpaceDE w:val="0"/>
              <w:autoSpaceDN w:val="0"/>
              <w:spacing w:line="360" w:lineRule="auto"/>
              <w:rPr>
                <w:rFonts w:hint="eastAsia"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1F50C55E">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2E932F2E">
            <w:pPr>
              <w:autoSpaceDE w:val="0"/>
              <w:autoSpaceDN w:val="0"/>
              <w:spacing w:line="360" w:lineRule="auto"/>
              <w:rPr>
                <w:rFonts w:hint="eastAsia" w:ascii="仿宋_GB2312" w:hAnsi="仿宋" w:eastAsia="仿宋_GB2312"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52E18061">
            <w:pPr>
              <w:autoSpaceDE w:val="0"/>
              <w:autoSpaceDN w:val="0"/>
              <w:spacing w:line="360" w:lineRule="auto"/>
              <w:rPr>
                <w:rFonts w:hint="eastAsia" w:ascii="仿宋_GB2312" w:hAnsi="仿宋" w:eastAsia="仿宋_GB2312" w:cs="仿宋_GB2312"/>
                <w:color w:val="auto"/>
                <w:sz w:val="24"/>
                <w:highlight w:val="none"/>
              </w:rPr>
            </w:pPr>
          </w:p>
        </w:tc>
      </w:tr>
      <w:tr w14:paraId="05EA2D03">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6ACCFF0F">
            <w:pPr>
              <w:autoSpaceDE w:val="0"/>
              <w:autoSpaceDN w:val="0"/>
              <w:spacing w:line="360" w:lineRule="auto"/>
              <w:jc w:val="center"/>
              <w:rPr>
                <w:rFonts w:hint="eastAsia" w:ascii="仿宋_GB2312" w:hAnsi="仿宋" w:eastAsia="仿宋_GB2312" w:cs="仿宋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44EE3054">
            <w:pPr>
              <w:autoSpaceDE w:val="0"/>
              <w:autoSpaceDN w:val="0"/>
              <w:spacing w:line="360" w:lineRule="auto"/>
              <w:jc w:val="center"/>
              <w:rPr>
                <w:rFonts w:hint="eastAsia" w:ascii="仿宋_GB2312" w:hAnsi="仿宋" w:eastAsia="仿宋_GB2312"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7C7D8EBF">
            <w:pPr>
              <w:autoSpaceDE w:val="0"/>
              <w:autoSpaceDN w:val="0"/>
              <w:spacing w:line="360" w:lineRule="auto"/>
              <w:rPr>
                <w:rFonts w:hint="eastAsia"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684830B6">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5016454D">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2BF7D28F">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35DBEAE5">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1DAB188E">
            <w:pPr>
              <w:autoSpaceDE w:val="0"/>
              <w:autoSpaceDN w:val="0"/>
              <w:spacing w:line="360" w:lineRule="auto"/>
              <w:rPr>
                <w:rFonts w:hint="eastAsia"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15637961">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3D427B3D">
            <w:pPr>
              <w:autoSpaceDE w:val="0"/>
              <w:autoSpaceDN w:val="0"/>
              <w:spacing w:line="360" w:lineRule="auto"/>
              <w:rPr>
                <w:rFonts w:hint="eastAsia" w:ascii="仿宋_GB2312" w:hAnsi="仿宋" w:eastAsia="仿宋_GB2312"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7FFC2CDB">
            <w:pPr>
              <w:autoSpaceDE w:val="0"/>
              <w:autoSpaceDN w:val="0"/>
              <w:spacing w:line="360" w:lineRule="auto"/>
              <w:rPr>
                <w:rFonts w:hint="eastAsia" w:ascii="仿宋_GB2312" w:hAnsi="仿宋" w:eastAsia="仿宋_GB2312" w:cs="仿宋_GB2312"/>
                <w:color w:val="auto"/>
                <w:sz w:val="24"/>
                <w:highlight w:val="none"/>
              </w:rPr>
            </w:pPr>
          </w:p>
        </w:tc>
      </w:tr>
    </w:tbl>
    <w:p w14:paraId="1FE7A3AB">
      <w:pPr>
        <w:pStyle w:val="16"/>
        <w:spacing w:line="440" w:lineRule="exact"/>
        <w:ind w:firstLine="396" w:firstLineChars="198"/>
        <w:rPr>
          <w:rFonts w:hAnsi="宋体"/>
          <w:color w:val="auto"/>
          <w:highlight w:val="none"/>
        </w:rPr>
      </w:pPr>
    </w:p>
    <w:p w14:paraId="3D8EC508">
      <w:pPr>
        <w:spacing w:line="500" w:lineRule="exact"/>
        <w:rPr>
          <w:rFonts w:hint="eastAsia" w:ascii="仿宋_GB2312" w:hAnsi="仿宋_GB2312" w:eastAsia="仿宋_GB2312" w:cs="仿宋_GB2312"/>
          <w:color w:val="auto"/>
          <w:sz w:val="32"/>
          <w:szCs w:val="32"/>
          <w:highlight w:val="none"/>
        </w:rPr>
      </w:pPr>
    </w:p>
    <w:p w14:paraId="16050703">
      <w:pPr>
        <w:autoSpaceDE w:val="0"/>
        <w:autoSpaceDN w:val="0"/>
        <w:spacing w:line="360" w:lineRule="auto"/>
        <w:ind w:left="4335" w:leftChars="1950" w:hanging="240" w:hangingChars="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6C5D4B8D">
      <w:pPr>
        <w:snapToGrid w:val="0"/>
        <w:spacing w:line="360" w:lineRule="auto"/>
        <w:ind w:firstLine="6120" w:firstLineChars="25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  年  月   日</w:t>
      </w:r>
    </w:p>
    <w:p w14:paraId="68311A96">
      <w:pPr>
        <w:snapToGrid w:val="0"/>
        <w:spacing w:line="360" w:lineRule="auto"/>
        <w:ind w:firstLine="602" w:firstLineChars="200"/>
        <w:rPr>
          <w:rFonts w:hint="eastAsia" w:ascii="仿宋" w:hAnsi="仿宋" w:eastAsia="仿宋" w:cs="仿宋_GB2312"/>
          <w:b/>
          <w:color w:val="auto"/>
          <w:sz w:val="30"/>
          <w:szCs w:val="30"/>
          <w:highlight w:val="none"/>
        </w:rPr>
      </w:pPr>
    </w:p>
    <w:p w14:paraId="04726015">
      <w:pPr>
        <w:snapToGrid w:val="0"/>
        <w:spacing w:line="360" w:lineRule="auto"/>
        <w:ind w:firstLine="602" w:firstLineChars="200"/>
        <w:rPr>
          <w:rFonts w:hint="eastAsia"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lang w:eastAsia="zh-CN"/>
        </w:rPr>
        <w:t>九</w:t>
      </w:r>
      <w:r>
        <w:rPr>
          <w:rFonts w:hint="eastAsia" w:ascii="仿宋" w:hAnsi="仿宋" w:eastAsia="仿宋" w:cs="仿宋_GB2312"/>
          <w:b/>
          <w:color w:val="auto"/>
          <w:sz w:val="30"/>
          <w:szCs w:val="30"/>
          <w:highlight w:val="none"/>
        </w:rPr>
        <w:t>、项目实施人员一览表</w:t>
      </w:r>
    </w:p>
    <w:p w14:paraId="4DFB8130">
      <w:pPr>
        <w:spacing w:line="360" w:lineRule="auto"/>
        <w:jc w:val="center"/>
        <w:rPr>
          <w:rFonts w:hint="eastAsia" w:ascii="仿宋_GB2312" w:hAnsi="仿宋" w:eastAsia="仿宋_GB2312" w:cs="仿宋_GB2312"/>
          <w:b/>
          <w:bCs/>
          <w:color w:val="auto"/>
          <w:sz w:val="24"/>
          <w:highlight w:val="none"/>
        </w:rPr>
      </w:pPr>
      <w:r>
        <w:rPr>
          <w:rFonts w:hint="eastAsia" w:ascii="仿宋_GB2312" w:hAnsi="仿宋" w:eastAsia="仿宋_GB2312" w:cs="仿宋_GB2312"/>
          <w:color w:val="auto"/>
          <w:sz w:val="24"/>
          <w:highlight w:val="none"/>
        </w:rPr>
        <w:t>（由供应商根据采购需求及采购文件要求编制）</w:t>
      </w:r>
    </w:p>
    <w:p w14:paraId="407DF28A">
      <w:pPr>
        <w:pStyle w:val="16"/>
        <w:rPr>
          <w:rFonts w:hint="eastAsia"/>
          <w:color w:val="auto"/>
          <w:sz w:val="24"/>
          <w:szCs w:val="24"/>
          <w:highlight w:val="none"/>
        </w:rPr>
      </w:pPr>
      <w:r>
        <w:rPr>
          <w:rFonts w:hint="eastAsia"/>
          <w:color w:val="auto"/>
          <w:sz w:val="24"/>
          <w:szCs w:val="24"/>
          <w:highlight w:val="none"/>
          <w:lang w:eastAsia="zh-CN"/>
        </w:rPr>
        <w:t>响应</w:t>
      </w:r>
      <w:r>
        <w:rPr>
          <w:rFonts w:hint="eastAsia"/>
          <w:color w:val="auto"/>
          <w:sz w:val="24"/>
          <w:szCs w:val="24"/>
          <w:highlight w:val="none"/>
        </w:rPr>
        <w:t>分标：</w:t>
      </w:r>
      <w:r>
        <w:rPr>
          <w:rFonts w:hint="eastAsia"/>
          <w:color w:val="auto"/>
          <w:sz w:val="24"/>
          <w:szCs w:val="24"/>
          <w:highlight w:val="none"/>
          <w:u w:val="single"/>
        </w:rPr>
        <w:t xml:space="preserve">     </w:t>
      </w:r>
      <w:r>
        <w:rPr>
          <w:rFonts w:hint="eastAsia"/>
          <w:color w:val="auto"/>
          <w:sz w:val="24"/>
          <w:szCs w:val="24"/>
          <w:highlight w:val="none"/>
        </w:rPr>
        <w:t>分标</w:t>
      </w:r>
    </w:p>
    <w:p w14:paraId="215CA4FA">
      <w:pPr>
        <w:keepNext/>
        <w:autoSpaceDE w:val="0"/>
        <w:autoSpaceDN w:val="0"/>
        <w:spacing w:line="360" w:lineRule="auto"/>
        <w:ind w:firstLine="477"/>
        <w:rPr>
          <w:rFonts w:hint="eastAsia" w:ascii="仿宋_GB2312" w:hAnsi="仿宋" w:eastAsia="仿宋_GB2312" w:cs="仿宋_GB2312"/>
          <w:b/>
          <w:color w:val="auto"/>
          <w:sz w:val="24"/>
          <w:highlight w:val="none"/>
        </w:rPr>
      </w:pPr>
    </w:p>
    <w:p w14:paraId="1FB51AD8">
      <w:pPr>
        <w:keepNext/>
        <w:autoSpaceDE w:val="0"/>
        <w:autoSpaceDN w:val="0"/>
        <w:spacing w:line="360" w:lineRule="auto"/>
        <w:ind w:firstLine="477"/>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附表A:本项目的项目经理情况表</w:t>
      </w:r>
    </w:p>
    <w:tbl>
      <w:tblPr>
        <w:tblStyle w:val="28"/>
        <w:tblW w:w="0" w:type="auto"/>
        <w:tblInd w:w="0" w:type="dxa"/>
        <w:tblLayout w:type="fixed"/>
        <w:tblCellMar>
          <w:top w:w="0" w:type="dxa"/>
          <w:left w:w="108" w:type="dxa"/>
          <w:bottom w:w="0" w:type="dxa"/>
          <w:right w:w="108" w:type="dxa"/>
        </w:tblCellMar>
      </w:tblPr>
      <w:tblGrid>
        <w:gridCol w:w="2061"/>
        <w:gridCol w:w="1287"/>
        <w:gridCol w:w="1260"/>
        <w:gridCol w:w="4147"/>
      </w:tblGrid>
      <w:tr w14:paraId="7478B029">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39828BDF">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noWrap w:val="0"/>
            <w:vAlign w:val="center"/>
          </w:tcPr>
          <w:p w14:paraId="20B9B4A5">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528C41D1">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noWrap w:val="0"/>
            <w:vAlign w:val="center"/>
          </w:tcPr>
          <w:p w14:paraId="09C9E9F6">
            <w:pPr>
              <w:autoSpaceDE w:val="0"/>
              <w:autoSpaceDN w:val="0"/>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响应截止时间前三年业绩及承担的主要工作情况，曾担任项目经理的项目应列明细</w:t>
            </w:r>
          </w:p>
        </w:tc>
      </w:tr>
      <w:tr w14:paraId="2C3388E8">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317E2462">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4C698821">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2169FDAA">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noWrap w:val="0"/>
            <w:vAlign w:val="center"/>
          </w:tcPr>
          <w:p w14:paraId="6D6FE001">
            <w:pPr>
              <w:autoSpaceDE w:val="0"/>
              <w:autoSpaceDN w:val="0"/>
              <w:spacing w:line="360" w:lineRule="auto"/>
              <w:jc w:val="center"/>
              <w:rPr>
                <w:rFonts w:hint="eastAsia" w:ascii="仿宋_GB2312" w:hAnsi="仿宋" w:eastAsia="仿宋_GB2312" w:cs="仿宋_GB2312"/>
                <w:color w:val="auto"/>
                <w:sz w:val="24"/>
                <w:highlight w:val="none"/>
              </w:rPr>
            </w:pPr>
          </w:p>
        </w:tc>
      </w:tr>
      <w:tr w14:paraId="4FD96951">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278F9930">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16A87A7F">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23007941">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6199080A">
            <w:pPr>
              <w:autoSpaceDE w:val="0"/>
              <w:autoSpaceDN w:val="0"/>
              <w:spacing w:line="360" w:lineRule="auto"/>
              <w:jc w:val="center"/>
              <w:rPr>
                <w:rFonts w:hint="eastAsia" w:ascii="仿宋_GB2312" w:hAnsi="仿宋" w:eastAsia="仿宋_GB2312" w:cs="仿宋_GB2312"/>
                <w:color w:val="auto"/>
                <w:sz w:val="24"/>
                <w:highlight w:val="none"/>
              </w:rPr>
            </w:pPr>
          </w:p>
        </w:tc>
      </w:tr>
      <w:tr w14:paraId="0E12DC97">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797F023F">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08416541">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352349C7">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06B784CC">
            <w:pPr>
              <w:autoSpaceDE w:val="0"/>
              <w:autoSpaceDN w:val="0"/>
              <w:spacing w:line="360" w:lineRule="auto"/>
              <w:jc w:val="center"/>
              <w:rPr>
                <w:rFonts w:hint="eastAsia" w:ascii="仿宋_GB2312" w:hAnsi="仿宋" w:eastAsia="仿宋_GB2312" w:cs="仿宋_GB2312"/>
                <w:color w:val="auto"/>
                <w:sz w:val="24"/>
                <w:highlight w:val="none"/>
              </w:rPr>
            </w:pPr>
          </w:p>
        </w:tc>
      </w:tr>
      <w:tr w14:paraId="6A9B80E3">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6882E4C3">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75788C42">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25B883D4">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33AA95C9">
            <w:pPr>
              <w:autoSpaceDE w:val="0"/>
              <w:autoSpaceDN w:val="0"/>
              <w:spacing w:line="360" w:lineRule="auto"/>
              <w:jc w:val="center"/>
              <w:rPr>
                <w:rFonts w:hint="eastAsia" w:ascii="仿宋_GB2312" w:hAnsi="仿宋" w:eastAsia="仿宋_GB2312" w:cs="仿宋_GB2312"/>
                <w:color w:val="auto"/>
                <w:sz w:val="24"/>
                <w:highlight w:val="none"/>
              </w:rPr>
            </w:pPr>
          </w:p>
        </w:tc>
      </w:tr>
      <w:tr w14:paraId="752221A6">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7D5D1542">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7B035701">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7D5F0641">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24475BDF">
            <w:pPr>
              <w:autoSpaceDE w:val="0"/>
              <w:autoSpaceDN w:val="0"/>
              <w:spacing w:line="360" w:lineRule="auto"/>
              <w:jc w:val="center"/>
              <w:rPr>
                <w:rFonts w:hint="eastAsia" w:ascii="仿宋_GB2312" w:hAnsi="仿宋" w:eastAsia="仿宋_GB2312" w:cs="仿宋_GB2312"/>
                <w:color w:val="auto"/>
                <w:sz w:val="24"/>
                <w:highlight w:val="none"/>
              </w:rPr>
            </w:pPr>
          </w:p>
        </w:tc>
      </w:tr>
      <w:tr w14:paraId="717BE68D">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68C0C711">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0F3D3CE5">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06673D8D">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01E20478">
            <w:pPr>
              <w:autoSpaceDE w:val="0"/>
              <w:autoSpaceDN w:val="0"/>
              <w:spacing w:line="360" w:lineRule="auto"/>
              <w:jc w:val="center"/>
              <w:rPr>
                <w:rFonts w:hint="eastAsia" w:ascii="仿宋_GB2312" w:hAnsi="仿宋" w:eastAsia="仿宋_GB2312" w:cs="仿宋_GB2312"/>
                <w:color w:val="auto"/>
                <w:sz w:val="24"/>
                <w:highlight w:val="none"/>
              </w:rPr>
            </w:pPr>
          </w:p>
        </w:tc>
      </w:tr>
      <w:tr w14:paraId="7007AD74">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5219F4C0">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212C010E">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3EB4CA6F">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7EA12B3B">
            <w:pPr>
              <w:autoSpaceDE w:val="0"/>
              <w:autoSpaceDN w:val="0"/>
              <w:spacing w:line="360" w:lineRule="auto"/>
              <w:jc w:val="center"/>
              <w:rPr>
                <w:rFonts w:hint="eastAsia" w:ascii="仿宋_GB2312" w:hAnsi="仿宋" w:eastAsia="仿宋_GB2312" w:cs="仿宋_GB2312"/>
                <w:color w:val="auto"/>
                <w:sz w:val="24"/>
                <w:highlight w:val="none"/>
              </w:rPr>
            </w:pPr>
          </w:p>
        </w:tc>
      </w:tr>
      <w:tr w14:paraId="141D6834">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1D4D696A">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05EF8699">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51C7FCF9">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787DC63D">
            <w:pPr>
              <w:autoSpaceDE w:val="0"/>
              <w:autoSpaceDN w:val="0"/>
              <w:spacing w:line="360" w:lineRule="auto"/>
              <w:jc w:val="center"/>
              <w:rPr>
                <w:rFonts w:hint="eastAsia" w:ascii="仿宋_GB2312" w:hAnsi="仿宋" w:eastAsia="仿宋_GB2312" w:cs="仿宋_GB2312"/>
                <w:color w:val="auto"/>
                <w:sz w:val="24"/>
                <w:highlight w:val="none"/>
              </w:rPr>
            </w:pPr>
          </w:p>
        </w:tc>
      </w:tr>
      <w:tr w14:paraId="3C8BE6DF">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1D897C2D">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7262F420">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1FD779BB">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45DB1ED3">
            <w:pPr>
              <w:autoSpaceDE w:val="0"/>
              <w:autoSpaceDN w:val="0"/>
              <w:spacing w:line="360" w:lineRule="auto"/>
              <w:jc w:val="center"/>
              <w:rPr>
                <w:rFonts w:hint="eastAsia" w:ascii="仿宋_GB2312" w:hAnsi="仿宋" w:eastAsia="仿宋_GB2312" w:cs="仿宋_GB2312"/>
                <w:color w:val="auto"/>
                <w:sz w:val="24"/>
                <w:highlight w:val="none"/>
              </w:rPr>
            </w:pPr>
          </w:p>
        </w:tc>
      </w:tr>
    </w:tbl>
    <w:p w14:paraId="633C1A99">
      <w:pPr>
        <w:autoSpaceDE w:val="0"/>
        <w:autoSpaceDN w:val="0"/>
        <w:spacing w:line="360" w:lineRule="auto"/>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注：须随表提交相应的证书复印件并注明所在响应技术文件页码。</w:t>
      </w:r>
    </w:p>
    <w:p w14:paraId="76BA1B27">
      <w:pPr>
        <w:autoSpaceDE w:val="0"/>
        <w:autoSpaceDN w:val="0"/>
        <w:spacing w:line="360" w:lineRule="auto"/>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附表B:本项目的项目小组人员情况表</w:t>
      </w:r>
      <w:r>
        <w:rPr>
          <w:rFonts w:hint="eastAsia" w:ascii="仿宋_GB2312" w:hAnsi="仿宋" w:eastAsia="仿宋_GB2312" w:cs="仿宋_GB2312"/>
          <w:color w:val="auto"/>
          <w:sz w:val="24"/>
          <w:highlight w:val="none"/>
        </w:rPr>
        <w:t>（按此格式自制）</w:t>
      </w:r>
    </w:p>
    <w:tbl>
      <w:tblPr>
        <w:tblStyle w:val="28"/>
        <w:tblW w:w="0" w:type="auto"/>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622FE3C1">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noWrap w:val="0"/>
            <w:vAlign w:val="center"/>
          </w:tcPr>
          <w:p w14:paraId="4F778841">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noWrap w:val="0"/>
            <w:vAlign w:val="center"/>
          </w:tcPr>
          <w:p w14:paraId="6006B713">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14:paraId="3DFFDEDF">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noWrap w:val="0"/>
            <w:vAlign w:val="center"/>
          </w:tcPr>
          <w:p w14:paraId="5C9BEBD3">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noWrap w:val="0"/>
            <w:vAlign w:val="center"/>
          </w:tcPr>
          <w:p w14:paraId="5C2C71FE">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学历</w:t>
            </w:r>
          </w:p>
          <w:p w14:paraId="111F7F3F">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64D26E0F">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专业</w:t>
            </w:r>
          </w:p>
          <w:p w14:paraId="0A9BB2D6">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2086BAFA">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职称</w:t>
            </w:r>
          </w:p>
          <w:p w14:paraId="046D7CB4">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4B3E4D67">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4B4A76FB">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noWrap w:val="0"/>
            <w:vAlign w:val="center"/>
          </w:tcPr>
          <w:p w14:paraId="1A4604F9">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参与本项目的到位情况</w:t>
            </w:r>
          </w:p>
        </w:tc>
      </w:tr>
      <w:tr w14:paraId="0EBBFA3B">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noWrap w:val="0"/>
            <w:vAlign w:val="top"/>
          </w:tcPr>
          <w:p w14:paraId="1BBB92B7">
            <w:pPr>
              <w:autoSpaceDE w:val="0"/>
              <w:autoSpaceDN w:val="0"/>
              <w:spacing w:line="360" w:lineRule="auto"/>
              <w:jc w:val="center"/>
              <w:rPr>
                <w:rFonts w:hint="eastAsia" w:ascii="仿宋_GB2312" w:hAnsi="仿宋" w:eastAsia="仿宋_GB2312"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2F807DAF">
            <w:pPr>
              <w:autoSpaceDE w:val="0"/>
              <w:autoSpaceDN w:val="0"/>
              <w:spacing w:line="360" w:lineRule="auto"/>
              <w:rPr>
                <w:rFonts w:hint="eastAsia"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0A7A8BEB">
            <w:pPr>
              <w:autoSpaceDE w:val="0"/>
              <w:autoSpaceDN w:val="0"/>
              <w:spacing w:line="360" w:lineRule="auto"/>
              <w:rPr>
                <w:rFonts w:hint="eastAsia" w:ascii="仿宋_GB2312" w:hAnsi="仿宋" w:eastAsia="仿宋_GB2312" w:cs="仿宋_GB2312"/>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noWrap w:val="0"/>
            <w:vAlign w:val="top"/>
          </w:tcPr>
          <w:p w14:paraId="3144F64F">
            <w:pPr>
              <w:autoSpaceDE w:val="0"/>
              <w:autoSpaceDN w:val="0"/>
              <w:spacing w:line="360" w:lineRule="auto"/>
              <w:rPr>
                <w:rFonts w:hint="eastAsia" w:ascii="仿宋_GB2312" w:hAnsi="仿宋" w:eastAsia="仿宋_GB2312" w:cs="仿宋_GB2312"/>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noWrap w:val="0"/>
            <w:vAlign w:val="top"/>
          </w:tcPr>
          <w:p w14:paraId="2DFE3951">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1FFD40F1">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671E0ED">
            <w:pPr>
              <w:autoSpaceDE w:val="0"/>
              <w:autoSpaceDN w:val="0"/>
              <w:spacing w:line="360" w:lineRule="auto"/>
              <w:rPr>
                <w:rFonts w:hint="eastAsia"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5BD518A4">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7929BD05">
            <w:pPr>
              <w:autoSpaceDE w:val="0"/>
              <w:autoSpaceDN w:val="0"/>
              <w:spacing w:line="360" w:lineRule="auto"/>
              <w:rPr>
                <w:rFonts w:hint="eastAsia" w:ascii="仿宋_GB2312" w:hAnsi="仿宋" w:eastAsia="仿宋_GB2312" w:cs="仿宋_GB2312"/>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top"/>
          </w:tcPr>
          <w:p w14:paraId="1F28BA65">
            <w:pPr>
              <w:autoSpaceDE w:val="0"/>
              <w:autoSpaceDN w:val="0"/>
              <w:spacing w:line="360" w:lineRule="auto"/>
              <w:rPr>
                <w:rFonts w:hint="eastAsia" w:ascii="仿宋_GB2312" w:hAnsi="仿宋" w:eastAsia="仿宋_GB2312" w:cs="仿宋_GB2312"/>
                <w:color w:val="auto"/>
                <w:sz w:val="24"/>
                <w:highlight w:val="none"/>
              </w:rPr>
            </w:pPr>
          </w:p>
        </w:tc>
      </w:tr>
      <w:tr w14:paraId="4C219F17">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noWrap w:val="0"/>
            <w:vAlign w:val="top"/>
          </w:tcPr>
          <w:p w14:paraId="37E2CA83">
            <w:pPr>
              <w:autoSpaceDE w:val="0"/>
              <w:autoSpaceDN w:val="0"/>
              <w:spacing w:line="360" w:lineRule="auto"/>
              <w:jc w:val="center"/>
              <w:rPr>
                <w:rFonts w:hint="eastAsia" w:ascii="仿宋_GB2312" w:hAnsi="仿宋" w:eastAsia="仿宋_GB2312"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38DA9C2E">
            <w:pPr>
              <w:autoSpaceDE w:val="0"/>
              <w:autoSpaceDN w:val="0"/>
              <w:spacing w:line="360" w:lineRule="auto"/>
              <w:rPr>
                <w:rFonts w:hint="eastAsia"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6ED52634">
            <w:pPr>
              <w:autoSpaceDE w:val="0"/>
              <w:autoSpaceDN w:val="0"/>
              <w:spacing w:line="360" w:lineRule="auto"/>
              <w:rPr>
                <w:rFonts w:hint="eastAsia" w:ascii="仿宋_GB2312" w:hAnsi="仿宋" w:eastAsia="仿宋_GB2312" w:cs="仿宋_GB2312"/>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noWrap w:val="0"/>
            <w:vAlign w:val="top"/>
          </w:tcPr>
          <w:p w14:paraId="41F7E408">
            <w:pPr>
              <w:autoSpaceDE w:val="0"/>
              <w:autoSpaceDN w:val="0"/>
              <w:spacing w:line="360" w:lineRule="auto"/>
              <w:rPr>
                <w:rFonts w:hint="eastAsia" w:ascii="仿宋_GB2312" w:hAnsi="仿宋" w:eastAsia="仿宋_GB2312" w:cs="仿宋_GB2312"/>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noWrap w:val="0"/>
            <w:vAlign w:val="top"/>
          </w:tcPr>
          <w:p w14:paraId="2665CA52">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29018F94">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27D9D820">
            <w:pPr>
              <w:autoSpaceDE w:val="0"/>
              <w:autoSpaceDN w:val="0"/>
              <w:spacing w:line="360" w:lineRule="auto"/>
              <w:rPr>
                <w:rFonts w:hint="eastAsia"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24BA5621">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6F9D344A">
            <w:pPr>
              <w:autoSpaceDE w:val="0"/>
              <w:autoSpaceDN w:val="0"/>
              <w:spacing w:line="360" w:lineRule="auto"/>
              <w:rPr>
                <w:rFonts w:hint="eastAsia" w:ascii="仿宋_GB2312" w:hAnsi="仿宋" w:eastAsia="仿宋_GB2312" w:cs="仿宋_GB2312"/>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top"/>
          </w:tcPr>
          <w:p w14:paraId="24088CD2">
            <w:pPr>
              <w:autoSpaceDE w:val="0"/>
              <w:autoSpaceDN w:val="0"/>
              <w:spacing w:line="360" w:lineRule="auto"/>
              <w:rPr>
                <w:rFonts w:hint="eastAsia" w:ascii="仿宋_GB2312" w:hAnsi="仿宋" w:eastAsia="仿宋_GB2312" w:cs="仿宋_GB2312"/>
                <w:color w:val="auto"/>
                <w:sz w:val="24"/>
                <w:highlight w:val="none"/>
              </w:rPr>
            </w:pPr>
          </w:p>
        </w:tc>
      </w:tr>
    </w:tbl>
    <w:p w14:paraId="3B6F83DF">
      <w:pPr>
        <w:spacing w:line="360" w:lineRule="auto"/>
        <w:rPr>
          <w:rFonts w:hint="eastAsia" w:ascii="仿宋_GB2312" w:hAnsi="仿宋" w:eastAsia="仿宋_GB2312" w:cs="仿宋_GB2312"/>
          <w:b/>
          <w:bCs/>
          <w:color w:val="auto"/>
          <w:sz w:val="24"/>
          <w:highlight w:val="none"/>
        </w:rPr>
      </w:pPr>
      <w:r>
        <w:rPr>
          <w:rFonts w:hint="eastAsia" w:ascii="仿宋_GB2312" w:hAnsi="仿宋" w:eastAsia="仿宋_GB2312" w:cs="仿宋_GB2312"/>
          <w:b/>
          <w:color w:val="auto"/>
          <w:sz w:val="24"/>
          <w:highlight w:val="none"/>
        </w:rPr>
        <w:t>注：供应商可按上述的格式自行编制，须随表提交相应的证书复印件并注明所在响应技术文件页码。</w:t>
      </w:r>
    </w:p>
    <w:p w14:paraId="5B8A5EE8">
      <w:pPr>
        <w:spacing w:line="360" w:lineRule="auto"/>
        <w:rPr>
          <w:rFonts w:hint="eastAsia" w:ascii="仿宋_GB2312" w:hAnsi="仿宋" w:eastAsia="仿宋_GB2312" w:cs="仿宋_GB2312"/>
          <w:b/>
          <w:bCs/>
          <w:color w:val="auto"/>
          <w:sz w:val="24"/>
          <w:highlight w:val="none"/>
          <w:lang w:eastAsia="zh-CN"/>
        </w:rPr>
      </w:pPr>
      <w:r>
        <w:rPr>
          <w:rFonts w:hint="eastAsia" w:ascii="仿宋_GB2312" w:hAnsi="仿宋" w:eastAsia="仿宋_GB2312" w:cs="仿宋_GB2312"/>
          <w:b/>
          <w:color w:val="auto"/>
          <w:sz w:val="24"/>
          <w:highlight w:val="none"/>
        </w:rPr>
        <w:t>附表C:供应商为以上拟投入人员购买的最近一个月的社保证明或劳动（劳务）合同复印件。</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须体现项目经理和小组人员姓名</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w:t>
      </w:r>
    </w:p>
    <w:p w14:paraId="14C182AF">
      <w:pPr>
        <w:spacing w:line="360" w:lineRule="auto"/>
        <w:rPr>
          <w:rFonts w:hint="eastAsia" w:ascii="仿宋_GB2312" w:hAnsi="仿宋" w:eastAsia="仿宋_GB2312" w:cs="仿宋_GB2312"/>
          <w:b/>
          <w:bCs/>
          <w:color w:val="auto"/>
          <w:sz w:val="24"/>
          <w:highlight w:val="none"/>
        </w:rPr>
      </w:pPr>
    </w:p>
    <w:p w14:paraId="5067CCE5">
      <w:pPr>
        <w:snapToGrid w:val="0"/>
        <w:spacing w:line="360" w:lineRule="auto"/>
        <w:ind w:firstLine="602" w:firstLineChars="200"/>
        <w:rPr>
          <w:rFonts w:ascii="仿宋" w:hAnsi="仿宋" w:eastAsia="仿宋" w:cs="仿宋_GB2312"/>
          <w:b/>
          <w:color w:val="auto"/>
          <w:sz w:val="30"/>
          <w:szCs w:val="30"/>
          <w:highlight w:val="none"/>
        </w:rPr>
      </w:pPr>
    </w:p>
    <w:p w14:paraId="4FFF1233">
      <w:pPr>
        <w:autoSpaceDE w:val="0"/>
        <w:autoSpaceDN w:val="0"/>
        <w:spacing w:line="360" w:lineRule="auto"/>
        <w:ind w:firstLine="6505" w:firstLineChars="2700"/>
        <w:rPr>
          <w:rFonts w:ascii="仿宋_GB2312" w:hAnsi="仿宋" w:eastAsia="仿宋_GB2312" w:cs="仿宋_GB2312"/>
          <w:b/>
          <w:bCs/>
          <w:color w:val="auto"/>
          <w:sz w:val="24"/>
          <w:highlight w:val="none"/>
        </w:rPr>
      </w:pPr>
    </w:p>
    <w:p w14:paraId="7EDDF2A5">
      <w:pPr>
        <w:autoSpaceDE w:val="0"/>
        <w:autoSpaceDN w:val="0"/>
        <w:spacing w:line="360" w:lineRule="auto"/>
        <w:ind w:left="4335" w:leftChars="1950" w:hanging="240" w:hangingChars="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7BF66D06">
      <w:pPr>
        <w:autoSpaceDE w:val="0"/>
        <w:autoSpaceDN w:val="0"/>
        <w:spacing w:line="360" w:lineRule="auto"/>
        <w:ind w:firstLine="6480" w:firstLineChars="270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  年  月   日</w:t>
      </w:r>
    </w:p>
    <w:p w14:paraId="342B4C4A">
      <w:pPr>
        <w:autoSpaceDE w:val="0"/>
        <w:autoSpaceDN w:val="0"/>
        <w:spacing w:line="360" w:lineRule="auto"/>
        <w:ind w:firstLine="6480" w:firstLineChars="2700"/>
        <w:rPr>
          <w:rFonts w:hint="eastAsia" w:ascii="仿宋_GB2312" w:hAnsi="仿宋" w:eastAsia="仿宋_GB2312" w:cs="仿宋_GB2312"/>
          <w:color w:val="auto"/>
          <w:kern w:val="0"/>
          <w:sz w:val="24"/>
          <w:highlight w:val="none"/>
          <w:lang w:val="zh-CN"/>
        </w:rPr>
      </w:pPr>
    </w:p>
    <w:p w14:paraId="15006B03">
      <w:pPr>
        <w:snapToGrid w:val="0"/>
        <w:spacing w:line="360" w:lineRule="auto"/>
        <w:ind w:firstLine="602" w:firstLineChars="200"/>
        <w:rPr>
          <w:rFonts w:hint="eastAsia"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rPr>
        <w:t>十、对应采购需求的服务需求、商务条款提供的其他文件资料</w:t>
      </w:r>
    </w:p>
    <w:p w14:paraId="3A098EC2">
      <w:pPr>
        <w:autoSpaceDE w:val="0"/>
        <w:autoSpaceDN w:val="0"/>
        <w:spacing w:line="360" w:lineRule="auto"/>
        <w:ind w:left="4335" w:leftChars="1950" w:hanging="240" w:hangingChars="100"/>
        <w:rPr>
          <w:rFonts w:hint="eastAsia" w:ascii="仿宋_GB2312" w:hAnsi="仿宋" w:eastAsia="仿宋_GB2312" w:cs="仿宋_GB2312"/>
          <w:color w:val="auto"/>
          <w:kern w:val="0"/>
          <w:sz w:val="24"/>
          <w:highlight w:val="none"/>
        </w:rPr>
      </w:pPr>
    </w:p>
    <w:p w14:paraId="77040740">
      <w:pPr>
        <w:autoSpaceDE w:val="0"/>
        <w:autoSpaceDN w:val="0"/>
        <w:spacing w:line="360" w:lineRule="auto"/>
        <w:ind w:left="4335" w:leftChars="1950" w:hanging="240" w:hangingChars="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23518A6C">
      <w:pPr>
        <w:autoSpaceDE w:val="0"/>
        <w:autoSpaceDN w:val="0"/>
        <w:spacing w:line="360" w:lineRule="auto"/>
        <w:ind w:firstLine="6480" w:firstLineChars="270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  年  月   日</w:t>
      </w:r>
    </w:p>
    <w:p w14:paraId="6ED8FB76">
      <w:pPr>
        <w:autoSpaceDE w:val="0"/>
        <w:autoSpaceDN w:val="0"/>
        <w:spacing w:line="360" w:lineRule="auto"/>
        <w:ind w:firstLine="6505" w:firstLineChars="2700"/>
        <w:rPr>
          <w:rFonts w:ascii="仿宋_GB2312" w:hAnsi="仿宋" w:eastAsia="仿宋_GB2312" w:cs="仿宋_GB2312"/>
          <w:b/>
          <w:bCs/>
          <w:color w:val="auto"/>
          <w:sz w:val="24"/>
          <w:highlight w:val="none"/>
        </w:rPr>
      </w:pPr>
    </w:p>
    <w:p w14:paraId="1DC5B708">
      <w:pPr>
        <w:pStyle w:val="19"/>
        <w:rPr>
          <w:rFonts w:ascii="仿宋_GB2312" w:hAnsi="仿宋" w:eastAsia="仿宋_GB2312" w:cs="仿宋_GB2312"/>
          <w:b/>
          <w:bCs/>
          <w:color w:val="auto"/>
          <w:sz w:val="24"/>
          <w:highlight w:val="none"/>
        </w:rPr>
      </w:pPr>
    </w:p>
    <w:p w14:paraId="69E2D101">
      <w:pPr>
        <w:snapToGrid w:val="0"/>
        <w:spacing w:line="360" w:lineRule="auto"/>
        <w:ind w:firstLine="602" w:firstLineChars="200"/>
        <w:rPr>
          <w:rFonts w:hint="eastAsia"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rPr>
        <w:t>十</w:t>
      </w:r>
      <w:r>
        <w:rPr>
          <w:rFonts w:hint="eastAsia" w:ascii="仿宋" w:hAnsi="仿宋" w:eastAsia="仿宋" w:cs="仿宋_GB2312"/>
          <w:b/>
          <w:color w:val="auto"/>
          <w:sz w:val="30"/>
          <w:szCs w:val="30"/>
          <w:highlight w:val="none"/>
          <w:lang w:eastAsia="zh-CN"/>
        </w:rPr>
        <w:t>一</w:t>
      </w:r>
      <w:r>
        <w:rPr>
          <w:rFonts w:hint="eastAsia" w:ascii="仿宋" w:hAnsi="仿宋" w:eastAsia="仿宋" w:cs="仿宋_GB2312"/>
          <w:b/>
          <w:color w:val="auto"/>
          <w:sz w:val="30"/>
          <w:szCs w:val="30"/>
          <w:highlight w:val="none"/>
        </w:rPr>
        <w:t>、供应商认为需要提供的其他有关资料（由供应商根据评标办法自行编写）</w:t>
      </w:r>
    </w:p>
    <w:p w14:paraId="27D733F7">
      <w:pPr>
        <w:autoSpaceDE w:val="0"/>
        <w:autoSpaceDN w:val="0"/>
        <w:spacing w:line="360" w:lineRule="auto"/>
        <w:ind w:left="4335" w:leftChars="1950" w:hanging="240" w:hangingChars="100"/>
        <w:rPr>
          <w:rFonts w:hint="eastAsia" w:ascii="仿宋_GB2312" w:hAnsi="仿宋" w:eastAsia="仿宋_GB2312" w:cs="仿宋_GB2312"/>
          <w:color w:val="auto"/>
          <w:kern w:val="0"/>
          <w:sz w:val="24"/>
          <w:highlight w:val="none"/>
        </w:rPr>
      </w:pPr>
    </w:p>
    <w:p w14:paraId="5FAED9FB">
      <w:pPr>
        <w:autoSpaceDE w:val="0"/>
        <w:autoSpaceDN w:val="0"/>
        <w:spacing w:line="360" w:lineRule="auto"/>
        <w:ind w:left="4335" w:leftChars="1950" w:hanging="240" w:hangingChars="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1B723AE2">
      <w:pPr>
        <w:autoSpaceDE w:val="0"/>
        <w:autoSpaceDN w:val="0"/>
        <w:spacing w:line="360" w:lineRule="auto"/>
        <w:ind w:firstLine="6480" w:firstLineChars="270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  年  月   日</w:t>
      </w:r>
    </w:p>
    <w:p w14:paraId="4CA6E7D5">
      <w:pPr>
        <w:pStyle w:val="20"/>
        <w:rPr>
          <w:color w:val="auto"/>
          <w:highlight w:val="none"/>
        </w:rPr>
        <w:sectPr>
          <w:pgSz w:w="11910" w:h="16840"/>
          <w:pgMar w:top="1340" w:right="1500" w:bottom="280" w:left="1680" w:header="720" w:footer="720" w:gutter="0"/>
          <w:cols w:space="720" w:num="1"/>
        </w:sectPr>
      </w:pPr>
    </w:p>
    <w:p w14:paraId="7A7F0C37">
      <w:pPr>
        <w:autoSpaceDE w:val="0"/>
        <w:autoSpaceDN w:val="0"/>
        <w:spacing w:line="360" w:lineRule="auto"/>
        <w:ind w:firstLine="6505" w:firstLineChars="2700"/>
        <w:rPr>
          <w:rFonts w:ascii="仿宋_GB2312" w:hAnsi="仿宋" w:eastAsia="仿宋_GB2312" w:cs="仿宋_GB2312"/>
          <w:b/>
          <w:bCs/>
          <w:color w:val="auto"/>
          <w:sz w:val="24"/>
          <w:highlight w:val="none"/>
        </w:rPr>
      </w:pPr>
    </w:p>
    <w:p w14:paraId="39A231F2">
      <w:pPr>
        <w:pStyle w:val="3"/>
        <w:jc w:val="center"/>
        <w:rPr>
          <w:rFonts w:hint="eastAsia" w:ascii="宋体" w:hAnsi="宋体"/>
          <w:color w:val="auto"/>
          <w:highlight w:val="none"/>
          <w:lang w:val="en-US" w:eastAsia="zh-CN"/>
        </w:rPr>
      </w:pPr>
      <w:bookmarkStart w:id="67" w:name="_Toc24024"/>
      <w:bookmarkStart w:id="68" w:name="_Toc80205941"/>
      <w:r>
        <w:rPr>
          <w:rFonts w:hint="eastAsia" w:ascii="宋体" w:hAnsi="宋体"/>
          <w:color w:val="auto"/>
          <w:highlight w:val="none"/>
          <w:lang w:val="en-US" w:eastAsia="zh-CN"/>
        </w:rPr>
        <w:t>第四节 报价文件格式</w:t>
      </w:r>
      <w:bookmarkEnd w:id="67"/>
      <w:bookmarkEnd w:id="68"/>
    </w:p>
    <w:p w14:paraId="1170E423">
      <w:pPr>
        <w:snapToGrid w:val="0"/>
        <w:spacing w:before="120"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全流程电子文件</w:t>
      </w:r>
    </w:p>
    <w:p w14:paraId="4F718580">
      <w:pPr>
        <w:snapToGrid w:val="0"/>
        <w:spacing w:before="120" w:beforeLines="50" w:after="50"/>
        <w:rPr>
          <w:rFonts w:hint="eastAsia" w:ascii="宋体" w:hAnsi="宋体"/>
          <w:color w:val="auto"/>
          <w:sz w:val="24"/>
          <w:szCs w:val="20"/>
          <w:highlight w:val="none"/>
        </w:rPr>
      </w:pPr>
    </w:p>
    <w:p w14:paraId="2350F0AA">
      <w:pPr>
        <w:snapToGrid w:val="0"/>
        <w:spacing w:before="120" w:beforeLines="50" w:after="50"/>
        <w:rPr>
          <w:rFonts w:hint="eastAsia" w:ascii="宋体" w:hAnsi="宋体"/>
          <w:color w:val="auto"/>
          <w:sz w:val="24"/>
          <w:szCs w:val="20"/>
          <w:highlight w:val="none"/>
        </w:rPr>
      </w:pPr>
    </w:p>
    <w:p w14:paraId="330B8760">
      <w:pPr>
        <w:snapToGrid w:val="0"/>
        <w:spacing w:before="120" w:beforeLines="50" w:after="50"/>
        <w:rPr>
          <w:rFonts w:hint="eastAsia" w:ascii="宋体" w:hAnsi="宋体"/>
          <w:color w:val="auto"/>
          <w:sz w:val="24"/>
          <w:szCs w:val="20"/>
          <w:highlight w:val="none"/>
        </w:rPr>
      </w:pPr>
    </w:p>
    <w:p w14:paraId="0A22A6CE">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 xml:space="preserve">报 </w:t>
      </w:r>
      <w:r>
        <w:rPr>
          <w:rFonts w:ascii="方正小标宋简体" w:hAnsi="方正小标宋简体" w:eastAsia="方正小标宋简体" w:cs="方正小标宋简体"/>
          <w:bCs/>
          <w:color w:val="auto"/>
          <w:sz w:val="44"/>
          <w:szCs w:val="44"/>
          <w:highlight w:val="none"/>
        </w:rPr>
        <w:t xml:space="preserve"> </w:t>
      </w:r>
      <w:r>
        <w:rPr>
          <w:rFonts w:hint="eastAsia" w:ascii="方正小标宋简体" w:hAnsi="方正小标宋简体" w:eastAsia="方正小标宋简体" w:cs="方正小标宋简体"/>
          <w:bCs/>
          <w:color w:val="auto"/>
          <w:sz w:val="44"/>
          <w:szCs w:val="44"/>
          <w:highlight w:val="none"/>
        </w:rPr>
        <w:t>价  文  件（封面）</w:t>
      </w:r>
    </w:p>
    <w:p w14:paraId="1771DEB3">
      <w:pPr>
        <w:snapToGrid w:val="0"/>
        <w:spacing w:before="120" w:beforeLines="50" w:after="50"/>
        <w:rPr>
          <w:rFonts w:hint="eastAsia" w:ascii="宋体" w:hAnsi="宋体"/>
          <w:bCs/>
          <w:color w:val="auto"/>
          <w:sz w:val="24"/>
          <w:szCs w:val="20"/>
          <w:highlight w:val="none"/>
        </w:rPr>
      </w:pPr>
    </w:p>
    <w:p w14:paraId="2FC099D5">
      <w:pPr>
        <w:snapToGrid w:val="0"/>
        <w:spacing w:before="120" w:beforeLines="50" w:after="50"/>
        <w:rPr>
          <w:rFonts w:hint="eastAsia" w:ascii="宋体" w:hAnsi="宋体"/>
          <w:bCs/>
          <w:color w:val="auto"/>
          <w:sz w:val="24"/>
          <w:szCs w:val="20"/>
          <w:highlight w:val="none"/>
        </w:rPr>
      </w:pPr>
    </w:p>
    <w:p w14:paraId="4ECAC813">
      <w:pPr>
        <w:snapToGrid w:val="0"/>
        <w:spacing w:before="120" w:beforeLines="50" w:after="50"/>
        <w:rPr>
          <w:rFonts w:hint="eastAsia" w:ascii="宋体" w:hAnsi="宋体"/>
          <w:bCs/>
          <w:color w:val="auto"/>
          <w:sz w:val="24"/>
          <w:szCs w:val="20"/>
          <w:highlight w:val="none"/>
        </w:rPr>
      </w:pPr>
    </w:p>
    <w:p w14:paraId="565B3CC6">
      <w:pPr>
        <w:snapToGrid w:val="0"/>
        <w:spacing w:before="120" w:beforeLines="50" w:after="50"/>
        <w:rPr>
          <w:rFonts w:hint="eastAsia" w:ascii="宋体" w:hAnsi="宋体"/>
          <w:bCs/>
          <w:color w:val="auto"/>
          <w:sz w:val="24"/>
          <w:szCs w:val="20"/>
          <w:highlight w:val="none"/>
        </w:rPr>
      </w:pPr>
    </w:p>
    <w:p w14:paraId="0385DD82">
      <w:pPr>
        <w:snapToGrid w:val="0"/>
        <w:spacing w:before="120" w:beforeLines="50" w:after="50"/>
        <w:rPr>
          <w:rFonts w:hint="eastAsia" w:ascii="宋体" w:hAnsi="宋体"/>
          <w:bCs/>
          <w:color w:val="auto"/>
          <w:sz w:val="24"/>
          <w:szCs w:val="20"/>
          <w:highlight w:val="none"/>
        </w:rPr>
      </w:pPr>
    </w:p>
    <w:p w14:paraId="1E4E6E96">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0BF6A6CD">
      <w:pPr>
        <w:snapToGrid w:val="0"/>
        <w:spacing w:before="120" w:beforeLines="50" w:after="50"/>
        <w:ind w:firstLine="720" w:firstLineChars="225"/>
        <w:rPr>
          <w:rFonts w:hint="eastAsia" w:ascii="宋体" w:hAnsi="宋体" w:cs="仿宋_GB2312"/>
          <w:bCs/>
          <w:color w:val="auto"/>
          <w:sz w:val="32"/>
          <w:szCs w:val="32"/>
          <w:highlight w:val="none"/>
        </w:rPr>
      </w:pPr>
    </w:p>
    <w:p w14:paraId="5EE694EF">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708A87C4">
      <w:pPr>
        <w:snapToGrid w:val="0"/>
        <w:spacing w:before="120"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0B94C234">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7FC85F6C">
      <w:pPr>
        <w:snapToGrid w:val="0"/>
        <w:spacing w:before="120" w:beforeLines="50" w:after="50"/>
        <w:ind w:firstLine="720" w:firstLineChars="225"/>
        <w:rPr>
          <w:rFonts w:hint="eastAsia" w:ascii="宋体" w:hAnsi="宋体" w:cs="仿宋_GB2312"/>
          <w:bCs/>
          <w:color w:val="auto"/>
          <w:sz w:val="32"/>
          <w:szCs w:val="32"/>
          <w:highlight w:val="none"/>
        </w:rPr>
      </w:pPr>
    </w:p>
    <w:p w14:paraId="0C2D40DB">
      <w:pPr>
        <w:pStyle w:val="7"/>
        <w:snapToGrid w:val="0"/>
        <w:spacing w:before="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76D98771">
      <w:pPr>
        <w:pStyle w:val="7"/>
        <w:snapToGrid w:val="0"/>
        <w:spacing w:before="50" w:after="50"/>
        <w:ind w:firstLine="720" w:firstLineChars="225"/>
        <w:rPr>
          <w:rFonts w:hint="eastAsia" w:ascii="宋体" w:hAnsi="宋体" w:cs="仿宋_GB2312"/>
          <w:bCs/>
          <w:color w:val="auto"/>
          <w:sz w:val="32"/>
          <w:szCs w:val="32"/>
          <w:highlight w:val="none"/>
        </w:rPr>
      </w:pPr>
    </w:p>
    <w:p w14:paraId="3FDA46B9">
      <w:pPr>
        <w:pStyle w:val="7"/>
        <w:snapToGrid w:val="0"/>
        <w:spacing w:before="50" w:after="50"/>
        <w:ind w:firstLine="720" w:firstLineChars="225"/>
        <w:rPr>
          <w:rFonts w:hint="eastAsia" w:ascii="宋体" w:hAnsi="宋体" w:cs="仿宋_GB2312"/>
          <w:bCs/>
          <w:color w:val="auto"/>
          <w:sz w:val="32"/>
          <w:szCs w:val="32"/>
          <w:highlight w:val="none"/>
        </w:rPr>
      </w:pPr>
    </w:p>
    <w:p w14:paraId="64C2FAD0">
      <w:pPr>
        <w:pStyle w:val="7"/>
        <w:snapToGrid w:val="0"/>
        <w:spacing w:before="50" w:after="50"/>
        <w:ind w:firstLine="1280" w:firstLineChars="400"/>
        <w:rPr>
          <w:rFonts w:hint="eastAsia" w:ascii="宋体" w:hAnsi="宋体" w:cs="仿宋_GB2312"/>
          <w:bCs/>
          <w:color w:val="auto"/>
          <w:sz w:val="32"/>
          <w:szCs w:val="32"/>
          <w:highlight w:val="none"/>
        </w:rPr>
      </w:pPr>
    </w:p>
    <w:p w14:paraId="705BC0D0">
      <w:pPr>
        <w:snapToGrid w:val="0"/>
        <w:spacing w:before="120"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0209114D">
      <w:pPr>
        <w:snapToGrid w:val="0"/>
        <w:spacing w:before="120" w:beforeLines="50" w:after="50" w:line="400" w:lineRule="exact"/>
        <w:jc w:val="center"/>
        <w:rPr>
          <w:rFonts w:hint="eastAsia" w:ascii="宋体" w:hAnsi="宋体"/>
          <w:b/>
          <w:bCs/>
          <w:color w:val="auto"/>
          <w:sz w:val="32"/>
          <w:szCs w:val="32"/>
          <w:highlight w:val="none"/>
        </w:rPr>
      </w:pPr>
      <w:r>
        <w:rPr>
          <w:rFonts w:ascii="宋体" w:hAnsi="宋体"/>
          <w:color w:val="auto"/>
          <w:sz w:val="24"/>
          <w:highlight w:val="none"/>
        </w:rPr>
        <w:br w:type="page"/>
      </w:r>
      <w:r>
        <w:rPr>
          <w:rFonts w:hint="eastAsia" w:ascii="宋体" w:hAnsi="宋体"/>
          <w:b/>
          <w:bCs/>
          <w:color w:val="auto"/>
          <w:sz w:val="32"/>
          <w:szCs w:val="32"/>
          <w:highlight w:val="none"/>
        </w:rPr>
        <w:t>报价文件目录</w:t>
      </w:r>
    </w:p>
    <w:p w14:paraId="09BE80BC">
      <w:pPr>
        <w:rPr>
          <w:rFonts w:hint="eastAsia" w:ascii="宋体" w:hAnsi="宋体" w:cs="宋体"/>
          <w:color w:val="auto"/>
          <w:highlight w:val="none"/>
        </w:rPr>
      </w:pPr>
    </w:p>
    <w:p w14:paraId="42B25D3B">
      <w:pPr>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一、响应函…………………………………………………………………（页码）</w:t>
      </w:r>
    </w:p>
    <w:p w14:paraId="559E2A7B">
      <w:pPr>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二、响应报价表……………………………………………………………（页码）</w:t>
      </w:r>
    </w:p>
    <w:p w14:paraId="7A6ACB13">
      <w:pPr>
        <w:spacing w:line="360" w:lineRule="auto"/>
        <w:rPr>
          <w:rFonts w:hint="eastAsia" w:ascii="仿宋_GB2312" w:hAnsi="仿宋" w:eastAsia="仿宋_GB2312" w:cs="仿宋_GB2312"/>
          <w:color w:val="auto"/>
          <w:sz w:val="24"/>
          <w:highlight w:val="none"/>
        </w:rPr>
      </w:pPr>
    </w:p>
    <w:p w14:paraId="63C96A66">
      <w:pPr>
        <w:snapToGrid w:val="0"/>
        <w:spacing w:before="120" w:beforeLines="50" w:after="50" w:line="360" w:lineRule="auto"/>
        <w:ind w:left="142" w:firstLine="640" w:firstLineChars="200"/>
        <w:jc w:val="left"/>
        <w:rPr>
          <w:rFonts w:hint="eastAsia" w:ascii="仿宋_GB2312" w:hAnsi="仿宋_GB2312" w:eastAsia="仿宋_GB2312" w:cs="仿宋_GB2312"/>
          <w:color w:val="auto"/>
          <w:sz w:val="32"/>
          <w:szCs w:val="32"/>
          <w:highlight w:val="none"/>
        </w:rPr>
      </w:pPr>
    </w:p>
    <w:p w14:paraId="466B6D7C">
      <w:pPr>
        <w:snapToGrid w:val="0"/>
        <w:spacing w:before="120" w:beforeLines="50" w:after="50" w:line="360" w:lineRule="auto"/>
        <w:ind w:left="142" w:firstLine="480" w:firstLineChars="200"/>
        <w:jc w:val="left"/>
        <w:rPr>
          <w:rFonts w:hAnsi="宋体" w:cs="仿宋_GB2312"/>
          <w:color w:val="auto"/>
          <w:sz w:val="24"/>
          <w:highlight w:val="none"/>
        </w:rPr>
      </w:pPr>
      <w:r>
        <w:rPr>
          <w:rFonts w:hAnsi="宋体" w:cs="仿宋_GB2312"/>
          <w:color w:val="auto"/>
          <w:sz w:val="24"/>
          <w:highlight w:val="none"/>
        </w:rPr>
        <w:br w:type="page"/>
      </w:r>
      <w:r>
        <w:rPr>
          <w:rFonts w:hint="eastAsia" w:hAnsi="宋体"/>
          <w:b/>
          <w:bCs/>
          <w:color w:val="auto"/>
          <w:sz w:val="32"/>
          <w:szCs w:val="32"/>
          <w:highlight w:val="none"/>
        </w:rPr>
        <w:t>一、响应函</w:t>
      </w:r>
    </w:p>
    <w:p w14:paraId="6754F5A0">
      <w:pPr>
        <w:pStyle w:val="16"/>
        <w:spacing w:line="500" w:lineRule="exact"/>
        <w:jc w:val="center"/>
        <w:rPr>
          <w:rFonts w:ascii="Times New Roman" w:hAnsi="Times New Roman"/>
          <w:b/>
          <w:bCs/>
          <w:color w:val="auto"/>
          <w:sz w:val="30"/>
          <w:szCs w:val="30"/>
          <w:highlight w:val="none"/>
        </w:rPr>
      </w:pPr>
      <w:r>
        <w:rPr>
          <w:rFonts w:hint="eastAsia" w:ascii="Times New Roman" w:hAnsi="Times New Roman"/>
          <w:b/>
          <w:bCs/>
          <w:color w:val="auto"/>
          <w:sz w:val="30"/>
          <w:szCs w:val="30"/>
          <w:highlight w:val="none"/>
        </w:rPr>
        <w:t>响应函</w:t>
      </w:r>
    </w:p>
    <w:p w14:paraId="573A9135">
      <w:pPr>
        <w:pStyle w:val="16"/>
        <w:spacing w:line="500" w:lineRule="exact"/>
        <w:rPr>
          <w:rFonts w:ascii="Times New Roman" w:hAnsi="Times New Roman"/>
          <w:color w:val="auto"/>
          <w:sz w:val="32"/>
          <w:highlight w:val="none"/>
        </w:rPr>
      </w:pPr>
    </w:p>
    <w:p w14:paraId="27071E3D">
      <w:pPr>
        <w:pStyle w:val="16"/>
        <w:spacing w:line="440" w:lineRule="exact"/>
        <w:rPr>
          <w:rFonts w:ascii="Times New Roman" w:hAnsi="Times New Roman"/>
          <w:color w:val="auto"/>
          <w:highlight w:val="none"/>
        </w:rPr>
      </w:pPr>
      <w:r>
        <w:rPr>
          <w:rFonts w:hint="eastAsia" w:ascii="Times New Roman" w:hAnsi="Times New Roman"/>
          <w:color w:val="auto"/>
          <w:highlight w:val="none"/>
        </w:rPr>
        <w:t>致：</w:t>
      </w:r>
      <w:r>
        <w:rPr>
          <w:rFonts w:ascii="Times New Roman" w:hAnsi="Times New Roman"/>
          <w:color w:val="auto"/>
          <w:highlight w:val="none"/>
          <w:u w:val="single"/>
        </w:rPr>
        <w:t xml:space="preserve">                      </w:t>
      </w:r>
      <w:r>
        <w:rPr>
          <w:rFonts w:hint="eastAsia" w:ascii="Times New Roman" w:hAnsi="Times New Roman"/>
          <w:color w:val="auto"/>
          <w:highlight w:val="none"/>
        </w:rPr>
        <w:t>（采购代理机构名称）</w:t>
      </w:r>
    </w:p>
    <w:p w14:paraId="3A14127B">
      <w:pPr>
        <w:pStyle w:val="16"/>
        <w:spacing w:line="440" w:lineRule="exact"/>
        <w:ind w:firstLine="400" w:firstLineChars="200"/>
        <w:rPr>
          <w:rFonts w:ascii="Times New Roman" w:hAnsi="Times New Roman"/>
          <w:color w:val="auto"/>
          <w:highlight w:val="none"/>
        </w:rPr>
      </w:pPr>
    </w:p>
    <w:p w14:paraId="0CAE2A05">
      <w:pPr>
        <w:pStyle w:val="16"/>
        <w:spacing w:line="440" w:lineRule="exact"/>
        <w:ind w:firstLine="400" w:firstLineChars="200"/>
        <w:rPr>
          <w:rFonts w:ascii="Times New Roman" w:hAnsi="Times New Roman"/>
          <w:color w:val="auto"/>
          <w:highlight w:val="none"/>
        </w:rPr>
      </w:pPr>
      <w:r>
        <w:rPr>
          <w:rFonts w:hint="eastAsia"/>
          <w:color w:val="auto"/>
          <w:highlight w:val="none"/>
        </w:rPr>
        <w:t>我方已仔细阅读了贵方组织的</w:t>
      </w:r>
      <w:r>
        <w:rPr>
          <w:rFonts w:hint="eastAsia"/>
          <w:color w:val="auto"/>
          <w:highlight w:val="none"/>
          <w:u w:val="single"/>
        </w:rPr>
        <w:t xml:space="preserve">                </w:t>
      </w:r>
      <w:r>
        <w:rPr>
          <w:rFonts w:hint="eastAsia"/>
          <w:color w:val="auto"/>
          <w:highlight w:val="none"/>
        </w:rPr>
        <w:t>项目（项目编号：</w:t>
      </w:r>
      <w:r>
        <w:rPr>
          <w:rFonts w:hint="eastAsia" w:hAnsi="宋体"/>
          <w:color w:val="auto"/>
          <w:highlight w:val="none"/>
          <w:u w:val="single"/>
        </w:rPr>
        <w:t xml:space="preserve">             </w:t>
      </w:r>
      <w:r>
        <w:rPr>
          <w:rFonts w:hint="eastAsia"/>
          <w:color w:val="auto"/>
          <w:highlight w:val="none"/>
        </w:rPr>
        <w:t>）的竞争性</w:t>
      </w:r>
      <w:r>
        <w:rPr>
          <w:rFonts w:hint="eastAsia"/>
          <w:color w:val="auto"/>
          <w:highlight w:val="none"/>
          <w:lang w:eastAsia="zh-CN"/>
        </w:rPr>
        <w:t>磋商</w:t>
      </w:r>
      <w:r>
        <w:rPr>
          <w:rFonts w:hint="eastAsia"/>
          <w:color w:val="auto"/>
          <w:highlight w:val="none"/>
        </w:rPr>
        <w:t xml:space="preserve">采购文件的全部内容，现正式递交下述文件参加贵方组织的本次政府采购活动： </w:t>
      </w:r>
    </w:p>
    <w:p w14:paraId="3DB24BE1">
      <w:pPr>
        <w:pStyle w:val="16"/>
        <w:spacing w:line="440" w:lineRule="exact"/>
        <w:ind w:firstLine="400" w:firstLineChars="200"/>
        <w:rPr>
          <w:rFonts w:ascii="Times New Roman" w:hAnsi="Times New Roman"/>
          <w:color w:val="auto"/>
          <w:highlight w:val="none"/>
        </w:rPr>
      </w:pPr>
      <w:r>
        <w:rPr>
          <w:rFonts w:hint="eastAsia"/>
          <w:color w:val="auto"/>
          <w:highlight w:val="none"/>
        </w:rPr>
        <w:t>一、首次报价文件</w:t>
      </w:r>
      <w:r>
        <w:rPr>
          <w:rFonts w:hint="eastAsia"/>
          <w:color w:val="auto"/>
          <w:highlight w:val="none"/>
          <w:lang w:eastAsia="zh-CN"/>
        </w:rPr>
        <w:t>电子版</w:t>
      </w:r>
      <w:r>
        <w:rPr>
          <w:rFonts w:hint="eastAsia"/>
          <w:color w:val="auto"/>
          <w:highlight w:val="none"/>
          <w:u w:val="single"/>
        </w:rPr>
        <w:t xml:space="preserve">   </w:t>
      </w:r>
      <w:r>
        <w:rPr>
          <w:rFonts w:hint="eastAsia"/>
          <w:color w:val="auto"/>
          <w:highlight w:val="none"/>
        </w:rPr>
        <w:t>份（包含按</w:t>
      </w:r>
      <w:r>
        <w:rPr>
          <w:rFonts w:hint="eastAsia"/>
          <w:color w:val="auto"/>
          <w:highlight w:val="none"/>
          <w:lang w:eastAsia="zh-CN"/>
        </w:rPr>
        <w:t>“第三章 供应商须知”</w:t>
      </w:r>
      <w:r>
        <w:rPr>
          <w:rFonts w:hint="eastAsia"/>
          <w:color w:val="auto"/>
          <w:highlight w:val="none"/>
        </w:rPr>
        <w:t>提交的全部文件）；</w:t>
      </w:r>
    </w:p>
    <w:p w14:paraId="2CFB2A7B">
      <w:pPr>
        <w:pStyle w:val="16"/>
        <w:spacing w:line="440" w:lineRule="exact"/>
        <w:ind w:firstLine="400" w:firstLineChars="200"/>
        <w:rPr>
          <w:rFonts w:hint="eastAsia"/>
          <w:color w:val="auto"/>
          <w:highlight w:val="none"/>
        </w:rPr>
      </w:pPr>
      <w:r>
        <w:rPr>
          <w:rFonts w:hint="eastAsia"/>
          <w:color w:val="auto"/>
          <w:highlight w:val="none"/>
        </w:rPr>
        <w:t>二、商务</w:t>
      </w:r>
      <w:r>
        <w:rPr>
          <w:rFonts w:hint="eastAsia"/>
          <w:color w:val="auto"/>
          <w:highlight w:val="none"/>
          <w:lang w:eastAsia="zh-CN"/>
        </w:rPr>
        <w:t>和</w:t>
      </w:r>
      <w:r>
        <w:rPr>
          <w:rFonts w:hint="eastAsia" w:hAnsi="宋体"/>
          <w:color w:val="auto"/>
          <w:highlight w:val="none"/>
        </w:rPr>
        <w:t>技术</w:t>
      </w:r>
      <w:r>
        <w:rPr>
          <w:rFonts w:hint="eastAsia"/>
          <w:color w:val="auto"/>
          <w:highlight w:val="none"/>
        </w:rPr>
        <w:t>文件</w:t>
      </w:r>
      <w:r>
        <w:rPr>
          <w:rFonts w:hint="eastAsia"/>
          <w:color w:val="auto"/>
          <w:highlight w:val="none"/>
          <w:lang w:eastAsia="zh-CN"/>
        </w:rPr>
        <w:t>电子版</w:t>
      </w:r>
      <w:r>
        <w:rPr>
          <w:rFonts w:hint="eastAsia"/>
          <w:color w:val="auto"/>
          <w:highlight w:val="none"/>
          <w:u w:val="single"/>
        </w:rPr>
        <w:t xml:space="preserve">   </w:t>
      </w:r>
      <w:r>
        <w:rPr>
          <w:rFonts w:hint="eastAsia"/>
          <w:color w:val="auto"/>
          <w:highlight w:val="none"/>
        </w:rPr>
        <w:t>份（包含按</w:t>
      </w:r>
      <w:r>
        <w:rPr>
          <w:rFonts w:hint="eastAsia"/>
          <w:color w:val="auto"/>
          <w:highlight w:val="none"/>
          <w:lang w:eastAsia="zh-CN"/>
        </w:rPr>
        <w:t>“第三章 供应商须知”</w:t>
      </w:r>
      <w:r>
        <w:rPr>
          <w:rFonts w:hint="eastAsia"/>
          <w:color w:val="auto"/>
          <w:highlight w:val="none"/>
        </w:rPr>
        <w:t>提交的全部文件）；</w:t>
      </w:r>
    </w:p>
    <w:p w14:paraId="32BF5369">
      <w:pPr>
        <w:pStyle w:val="16"/>
        <w:spacing w:line="440" w:lineRule="exact"/>
        <w:ind w:firstLine="400" w:firstLineChars="200"/>
        <w:rPr>
          <w:rFonts w:ascii="Times New Roman" w:hAnsi="Times New Roman"/>
          <w:color w:val="auto"/>
          <w:highlight w:val="none"/>
        </w:rPr>
      </w:pPr>
      <w:r>
        <w:rPr>
          <w:rFonts w:hint="eastAsia"/>
          <w:color w:val="auto"/>
          <w:highlight w:val="none"/>
        </w:rPr>
        <w:t>据此函，签字人兹宣布：</w:t>
      </w:r>
    </w:p>
    <w:p w14:paraId="5982218F">
      <w:pPr>
        <w:pStyle w:val="16"/>
        <w:spacing w:line="440" w:lineRule="exact"/>
        <w:ind w:firstLine="482"/>
        <w:rPr>
          <w:rFonts w:ascii="Times New Roman" w:hAnsi="Times New Roman"/>
          <w:color w:val="auto"/>
          <w:highlight w:val="none"/>
        </w:rPr>
      </w:pPr>
      <w:r>
        <w:rPr>
          <w:rFonts w:hint="eastAsia"/>
          <w:color w:val="auto"/>
          <w:highlight w:val="none"/>
        </w:rPr>
        <w:t>1、我方愿意以（大写）人民币</w:t>
      </w:r>
      <w:r>
        <w:rPr>
          <w:rFonts w:hint="eastAsia"/>
          <w:color w:val="auto"/>
          <w:highlight w:val="none"/>
          <w:u w:val="single"/>
        </w:rPr>
        <w:t xml:space="preserve">              </w:t>
      </w:r>
      <w:r>
        <w:rPr>
          <w:rFonts w:hint="eastAsia"/>
          <w:color w:val="auto"/>
          <w:highlight w:val="none"/>
        </w:rPr>
        <w:t>（</w:t>
      </w:r>
      <w:r>
        <w:rPr>
          <w:rFonts w:hint="default" w:ascii="Arial" w:hAnsi="Arial" w:cs="Arial"/>
          <w:color w:val="auto"/>
          <w:highlight w:val="none"/>
        </w:rPr>
        <w:t>¥</w:t>
      </w:r>
      <w:r>
        <w:rPr>
          <w:rFonts w:hint="eastAsia"/>
          <w:color w:val="auto"/>
          <w:highlight w:val="none"/>
          <w:u w:val="single"/>
        </w:rPr>
        <w:t xml:space="preserve">          </w:t>
      </w:r>
      <w:r>
        <w:rPr>
          <w:rFonts w:hint="eastAsia"/>
          <w:color w:val="auto"/>
          <w:highlight w:val="none"/>
        </w:rPr>
        <w:t>元)的竞标总报价，</w:t>
      </w:r>
      <w:r>
        <w:rPr>
          <w:rFonts w:hint="eastAsia"/>
          <w:color w:val="auto"/>
          <w:highlight w:val="none"/>
          <w:lang w:eastAsia="zh-CN"/>
        </w:rPr>
        <w:t>提供服务期限</w:t>
      </w:r>
      <w:r>
        <w:rPr>
          <w:rFonts w:hint="eastAsia"/>
          <w:color w:val="auto"/>
          <w:highlight w:val="none"/>
        </w:rPr>
        <w:t>（无分标时填写）：</w:t>
      </w:r>
      <w:r>
        <w:rPr>
          <w:rFonts w:hint="eastAsia"/>
          <w:color w:val="auto"/>
          <w:highlight w:val="none"/>
          <w:u w:val="single"/>
        </w:rPr>
        <w:t xml:space="preserve">            </w:t>
      </w:r>
      <w:r>
        <w:rPr>
          <w:rFonts w:hint="eastAsia"/>
          <w:color w:val="auto"/>
          <w:highlight w:val="none"/>
        </w:rPr>
        <w:t>，提供本项目竞争性</w:t>
      </w:r>
      <w:r>
        <w:rPr>
          <w:rFonts w:hint="eastAsia"/>
          <w:color w:val="auto"/>
          <w:highlight w:val="none"/>
          <w:lang w:eastAsia="zh-CN"/>
        </w:rPr>
        <w:t>磋商</w:t>
      </w:r>
      <w:r>
        <w:rPr>
          <w:rFonts w:hint="eastAsia"/>
          <w:color w:val="auto"/>
          <w:highlight w:val="none"/>
        </w:rPr>
        <w:t>采购文件第</w:t>
      </w:r>
      <w:r>
        <w:rPr>
          <w:rFonts w:hint="eastAsia"/>
          <w:color w:val="auto"/>
          <w:highlight w:val="none"/>
          <w:lang w:eastAsia="zh-CN"/>
        </w:rPr>
        <w:t>二</w:t>
      </w:r>
      <w:r>
        <w:rPr>
          <w:rFonts w:hint="eastAsia"/>
          <w:color w:val="auto"/>
          <w:highlight w:val="none"/>
        </w:rPr>
        <w:t>章“</w:t>
      </w:r>
      <w:r>
        <w:rPr>
          <w:rFonts w:hint="eastAsia"/>
          <w:color w:val="auto"/>
          <w:highlight w:val="none"/>
          <w:lang w:eastAsia="zh-CN"/>
        </w:rPr>
        <w:t>服务</w:t>
      </w:r>
      <w:r>
        <w:rPr>
          <w:rFonts w:hint="eastAsia"/>
          <w:color w:val="auto"/>
          <w:highlight w:val="none"/>
        </w:rPr>
        <w:t>需求一览表”中相应的采购内容。</w:t>
      </w:r>
    </w:p>
    <w:p w14:paraId="7A87D663">
      <w:pPr>
        <w:pStyle w:val="16"/>
        <w:spacing w:line="440" w:lineRule="exact"/>
        <w:ind w:firstLine="482"/>
        <w:rPr>
          <w:rFonts w:ascii="Times New Roman" w:hAnsi="Times New Roman"/>
          <w:color w:val="auto"/>
          <w:highlight w:val="none"/>
        </w:rPr>
      </w:pPr>
      <w:r>
        <w:rPr>
          <w:rFonts w:hint="eastAsia"/>
          <w:color w:val="auto"/>
          <w:highlight w:val="none"/>
        </w:rPr>
        <w:t>其中（有分标时填写）：</w:t>
      </w:r>
    </w:p>
    <w:p w14:paraId="6C765966">
      <w:pPr>
        <w:pStyle w:val="16"/>
        <w:spacing w:line="440" w:lineRule="exact"/>
        <w:ind w:firstLine="482"/>
        <w:rPr>
          <w:rFonts w:ascii="Times New Roman" w:hAnsi="Times New Roman"/>
          <w:color w:val="auto"/>
          <w:highlight w:val="none"/>
        </w:rPr>
      </w:pPr>
      <w:r>
        <w:rPr>
          <w:rFonts w:hint="eastAsia"/>
          <w:color w:val="auto"/>
          <w:highlight w:val="none"/>
          <w:u w:val="single"/>
        </w:rPr>
        <w:t xml:space="preserve">    </w:t>
      </w:r>
      <w:r>
        <w:rPr>
          <w:rFonts w:hint="eastAsia"/>
          <w:color w:val="auto"/>
          <w:highlight w:val="none"/>
        </w:rPr>
        <w:t>分标报价为（大写）人民币</w:t>
      </w:r>
      <w:r>
        <w:rPr>
          <w:rFonts w:hint="eastAsia"/>
          <w:color w:val="auto"/>
          <w:highlight w:val="none"/>
          <w:u w:val="single"/>
        </w:rPr>
        <w:t xml:space="preserve">               </w:t>
      </w:r>
      <w:r>
        <w:rPr>
          <w:rFonts w:hint="eastAsia"/>
          <w:color w:val="auto"/>
          <w:highlight w:val="none"/>
        </w:rPr>
        <w:t xml:space="preserve"> (￥</w:t>
      </w:r>
      <w:r>
        <w:rPr>
          <w:rFonts w:hint="eastAsia"/>
          <w:color w:val="auto"/>
          <w:highlight w:val="none"/>
          <w:u w:val="single"/>
        </w:rPr>
        <w:t xml:space="preserve">           </w:t>
      </w:r>
      <w:r>
        <w:rPr>
          <w:rFonts w:hint="eastAsia"/>
          <w:color w:val="auto"/>
          <w:highlight w:val="none"/>
        </w:rPr>
        <w:t>元)，服务期限：</w:t>
      </w:r>
      <w:r>
        <w:rPr>
          <w:rFonts w:hint="eastAsia"/>
          <w:color w:val="auto"/>
          <w:highlight w:val="none"/>
          <w:u w:val="single"/>
        </w:rPr>
        <w:t xml:space="preserve">          </w:t>
      </w:r>
      <w:r>
        <w:rPr>
          <w:rFonts w:hint="eastAsia"/>
          <w:color w:val="auto"/>
          <w:highlight w:val="none"/>
        </w:rPr>
        <w:t>；</w:t>
      </w:r>
    </w:p>
    <w:p w14:paraId="0FACF9B3">
      <w:pPr>
        <w:pStyle w:val="16"/>
        <w:spacing w:line="440" w:lineRule="exact"/>
        <w:ind w:firstLine="482"/>
        <w:rPr>
          <w:rFonts w:ascii="Times New Roman" w:hAnsi="Times New Roman"/>
          <w:color w:val="auto"/>
          <w:highlight w:val="none"/>
        </w:rPr>
      </w:pPr>
      <w:r>
        <w:rPr>
          <w:rFonts w:hint="eastAsia"/>
          <w:color w:val="auto"/>
          <w:highlight w:val="none"/>
          <w:u w:val="single"/>
        </w:rPr>
        <w:t xml:space="preserve">    </w:t>
      </w:r>
      <w:r>
        <w:rPr>
          <w:rFonts w:hint="eastAsia"/>
          <w:color w:val="auto"/>
          <w:highlight w:val="none"/>
        </w:rPr>
        <w:t>分标报价为（大写）人民币</w:t>
      </w:r>
      <w:r>
        <w:rPr>
          <w:rFonts w:hint="eastAsia"/>
          <w:color w:val="auto"/>
          <w:highlight w:val="none"/>
          <w:u w:val="single"/>
        </w:rPr>
        <w:t xml:space="preserve">               </w:t>
      </w:r>
      <w:r>
        <w:rPr>
          <w:rFonts w:hint="eastAsia"/>
          <w:color w:val="auto"/>
          <w:highlight w:val="none"/>
        </w:rPr>
        <w:t xml:space="preserve"> (￥</w:t>
      </w:r>
      <w:r>
        <w:rPr>
          <w:rFonts w:hint="eastAsia"/>
          <w:color w:val="auto"/>
          <w:highlight w:val="none"/>
          <w:u w:val="single"/>
        </w:rPr>
        <w:t xml:space="preserve">           </w:t>
      </w:r>
      <w:r>
        <w:rPr>
          <w:rFonts w:hint="eastAsia"/>
          <w:color w:val="auto"/>
          <w:highlight w:val="none"/>
        </w:rPr>
        <w:t>元)，服务期限：</w:t>
      </w:r>
      <w:r>
        <w:rPr>
          <w:rFonts w:hint="eastAsia"/>
          <w:color w:val="auto"/>
          <w:highlight w:val="none"/>
          <w:u w:val="single"/>
        </w:rPr>
        <w:t xml:space="preserve">          </w:t>
      </w:r>
      <w:r>
        <w:rPr>
          <w:rFonts w:hint="eastAsia"/>
          <w:color w:val="auto"/>
          <w:highlight w:val="none"/>
        </w:rPr>
        <w:t>；</w:t>
      </w:r>
    </w:p>
    <w:p w14:paraId="743D748E">
      <w:pPr>
        <w:pStyle w:val="16"/>
        <w:spacing w:line="440" w:lineRule="exact"/>
        <w:ind w:firstLine="482"/>
        <w:rPr>
          <w:rFonts w:ascii="Times New Roman" w:hAnsi="Times New Roman"/>
          <w:color w:val="auto"/>
          <w:highlight w:val="none"/>
        </w:rPr>
      </w:pPr>
      <w:r>
        <w:rPr>
          <w:rFonts w:hint="eastAsia"/>
          <w:color w:val="auto"/>
          <w:highlight w:val="none"/>
        </w:rPr>
        <w:t>......</w:t>
      </w:r>
    </w:p>
    <w:p w14:paraId="575EE9AC">
      <w:pPr>
        <w:pStyle w:val="16"/>
        <w:spacing w:line="440" w:lineRule="exact"/>
        <w:ind w:firstLine="482"/>
        <w:rPr>
          <w:color w:val="auto"/>
          <w:highlight w:val="none"/>
        </w:rPr>
      </w:pPr>
      <w:r>
        <w:rPr>
          <w:rFonts w:hint="eastAsia"/>
          <w:color w:val="auto"/>
          <w:highlight w:val="none"/>
        </w:rPr>
        <w:t>2、我方同意自本项目竞争性</w:t>
      </w:r>
      <w:r>
        <w:rPr>
          <w:rFonts w:hint="eastAsia"/>
          <w:color w:val="auto"/>
          <w:highlight w:val="none"/>
          <w:lang w:eastAsia="zh-CN"/>
        </w:rPr>
        <w:t>磋商</w:t>
      </w:r>
      <w:r>
        <w:rPr>
          <w:rFonts w:hint="eastAsia"/>
          <w:color w:val="auto"/>
          <w:highlight w:val="none"/>
        </w:rPr>
        <w:t>采购文件</w:t>
      </w:r>
      <w:r>
        <w:rPr>
          <w:rFonts w:hint="eastAsia"/>
          <w:color w:val="auto"/>
          <w:highlight w:val="none"/>
          <w:lang w:eastAsia="zh-CN"/>
        </w:rPr>
        <w:t>采购公告</w:t>
      </w:r>
      <w:r>
        <w:rPr>
          <w:rFonts w:hint="eastAsia"/>
          <w:color w:val="auto"/>
          <w:highlight w:val="none"/>
        </w:rPr>
        <w:t>规定的递交响应文件截止时间起遵循</w:t>
      </w:r>
      <w:r>
        <w:rPr>
          <w:rFonts w:hint="eastAsia" w:hAnsi="宋体"/>
          <w:color w:val="auto"/>
          <w:highlight w:val="none"/>
        </w:rPr>
        <w:t>本响应函</w:t>
      </w:r>
      <w:r>
        <w:rPr>
          <w:rFonts w:hint="eastAsia"/>
          <w:color w:val="auto"/>
          <w:highlight w:val="none"/>
        </w:rPr>
        <w:t>，并承诺在</w:t>
      </w:r>
      <w:r>
        <w:rPr>
          <w:rFonts w:hint="eastAsia"/>
          <w:color w:val="auto"/>
          <w:highlight w:val="none"/>
          <w:lang w:eastAsia="zh-CN"/>
        </w:rPr>
        <w:t>“第三章 供应商须知”</w:t>
      </w:r>
      <w:r>
        <w:rPr>
          <w:rFonts w:hint="eastAsia"/>
          <w:color w:val="auto"/>
          <w:highlight w:val="none"/>
        </w:rPr>
        <w:t>规定的</w:t>
      </w:r>
      <w:r>
        <w:rPr>
          <w:rFonts w:hint="eastAsia"/>
          <w:color w:val="auto"/>
          <w:highlight w:val="none"/>
          <w:lang w:eastAsia="zh-CN"/>
        </w:rPr>
        <w:t>响应</w:t>
      </w:r>
      <w:r>
        <w:rPr>
          <w:rFonts w:hint="eastAsia"/>
          <w:color w:val="auto"/>
          <w:highlight w:val="none"/>
        </w:rPr>
        <w:t>有效期内不修改、撤销</w:t>
      </w:r>
      <w:r>
        <w:rPr>
          <w:rFonts w:hint="eastAsia"/>
          <w:color w:val="auto"/>
          <w:highlight w:val="none"/>
          <w:lang w:eastAsia="zh-CN"/>
        </w:rPr>
        <w:t>响应</w:t>
      </w:r>
      <w:r>
        <w:rPr>
          <w:rFonts w:hint="eastAsia"/>
          <w:color w:val="auto"/>
          <w:highlight w:val="none"/>
        </w:rPr>
        <w:t>文件。</w:t>
      </w:r>
    </w:p>
    <w:p w14:paraId="3749BCA9">
      <w:pPr>
        <w:pStyle w:val="16"/>
        <w:spacing w:line="440" w:lineRule="exact"/>
        <w:ind w:firstLine="482"/>
        <w:rPr>
          <w:color w:val="auto"/>
          <w:highlight w:val="none"/>
        </w:rPr>
      </w:pPr>
      <w:r>
        <w:rPr>
          <w:rFonts w:hint="eastAsia"/>
          <w:color w:val="auto"/>
          <w:highlight w:val="none"/>
        </w:rPr>
        <w:t>3、我方在此声明，所递交的</w:t>
      </w:r>
      <w:r>
        <w:rPr>
          <w:rFonts w:hint="eastAsia"/>
          <w:color w:val="auto"/>
          <w:highlight w:val="none"/>
          <w:lang w:eastAsia="zh-CN"/>
        </w:rPr>
        <w:t>响应</w:t>
      </w:r>
      <w:r>
        <w:rPr>
          <w:rFonts w:hint="eastAsia"/>
          <w:color w:val="auto"/>
          <w:highlight w:val="none"/>
        </w:rPr>
        <w:t>文件及有关资料内容完整、真实和准确。</w:t>
      </w:r>
    </w:p>
    <w:p w14:paraId="495A508E">
      <w:pPr>
        <w:pStyle w:val="16"/>
        <w:spacing w:line="440" w:lineRule="exact"/>
        <w:ind w:firstLine="482"/>
        <w:rPr>
          <w:color w:val="auto"/>
          <w:highlight w:val="none"/>
        </w:rPr>
      </w:pPr>
      <w:r>
        <w:rPr>
          <w:rFonts w:hint="eastAsia"/>
          <w:color w:val="auto"/>
          <w:highlight w:val="none"/>
        </w:rPr>
        <w:t>4、如本项目采购内容涉及须符合国家强制规定的，我方承诺我方本次竞标均符合国家有关强制规定。</w:t>
      </w:r>
    </w:p>
    <w:p w14:paraId="5E22FCDB">
      <w:pPr>
        <w:pStyle w:val="16"/>
        <w:spacing w:line="440" w:lineRule="exact"/>
        <w:ind w:firstLine="482"/>
        <w:rPr>
          <w:color w:val="auto"/>
          <w:highlight w:val="none"/>
        </w:rPr>
      </w:pPr>
      <w:r>
        <w:rPr>
          <w:rFonts w:hint="eastAsia"/>
          <w:color w:val="auto"/>
          <w:highlight w:val="none"/>
        </w:rPr>
        <w:t>5、我方承诺未被列入失信被执行人、重大税收违法案件当事人名单、政府采购严重违法失信行为记录名单，并已经具备《中华人民共和国政府采购法》中规定的参加政府采购活动的供应商应当具备的条件：</w:t>
      </w:r>
    </w:p>
    <w:p w14:paraId="2DDE213B">
      <w:pPr>
        <w:pStyle w:val="16"/>
        <w:numPr>
          <w:ilvl w:val="0"/>
          <w:numId w:val="3"/>
        </w:numPr>
        <w:tabs>
          <w:tab w:val="left" w:pos="945"/>
        </w:tabs>
        <w:spacing w:line="440" w:lineRule="exact"/>
        <w:rPr>
          <w:color w:val="auto"/>
          <w:highlight w:val="none"/>
        </w:rPr>
      </w:pPr>
      <w:r>
        <w:rPr>
          <w:rFonts w:hint="eastAsia"/>
          <w:color w:val="auto"/>
          <w:highlight w:val="none"/>
        </w:rPr>
        <w:t>具有独立承担民事责任的能力；</w:t>
      </w:r>
    </w:p>
    <w:p w14:paraId="447C62B8">
      <w:pPr>
        <w:pStyle w:val="16"/>
        <w:numPr>
          <w:ilvl w:val="0"/>
          <w:numId w:val="3"/>
        </w:numPr>
        <w:tabs>
          <w:tab w:val="left" w:pos="945"/>
        </w:tabs>
        <w:spacing w:line="440" w:lineRule="exact"/>
        <w:rPr>
          <w:color w:val="auto"/>
          <w:highlight w:val="none"/>
        </w:rPr>
      </w:pPr>
      <w:r>
        <w:rPr>
          <w:rFonts w:hint="eastAsia"/>
          <w:color w:val="auto"/>
          <w:highlight w:val="none"/>
        </w:rPr>
        <w:t>具有良好的商业信誉和健全的财务会计制度；</w:t>
      </w:r>
    </w:p>
    <w:p w14:paraId="5AD30011">
      <w:pPr>
        <w:pStyle w:val="16"/>
        <w:numPr>
          <w:ilvl w:val="0"/>
          <w:numId w:val="3"/>
        </w:numPr>
        <w:tabs>
          <w:tab w:val="left" w:pos="945"/>
        </w:tabs>
        <w:spacing w:line="440" w:lineRule="exact"/>
        <w:rPr>
          <w:color w:val="auto"/>
          <w:highlight w:val="none"/>
        </w:rPr>
      </w:pPr>
      <w:r>
        <w:rPr>
          <w:rFonts w:hint="eastAsia"/>
          <w:color w:val="auto"/>
          <w:highlight w:val="none"/>
        </w:rPr>
        <w:t>具有履行合同所必需的设备和专业技术能力；</w:t>
      </w:r>
    </w:p>
    <w:p w14:paraId="7929B632">
      <w:pPr>
        <w:pStyle w:val="16"/>
        <w:numPr>
          <w:ilvl w:val="0"/>
          <w:numId w:val="3"/>
        </w:numPr>
        <w:tabs>
          <w:tab w:val="left" w:pos="945"/>
        </w:tabs>
        <w:spacing w:line="440" w:lineRule="exact"/>
        <w:rPr>
          <w:color w:val="auto"/>
          <w:highlight w:val="none"/>
        </w:rPr>
      </w:pPr>
      <w:r>
        <w:rPr>
          <w:rFonts w:hint="eastAsia"/>
          <w:color w:val="auto"/>
          <w:highlight w:val="none"/>
        </w:rPr>
        <w:t>有依法缴纳税收和社会保障资金的良好记录；</w:t>
      </w:r>
    </w:p>
    <w:p w14:paraId="14DD051B">
      <w:pPr>
        <w:pStyle w:val="16"/>
        <w:numPr>
          <w:ilvl w:val="0"/>
          <w:numId w:val="3"/>
        </w:numPr>
        <w:tabs>
          <w:tab w:val="left" w:pos="945"/>
        </w:tabs>
        <w:spacing w:line="440" w:lineRule="exact"/>
        <w:rPr>
          <w:color w:val="auto"/>
          <w:highlight w:val="none"/>
        </w:rPr>
      </w:pPr>
      <w:r>
        <w:rPr>
          <w:rFonts w:hint="eastAsia"/>
          <w:color w:val="auto"/>
          <w:highlight w:val="none"/>
        </w:rPr>
        <w:t>参加政府采购活动前三年内，在经营活动中没有重大违法记录；</w:t>
      </w:r>
    </w:p>
    <w:p w14:paraId="6DF11BAB">
      <w:pPr>
        <w:pStyle w:val="16"/>
        <w:numPr>
          <w:ilvl w:val="0"/>
          <w:numId w:val="3"/>
        </w:numPr>
        <w:tabs>
          <w:tab w:val="left" w:pos="945"/>
        </w:tabs>
        <w:spacing w:line="440" w:lineRule="exact"/>
        <w:rPr>
          <w:color w:val="auto"/>
          <w:highlight w:val="none"/>
        </w:rPr>
      </w:pPr>
      <w:r>
        <w:rPr>
          <w:rFonts w:hint="eastAsia"/>
          <w:color w:val="auto"/>
          <w:highlight w:val="none"/>
        </w:rPr>
        <w:t>法律、行政法规规定的其他条件。</w:t>
      </w:r>
    </w:p>
    <w:p w14:paraId="045AAECE">
      <w:pPr>
        <w:pStyle w:val="16"/>
        <w:spacing w:line="440" w:lineRule="exact"/>
        <w:ind w:firstLine="482"/>
        <w:rPr>
          <w:color w:val="auto"/>
          <w:highlight w:val="none"/>
        </w:rPr>
      </w:pPr>
      <w:r>
        <w:rPr>
          <w:rFonts w:hint="eastAsia"/>
          <w:color w:val="auto"/>
          <w:highlight w:val="none"/>
        </w:rPr>
        <w:t>6、如我方成交，我方承诺在收到成交通知书后，在成交通知书规定的期限内，</w:t>
      </w:r>
      <w:r>
        <w:rPr>
          <w:rFonts w:hint="eastAsia" w:hAnsi="宋体"/>
          <w:color w:val="auto"/>
          <w:highlight w:val="none"/>
        </w:rPr>
        <w:t>根据竞争性</w:t>
      </w:r>
      <w:r>
        <w:rPr>
          <w:rFonts w:hint="eastAsia" w:hAnsi="宋体"/>
          <w:color w:val="auto"/>
          <w:highlight w:val="none"/>
          <w:lang w:eastAsia="zh-CN"/>
        </w:rPr>
        <w:t>磋商</w:t>
      </w:r>
      <w:r>
        <w:rPr>
          <w:rFonts w:hint="eastAsia" w:hAnsi="宋体"/>
          <w:color w:val="auto"/>
          <w:highlight w:val="none"/>
        </w:rPr>
        <w:t>采购文件、我方的</w:t>
      </w:r>
      <w:r>
        <w:rPr>
          <w:rFonts w:hint="eastAsia" w:hAnsi="宋体"/>
          <w:color w:val="auto"/>
          <w:highlight w:val="none"/>
          <w:lang w:eastAsia="zh-CN"/>
        </w:rPr>
        <w:t>响应</w:t>
      </w:r>
      <w:r>
        <w:rPr>
          <w:rFonts w:hint="eastAsia" w:hAnsi="宋体"/>
          <w:color w:val="auto"/>
          <w:highlight w:val="none"/>
        </w:rPr>
        <w:t>文件及有关澄清承诺书的要求按第</w:t>
      </w:r>
      <w:r>
        <w:rPr>
          <w:rFonts w:hint="eastAsia" w:hAnsi="宋体"/>
          <w:color w:val="auto"/>
          <w:highlight w:val="none"/>
          <w:lang w:eastAsia="zh-CN"/>
        </w:rPr>
        <w:t>六</w:t>
      </w:r>
      <w:r>
        <w:rPr>
          <w:rFonts w:hint="eastAsia" w:hAnsi="宋体"/>
          <w:color w:val="auto"/>
          <w:highlight w:val="none"/>
        </w:rPr>
        <w:t>章“</w:t>
      </w:r>
      <w:r>
        <w:rPr>
          <w:rFonts w:hint="eastAsia" w:hAnsi="宋体"/>
          <w:color w:val="auto"/>
          <w:highlight w:val="none"/>
          <w:lang w:eastAsia="zh-CN"/>
        </w:rPr>
        <w:t>合同文本</w:t>
      </w:r>
      <w:r>
        <w:rPr>
          <w:rFonts w:hint="eastAsia" w:hAnsi="宋体"/>
          <w:color w:val="auto"/>
          <w:highlight w:val="none"/>
        </w:rPr>
        <w:t>”与采购人订立书面合同，并按照合同约定</w:t>
      </w:r>
      <w:r>
        <w:rPr>
          <w:rFonts w:hint="eastAsia"/>
          <w:color w:val="auto"/>
          <w:highlight w:val="none"/>
        </w:rPr>
        <w:t>承担完成合同的责任和义务。</w:t>
      </w:r>
    </w:p>
    <w:p w14:paraId="1CF8AD85">
      <w:pPr>
        <w:pStyle w:val="16"/>
        <w:spacing w:line="440" w:lineRule="exact"/>
        <w:ind w:firstLine="482"/>
        <w:rPr>
          <w:color w:val="auto"/>
          <w:highlight w:val="none"/>
        </w:rPr>
      </w:pPr>
      <w:r>
        <w:rPr>
          <w:rFonts w:hint="eastAsia"/>
          <w:color w:val="auto"/>
          <w:highlight w:val="none"/>
        </w:rPr>
        <w:t>7、我方已详细审核竞争性</w:t>
      </w:r>
      <w:r>
        <w:rPr>
          <w:rFonts w:hint="eastAsia"/>
          <w:color w:val="auto"/>
          <w:highlight w:val="none"/>
          <w:lang w:eastAsia="zh-CN"/>
        </w:rPr>
        <w:t>磋商</w:t>
      </w:r>
      <w:r>
        <w:rPr>
          <w:rFonts w:hint="eastAsia"/>
          <w:color w:val="auto"/>
          <w:highlight w:val="none"/>
        </w:rPr>
        <w:t>采购文件，我方知道必须放弃提出含糊不清或误解问题的权利。</w:t>
      </w:r>
    </w:p>
    <w:p w14:paraId="075A9D9E">
      <w:pPr>
        <w:pStyle w:val="16"/>
        <w:spacing w:line="440" w:lineRule="exact"/>
        <w:ind w:firstLine="482"/>
        <w:rPr>
          <w:color w:val="auto"/>
          <w:highlight w:val="none"/>
        </w:rPr>
      </w:pPr>
      <w:r>
        <w:rPr>
          <w:rFonts w:hint="eastAsia"/>
          <w:color w:val="auto"/>
          <w:highlight w:val="none"/>
        </w:rPr>
        <w:t>8、我方承诺满足竞争性</w:t>
      </w:r>
      <w:r>
        <w:rPr>
          <w:rFonts w:hint="eastAsia"/>
          <w:color w:val="auto"/>
          <w:highlight w:val="none"/>
          <w:lang w:eastAsia="zh-CN"/>
        </w:rPr>
        <w:t>磋商</w:t>
      </w:r>
      <w:r>
        <w:rPr>
          <w:rFonts w:hint="eastAsia"/>
          <w:color w:val="auto"/>
          <w:highlight w:val="none"/>
        </w:rPr>
        <w:t>采购文件</w:t>
      </w:r>
      <w:r>
        <w:rPr>
          <w:rFonts w:hint="eastAsia" w:hAnsi="宋体"/>
          <w:color w:val="auto"/>
          <w:highlight w:val="none"/>
        </w:rPr>
        <w:t>第</w:t>
      </w:r>
      <w:r>
        <w:rPr>
          <w:rFonts w:hint="eastAsia" w:hAnsi="宋体"/>
          <w:color w:val="auto"/>
          <w:highlight w:val="none"/>
          <w:lang w:eastAsia="zh-CN"/>
        </w:rPr>
        <w:t>六</w:t>
      </w:r>
      <w:r>
        <w:rPr>
          <w:rFonts w:hint="eastAsia" w:hAnsi="宋体"/>
          <w:color w:val="auto"/>
          <w:highlight w:val="none"/>
        </w:rPr>
        <w:t>章“</w:t>
      </w:r>
      <w:r>
        <w:rPr>
          <w:rFonts w:hint="eastAsia" w:hAnsi="宋体"/>
          <w:color w:val="auto"/>
          <w:highlight w:val="none"/>
          <w:lang w:eastAsia="zh-CN"/>
        </w:rPr>
        <w:t>合同文本</w:t>
      </w:r>
      <w:r>
        <w:rPr>
          <w:rFonts w:hint="eastAsia" w:hAnsi="宋体"/>
          <w:color w:val="auto"/>
          <w:highlight w:val="none"/>
        </w:rPr>
        <w:t>”</w:t>
      </w:r>
      <w:r>
        <w:rPr>
          <w:rFonts w:hint="eastAsia"/>
          <w:color w:val="auto"/>
          <w:highlight w:val="none"/>
        </w:rPr>
        <w:t>的条款，承担完成合同的责任和义务。</w:t>
      </w:r>
    </w:p>
    <w:p w14:paraId="1C7B7113">
      <w:pPr>
        <w:pStyle w:val="16"/>
        <w:spacing w:line="440" w:lineRule="exact"/>
        <w:ind w:firstLine="482"/>
        <w:rPr>
          <w:color w:val="auto"/>
          <w:highlight w:val="none"/>
        </w:rPr>
      </w:pPr>
      <w:r>
        <w:rPr>
          <w:rFonts w:hint="eastAsia"/>
          <w:color w:val="auto"/>
          <w:highlight w:val="none"/>
        </w:rPr>
        <w:t>9、我方同意应贵方要求提供与本竞标有关的任何数据或资料。若贵方需要，我方愿意提供我方作出的一切承诺的证明材料。</w:t>
      </w:r>
    </w:p>
    <w:p w14:paraId="5ECBE53F">
      <w:pPr>
        <w:pStyle w:val="16"/>
        <w:spacing w:line="440" w:lineRule="exact"/>
        <w:ind w:firstLine="482"/>
        <w:rPr>
          <w:color w:val="auto"/>
          <w:highlight w:val="none"/>
        </w:rPr>
      </w:pPr>
      <w:r>
        <w:rPr>
          <w:rFonts w:hint="eastAsia"/>
          <w:color w:val="auto"/>
          <w:highlight w:val="none"/>
        </w:rPr>
        <w:t>10、我方完全理解贵方不一定接受响应报价最低的竞标人为成交供应商的行为。</w:t>
      </w:r>
    </w:p>
    <w:p w14:paraId="60152D8B">
      <w:pPr>
        <w:pStyle w:val="16"/>
        <w:spacing w:line="440" w:lineRule="exact"/>
        <w:ind w:firstLine="482"/>
        <w:rPr>
          <w:color w:val="auto"/>
          <w:highlight w:val="none"/>
        </w:rPr>
      </w:pPr>
      <w:r>
        <w:rPr>
          <w:rFonts w:hint="eastAsia"/>
          <w:color w:val="auto"/>
          <w:highlight w:val="none"/>
        </w:rPr>
        <w:t>11、我方将严格遵守《中华人民共和国政府采购法》第七十七条的规定，即供应商有下列情形之一的，处以采购金额千分之五以上千分之十</w:t>
      </w:r>
      <w:r>
        <w:rPr>
          <w:rFonts w:hint="eastAsia" w:hAnsi="宋体"/>
          <w:color w:val="auto"/>
          <w:highlight w:val="none"/>
        </w:rPr>
        <w:t>以下的罚款，列入不良行为记录名单，在一至三年内禁止参加政府采购活动，有违法所得的，并处没收违法所得，情节严重的，由工商行政管理机关吊销营业执照；构成犯罪的，依法追究刑事责任：</w:t>
      </w:r>
    </w:p>
    <w:p w14:paraId="23655511">
      <w:pPr>
        <w:pStyle w:val="16"/>
        <w:numPr>
          <w:ilvl w:val="0"/>
          <w:numId w:val="4"/>
        </w:numPr>
        <w:tabs>
          <w:tab w:val="left" w:pos="945"/>
        </w:tabs>
        <w:spacing w:line="440" w:lineRule="exact"/>
        <w:rPr>
          <w:rFonts w:hAnsi="宋体"/>
          <w:color w:val="auto"/>
          <w:highlight w:val="none"/>
        </w:rPr>
      </w:pPr>
      <w:r>
        <w:rPr>
          <w:rFonts w:hint="eastAsia" w:hAnsi="宋体"/>
          <w:color w:val="auto"/>
          <w:highlight w:val="none"/>
        </w:rPr>
        <w:t>提供虚假材料谋取中标、成交的；</w:t>
      </w:r>
    </w:p>
    <w:p w14:paraId="37AA740F">
      <w:pPr>
        <w:pStyle w:val="16"/>
        <w:numPr>
          <w:ilvl w:val="0"/>
          <w:numId w:val="4"/>
        </w:numPr>
        <w:tabs>
          <w:tab w:val="left" w:pos="945"/>
        </w:tabs>
        <w:spacing w:line="440" w:lineRule="exact"/>
        <w:rPr>
          <w:rFonts w:hAnsi="宋体"/>
          <w:color w:val="auto"/>
          <w:highlight w:val="none"/>
        </w:rPr>
      </w:pPr>
      <w:r>
        <w:rPr>
          <w:rFonts w:hint="eastAsia" w:hAnsi="宋体"/>
          <w:color w:val="auto"/>
          <w:highlight w:val="none"/>
        </w:rPr>
        <w:t>采取不正当手段诋毁、排挤其他供应商的；</w:t>
      </w:r>
    </w:p>
    <w:p w14:paraId="0F48F700">
      <w:pPr>
        <w:pStyle w:val="16"/>
        <w:numPr>
          <w:ilvl w:val="0"/>
          <w:numId w:val="4"/>
        </w:numPr>
        <w:tabs>
          <w:tab w:val="left" w:pos="945"/>
        </w:tabs>
        <w:spacing w:line="440" w:lineRule="exact"/>
        <w:rPr>
          <w:color w:val="auto"/>
          <w:highlight w:val="none"/>
        </w:rPr>
      </w:pPr>
      <w:r>
        <w:rPr>
          <w:rFonts w:hint="eastAsia" w:hAnsi="宋体"/>
          <w:color w:val="auto"/>
          <w:highlight w:val="none"/>
        </w:rPr>
        <w:t>与采购人、其他供应商或者采购代理机构恶意串通的；</w:t>
      </w:r>
    </w:p>
    <w:p w14:paraId="276B3C11">
      <w:pPr>
        <w:pStyle w:val="16"/>
        <w:numPr>
          <w:ilvl w:val="0"/>
          <w:numId w:val="4"/>
        </w:numPr>
        <w:tabs>
          <w:tab w:val="left" w:pos="945"/>
        </w:tabs>
        <w:spacing w:line="440" w:lineRule="exact"/>
        <w:rPr>
          <w:color w:val="auto"/>
          <w:highlight w:val="none"/>
        </w:rPr>
      </w:pPr>
      <w:r>
        <w:rPr>
          <w:rFonts w:hint="eastAsia" w:hAnsi="宋体"/>
          <w:color w:val="auto"/>
          <w:highlight w:val="none"/>
        </w:rPr>
        <w:t>向采购人、采购代理机构行贿或者提供其他不正当利益的；</w:t>
      </w:r>
    </w:p>
    <w:p w14:paraId="6A49374C">
      <w:pPr>
        <w:pStyle w:val="16"/>
        <w:numPr>
          <w:ilvl w:val="0"/>
          <w:numId w:val="4"/>
        </w:numPr>
        <w:tabs>
          <w:tab w:val="left" w:pos="945"/>
        </w:tabs>
        <w:spacing w:line="440" w:lineRule="exact"/>
        <w:rPr>
          <w:color w:val="auto"/>
          <w:highlight w:val="none"/>
        </w:rPr>
      </w:pPr>
      <w:r>
        <w:rPr>
          <w:rFonts w:hint="eastAsia" w:hAnsi="宋体"/>
          <w:color w:val="auto"/>
          <w:highlight w:val="none"/>
        </w:rPr>
        <w:t>在采购过程中与采购人进行协商</w:t>
      </w:r>
      <w:r>
        <w:rPr>
          <w:rFonts w:hint="eastAsia" w:hAnsi="宋体"/>
          <w:color w:val="auto"/>
          <w:highlight w:val="none"/>
          <w:lang w:eastAsia="zh-CN"/>
        </w:rPr>
        <w:t>磋商</w:t>
      </w:r>
      <w:r>
        <w:rPr>
          <w:rFonts w:hint="eastAsia" w:hAnsi="宋体"/>
          <w:color w:val="auto"/>
          <w:highlight w:val="none"/>
        </w:rPr>
        <w:t>的；</w:t>
      </w:r>
    </w:p>
    <w:p w14:paraId="20A11A3B">
      <w:pPr>
        <w:pStyle w:val="16"/>
        <w:numPr>
          <w:ilvl w:val="0"/>
          <w:numId w:val="4"/>
        </w:numPr>
        <w:tabs>
          <w:tab w:val="left" w:pos="945"/>
        </w:tabs>
        <w:spacing w:line="440" w:lineRule="exact"/>
        <w:rPr>
          <w:rFonts w:hint="eastAsia"/>
          <w:color w:val="auto"/>
          <w:highlight w:val="none"/>
          <w:lang w:eastAsia="zh-CN"/>
        </w:rPr>
      </w:pPr>
      <w:r>
        <w:rPr>
          <w:rFonts w:hint="eastAsia" w:hAnsi="宋体"/>
          <w:color w:val="auto"/>
          <w:highlight w:val="none"/>
        </w:rPr>
        <w:t>拒绝有关部门监督检查或提供虚假情况的。</w:t>
      </w:r>
    </w:p>
    <w:p w14:paraId="126E3239">
      <w:pPr>
        <w:pStyle w:val="16"/>
        <w:spacing w:line="360" w:lineRule="auto"/>
        <w:ind w:firstLine="420"/>
        <w:rPr>
          <w:rFonts w:hint="eastAsia"/>
          <w:color w:val="auto"/>
          <w:highlight w:val="none"/>
        </w:rPr>
      </w:pPr>
      <w:r>
        <w:rPr>
          <w:rFonts w:hint="eastAsia" w:hAnsi="宋体" w:cs="宋体"/>
          <w:color w:val="auto"/>
          <w:sz w:val="21"/>
          <w:highlight w:val="none"/>
          <w:lang w:eastAsia="zh-CN"/>
        </w:rPr>
        <w:t>12、</w:t>
      </w:r>
      <w:r>
        <w:rPr>
          <w:rFonts w:hint="eastAsia" w:hAnsi="宋体" w:cs="宋体"/>
          <w:color w:val="auto"/>
          <w:sz w:val="21"/>
          <w:highlight w:val="none"/>
        </w:rPr>
        <w:t>与本</w:t>
      </w:r>
      <w:r>
        <w:rPr>
          <w:rFonts w:hint="eastAsia" w:hAnsi="宋体" w:cs="宋体"/>
          <w:color w:val="auto"/>
          <w:sz w:val="21"/>
          <w:highlight w:val="none"/>
          <w:lang w:eastAsia="zh-CN"/>
        </w:rPr>
        <w:t>磋商</w:t>
      </w:r>
      <w:r>
        <w:rPr>
          <w:rFonts w:hint="eastAsia" w:hAnsi="宋体" w:cs="宋体"/>
          <w:color w:val="auto"/>
          <w:sz w:val="21"/>
          <w:highlight w:val="none"/>
        </w:rPr>
        <w:t>有关的一切正式往来信函请寄</w:t>
      </w:r>
      <w:r>
        <w:rPr>
          <w:rFonts w:hint="eastAsia"/>
          <w:color w:val="auto"/>
          <w:highlight w:val="none"/>
        </w:rPr>
        <w:t>：</w:t>
      </w:r>
    </w:p>
    <w:p w14:paraId="405287F8">
      <w:pPr>
        <w:pStyle w:val="16"/>
        <w:spacing w:line="360" w:lineRule="auto"/>
        <w:ind w:firstLine="420"/>
        <w:rPr>
          <w:rFonts w:hint="eastAsia"/>
          <w:color w:val="auto"/>
          <w:highlight w:val="none"/>
        </w:rPr>
      </w:pPr>
      <w:r>
        <w:rPr>
          <w:rFonts w:hint="eastAsia"/>
          <w:color w:val="auto"/>
          <w:highlight w:val="none"/>
        </w:rPr>
        <w:t>地址：</w:t>
      </w:r>
      <w:r>
        <w:rPr>
          <w:rFonts w:hint="eastAsia"/>
          <w:color w:val="auto"/>
          <w:highlight w:val="none"/>
          <w:u w:val="single"/>
        </w:rPr>
        <w:t xml:space="preserve">                                                        </w:t>
      </w:r>
      <w:r>
        <w:rPr>
          <w:rFonts w:hint="eastAsia"/>
          <w:color w:val="auto"/>
          <w:highlight w:val="none"/>
        </w:rPr>
        <w:t xml:space="preserve"> </w:t>
      </w:r>
    </w:p>
    <w:p w14:paraId="79A236AB">
      <w:pPr>
        <w:pStyle w:val="16"/>
        <w:spacing w:line="360" w:lineRule="auto"/>
        <w:ind w:firstLine="420"/>
        <w:rPr>
          <w:rFonts w:hint="eastAsia"/>
          <w:color w:val="auto"/>
          <w:highlight w:val="none"/>
          <w:u w:val="single"/>
        </w:rPr>
      </w:pPr>
      <w:r>
        <w:rPr>
          <w:rFonts w:hint="eastAsia"/>
          <w:color w:val="auto"/>
          <w:highlight w:val="none"/>
        </w:rPr>
        <w:t>电话：</w:t>
      </w:r>
      <w:r>
        <w:rPr>
          <w:rFonts w:hint="eastAsia"/>
          <w:color w:val="auto"/>
          <w:highlight w:val="none"/>
          <w:u w:val="single"/>
        </w:rPr>
        <w:t xml:space="preserve">                                      　　　　　　　　　</w:t>
      </w:r>
    </w:p>
    <w:p w14:paraId="7183735A">
      <w:pPr>
        <w:pStyle w:val="16"/>
        <w:spacing w:line="360" w:lineRule="auto"/>
        <w:ind w:firstLine="420"/>
        <w:rPr>
          <w:rFonts w:hint="eastAsia"/>
          <w:color w:val="auto"/>
          <w:highlight w:val="none"/>
        </w:rPr>
      </w:pPr>
      <w:r>
        <w:rPr>
          <w:rFonts w:hint="eastAsia"/>
          <w:color w:val="auto"/>
          <w:highlight w:val="none"/>
        </w:rPr>
        <w:t>传真：</w:t>
      </w:r>
      <w:r>
        <w:rPr>
          <w:rFonts w:hint="eastAsia"/>
          <w:color w:val="auto"/>
          <w:highlight w:val="none"/>
          <w:u w:val="single"/>
        </w:rPr>
        <w:t>　　　　　　　　　　　　　　　　　　　　　　　　　　　　</w:t>
      </w:r>
    </w:p>
    <w:p w14:paraId="102A7070">
      <w:pPr>
        <w:pStyle w:val="16"/>
        <w:spacing w:line="360" w:lineRule="auto"/>
        <w:ind w:firstLine="420"/>
        <w:rPr>
          <w:rFonts w:hint="eastAsia"/>
          <w:color w:val="auto"/>
          <w:highlight w:val="none"/>
          <w:u w:val="single"/>
        </w:rPr>
      </w:pPr>
      <w:r>
        <w:rPr>
          <w:rFonts w:hint="eastAsia"/>
          <w:color w:val="auto"/>
          <w:highlight w:val="none"/>
        </w:rPr>
        <w:t>邮政编码：</w:t>
      </w:r>
      <w:r>
        <w:rPr>
          <w:rFonts w:hint="eastAsia"/>
          <w:color w:val="auto"/>
          <w:highlight w:val="none"/>
          <w:u w:val="single"/>
        </w:rPr>
        <w:t xml:space="preserve">                                                    </w:t>
      </w:r>
    </w:p>
    <w:p w14:paraId="533B58B5">
      <w:pPr>
        <w:pStyle w:val="16"/>
        <w:spacing w:line="360" w:lineRule="auto"/>
        <w:ind w:firstLine="420"/>
        <w:rPr>
          <w:rFonts w:hint="eastAsia"/>
          <w:color w:val="auto"/>
          <w:highlight w:val="none"/>
          <w:u w:val="single"/>
        </w:rPr>
      </w:pPr>
      <w:r>
        <w:rPr>
          <w:rFonts w:hint="eastAsia"/>
          <w:color w:val="auto"/>
          <w:highlight w:val="none"/>
        </w:rPr>
        <w:t>开户名称：</w:t>
      </w:r>
      <w:r>
        <w:rPr>
          <w:rFonts w:hint="eastAsia"/>
          <w:color w:val="auto"/>
          <w:highlight w:val="none"/>
          <w:u w:val="single"/>
        </w:rPr>
        <w:t xml:space="preserve">                                                    </w:t>
      </w:r>
    </w:p>
    <w:p w14:paraId="43E61F15">
      <w:pPr>
        <w:pStyle w:val="16"/>
        <w:spacing w:line="360" w:lineRule="auto"/>
        <w:ind w:firstLine="420"/>
        <w:rPr>
          <w:rFonts w:hint="eastAsia"/>
          <w:color w:val="auto"/>
          <w:highlight w:val="none"/>
          <w:u w:val="single"/>
        </w:rPr>
      </w:pPr>
      <w:r>
        <w:rPr>
          <w:rFonts w:hint="eastAsia"/>
          <w:color w:val="auto"/>
          <w:highlight w:val="none"/>
        </w:rPr>
        <w:t>开户银行：</w:t>
      </w:r>
      <w:r>
        <w:rPr>
          <w:rFonts w:hint="eastAsia"/>
          <w:color w:val="auto"/>
          <w:highlight w:val="none"/>
          <w:u w:val="single"/>
        </w:rPr>
        <w:t xml:space="preserve">                                                    </w:t>
      </w:r>
    </w:p>
    <w:p w14:paraId="0668C4FA">
      <w:pPr>
        <w:pStyle w:val="16"/>
        <w:spacing w:line="360" w:lineRule="auto"/>
        <w:ind w:firstLine="420"/>
        <w:rPr>
          <w:rFonts w:hint="eastAsia"/>
          <w:color w:val="auto"/>
          <w:highlight w:val="none"/>
          <w:u w:val="single"/>
        </w:rPr>
      </w:pPr>
      <w:r>
        <w:rPr>
          <w:rFonts w:hint="eastAsia"/>
          <w:color w:val="auto"/>
          <w:highlight w:val="none"/>
        </w:rPr>
        <w:t>银行账号：</w:t>
      </w:r>
      <w:r>
        <w:rPr>
          <w:rFonts w:hint="eastAsia"/>
          <w:color w:val="auto"/>
          <w:highlight w:val="none"/>
          <w:u w:val="single"/>
        </w:rPr>
        <w:t xml:space="preserve">                                                    </w:t>
      </w:r>
    </w:p>
    <w:p w14:paraId="0D0FE0FF">
      <w:pPr>
        <w:pStyle w:val="14"/>
        <w:tabs>
          <w:tab w:val="left" w:pos="939"/>
        </w:tabs>
        <w:spacing w:line="360" w:lineRule="auto"/>
        <w:ind w:left="141" w:leftChars="67" w:firstLine="315" w:firstLineChars="150"/>
        <w:rPr>
          <w:rFonts w:hint="eastAsia" w:ascii="宋体" w:hAnsi="宋体" w:cs="宋体"/>
          <w:color w:val="auto"/>
          <w:szCs w:val="21"/>
          <w:highlight w:val="none"/>
        </w:rPr>
      </w:pPr>
      <w:r>
        <w:rPr>
          <w:rFonts w:hint="eastAsia" w:ascii="宋体" w:hAnsi="宋体" w:cs="宋体"/>
          <w:color w:val="auto"/>
          <w:szCs w:val="21"/>
          <w:highlight w:val="none"/>
        </w:rPr>
        <w:t>特此承诺。</w:t>
      </w:r>
    </w:p>
    <w:p w14:paraId="70179892">
      <w:pPr>
        <w:spacing w:line="360" w:lineRule="auto"/>
        <w:contextualSpacing/>
        <w:jc w:val="left"/>
        <w:rPr>
          <w:rFonts w:hint="eastAsia" w:ascii="宋体" w:hAnsi="宋体" w:cs="宋体"/>
          <w:color w:val="auto"/>
          <w:szCs w:val="21"/>
          <w:highlight w:val="none"/>
        </w:rPr>
      </w:pPr>
    </w:p>
    <w:p w14:paraId="5328F79B">
      <w:pPr>
        <w:autoSpaceDE w:val="0"/>
        <w:autoSpaceDN w:val="0"/>
        <w:spacing w:line="360" w:lineRule="auto"/>
        <w:ind w:left="4335" w:leftChars="1950" w:hanging="240" w:hangingChars="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6220EB5F">
      <w:pPr>
        <w:autoSpaceDE w:val="0"/>
        <w:autoSpaceDN w:val="0"/>
        <w:spacing w:line="360" w:lineRule="auto"/>
        <w:ind w:firstLine="6480" w:firstLineChars="270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  年  月   日</w:t>
      </w:r>
    </w:p>
    <w:p w14:paraId="372D51AF">
      <w:pPr>
        <w:spacing w:line="520" w:lineRule="exact"/>
        <w:ind w:firstLine="420" w:firstLineChars="200"/>
        <w:rPr>
          <w:rFonts w:hint="eastAsia" w:ascii="宋体" w:hAnsi="宋体"/>
          <w:b/>
          <w:bCs/>
          <w:color w:val="auto"/>
          <w:sz w:val="32"/>
          <w:szCs w:val="32"/>
          <w:highlight w:val="none"/>
        </w:rPr>
      </w:pPr>
      <w:r>
        <w:rPr>
          <w:rFonts w:hint="eastAsia"/>
          <w:color w:val="auto"/>
          <w:highlight w:val="none"/>
        </w:rPr>
        <w:br w:type="page"/>
      </w:r>
      <w:r>
        <w:rPr>
          <w:rFonts w:hint="eastAsia" w:ascii="宋体" w:hAnsi="宋体" w:eastAsia="宋体" w:cs="Times New Roman"/>
          <w:b/>
          <w:bCs/>
          <w:color w:val="auto"/>
          <w:sz w:val="32"/>
          <w:szCs w:val="32"/>
          <w:highlight w:val="none"/>
        </w:rPr>
        <w:t>二、响应报</w:t>
      </w:r>
      <w:r>
        <w:rPr>
          <w:rFonts w:hint="eastAsia" w:ascii="宋体" w:hAnsi="宋体"/>
          <w:b/>
          <w:bCs/>
          <w:color w:val="auto"/>
          <w:sz w:val="32"/>
          <w:szCs w:val="32"/>
          <w:highlight w:val="none"/>
        </w:rPr>
        <w:t>价表</w:t>
      </w:r>
    </w:p>
    <w:p w14:paraId="5D0B8CA8">
      <w:pPr>
        <w:snapToGrid w:val="0"/>
        <w:spacing w:before="50" w:after="50" w:line="360" w:lineRule="auto"/>
        <w:rPr>
          <w:rFonts w:hint="eastAsia" w:ascii="宋体" w:hAnsi="宋体"/>
          <w:color w:val="auto"/>
          <w:sz w:val="24"/>
          <w:highlight w:val="none"/>
          <w:u w:val="singl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分标：</w:t>
      </w:r>
      <w:r>
        <w:rPr>
          <w:rFonts w:hint="eastAsia" w:ascii="宋体" w:hAnsi="宋体"/>
          <w:color w:val="auto"/>
          <w:sz w:val="24"/>
          <w:highlight w:val="none"/>
          <w:u w:val="single"/>
        </w:rPr>
        <w:t xml:space="preserve">           </w:t>
      </w:r>
    </w:p>
    <w:p w14:paraId="7298CFA3">
      <w:pPr>
        <w:snapToGrid w:val="0"/>
        <w:spacing w:before="50" w:after="50" w:line="360" w:lineRule="auto"/>
        <w:rPr>
          <w:rFonts w:hint="eastAsia" w:ascii="宋体" w:hAnsi="宋体"/>
          <w:color w:val="auto"/>
          <w:sz w:val="24"/>
          <w:highlight w:val="none"/>
          <w:u w:val="single"/>
        </w:rPr>
      </w:pPr>
      <w:r>
        <w:rPr>
          <w:rFonts w:hint="eastAsia" w:hAnsi="宋体"/>
          <w:color w:val="auto"/>
          <w:sz w:val="24"/>
          <w:highlight w:val="none"/>
        </w:rPr>
        <w:t>供应商名称：</w:t>
      </w:r>
      <w:r>
        <w:rPr>
          <w:rFonts w:hint="eastAsia" w:hAnsi="宋体"/>
          <w:color w:val="auto"/>
          <w:sz w:val="24"/>
          <w:highlight w:val="none"/>
          <w:u w:val="single"/>
        </w:rPr>
        <w:t xml:space="preserve">                     </w:t>
      </w:r>
      <w:r>
        <w:rPr>
          <w:rFonts w:hint="eastAsia" w:hAnsi="宋体"/>
          <w:color w:val="auto"/>
          <w:sz w:val="24"/>
          <w:highlight w:val="none"/>
        </w:rPr>
        <w:t xml:space="preserve">  </w:t>
      </w:r>
      <w:r>
        <w:rPr>
          <w:rFonts w:hint="eastAsia" w:ascii="宋体" w:hAnsi="宋体" w:cs="仿宋_GB2312"/>
          <w:color w:val="auto"/>
          <w:sz w:val="24"/>
          <w:highlight w:val="none"/>
        </w:rPr>
        <w:t xml:space="preserve">                    </w:t>
      </w:r>
    </w:p>
    <w:tbl>
      <w:tblPr>
        <w:tblStyle w:val="28"/>
        <w:tblW w:w="90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064"/>
        <w:gridCol w:w="1080"/>
        <w:gridCol w:w="1763"/>
        <w:gridCol w:w="1528"/>
        <w:gridCol w:w="668"/>
      </w:tblGrid>
      <w:tr w14:paraId="0BAE5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14:paraId="496D6327">
            <w:pPr>
              <w:rPr>
                <w:rFonts w:ascii="宋体" w:hAnsi="宋体"/>
                <w:color w:val="auto"/>
                <w:szCs w:val="22"/>
                <w:highlight w:val="none"/>
              </w:rPr>
            </w:pPr>
            <w:r>
              <w:rPr>
                <w:rFonts w:hint="eastAsia" w:ascii="宋体" w:hAnsi="宋体"/>
                <w:color w:val="auto"/>
                <w:szCs w:val="22"/>
                <w:highlight w:val="none"/>
              </w:rPr>
              <w:t>序号</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FF03D36">
            <w:pPr>
              <w:rPr>
                <w:rFonts w:hint="eastAsia" w:ascii="宋体" w:hAnsi="宋体" w:eastAsia="宋体"/>
                <w:color w:val="auto"/>
                <w:szCs w:val="22"/>
                <w:highlight w:val="none"/>
                <w:lang w:eastAsia="zh-CN"/>
              </w:rPr>
            </w:pPr>
            <w:r>
              <w:rPr>
                <w:rFonts w:hint="eastAsia" w:ascii="宋体" w:hAnsi="宋体"/>
                <w:color w:val="auto"/>
                <w:szCs w:val="22"/>
                <w:highlight w:val="none"/>
                <w:lang w:eastAsia="zh-CN"/>
              </w:rPr>
              <w:t>标的名称</w:t>
            </w:r>
          </w:p>
        </w:tc>
        <w:tc>
          <w:tcPr>
            <w:tcW w:w="2064" w:type="dxa"/>
            <w:tcBorders>
              <w:top w:val="single" w:color="auto" w:sz="4" w:space="0"/>
              <w:left w:val="single" w:color="auto" w:sz="4" w:space="0"/>
              <w:bottom w:val="single" w:color="auto" w:sz="4" w:space="0"/>
              <w:right w:val="single" w:color="auto" w:sz="4" w:space="0"/>
            </w:tcBorders>
            <w:noWrap w:val="0"/>
            <w:vAlign w:val="center"/>
          </w:tcPr>
          <w:p w14:paraId="21F7675A">
            <w:pPr>
              <w:jc w:val="center"/>
              <w:rPr>
                <w:rFonts w:hint="eastAsia" w:ascii="宋体" w:hAnsi="宋体" w:eastAsia="宋体"/>
                <w:color w:val="auto"/>
                <w:szCs w:val="22"/>
                <w:highlight w:val="none"/>
                <w:lang w:eastAsia="zh-CN"/>
              </w:rPr>
            </w:pPr>
            <w:r>
              <w:rPr>
                <w:rFonts w:hint="eastAsia" w:ascii="宋体" w:hAnsi="宋体"/>
                <w:color w:val="auto"/>
                <w:szCs w:val="22"/>
                <w:highlight w:val="none"/>
                <w:lang w:eastAsia="zh-CN"/>
              </w:rPr>
              <w:t>具体服务参数</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C675CD1">
            <w:pPr>
              <w:jc w:val="center"/>
              <w:rPr>
                <w:rFonts w:ascii="宋体" w:hAnsi="宋体"/>
                <w:color w:val="auto"/>
                <w:szCs w:val="22"/>
                <w:highlight w:val="none"/>
              </w:rPr>
            </w:pPr>
            <w:r>
              <w:rPr>
                <w:rFonts w:hint="eastAsia" w:ascii="宋体" w:hAnsi="宋体"/>
                <w:color w:val="auto"/>
                <w:szCs w:val="22"/>
                <w:highlight w:val="none"/>
              </w:rPr>
              <w:t>数量</w:t>
            </w:r>
            <w:r>
              <w:rPr>
                <w:rFonts w:ascii="宋体" w:hAnsi="宋体"/>
                <w:color w:val="auto"/>
                <w:szCs w:val="22"/>
                <w:highlight w:val="none"/>
              </w:rPr>
              <w:t>①</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14D1C204">
            <w:pPr>
              <w:rPr>
                <w:rFonts w:ascii="宋体" w:hAnsi="宋体"/>
                <w:color w:val="auto"/>
                <w:szCs w:val="22"/>
                <w:highlight w:val="none"/>
              </w:rPr>
            </w:pPr>
            <w:r>
              <w:rPr>
                <w:rFonts w:hint="eastAsia" w:ascii="宋体" w:hAnsi="宋体"/>
                <w:color w:val="auto"/>
                <w:szCs w:val="22"/>
                <w:highlight w:val="none"/>
              </w:rPr>
              <w:t>单价</w:t>
            </w:r>
            <w:r>
              <w:rPr>
                <w:rFonts w:ascii="宋体" w:hAnsi="宋体"/>
                <w:color w:val="auto"/>
                <w:szCs w:val="22"/>
                <w:highlight w:val="none"/>
              </w:rPr>
              <w:t>(</w:t>
            </w:r>
            <w:r>
              <w:rPr>
                <w:rFonts w:hint="eastAsia" w:ascii="宋体" w:hAnsi="宋体"/>
                <w:color w:val="auto"/>
                <w:szCs w:val="22"/>
                <w:highlight w:val="none"/>
              </w:rPr>
              <w:t>元</w:t>
            </w:r>
            <w:r>
              <w:rPr>
                <w:rFonts w:ascii="宋体" w:hAnsi="宋体"/>
                <w:color w:val="auto"/>
                <w:szCs w:val="22"/>
                <w:highlight w:val="none"/>
              </w:rPr>
              <w:t>)②</w:t>
            </w:r>
          </w:p>
        </w:tc>
        <w:tc>
          <w:tcPr>
            <w:tcW w:w="1528" w:type="dxa"/>
            <w:tcBorders>
              <w:top w:val="single" w:color="auto" w:sz="4" w:space="0"/>
              <w:left w:val="single" w:color="auto" w:sz="4" w:space="0"/>
              <w:bottom w:val="single" w:color="auto" w:sz="4" w:space="0"/>
              <w:right w:val="single" w:color="auto" w:sz="4" w:space="0"/>
            </w:tcBorders>
            <w:noWrap w:val="0"/>
            <w:vAlign w:val="center"/>
          </w:tcPr>
          <w:p w14:paraId="31BEC0F3">
            <w:pPr>
              <w:rPr>
                <w:rFonts w:ascii="宋体" w:hAnsi="宋体"/>
                <w:color w:val="auto"/>
                <w:szCs w:val="22"/>
                <w:highlight w:val="none"/>
              </w:rPr>
            </w:pPr>
            <w:r>
              <w:rPr>
                <w:rFonts w:hint="eastAsia" w:ascii="宋体" w:hAnsi="宋体"/>
                <w:color w:val="auto"/>
                <w:szCs w:val="22"/>
                <w:highlight w:val="none"/>
              </w:rPr>
              <w:t>单项合价（元）</w:t>
            </w:r>
          </w:p>
          <w:p w14:paraId="2A04BA32">
            <w:pPr>
              <w:rPr>
                <w:rFonts w:ascii="宋体" w:hAnsi="宋体"/>
                <w:color w:val="auto"/>
                <w:szCs w:val="22"/>
                <w:highlight w:val="none"/>
              </w:rPr>
            </w:pPr>
            <w:r>
              <w:rPr>
                <w:rFonts w:ascii="宋体" w:hAnsi="宋体"/>
                <w:color w:val="auto"/>
                <w:szCs w:val="22"/>
                <w:highlight w:val="none"/>
              </w:rPr>
              <w:t>③</w:t>
            </w:r>
            <w:r>
              <w:rPr>
                <w:rFonts w:hint="eastAsia" w:ascii="宋体" w:hAnsi="宋体"/>
                <w:color w:val="auto"/>
                <w:szCs w:val="22"/>
                <w:highlight w:val="none"/>
              </w:rPr>
              <w:t>＝</w:t>
            </w:r>
            <w:r>
              <w:rPr>
                <w:rFonts w:ascii="宋体" w:hAnsi="宋体"/>
                <w:color w:val="auto"/>
                <w:szCs w:val="22"/>
                <w:highlight w:val="none"/>
              </w:rPr>
              <w:t>①×②</w:t>
            </w:r>
          </w:p>
        </w:tc>
        <w:tc>
          <w:tcPr>
            <w:tcW w:w="668" w:type="dxa"/>
            <w:tcBorders>
              <w:top w:val="single" w:color="auto" w:sz="4" w:space="0"/>
              <w:left w:val="single" w:color="auto" w:sz="4" w:space="0"/>
              <w:bottom w:val="single" w:color="auto" w:sz="4" w:space="0"/>
              <w:right w:val="single" w:color="auto" w:sz="4" w:space="0"/>
            </w:tcBorders>
            <w:noWrap w:val="0"/>
            <w:vAlign w:val="center"/>
          </w:tcPr>
          <w:p w14:paraId="397A9C6D">
            <w:pPr>
              <w:jc w:val="center"/>
              <w:rPr>
                <w:rFonts w:ascii="宋体" w:hAnsi="宋体"/>
                <w:color w:val="auto"/>
                <w:szCs w:val="22"/>
                <w:highlight w:val="none"/>
              </w:rPr>
            </w:pPr>
            <w:r>
              <w:rPr>
                <w:rFonts w:hint="eastAsia" w:ascii="宋体" w:hAnsi="宋体"/>
                <w:color w:val="auto"/>
                <w:szCs w:val="22"/>
                <w:highlight w:val="none"/>
              </w:rPr>
              <w:t>备注</w:t>
            </w:r>
          </w:p>
        </w:tc>
      </w:tr>
      <w:tr w14:paraId="16D6D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14:paraId="77A24562">
            <w:pPr>
              <w:rPr>
                <w:rFonts w:ascii="宋体" w:hAnsi="宋体"/>
                <w:color w:val="auto"/>
                <w:szCs w:val="22"/>
                <w:highlight w:val="none"/>
              </w:rPr>
            </w:pPr>
            <w:r>
              <w:rPr>
                <w:rFonts w:ascii="宋体" w:hAnsi="宋体"/>
                <w:color w:val="auto"/>
                <w:szCs w:val="22"/>
                <w:highlight w:val="none"/>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9E2E36A">
            <w:pPr>
              <w:rPr>
                <w:rFonts w:ascii="宋体" w:hAnsi="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14:paraId="1EC70F0B">
            <w:pPr>
              <w:rPr>
                <w:rFonts w:ascii="宋体" w:hAnsi="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CE97948">
            <w:pPr>
              <w:rPr>
                <w:rFonts w:ascii="宋体" w:hAnsi="宋体"/>
                <w:color w:val="auto"/>
                <w:szCs w:val="22"/>
                <w:highlight w:val="none"/>
              </w:rPr>
            </w:pPr>
          </w:p>
        </w:tc>
        <w:tc>
          <w:tcPr>
            <w:tcW w:w="1763" w:type="dxa"/>
            <w:tcBorders>
              <w:top w:val="single" w:color="auto" w:sz="4" w:space="0"/>
              <w:left w:val="single" w:color="auto" w:sz="4" w:space="0"/>
              <w:bottom w:val="single" w:color="auto" w:sz="4" w:space="0"/>
              <w:right w:val="single" w:color="auto" w:sz="4" w:space="0"/>
            </w:tcBorders>
            <w:noWrap w:val="0"/>
            <w:vAlign w:val="center"/>
          </w:tcPr>
          <w:p w14:paraId="13D7D0DC">
            <w:pPr>
              <w:rPr>
                <w:rFonts w:ascii="宋体" w:hAnsi="宋体"/>
                <w:color w:val="auto"/>
                <w:szCs w:val="22"/>
                <w:highlight w:val="none"/>
              </w:rPr>
            </w:pPr>
          </w:p>
        </w:tc>
        <w:tc>
          <w:tcPr>
            <w:tcW w:w="1528" w:type="dxa"/>
            <w:tcBorders>
              <w:top w:val="single" w:color="auto" w:sz="4" w:space="0"/>
              <w:left w:val="single" w:color="auto" w:sz="4" w:space="0"/>
              <w:bottom w:val="single" w:color="auto" w:sz="4" w:space="0"/>
              <w:right w:val="single" w:color="auto" w:sz="4" w:space="0"/>
            </w:tcBorders>
            <w:noWrap w:val="0"/>
            <w:vAlign w:val="center"/>
          </w:tcPr>
          <w:p w14:paraId="65E5BB52">
            <w:pPr>
              <w:rPr>
                <w:rFonts w:ascii="宋体" w:hAnsi="宋体"/>
                <w:color w:val="auto"/>
                <w:szCs w:val="22"/>
                <w:highlight w:val="none"/>
              </w:rPr>
            </w:pPr>
          </w:p>
        </w:tc>
        <w:tc>
          <w:tcPr>
            <w:tcW w:w="668" w:type="dxa"/>
            <w:tcBorders>
              <w:top w:val="single" w:color="auto" w:sz="4" w:space="0"/>
              <w:left w:val="single" w:color="auto" w:sz="4" w:space="0"/>
              <w:bottom w:val="single" w:color="auto" w:sz="4" w:space="0"/>
              <w:right w:val="single" w:color="auto" w:sz="4" w:space="0"/>
            </w:tcBorders>
            <w:noWrap w:val="0"/>
            <w:vAlign w:val="center"/>
          </w:tcPr>
          <w:p w14:paraId="62E2A49A">
            <w:pPr>
              <w:jc w:val="center"/>
              <w:rPr>
                <w:rFonts w:ascii="宋体" w:hAnsi="宋体"/>
                <w:color w:val="auto"/>
                <w:szCs w:val="22"/>
                <w:highlight w:val="none"/>
              </w:rPr>
            </w:pPr>
          </w:p>
        </w:tc>
      </w:tr>
      <w:tr w14:paraId="09C87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14:paraId="53CB052F">
            <w:pPr>
              <w:rPr>
                <w:rFonts w:ascii="宋体" w:hAnsi="宋体"/>
                <w:color w:val="auto"/>
                <w:szCs w:val="22"/>
                <w:highlight w:val="none"/>
              </w:rPr>
            </w:pPr>
            <w:r>
              <w:rPr>
                <w:rFonts w:ascii="宋体" w:hAnsi="宋体"/>
                <w:color w:val="auto"/>
                <w:szCs w:val="22"/>
                <w:highlight w:val="none"/>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A590FF1">
            <w:pPr>
              <w:rPr>
                <w:rFonts w:ascii="宋体" w:hAnsi="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14:paraId="1AB3F633">
            <w:pPr>
              <w:rPr>
                <w:rFonts w:ascii="宋体" w:hAnsi="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F304F05">
            <w:pPr>
              <w:rPr>
                <w:rFonts w:ascii="宋体" w:hAnsi="宋体"/>
                <w:color w:val="auto"/>
                <w:szCs w:val="22"/>
                <w:highlight w:val="none"/>
              </w:rPr>
            </w:pPr>
          </w:p>
        </w:tc>
        <w:tc>
          <w:tcPr>
            <w:tcW w:w="1763" w:type="dxa"/>
            <w:tcBorders>
              <w:top w:val="single" w:color="auto" w:sz="4" w:space="0"/>
              <w:left w:val="single" w:color="auto" w:sz="4" w:space="0"/>
              <w:bottom w:val="single" w:color="auto" w:sz="4" w:space="0"/>
              <w:right w:val="single" w:color="auto" w:sz="4" w:space="0"/>
            </w:tcBorders>
            <w:noWrap w:val="0"/>
            <w:vAlign w:val="center"/>
          </w:tcPr>
          <w:p w14:paraId="77CF0B00">
            <w:pPr>
              <w:rPr>
                <w:rFonts w:ascii="宋体" w:hAnsi="宋体"/>
                <w:color w:val="auto"/>
                <w:szCs w:val="22"/>
                <w:highlight w:val="none"/>
              </w:rPr>
            </w:pPr>
          </w:p>
        </w:tc>
        <w:tc>
          <w:tcPr>
            <w:tcW w:w="1528" w:type="dxa"/>
            <w:tcBorders>
              <w:top w:val="single" w:color="auto" w:sz="4" w:space="0"/>
              <w:left w:val="single" w:color="auto" w:sz="4" w:space="0"/>
              <w:bottom w:val="single" w:color="auto" w:sz="4" w:space="0"/>
              <w:right w:val="single" w:color="auto" w:sz="4" w:space="0"/>
            </w:tcBorders>
            <w:noWrap w:val="0"/>
            <w:vAlign w:val="center"/>
          </w:tcPr>
          <w:p w14:paraId="6F4AB035">
            <w:pPr>
              <w:rPr>
                <w:rFonts w:ascii="宋体" w:hAnsi="宋体"/>
                <w:color w:val="auto"/>
                <w:szCs w:val="22"/>
                <w:highlight w:val="none"/>
              </w:rPr>
            </w:pPr>
          </w:p>
        </w:tc>
        <w:tc>
          <w:tcPr>
            <w:tcW w:w="668" w:type="dxa"/>
            <w:tcBorders>
              <w:top w:val="single" w:color="auto" w:sz="4" w:space="0"/>
              <w:left w:val="single" w:color="auto" w:sz="4" w:space="0"/>
              <w:bottom w:val="single" w:color="auto" w:sz="4" w:space="0"/>
              <w:right w:val="single" w:color="auto" w:sz="4" w:space="0"/>
            </w:tcBorders>
            <w:noWrap w:val="0"/>
            <w:vAlign w:val="center"/>
          </w:tcPr>
          <w:p w14:paraId="25B99012">
            <w:pPr>
              <w:jc w:val="center"/>
              <w:rPr>
                <w:rFonts w:ascii="宋体" w:hAnsi="宋体"/>
                <w:color w:val="auto"/>
                <w:szCs w:val="22"/>
                <w:highlight w:val="none"/>
              </w:rPr>
            </w:pPr>
          </w:p>
        </w:tc>
      </w:tr>
      <w:tr w14:paraId="39925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14:paraId="7FC520B2">
            <w:pPr>
              <w:rPr>
                <w:rFonts w:ascii="宋体" w:hAnsi="宋体"/>
                <w:color w:val="auto"/>
                <w:szCs w:val="22"/>
                <w:highlight w:val="none"/>
              </w:rPr>
            </w:pPr>
            <w:r>
              <w:rPr>
                <w:rFonts w:ascii="宋体" w:hAnsi="宋体"/>
                <w:color w:val="auto"/>
                <w:szCs w:val="22"/>
                <w:highlight w:val="none"/>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AC89EE5">
            <w:pPr>
              <w:rPr>
                <w:rFonts w:ascii="宋体" w:hAnsi="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14:paraId="6895ADA9">
            <w:pPr>
              <w:rPr>
                <w:rFonts w:ascii="宋体" w:hAnsi="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E78E7F1">
            <w:pPr>
              <w:rPr>
                <w:rFonts w:ascii="宋体" w:hAnsi="宋体"/>
                <w:color w:val="auto"/>
                <w:szCs w:val="22"/>
                <w:highlight w:val="none"/>
              </w:rPr>
            </w:pPr>
          </w:p>
        </w:tc>
        <w:tc>
          <w:tcPr>
            <w:tcW w:w="1763" w:type="dxa"/>
            <w:tcBorders>
              <w:top w:val="single" w:color="auto" w:sz="4" w:space="0"/>
              <w:left w:val="single" w:color="auto" w:sz="4" w:space="0"/>
              <w:bottom w:val="single" w:color="auto" w:sz="4" w:space="0"/>
              <w:right w:val="single" w:color="auto" w:sz="4" w:space="0"/>
            </w:tcBorders>
            <w:noWrap w:val="0"/>
            <w:vAlign w:val="center"/>
          </w:tcPr>
          <w:p w14:paraId="2E51B8AF">
            <w:pPr>
              <w:rPr>
                <w:rFonts w:ascii="宋体" w:hAnsi="宋体"/>
                <w:color w:val="auto"/>
                <w:szCs w:val="22"/>
                <w:highlight w:val="none"/>
              </w:rPr>
            </w:pPr>
          </w:p>
        </w:tc>
        <w:tc>
          <w:tcPr>
            <w:tcW w:w="1528" w:type="dxa"/>
            <w:tcBorders>
              <w:top w:val="single" w:color="auto" w:sz="4" w:space="0"/>
              <w:left w:val="single" w:color="auto" w:sz="4" w:space="0"/>
              <w:bottom w:val="single" w:color="auto" w:sz="4" w:space="0"/>
              <w:right w:val="single" w:color="auto" w:sz="4" w:space="0"/>
            </w:tcBorders>
            <w:noWrap w:val="0"/>
            <w:vAlign w:val="center"/>
          </w:tcPr>
          <w:p w14:paraId="1ABA78C6">
            <w:pPr>
              <w:rPr>
                <w:rFonts w:ascii="宋体" w:hAnsi="宋体"/>
                <w:color w:val="auto"/>
                <w:szCs w:val="22"/>
                <w:highlight w:val="none"/>
              </w:rPr>
            </w:pPr>
          </w:p>
        </w:tc>
        <w:tc>
          <w:tcPr>
            <w:tcW w:w="668" w:type="dxa"/>
            <w:tcBorders>
              <w:top w:val="single" w:color="auto" w:sz="4" w:space="0"/>
              <w:left w:val="single" w:color="auto" w:sz="4" w:space="0"/>
              <w:bottom w:val="single" w:color="auto" w:sz="4" w:space="0"/>
              <w:right w:val="single" w:color="auto" w:sz="4" w:space="0"/>
            </w:tcBorders>
            <w:noWrap w:val="0"/>
            <w:vAlign w:val="center"/>
          </w:tcPr>
          <w:p w14:paraId="0516F94C">
            <w:pPr>
              <w:jc w:val="center"/>
              <w:rPr>
                <w:rFonts w:ascii="宋体" w:hAnsi="宋体"/>
                <w:color w:val="auto"/>
                <w:szCs w:val="22"/>
                <w:highlight w:val="none"/>
              </w:rPr>
            </w:pPr>
          </w:p>
        </w:tc>
      </w:tr>
      <w:tr w14:paraId="599C4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082" w:type="dxa"/>
            <w:gridSpan w:val="7"/>
            <w:tcBorders>
              <w:top w:val="single" w:color="auto" w:sz="4" w:space="0"/>
              <w:left w:val="single" w:color="auto" w:sz="4" w:space="0"/>
              <w:bottom w:val="single" w:color="auto" w:sz="4" w:space="0"/>
              <w:right w:val="single" w:color="auto" w:sz="4" w:space="0"/>
            </w:tcBorders>
            <w:noWrap w:val="0"/>
            <w:vAlign w:val="top"/>
          </w:tcPr>
          <w:p w14:paraId="5136A664">
            <w:pPr>
              <w:rPr>
                <w:rFonts w:hint="eastAsia" w:ascii="宋体" w:hAnsi="宋体"/>
                <w:color w:val="auto"/>
                <w:szCs w:val="22"/>
                <w:highlight w:val="none"/>
              </w:rPr>
            </w:pPr>
            <w:r>
              <w:rPr>
                <w:rFonts w:hint="eastAsia" w:ascii="宋体" w:hAnsi="宋体"/>
                <w:color w:val="auto"/>
                <w:szCs w:val="22"/>
                <w:highlight w:val="none"/>
              </w:rPr>
              <w:t>报价合计（包含税费等所有费用）：</w:t>
            </w:r>
          </w:p>
          <w:p w14:paraId="240D9626">
            <w:pPr>
              <w:rPr>
                <w:rFonts w:ascii="宋体" w:hAnsi="宋体"/>
                <w:color w:val="auto"/>
                <w:szCs w:val="22"/>
                <w:highlight w:val="none"/>
              </w:rPr>
            </w:pPr>
            <w:r>
              <w:rPr>
                <w:rFonts w:hint="eastAsia" w:ascii="宋体" w:hAnsi="宋体"/>
                <w:color w:val="auto"/>
                <w:szCs w:val="22"/>
                <w:highlight w:val="none"/>
              </w:rPr>
              <w:t>（大写）人民币</w:t>
            </w:r>
            <w:r>
              <w:rPr>
                <w:rFonts w:ascii="宋体" w:hAnsi="宋体"/>
                <w:color w:val="auto"/>
                <w:szCs w:val="22"/>
                <w:highlight w:val="none"/>
              </w:rPr>
              <w:t xml:space="preserve">                                       </w:t>
            </w:r>
            <w:r>
              <w:rPr>
                <w:rFonts w:hint="eastAsia" w:ascii="宋体" w:hAnsi="宋体"/>
                <w:color w:val="auto"/>
                <w:szCs w:val="22"/>
                <w:highlight w:val="none"/>
              </w:rPr>
              <w:t>（</w:t>
            </w:r>
            <w:r>
              <w:rPr>
                <w:rFonts w:hint="default" w:ascii="Arial" w:hAnsi="Arial" w:cs="Arial"/>
                <w:color w:val="auto"/>
                <w:szCs w:val="22"/>
                <w:highlight w:val="none"/>
              </w:rPr>
              <w:t>¥</w:t>
            </w:r>
            <w:r>
              <w:rPr>
                <w:rFonts w:ascii="宋体" w:hAnsi="宋体"/>
                <w:color w:val="auto"/>
                <w:szCs w:val="22"/>
                <w:highlight w:val="none"/>
              </w:rPr>
              <w:t xml:space="preserve">                </w:t>
            </w:r>
            <w:r>
              <w:rPr>
                <w:rFonts w:hint="eastAsia" w:ascii="宋体" w:hAnsi="宋体"/>
                <w:color w:val="auto"/>
                <w:szCs w:val="22"/>
                <w:highlight w:val="none"/>
              </w:rPr>
              <w:t>元）</w:t>
            </w:r>
          </w:p>
        </w:tc>
      </w:tr>
      <w:tr w14:paraId="052D0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082" w:type="dxa"/>
            <w:gridSpan w:val="7"/>
            <w:tcBorders>
              <w:top w:val="single" w:color="auto" w:sz="4" w:space="0"/>
              <w:left w:val="single" w:color="auto" w:sz="4" w:space="0"/>
              <w:bottom w:val="single" w:color="auto" w:sz="4" w:space="0"/>
              <w:right w:val="single" w:color="auto" w:sz="4" w:space="0"/>
            </w:tcBorders>
            <w:noWrap w:val="0"/>
            <w:vAlign w:val="top"/>
          </w:tcPr>
          <w:p w14:paraId="387546B7">
            <w:pPr>
              <w:rPr>
                <w:rFonts w:ascii="宋体" w:hAnsi="宋体"/>
                <w:color w:val="auto"/>
                <w:szCs w:val="22"/>
                <w:highlight w:val="none"/>
              </w:rPr>
            </w:pPr>
            <w:r>
              <w:rPr>
                <w:rFonts w:hint="eastAsia" w:ascii="宋体" w:hAnsi="宋体"/>
                <w:color w:val="auto"/>
                <w:szCs w:val="21"/>
                <w:highlight w:val="none"/>
                <w:u w:val="single"/>
              </w:rPr>
              <w:t>　　</w:t>
            </w:r>
            <w:r>
              <w:rPr>
                <w:rFonts w:hint="eastAsia" w:ascii="宋体" w:hAnsi="宋体"/>
                <w:color w:val="auto"/>
                <w:szCs w:val="21"/>
                <w:highlight w:val="none"/>
              </w:rPr>
              <w:t>分标（此处有分标时填写具体分标号，无分标时填写</w:t>
            </w:r>
            <w:r>
              <w:rPr>
                <w:rFonts w:ascii="宋体" w:hAnsi="宋体"/>
                <w:color w:val="auto"/>
                <w:szCs w:val="21"/>
                <w:highlight w:val="none"/>
              </w:rPr>
              <w:t>“</w:t>
            </w:r>
            <w:r>
              <w:rPr>
                <w:rFonts w:hint="eastAsia" w:ascii="宋体" w:hAnsi="宋体"/>
                <w:color w:val="auto"/>
                <w:szCs w:val="21"/>
                <w:highlight w:val="none"/>
              </w:rPr>
              <w:t>无</w:t>
            </w:r>
            <w:r>
              <w:rPr>
                <w:rFonts w:ascii="宋体" w:hAnsi="宋体"/>
                <w:color w:val="auto"/>
                <w:szCs w:val="21"/>
                <w:highlight w:val="none"/>
              </w:rPr>
              <w:t>”</w:t>
            </w:r>
            <w:r>
              <w:rPr>
                <w:rFonts w:hint="eastAsia" w:ascii="宋体" w:hAnsi="宋体"/>
                <w:color w:val="auto"/>
                <w:szCs w:val="21"/>
                <w:highlight w:val="none"/>
              </w:rPr>
              <w:t>）</w:t>
            </w:r>
          </w:p>
        </w:tc>
      </w:tr>
      <w:tr w14:paraId="0945B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082" w:type="dxa"/>
            <w:gridSpan w:val="7"/>
            <w:tcBorders>
              <w:top w:val="single" w:color="auto" w:sz="4" w:space="0"/>
              <w:left w:val="single" w:color="auto" w:sz="4" w:space="0"/>
              <w:bottom w:val="single" w:color="auto" w:sz="4" w:space="0"/>
              <w:right w:val="single" w:color="auto" w:sz="4" w:space="0"/>
            </w:tcBorders>
            <w:noWrap w:val="0"/>
            <w:vAlign w:val="top"/>
          </w:tcPr>
          <w:p w14:paraId="07062D19">
            <w:pPr>
              <w:rPr>
                <w:rFonts w:ascii="宋体" w:hAnsi="宋体"/>
                <w:color w:val="auto"/>
                <w:szCs w:val="22"/>
                <w:highlight w:val="none"/>
              </w:rPr>
            </w:pPr>
            <w:r>
              <w:rPr>
                <w:rFonts w:hint="eastAsia" w:ascii="宋体" w:hAnsi="宋体"/>
                <w:color w:val="auto"/>
                <w:szCs w:val="22"/>
                <w:highlight w:val="none"/>
                <w:lang w:eastAsia="zh-CN"/>
              </w:rPr>
              <w:t>服务期限</w:t>
            </w:r>
            <w:r>
              <w:rPr>
                <w:rFonts w:hint="eastAsia" w:ascii="宋体" w:hAnsi="宋体"/>
                <w:color w:val="auto"/>
                <w:szCs w:val="22"/>
                <w:highlight w:val="none"/>
              </w:rPr>
              <w:t>：</w:t>
            </w:r>
          </w:p>
        </w:tc>
      </w:tr>
    </w:tbl>
    <w:p w14:paraId="6941F4A6">
      <w:pPr>
        <w:snapToGrid w:val="0"/>
        <w:spacing w:before="50" w:after="50"/>
        <w:ind w:firstLine="480" w:firstLineChars="200"/>
        <w:jc w:val="lef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注： </w:t>
      </w:r>
    </w:p>
    <w:p w14:paraId="319DE640">
      <w:pPr>
        <w:snapToGrid w:val="0"/>
        <w:spacing w:before="50" w:after="50"/>
        <w:ind w:firstLine="480" w:firstLineChars="200"/>
        <w:jc w:val="lef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1、 供应商需按本表格式填写，不得自行更改，也不得留空, 如有多分标，按分标分别提供响应报价表</w:t>
      </w:r>
      <w:r>
        <w:rPr>
          <w:rFonts w:hint="eastAsia" w:ascii="仿宋_GB2312" w:hAnsi="仿宋" w:eastAsia="仿宋_GB2312" w:cs="仿宋_GB2312"/>
          <w:b/>
          <w:color w:val="auto"/>
          <w:kern w:val="0"/>
          <w:sz w:val="24"/>
          <w:highlight w:val="none"/>
          <w:lang w:val="zh-CN"/>
        </w:rPr>
        <w:t>。</w:t>
      </w:r>
    </w:p>
    <w:p w14:paraId="13FAA27F">
      <w:pPr>
        <w:snapToGrid w:val="0"/>
        <w:spacing w:before="50" w:after="50"/>
        <w:ind w:firstLine="480" w:firstLineChars="200"/>
        <w:jc w:val="left"/>
        <w:rPr>
          <w:rFonts w:hint="eastAsia"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lang w:val="zh-CN"/>
        </w:rPr>
        <w:t>2、如为联合体响应的，“供应商名称”处必须列明联合体各方名称，并标注联合体牵头人名称，且盖章处须加盖联合体各方公章，</w:t>
      </w:r>
      <w:r>
        <w:rPr>
          <w:rFonts w:hint="eastAsia" w:ascii="仿宋_GB2312" w:hAnsi="仿宋" w:eastAsia="仿宋_GB2312" w:cs="仿宋_GB2312"/>
          <w:b/>
          <w:color w:val="auto"/>
          <w:kern w:val="0"/>
          <w:sz w:val="24"/>
          <w:highlight w:val="none"/>
          <w:lang w:val="zh-CN"/>
        </w:rPr>
        <w:t>否则其响应作无效响应处理。</w:t>
      </w:r>
    </w:p>
    <w:p w14:paraId="104FBEF8">
      <w:pPr>
        <w:snapToGrid w:val="0"/>
        <w:spacing w:before="50" w:after="50"/>
        <w:ind w:firstLine="480" w:firstLineChars="200"/>
        <w:jc w:val="left"/>
        <w:rPr>
          <w:rFonts w:hint="eastAsia"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lang w:val="zh-CN"/>
        </w:rPr>
        <w:t>3、以上表格要求细分项目及报价，在“具体服务内容”一栏中，填写具体服务，</w:t>
      </w:r>
      <w:r>
        <w:rPr>
          <w:rFonts w:hint="eastAsia" w:ascii="仿宋_GB2312" w:hAnsi="仿宋" w:eastAsia="仿宋_GB2312" w:cs="仿宋_GB2312"/>
          <w:b/>
          <w:color w:val="auto"/>
          <w:kern w:val="0"/>
          <w:sz w:val="24"/>
          <w:highlight w:val="none"/>
          <w:lang w:val="zh-CN"/>
        </w:rPr>
        <w:t>否则其响应作无效响应处理。</w:t>
      </w:r>
    </w:p>
    <w:p w14:paraId="5DC78A01">
      <w:pPr>
        <w:snapToGrid w:val="0"/>
        <w:ind w:firstLine="480" w:firstLineChars="200"/>
        <w:jc w:val="lef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4、特别提示：采购机构将对项目名称和项目编号，成交供应商名称、地址和成交金额，主要成交标的名称、数量、单价、服务要求等予以公示。</w:t>
      </w:r>
    </w:p>
    <w:p w14:paraId="087112BB">
      <w:pPr>
        <w:snapToGrid w:val="0"/>
        <w:ind w:firstLine="480" w:firstLineChars="200"/>
        <w:jc w:val="lef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szCs w:val="22"/>
          <w:highlight w:val="none"/>
          <w:lang w:val="zh-CN"/>
        </w:rPr>
        <w:t>5、</w:t>
      </w:r>
      <w:r>
        <w:rPr>
          <w:rFonts w:hint="eastAsia" w:ascii="仿宋_GB2312" w:hAnsi="仿宋" w:eastAsia="仿宋_GB2312" w:cs="仿宋_GB2312"/>
          <w:color w:val="auto"/>
          <w:kern w:val="0"/>
          <w:sz w:val="24"/>
          <w:highlight w:val="none"/>
          <w:lang w:val="zh-CN"/>
        </w:rPr>
        <w:t>符合采购文件中列明的可享受中小企业扶持政策的供应商，请填写中小企业声明函。注：供应商</w:t>
      </w:r>
      <w:r>
        <w:rPr>
          <w:rFonts w:ascii="仿宋_GB2312" w:hAnsi="仿宋" w:eastAsia="仿宋_GB2312" w:cs="仿宋_GB2312"/>
          <w:color w:val="auto"/>
          <w:kern w:val="0"/>
          <w:sz w:val="24"/>
          <w:highlight w:val="none"/>
          <w:lang w:val="zh-CN"/>
        </w:rPr>
        <w:t>提供</w:t>
      </w:r>
      <w:r>
        <w:rPr>
          <w:rFonts w:hint="eastAsia" w:ascii="仿宋_GB2312" w:hAnsi="仿宋" w:eastAsia="仿宋_GB2312" w:cs="仿宋_GB2312"/>
          <w:color w:val="auto"/>
          <w:kern w:val="0"/>
          <w:sz w:val="24"/>
          <w:highlight w:val="none"/>
          <w:lang w:val="zh-CN"/>
        </w:rPr>
        <w:t>的中小企业</w:t>
      </w:r>
      <w:r>
        <w:rPr>
          <w:rFonts w:ascii="仿宋_GB2312" w:hAnsi="仿宋" w:eastAsia="仿宋_GB2312" w:cs="仿宋_GB2312"/>
          <w:color w:val="auto"/>
          <w:kern w:val="0"/>
          <w:sz w:val="24"/>
          <w:highlight w:val="none"/>
          <w:lang w:val="zh-CN"/>
        </w:rPr>
        <w:t>声明函内容不实的，属于提供虚假材料谋取中标、成交，依照《中华人民共和国政府采购法》等国家有关规定追究相应责任。</w:t>
      </w:r>
    </w:p>
    <w:p w14:paraId="220B7989">
      <w:pPr>
        <w:autoSpaceDE w:val="0"/>
        <w:autoSpaceDN w:val="0"/>
        <w:spacing w:line="360" w:lineRule="auto"/>
        <w:ind w:left="4335" w:leftChars="1950" w:hanging="240" w:hangingChars="100"/>
        <w:jc w:val="left"/>
        <w:rPr>
          <w:rFonts w:hint="eastAsia" w:ascii="仿宋_GB2312" w:hAnsi="仿宋" w:eastAsia="仿宋_GB2312" w:cs="仿宋_GB2312"/>
          <w:color w:val="auto"/>
          <w:kern w:val="0"/>
          <w:sz w:val="24"/>
          <w:highlight w:val="none"/>
        </w:rPr>
      </w:pPr>
    </w:p>
    <w:p w14:paraId="4DB14099">
      <w:pPr>
        <w:autoSpaceDE w:val="0"/>
        <w:autoSpaceDN w:val="0"/>
        <w:spacing w:line="360" w:lineRule="auto"/>
        <w:ind w:left="4335" w:leftChars="1950" w:hanging="240" w:hangingChars="100"/>
        <w:jc w:val="left"/>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705E69F8">
      <w:pPr>
        <w:pStyle w:val="16"/>
        <w:spacing w:line="500" w:lineRule="exact"/>
        <w:ind w:firstLine="6360" w:firstLineChars="2650"/>
        <w:jc w:val="left"/>
        <w:rPr>
          <w:rFonts w:ascii="仿宋_GB2312" w:hAnsi="仿宋" w:eastAsia="仿宋_GB2312" w:cs="仿宋_GB2312"/>
          <w:color w:val="auto"/>
          <w:sz w:val="24"/>
          <w:highlight w:val="none"/>
          <w:lang w:val="zh-CN"/>
        </w:rPr>
        <w:sectPr>
          <w:pgSz w:w="11910" w:h="16840"/>
          <w:pgMar w:top="1340" w:right="1500" w:bottom="280" w:left="1680" w:header="720" w:footer="720" w:gutter="0"/>
          <w:cols w:space="720" w:num="1"/>
        </w:sectPr>
      </w:pPr>
      <w:r>
        <w:rPr>
          <w:rFonts w:hint="eastAsia" w:ascii="仿宋_GB2312" w:hAnsi="仿宋" w:eastAsia="仿宋_GB2312" w:cs="仿宋_GB2312"/>
          <w:color w:val="auto"/>
          <w:sz w:val="24"/>
          <w:highlight w:val="none"/>
          <w:lang w:val="zh-CN"/>
        </w:rPr>
        <w:t>日期：  年  月   日</w:t>
      </w:r>
    </w:p>
    <w:p w14:paraId="237AE1A1">
      <w:pPr>
        <w:spacing w:line="520" w:lineRule="exact"/>
        <w:jc w:val="center"/>
        <w:rPr>
          <w:rFonts w:ascii="宋体" w:hAnsi="宋体"/>
          <w:color w:val="auto"/>
          <w:sz w:val="24"/>
          <w:highlight w:val="none"/>
        </w:rPr>
      </w:pPr>
    </w:p>
    <w:p w14:paraId="180166E0">
      <w:pPr>
        <w:spacing w:line="520" w:lineRule="exact"/>
        <w:jc w:val="center"/>
        <w:rPr>
          <w:rFonts w:ascii="宋体" w:hAnsi="宋体"/>
          <w:color w:val="auto"/>
          <w:sz w:val="24"/>
          <w:highlight w:val="none"/>
        </w:rPr>
      </w:pPr>
    </w:p>
    <w:p w14:paraId="29DC069F">
      <w:pPr>
        <w:spacing w:line="520" w:lineRule="exact"/>
        <w:jc w:val="center"/>
        <w:rPr>
          <w:rFonts w:ascii="宋体" w:hAnsi="宋体"/>
          <w:color w:val="auto"/>
          <w:sz w:val="24"/>
          <w:highlight w:val="none"/>
        </w:rPr>
      </w:pPr>
    </w:p>
    <w:p w14:paraId="18512FAA">
      <w:pPr>
        <w:spacing w:line="520" w:lineRule="exact"/>
        <w:jc w:val="center"/>
        <w:rPr>
          <w:rFonts w:ascii="宋体" w:hAnsi="宋体"/>
          <w:color w:val="auto"/>
          <w:sz w:val="24"/>
          <w:highlight w:val="none"/>
        </w:rPr>
      </w:pPr>
    </w:p>
    <w:p w14:paraId="06F919D6">
      <w:pPr>
        <w:spacing w:line="520" w:lineRule="exact"/>
        <w:jc w:val="center"/>
        <w:rPr>
          <w:rFonts w:ascii="宋体" w:hAnsi="宋体"/>
          <w:color w:val="auto"/>
          <w:sz w:val="24"/>
          <w:highlight w:val="none"/>
        </w:rPr>
      </w:pPr>
    </w:p>
    <w:p w14:paraId="5B6298AC">
      <w:pPr>
        <w:spacing w:line="520" w:lineRule="exact"/>
        <w:jc w:val="center"/>
        <w:rPr>
          <w:rFonts w:ascii="宋体" w:hAnsi="宋体"/>
          <w:color w:val="auto"/>
          <w:sz w:val="24"/>
          <w:highlight w:val="none"/>
        </w:rPr>
      </w:pPr>
    </w:p>
    <w:p w14:paraId="1E48AA26">
      <w:pPr>
        <w:spacing w:line="520" w:lineRule="exact"/>
        <w:jc w:val="center"/>
        <w:rPr>
          <w:rFonts w:ascii="宋体" w:hAnsi="宋体"/>
          <w:color w:val="auto"/>
          <w:sz w:val="24"/>
          <w:highlight w:val="none"/>
        </w:rPr>
      </w:pPr>
    </w:p>
    <w:p w14:paraId="5A36C1F7">
      <w:pPr>
        <w:spacing w:line="520" w:lineRule="exact"/>
        <w:jc w:val="center"/>
        <w:rPr>
          <w:rFonts w:ascii="宋体" w:hAnsi="宋体"/>
          <w:color w:val="auto"/>
          <w:sz w:val="24"/>
          <w:highlight w:val="none"/>
        </w:rPr>
      </w:pPr>
    </w:p>
    <w:p w14:paraId="45E09FEB">
      <w:pPr>
        <w:spacing w:line="520" w:lineRule="exact"/>
        <w:jc w:val="center"/>
        <w:rPr>
          <w:rFonts w:ascii="宋体" w:hAnsi="宋体"/>
          <w:color w:val="auto"/>
          <w:sz w:val="24"/>
          <w:highlight w:val="none"/>
        </w:rPr>
      </w:pPr>
    </w:p>
    <w:p w14:paraId="5F499D33">
      <w:pPr>
        <w:pStyle w:val="2"/>
        <w:jc w:val="center"/>
        <w:rPr>
          <w:rFonts w:hint="eastAsia" w:ascii="宋体" w:hAnsi="宋体"/>
          <w:b w:val="0"/>
          <w:bCs w:val="0"/>
          <w:color w:val="auto"/>
          <w:highlight w:val="none"/>
        </w:rPr>
      </w:pPr>
      <w:bookmarkStart w:id="69" w:name="_Toc17225"/>
      <w:r>
        <w:rPr>
          <w:rFonts w:hint="eastAsia" w:ascii="宋体" w:hAnsi="宋体"/>
          <w:b w:val="0"/>
          <w:bCs w:val="0"/>
          <w:color w:val="auto"/>
          <w:highlight w:val="none"/>
        </w:rPr>
        <w:t xml:space="preserve">第六章 </w:t>
      </w:r>
      <w:r>
        <w:rPr>
          <w:rFonts w:ascii="宋体" w:hAnsi="宋体"/>
          <w:b w:val="0"/>
          <w:bCs w:val="0"/>
          <w:color w:val="auto"/>
          <w:highlight w:val="none"/>
        </w:rPr>
        <w:t xml:space="preserve"> </w:t>
      </w:r>
      <w:r>
        <w:rPr>
          <w:rFonts w:hint="eastAsia" w:ascii="宋体" w:hAnsi="宋体"/>
          <w:b w:val="0"/>
          <w:bCs w:val="0"/>
          <w:color w:val="auto"/>
          <w:highlight w:val="none"/>
        </w:rPr>
        <w:t>合同文本</w:t>
      </w:r>
      <w:r>
        <w:rPr>
          <w:rFonts w:ascii="宋体" w:hAnsi="宋体"/>
          <w:b w:val="0"/>
          <w:bCs w:val="0"/>
          <w:color w:val="auto"/>
          <w:highlight w:val="none"/>
        </w:rPr>
        <w:br w:type="page"/>
      </w:r>
      <w:bookmarkEnd w:id="69"/>
    </w:p>
    <w:p w14:paraId="027E58A0">
      <w:pPr>
        <w:rPr>
          <w:rFonts w:hint="eastAsia" w:ascii="宋体" w:hAnsi="宋体"/>
          <w:b/>
          <w:bCs/>
          <w:color w:val="auto"/>
          <w:highlight w:val="none"/>
        </w:rPr>
      </w:pPr>
      <w:r>
        <w:rPr>
          <w:rFonts w:hint="eastAsia" w:ascii="仿宋_GB2312" w:hAnsi="楷体" w:eastAsia="仿宋_GB2312"/>
          <w:color w:val="auto"/>
          <w:sz w:val="24"/>
          <w:highlight w:val="none"/>
          <w:lang w:eastAsia="zh-CN"/>
        </w:rPr>
        <w:t>广西政府采购云平台</w:t>
      </w:r>
      <w:r>
        <w:rPr>
          <w:rFonts w:hint="eastAsia" w:ascii="仿宋_GB2312" w:hAnsi="楷体" w:eastAsia="仿宋_GB2312"/>
          <w:color w:val="auto"/>
          <w:sz w:val="24"/>
          <w:highlight w:val="none"/>
        </w:rPr>
        <w:t>合同编号：</w:t>
      </w:r>
    </w:p>
    <w:p w14:paraId="14A81333">
      <w:pPr>
        <w:spacing w:line="360" w:lineRule="auto"/>
        <w:jc w:val="center"/>
        <w:rPr>
          <w:rFonts w:hint="eastAsia" w:ascii="宋体" w:eastAsia="宋体"/>
          <w:b/>
          <w:bCs/>
          <w:color w:val="auto"/>
          <w:sz w:val="52"/>
          <w:highlight w:val="none"/>
          <w:lang w:eastAsia="zh-CN"/>
        </w:rPr>
      </w:pPr>
      <w:r>
        <w:rPr>
          <w:rFonts w:hint="eastAsia" w:ascii="宋体"/>
          <w:b/>
          <w:bCs/>
          <w:color w:val="auto"/>
          <w:sz w:val="52"/>
          <w:highlight w:val="none"/>
          <w:lang w:eastAsia="zh-CN"/>
        </w:rPr>
        <w:t>政府采购</w:t>
      </w:r>
    </w:p>
    <w:p w14:paraId="18ED1C56">
      <w:pPr>
        <w:spacing w:line="360" w:lineRule="auto"/>
        <w:ind w:firstLine="420" w:firstLineChars="200"/>
        <w:rPr>
          <w:rFonts w:hint="eastAsia" w:ascii="宋体"/>
          <w:color w:val="auto"/>
          <w:highlight w:val="none"/>
        </w:rPr>
      </w:pPr>
    </w:p>
    <w:p w14:paraId="3123D708">
      <w:pPr>
        <w:spacing w:line="360" w:lineRule="auto"/>
        <w:ind w:firstLine="420" w:firstLineChars="200"/>
        <w:rPr>
          <w:rFonts w:hint="eastAsia" w:ascii="宋体"/>
          <w:color w:val="auto"/>
          <w:highlight w:val="none"/>
        </w:rPr>
      </w:pPr>
      <w:r>
        <w:rPr>
          <w:rFonts w:hint="eastAsia" w:ascii="宋体"/>
          <w:color w:val="auto"/>
          <w:highlight w:val="none"/>
        </w:rPr>
        <w:t xml:space="preserve">                                                 </w:t>
      </w:r>
    </w:p>
    <w:p w14:paraId="3940FD93">
      <w:pPr>
        <w:spacing w:line="360" w:lineRule="auto"/>
        <w:jc w:val="center"/>
        <w:rPr>
          <w:rFonts w:hint="eastAsia" w:ascii="宋体"/>
          <w:b/>
          <w:bCs/>
          <w:color w:val="auto"/>
          <w:sz w:val="44"/>
          <w:highlight w:val="none"/>
        </w:rPr>
      </w:pPr>
      <w:r>
        <w:rPr>
          <w:rFonts w:hint="eastAsia" w:ascii="宋体"/>
          <w:b/>
          <w:bCs/>
          <w:color w:val="auto"/>
          <w:sz w:val="44"/>
          <w:highlight w:val="none"/>
          <w:u w:val="single"/>
        </w:rPr>
        <w:t xml:space="preserve">         （项目名称）         </w:t>
      </w:r>
      <w:r>
        <w:rPr>
          <w:rFonts w:hint="eastAsia" w:ascii="宋体"/>
          <w:b/>
          <w:bCs/>
          <w:color w:val="auto"/>
          <w:sz w:val="44"/>
          <w:highlight w:val="none"/>
        </w:rPr>
        <w:t>合同</w:t>
      </w:r>
    </w:p>
    <w:p w14:paraId="5F7F5198">
      <w:pPr>
        <w:spacing w:line="360" w:lineRule="auto"/>
        <w:jc w:val="center"/>
        <w:rPr>
          <w:rFonts w:hint="eastAsia" w:ascii="宋体"/>
          <w:b/>
          <w:bCs/>
          <w:color w:val="auto"/>
          <w:sz w:val="44"/>
          <w:highlight w:val="none"/>
        </w:rPr>
      </w:pPr>
    </w:p>
    <w:p w14:paraId="291147C5">
      <w:pPr>
        <w:spacing w:line="360" w:lineRule="auto"/>
        <w:ind w:firstLine="3507" w:firstLineChars="794"/>
        <w:rPr>
          <w:rFonts w:hint="eastAsia" w:ascii="宋体"/>
          <w:b/>
          <w:bCs/>
          <w:color w:val="auto"/>
          <w:sz w:val="44"/>
          <w:highlight w:val="none"/>
        </w:rPr>
      </w:pPr>
    </w:p>
    <w:p w14:paraId="0BE597F1">
      <w:pPr>
        <w:spacing w:line="360" w:lineRule="auto"/>
        <w:ind w:firstLine="3507" w:firstLineChars="794"/>
        <w:rPr>
          <w:rFonts w:hint="eastAsia" w:ascii="宋体"/>
          <w:b/>
          <w:bCs/>
          <w:color w:val="auto"/>
          <w:sz w:val="44"/>
          <w:highlight w:val="none"/>
        </w:rPr>
      </w:pPr>
    </w:p>
    <w:p w14:paraId="7BFBD922">
      <w:pPr>
        <w:ind w:firstLine="1995" w:firstLineChars="552"/>
        <w:rPr>
          <w:rFonts w:hint="eastAsia" w:ascii="宋体" w:hAnsi="宋体"/>
          <w:b/>
          <w:color w:val="auto"/>
          <w:sz w:val="36"/>
          <w:szCs w:val="36"/>
          <w:highlight w:val="none"/>
        </w:rPr>
      </w:pPr>
      <w:r>
        <w:rPr>
          <w:rFonts w:hint="eastAsia" w:ascii="宋体" w:hAnsi="宋体"/>
          <w:b/>
          <w:color w:val="auto"/>
          <w:sz w:val="36"/>
          <w:szCs w:val="36"/>
          <w:highlight w:val="none"/>
        </w:rPr>
        <w:t>采购项目编号：</w:t>
      </w:r>
      <w:r>
        <w:rPr>
          <w:rFonts w:hint="eastAsia" w:ascii="宋体" w:hAnsi="宋体"/>
          <w:b/>
          <w:color w:val="auto"/>
          <w:sz w:val="36"/>
          <w:szCs w:val="36"/>
          <w:highlight w:val="none"/>
          <w:u w:val="single"/>
        </w:rPr>
        <w:t xml:space="preserve">                     </w:t>
      </w:r>
    </w:p>
    <w:p w14:paraId="306A4BBE">
      <w:pPr>
        <w:ind w:firstLine="1995" w:firstLineChars="552"/>
        <w:rPr>
          <w:rFonts w:hint="eastAsia" w:ascii="宋体" w:hAnsi="宋体"/>
          <w:b/>
          <w:color w:val="auto"/>
          <w:sz w:val="36"/>
          <w:szCs w:val="36"/>
          <w:highlight w:val="none"/>
        </w:rPr>
      </w:pPr>
      <w:r>
        <w:rPr>
          <w:rFonts w:hint="eastAsia" w:ascii="宋体" w:hAnsi="宋体"/>
          <w:b/>
          <w:color w:val="auto"/>
          <w:sz w:val="36"/>
          <w:szCs w:val="36"/>
          <w:highlight w:val="none"/>
        </w:rPr>
        <w:t>采购计划编号：</w:t>
      </w:r>
      <w:r>
        <w:rPr>
          <w:rFonts w:hint="eastAsia" w:ascii="宋体" w:hAnsi="宋体"/>
          <w:b/>
          <w:color w:val="auto"/>
          <w:sz w:val="36"/>
          <w:szCs w:val="36"/>
          <w:highlight w:val="none"/>
          <w:u w:val="single"/>
        </w:rPr>
        <w:t xml:space="preserve">                     </w:t>
      </w:r>
    </w:p>
    <w:p w14:paraId="1C83AB31">
      <w:pPr>
        <w:ind w:firstLine="1308" w:firstLineChars="545"/>
        <w:rPr>
          <w:rFonts w:hint="eastAsia" w:ascii="宋体" w:hAnsi="宋体" w:cs="宋体"/>
          <w:color w:val="auto"/>
          <w:sz w:val="24"/>
          <w:highlight w:val="none"/>
        </w:rPr>
      </w:pPr>
    </w:p>
    <w:p w14:paraId="60BEC85B">
      <w:pPr>
        <w:ind w:firstLine="1995" w:firstLineChars="552"/>
        <w:rPr>
          <w:rFonts w:hint="eastAsia" w:ascii="宋体" w:hAnsi="宋体"/>
          <w:b/>
          <w:color w:val="auto"/>
          <w:sz w:val="36"/>
          <w:szCs w:val="36"/>
          <w:highlight w:val="none"/>
          <w:u w:val="single"/>
        </w:rPr>
      </w:pPr>
    </w:p>
    <w:p w14:paraId="37CBEF35">
      <w:pPr>
        <w:ind w:firstLine="1995" w:firstLineChars="552"/>
        <w:rPr>
          <w:rFonts w:hint="eastAsia" w:ascii="宋体" w:hAnsi="宋体"/>
          <w:b/>
          <w:color w:val="auto"/>
          <w:sz w:val="36"/>
          <w:szCs w:val="36"/>
          <w:highlight w:val="none"/>
          <w:u w:val="single"/>
        </w:rPr>
      </w:pPr>
    </w:p>
    <w:p w14:paraId="04500942">
      <w:pPr>
        <w:tabs>
          <w:tab w:val="left" w:pos="7200"/>
        </w:tabs>
        <w:spacing w:line="360" w:lineRule="auto"/>
        <w:ind w:firstLine="1995" w:firstLineChars="552"/>
        <w:rPr>
          <w:rFonts w:hint="eastAsia" w:ascii="宋体" w:hAnsi="宋体"/>
          <w:b/>
          <w:color w:val="auto"/>
          <w:sz w:val="36"/>
          <w:szCs w:val="36"/>
          <w:highlight w:val="none"/>
          <w:u w:val="single"/>
        </w:rPr>
      </w:pPr>
      <w:r>
        <w:rPr>
          <w:rFonts w:hint="eastAsia" w:ascii="宋体" w:hAnsi="宋体"/>
          <w:b/>
          <w:color w:val="auto"/>
          <w:sz w:val="36"/>
          <w:szCs w:val="36"/>
          <w:highlight w:val="none"/>
        </w:rPr>
        <w:t>采购人：</w:t>
      </w:r>
      <w:r>
        <w:rPr>
          <w:rFonts w:hint="eastAsia" w:ascii="宋体" w:hAnsi="宋体"/>
          <w:b/>
          <w:color w:val="auto"/>
          <w:sz w:val="36"/>
          <w:szCs w:val="36"/>
          <w:highlight w:val="none"/>
          <w:u w:val="single"/>
        </w:rPr>
        <w:t xml:space="preserve">                       </w:t>
      </w:r>
    </w:p>
    <w:p w14:paraId="3E996F2D">
      <w:pPr>
        <w:tabs>
          <w:tab w:val="left" w:pos="7380"/>
        </w:tabs>
        <w:spacing w:line="360" w:lineRule="auto"/>
        <w:ind w:firstLine="1995" w:firstLineChars="552"/>
        <w:rPr>
          <w:rFonts w:hint="eastAsia" w:ascii="宋体"/>
          <w:b/>
          <w:bCs/>
          <w:color w:val="auto"/>
          <w:sz w:val="44"/>
          <w:highlight w:val="none"/>
        </w:rPr>
      </w:pPr>
      <w:r>
        <w:rPr>
          <w:rFonts w:hint="eastAsia" w:ascii="宋体" w:hAnsi="宋体"/>
          <w:b/>
          <w:color w:val="auto"/>
          <w:sz w:val="36"/>
          <w:szCs w:val="36"/>
          <w:highlight w:val="none"/>
        </w:rPr>
        <w:t>中标供应商：</w:t>
      </w:r>
      <w:r>
        <w:rPr>
          <w:rFonts w:hint="eastAsia" w:ascii="宋体" w:hAnsi="宋体"/>
          <w:b/>
          <w:color w:val="auto"/>
          <w:sz w:val="36"/>
          <w:szCs w:val="36"/>
          <w:highlight w:val="none"/>
          <w:u w:val="single"/>
        </w:rPr>
        <w:t xml:space="preserve">                   </w:t>
      </w:r>
    </w:p>
    <w:p w14:paraId="6440E577">
      <w:pPr>
        <w:tabs>
          <w:tab w:val="left" w:pos="7380"/>
        </w:tabs>
        <w:spacing w:line="360" w:lineRule="auto"/>
        <w:rPr>
          <w:rFonts w:hint="eastAsia" w:ascii="宋体"/>
          <w:b/>
          <w:bCs/>
          <w:color w:val="auto"/>
          <w:sz w:val="44"/>
          <w:highlight w:val="none"/>
        </w:rPr>
      </w:pPr>
    </w:p>
    <w:p w14:paraId="67B28096">
      <w:pPr>
        <w:snapToGrid w:val="0"/>
        <w:spacing w:line="360" w:lineRule="auto"/>
        <w:jc w:val="center"/>
        <w:rPr>
          <w:rFonts w:hint="eastAsia" w:ascii="仿宋_GB2312" w:hAnsi="楷体" w:eastAsia="仿宋_GB2312"/>
          <w:b/>
          <w:color w:val="auto"/>
          <w:sz w:val="24"/>
          <w:highlight w:val="none"/>
        </w:rPr>
      </w:pPr>
      <w:r>
        <w:rPr>
          <w:rFonts w:hint="eastAsia" w:ascii="宋体"/>
          <w:b/>
          <w:bCs/>
          <w:color w:val="auto"/>
          <w:sz w:val="44"/>
          <w:highlight w:val="none"/>
        </w:rPr>
        <w:br w:type="page"/>
      </w:r>
      <w:r>
        <w:rPr>
          <w:rFonts w:hint="eastAsia" w:ascii="仿宋_GB2312" w:hAnsi="楷体" w:eastAsia="仿宋_GB2312"/>
          <w:b/>
          <w:color w:val="auto"/>
          <w:sz w:val="24"/>
          <w:highlight w:val="none"/>
        </w:rPr>
        <w:t>合同目录</w:t>
      </w:r>
    </w:p>
    <w:p w14:paraId="0E9E1701">
      <w:pPr>
        <w:snapToGrid w:val="0"/>
        <w:spacing w:line="360" w:lineRule="auto"/>
        <w:jc w:val="center"/>
        <w:rPr>
          <w:rFonts w:hint="eastAsia" w:ascii="宋体"/>
          <w:b/>
          <w:bCs/>
          <w:color w:val="auto"/>
          <w:sz w:val="44"/>
          <w:highlight w:val="none"/>
        </w:rPr>
      </w:pPr>
    </w:p>
    <w:p w14:paraId="6A49516F">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一、</w:t>
      </w:r>
      <w:r>
        <w:rPr>
          <w:rFonts w:hint="eastAsia" w:ascii="仿宋_GB2312" w:hAnsi="仿宋" w:eastAsia="仿宋_GB2312"/>
          <w:color w:val="auto"/>
          <w:sz w:val="24"/>
          <w:highlight w:val="none"/>
        </w:rPr>
        <w:t>第一部分 合同书</w:t>
      </w:r>
      <w:r>
        <w:rPr>
          <w:rFonts w:hint="eastAsia" w:ascii="仿宋_GB2312" w:hAnsi="仿宋" w:eastAsia="仿宋_GB2312" w:cs="仿宋_GB2312"/>
          <w:color w:val="auto"/>
          <w:kern w:val="0"/>
          <w:sz w:val="24"/>
          <w:highlight w:val="none"/>
        </w:rPr>
        <w:t>……………………………………………………………（页码）</w:t>
      </w:r>
    </w:p>
    <w:p w14:paraId="143944EB">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二、第二部分 合同一般条款……………………………………………………（页码）</w:t>
      </w:r>
    </w:p>
    <w:p w14:paraId="47CCDE6D">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三、第三部分 合同专用条款……………………………………………………（页码）</w:t>
      </w:r>
    </w:p>
    <w:p w14:paraId="10292F00">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四、</w:t>
      </w:r>
      <w:r>
        <w:rPr>
          <w:rFonts w:hint="eastAsia" w:ascii="仿宋_GB2312" w:hAnsi="仿宋" w:eastAsia="仿宋_GB2312"/>
          <w:color w:val="auto"/>
          <w:sz w:val="24"/>
          <w:highlight w:val="none"/>
        </w:rPr>
        <w:t>第四部分 合同附件</w:t>
      </w:r>
      <w:r>
        <w:rPr>
          <w:rFonts w:hint="eastAsia" w:ascii="仿宋_GB2312" w:hAnsi="仿宋" w:eastAsia="仿宋_GB2312" w:cs="仿宋_GB2312"/>
          <w:color w:val="auto"/>
          <w:kern w:val="0"/>
          <w:sz w:val="24"/>
          <w:highlight w:val="none"/>
        </w:rPr>
        <w:t>…………………………………………………………（页码）</w:t>
      </w:r>
    </w:p>
    <w:p w14:paraId="60367DEA">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4.1成交通知书 …………………………………………………………………（页码）</w:t>
      </w:r>
    </w:p>
    <w:p w14:paraId="1F6CB9A6">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4.2采购文件服务需求一览表 …………………………………………………（页码）</w:t>
      </w:r>
    </w:p>
    <w:p w14:paraId="164975FD">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4.3采购文件的更改通知（如有） ……………………………………………（页码）</w:t>
      </w:r>
    </w:p>
    <w:p w14:paraId="50253F2B">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4.4响应函 ………………………………………………………………………（页码）</w:t>
      </w:r>
    </w:p>
    <w:p w14:paraId="4BDC432A">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4.5响应报价表 …………………………………………………………………（页码）</w:t>
      </w:r>
    </w:p>
    <w:p w14:paraId="1C12A402">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4.6响应服务技术资料表 ………………………………………………………（页码）</w:t>
      </w:r>
    </w:p>
    <w:p w14:paraId="114B3C92">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4.7商务条款偏离表 ……………………………………………………………（页码）</w:t>
      </w:r>
    </w:p>
    <w:p w14:paraId="15B92726">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4.8成交供应商澄清函（如有请提供） ………………………………………（页码）</w:t>
      </w:r>
    </w:p>
    <w:p w14:paraId="7159A4F3">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4.9其他与本合同相关的资料（如有请提供） ………………………………（页码）</w:t>
      </w:r>
    </w:p>
    <w:p w14:paraId="4FD30A0C">
      <w:pPr>
        <w:snapToGrid w:val="0"/>
        <w:spacing w:line="360" w:lineRule="auto"/>
        <w:rPr>
          <w:rFonts w:hint="eastAsia" w:ascii="仿宋_GB2312" w:hAnsi="仿宋" w:eastAsia="仿宋_GB2312" w:cs="仿宋_GB2312"/>
          <w:color w:val="auto"/>
          <w:kern w:val="0"/>
          <w:sz w:val="24"/>
          <w:highlight w:val="none"/>
        </w:rPr>
      </w:pPr>
    </w:p>
    <w:p w14:paraId="70C1DC76">
      <w:pPr>
        <w:pStyle w:val="13"/>
        <w:ind w:firstLine="1126"/>
        <w:rPr>
          <w:color w:val="auto"/>
          <w:highlight w:val="none"/>
        </w:rPr>
        <w:sectPr>
          <w:pgSz w:w="11906" w:h="16838"/>
          <w:pgMar w:top="1134" w:right="1134" w:bottom="1134" w:left="1134" w:header="720" w:footer="720" w:gutter="0"/>
          <w:cols w:space="720" w:num="1"/>
          <w:docGrid w:type="lines" w:linePitch="331" w:charSpace="0"/>
        </w:sectPr>
      </w:pPr>
    </w:p>
    <w:p w14:paraId="4ACB6CCC">
      <w:pPr>
        <w:pStyle w:val="74"/>
        <w:spacing w:after="0"/>
        <w:ind w:firstLine="562"/>
        <w:jc w:val="center"/>
        <w:outlineLvl w:val="1"/>
        <w:rPr>
          <w:rFonts w:hint="eastAsia" w:ascii="仿宋_GB2312" w:hAnsi="楷体" w:eastAsia="仿宋_GB2312"/>
          <w:b/>
          <w:color w:val="auto"/>
          <w:sz w:val="28"/>
          <w:szCs w:val="28"/>
          <w:highlight w:val="none"/>
        </w:rPr>
      </w:pPr>
      <w:bookmarkStart w:id="70" w:name="_Toc80205944"/>
      <w:bookmarkStart w:id="71" w:name="_Toc15860"/>
      <w:r>
        <w:rPr>
          <w:rFonts w:hint="eastAsia" w:ascii="仿宋_GB2312" w:hAnsi="楷体" w:eastAsia="仿宋_GB2312"/>
          <w:b/>
          <w:color w:val="auto"/>
          <w:sz w:val="28"/>
          <w:szCs w:val="28"/>
          <w:highlight w:val="none"/>
        </w:rPr>
        <w:t>第一部分 合同书</w:t>
      </w:r>
      <w:bookmarkEnd w:id="70"/>
      <w:bookmarkEnd w:id="71"/>
    </w:p>
    <w:p w14:paraId="2575DD6B">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u w:val="single"/>
          <w:lang w:val="zh-CN"/>
        </w:rPr>
        <w:t xml:space="preserve">     </w:t>
      </w:r>
      <w:r>
        <w:rPr>
          <w:rFonts w:hint="eastAsia" w:ascii="仿宋_GB2312" w:hAnsi="楷体" w:eastAsia="仿宋_GB2312"/>
          <w:color w:val="auto"/>
          <w:sz w:val="24"/>
          <w:highlight w:val="none"/>
          <w:lang w:val="zh-CN"/>
        </w:rPr>
        <w:t>年</w:t>
      </w:r>
      <w:r>
        <w:rPr>
          <w:rFonts w:hint="eastAsia" w:ascii="仿宋_GB2312" w:hAnsi="楷体" w:eastAsia="仿宋_GB2312"/>
          <w:color w:val="auto"/>
          <w:sz w:val="24"/>
          <w:highlight w:val="none"/>
          <w:u w:val="single"/>
          <w:lang w:val="zh-CN"/>
        </w:rPr>
        <w:t xml:space="preserve">    </w:t>
      </w:r>
      <w:r>
        <w:rPr>
          <w:rFonts w:hint="eastAsia" w:ascii="仿宋_GB2312" w:hAnsi="楷体" w:eastAsia="仿宋_GB2312"/>
          <w:color w:val="auto"/>
          <w:sz w:val="24"/>
          <w:highlight w:val="none"/>
          <w:lang w:val="zh-CN"/>
        </w:rPr>
        <w:t>月</w:t>
      </w:r>
      <w:r>
        <w:rPr>
          <w:rFonts w:hint="eastAsia" w:ascii="仿宋_GB2312" w:hAnsi="楷体" w:eastAsia="仿宋_GB2312"/>
          <w:color w:val="auto"/>
          <w:sz w:val="24"/>
          <w:highlight w:val="none"/>
          <w:u w:val="single"/>
          <w:lang w:val="zh-CN"/>
        </w:rPr>
        <w:t xml:space="preserve">    </w:t>
      </w:r>
      <w:r>
        <w:rPr>
          <w:rFonts w:hint="eastAsia" w:ascii="仿宋_GB2312" w:hAnsi="楷体" w:eastAsia="仿宋_GB2312"/>
          <w:color w:val="auto"/>
          <w:sz w:val="24"/>
          <w:highlight w:val="none"/>
          <w:lang w:val="zh-CN"/>
        </w:rPr>
        <w:t>日</w:t>
      </w:r>
      <w:r>
        <w:rPr>
          <w:rFonts w:hint="eastAsia" w:ascii="仿宋_GB2312" w:hAnsi="楷体" w:eastAsia="仿宋_GB2312"/>
          <w:color w:val="auto"/>
          <w:sz w:val="24"/>
          <w:highlight w:val="none"/>
        </w:rPr>
        <w:t>，</w:t>
      </w:r>
      <w:r>
        <w:rPr>
          <w:rFonts w:hint="eastAsia" w:ascii="仿宋_GB2312" w:hAnsi="仿宋" w:eastAsia="仿宋_GB2312"/>
          <w:color w:val="auto"/>
          <w:sz w:val="24"/>
          <w:highlight w:val="none"/>
          <w:u w:val="single"/>
        </w:rPr>
        <w:t xml:space="preserve">  （采购人名称）  </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以</w:t>
      </w:r>
      <w:r>
        <w:rPr>
          <w:rFonts w:hint="eastAsia" w:ascii="仿宋_GB2312" w:hAnsi="仿宋" w:eastAsia="仿宋_GB2312"/>
          <w:color w:val="auto"/>
          <w:sz w:val="24"/>
          <w:highlight w:val="none"/>
          <w:u w:val="single"/>
        </w:rPr>
        <w:t xml:space="preserve">   竞争性磋商方式  </w:t>
      </w:r>
      <w:r>
        <w:rPr>
          <w:rFonts w:hint="eastAsia" w:ascii="仿宋_GB2312" w:hAnsi="仿宋" w:eastAsia="仿宋_GB2312"/>
          <w:color w:val="auto"/>
          <w:sz w:val="24"/>
          <w:highlight w:val="none"/>
        </w:rPr>
        <w:t>对</w:t>
      </w:r>
      <w:r>
        <w:rPr>
          <w:rFonts w:hint="eastAsia" w:ascii="仿宋_GB2312" w:hAnsi="仿宋" w:eastAsia="仿宋_GB2312"/>
          <w:color w:val="auto"/>
          <w:sz w:val="24"/>
          <w:highlight w:val="none"/>
          <w:u w:val="single"/>
        </w:rPr>
        <w:t xml:space="preserve">        </w:t>
      </w:r>
      <w:r>
        <w:rPr>
          <w:rFonts w:hint="eastAsia" w:ascii="仿宋_GB2312" w:hAnsi="楷体" w:eastAsia="仿宋_GB2312"/>
          <w:color w:val="auto"/>
          <w:sz w:val="24"/>
          <w:highlight w:val="none"/>
        </w:rPr>
        <w:t>项目进行了采购。经</w:t>
      </w:r>
      <w:r>
        <w:rPr>
          <w:rFonts w:hint="eastAsia" w:ascii="仿宋_GB2312" w:hAnsi="楷体" w:eastAsia="仿宋_GB2312"/>
          <w:color w:val="auto"/>
          <w:sz w:val="24"/>
          <w:highlight w:val="none"/>
          <w:u w:val="single"/>
        </w:rPr>
        <w:t xml:space="preserve">   （相关评定主体名称）   </w:t>
      </w:r>
      <w:r>
        <w:rPr>
          <w:rFonts w:hint="eastAsia" w:ascii="仿宋_GB2312" w:hAnsi="楷体" w:eastAsia="仿宋_GB2312"/>
          <w:color w:val="auto"/>
          <w:sz w:val="24"/>
          <w:highlight w:val="none"/>
        </w:rPr>
        <w:t>评定，</w:t>
      </w:r>
      <w:r>
        <w:rPr>
          <w:rFonts w:hint="eastAsia" w:ascii="仿宋_GB2312" w:hAnsi="楷体" w:eastAsia="仿宋_GB2312"/>
          <w:color w:val="auto"/>
          <w:sz w:val="24"/>
          <w:highlight w:val="none"/>
          <w:u w:val="single"/>
        </w:rPr>
        <w:t xml:space="preserve">   （供应商名称）</w:t>
      </w:r>
      <w:r>
        <w:rPr>
          <w:rFonts w:hint="eastAsia" w:ascii="仿宋_GB2312" w:hAnsi="楷体" w:eastAsia="仿宋_GB2312"/>
          <w:color w:val="auto"/>
          <w:sz w:val="24"/>
          <w:highlight w:val="none"/>
        </w:rPr>
        <w:t>为该项目成交供应商。现于成交通知书发出之日起</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u w:val="single"/>
          <w:lang w:val="en-US" w:eastAsia="zh-CN"/>
        </w:rPr>
        <w:t>25</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日内，按照采购文件确定的事项签订本合同。</w:t>
      </w:r>
    </w:p>
    <w:p w14:paraId="3940329A">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lang w:val="zh-CN"/>
        </w:rPr>
        <w:t>根据《中华人民共和国民法典》、《中华人民共和国政府采购法》等相关法律法规之规定，按照平等、自愿、公平和诚实信用的原则，经</w:t>
      </w:r>
      <w:r>
        <w:rPr>
          <w:rFonts w:hint="eastAsia" w:ascii="仿宋_GB2312" w:hAnsi="楷体" w:eastAsia="仿宋_GB2312"/>
          <w:color w:val="auto"/>
          <w:sz w:val="24"/>
          <w:highlight w:val="none"/>
          <w:u w:val="single"/>
        </w:rPr>
        <w:t xml:space="preserve">   （采购人名称）   </w:t>
      </w:r>
      <w:r>
        <w:rPr>
          <w:rFonts w:hint="eastAsia" w:ascii="仿宋_GB2312" w:hAnsi="楷体" w:eastAsia="仿宋_GB2312"/>
          <w:color w:val="auto"/>
          <w:sz w:val="24"/>
          <w:highlight w:val="none"/>
          <w:lang w:val="zh-CN"/>
        </w:rPr>
        <w:t>(以下简称：甲方)和</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u w:val="single"/>
          <w:lang w:eastAsia="zh-CN"/>
        </w:rPr>
        <w:t>成交人</w:t>
      </w:r>
      <w:r>
        <w:rPr>
          <w:rFonts w:hint="eastAsia" w:ascii="仿宋_GB2312" w:hAnsi="楷体" w:eastAsia="仿宋_GB2312"/>
          <w:color w:val="auto"/>
          <w:sz w:val="24"/>
          <w:highlight w:val="none"/>
          <w:u w:val="single"/>
        </w:rPr>
        <w:t xml:space="preserve">名称）   </w:t>
      </w:r>
      <w:r>
        <w:rPr>
          <w:rFonts w:hint="eastAsia" w:ascii="仿宋_GB2312" w:hAnsi="楷体" w:eastAsia="仿宋_GB2312"/>
          <w:color w:val="auto"/>
          <w:sz w:val="24"/>
          <w:highlight w:val="none"/>
          <w:lang w:val="zh-CN"/>
        </w:rPr>
        <w:t>(以下简称：乙方)协商一致，约定以下合同</w:t>
      </w:r>
      <w:r>
        <w:rPr>
          <w:rFonts w:hint="eastAsia" w:ascii="仿宋_GB2312" w:hAnsi="楷体" w:eastAsia="仿宋_GB2312"/>
          <w:color w:val="auto"/>
          <w:sz w:val="24"/>
          <w:highlight w:val="none"/>
        </w:rPr>
        <w:t>条款，以兹共同遵守、全面履行。</w:t>
      </w:r>
    </w:p>
    <w:p w14:paraId="53BB66DC">
      <w:pPr>
        <w:spacing w:line="360" w:lineRule="auto"/>
        <w:ind w:firstLine="482" w:firstLineChars="200"/>
        <w:rPr>
          <w:rFonts w:hint="eastAsia" w:ascii="仿宋_GB2312" w:hAnsi="楷体" w:eastAsia="仿宋_GB2312"/>
          <w:b/>
          <w:color w:val="auto"/>
          <w:sz w:val="24"/>
          <w:highlight w:val="none"/>
        </w:rPr>
      </w:pPr>
      <w:bookmarkStart w:id="72" w:name="_Toc24059"/>
      <w:bookmarkStart w:id="73" w:name="_Toc2232"/>
      <w:bookmarkStart w:id="74" w:name="_Toc3029"/>
      <w:r>
        <w:rPr>
          <w:rFonts w:hint="eastAsia" w:ascii="仿宋_GB2312" w:hAnsi="楷体" w:eastAsia="仿宋_GB2312"/>
          <w:b/>
          <w:color w:val="auto"/>
          <w:sz w:val="24"/>
          <w:highlight w:val="none"/>
        </w:rPr>
        <w:t>1.1 合同组成部分</w:t>
      </w:r>
      <w:bookmarkEnd w:id="72"/>
      <w:bookmarkEnd w:id="73"/>
      <w:bookmarkEnd w:id="74"/>
    </w:p>
    <w:p w14:paraId="105E02D8">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14:paraId="44433599">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1.1.1 本合同及其补充合同、变更协议；</w:t>
      </w:r>
    </w:p>
    <w:p w14:paraId="1C48F221">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1.1.2 成交通知书；</w:t>
      </w:r>
    </w:p>
    <w:p w14:paraId="45DC1CAB">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1.1.3 采购文件及“响应报价”（含澄清或者说明文件）；</w:t>
      </w:r>
    </w:p>
    <w:p w14:paraId="520FAF4A">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1.1.4 采购文件（含澄清或者修改文件）；</w:t>
      </w:r>
    </w:p>
    <w:p w14:paraId="29435065">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1.1.5 其他相关采购文件。</w:t>
      </w:r>
    </w:p>
    <w:p w14:paraId="575F2258">
      <w:pPr>
        <w:spacing w:line="360" w:lineRule="auto"/>
        <w:ind w:firstLine="482" w:firstLineChars="200"/>
        <w:rPr>
          <w:rFonts w:hint="eastAsia" w:ascii="仿宋_GB2312" w:hAnsi="楷体" w:eastAsia="仿宋_GB2312"/>
          <w:b/>
          <w:color w:val="auto"/>
          <w:sz w:val="24"/>
          <w:highlight w:val="none"/>
        </w:rPr>
      </w:pPr>
      <w:bookmarkStart w:id="75" w:name="_Toc27126"/>
      <w:bookmarkStart w:id="76" w:name="_Toc21295"/>
      <w:bookmarkStart w:id="77" w:name="_Toc24300"/>
      <w:r>
        <w:rPr>
          <w:rFonts w:hint="eastAsia" w:ascii="仿宋_GB2312" w:hAnsi="楷体" w:eastAsia="仿宋_GB2312"/>
          <w:b/>
          <w:color w:val="auto"/>
          <w:sz w:val="24"/>
          <w:highlight w:val="none"/>
        </w:rPr>
        <w:t>1.2 标的物</w:t>
      </w:r>
      <w:bookmarkEnd w:id="75"/>
      <w:bookmarkEnd w:id="76"/>
      <w:bookmarkEnd w:id="77"/>
    </w:p>
    <w:p w14:paraId="27CBE9C3">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1.2.1 标的物信息</w:t>
      </w:r>
    </w:p>
    <w:p w14:paraId="355F60C1">
      <w:pPr>
        <w:spacing w:line="360" w:lineRule="auto"/>
        <w:ind w:firstLine="480" w:firstLineChars="200"/>
        <w:rPr>
          <w:rFonts w:hint="eastAsia" w:ascii="仿宋_GB2312" w:hAnsi="楷体" w:eastAsia="仿宋_GB2312"/>
          <w:color w:val="auto"/>
          <w:sz w:val="24"/>
          <w:highlight w:val="none"/>
          <w:u w:val="single"/>
          <w:lang w:eastAsia="zh-CN"/>
        </w:rPr>
      </w:pPr>
      <w:bookmarkStart w:id="78" w:name="_Toc23292"/>
      <w:bookmarkStart w:id="79" w:name="_Toc21631"/>
      <w:bookmarkStart w:id="80" w:name="_Toc21551"/>
      <w:r>
        <w:rPr>
          <w:rFonts w:hint="eastAsia" w:ascii="仿宋_GB2312" w:hAnsi="楷体" w:eastAsia="仿宋_GB2312"/>
          <w:color w:val="auto"/>
          <w:sz w:val="24"/>
          <w:highlight w:val="none"/>
          <w:lang w:eastAsia="zh-CN"/>
        </w:rPr>
        <w:t>详见磋商文件</w:t>
      </w:r>
      <w:r>
        <w:rPr>
          <w:rFonts w:hint="eastAsia" w:ascii="仿宋_GB2312" w:hAnsi="楷体" w:eastAsia="仿宋_GB2312"/>
          <w:color w:val="auto"/>
          <w:sz w:val="24"/>
          <w:highlight w:val="none"/>
          <w:u w:val="single"/>
          <w:lang w:eastAsia="zh-CN"/>
        </w:rPr>
        <w:t>服务需求一览表</w:t>
      </w:r>
      <w:r>
        <w:rPr>
          <w:rFonts w:hint="eastAsia" w:ascii="仿宋_GB2312" w:hAnsi="楷体" w:eastAsia="仿宋_GB2312"/>
          <w:color w:val="auto"/>
          <w:sz w:val="24"/>
          <w:highlight w:val="none"/>
          <w:lang w:eastAsia="zh-CN"/>
        </w:rPr>
        <w:t>及响应文件</w:t>
      </w:r>
      <w:r>
        <w:rPr>
          <w:rFonts w:hint="eastAsia" w:ascii="仿宋_GB2312" w:hAnsi="楷体" w:eastAsia="仿宋_GB2312"/>
          <w:color w:val="auto"/>
          <w:sz w:val="24"/>
          <w:highlight w:val="none"/>
          <w:u w:val="single"/>
          <w:lang w:eastAsia="zh-CN"/>
        </w:rPr>
        <w:t>技术需求偏离表</w:t>
      </w:r>
    </w:p>
    <w:p w14:paraId="62DAC658">
      <w:pPr>
        <w:spacing w:line="360" w:lineRule="auto"/>
        <w:ind w:firstLine="482" w:firstLineChars="200"/>
        <w:rPr>
          <w:rFonts w:hint="eastAsia" w:ascii="仿宋_GB2312" w:hAnsi="楷体" w:eastAsia="仿宋_GB2312"/>
          <w:b/>
          <w:color w:val="auto"/>
          <w:sz w:val="24"/>
          <w:highlight w:val="none"/>
        </w:rPr>
      </w:pPr>
      <w:r>
        <w:rPr>
          <w:rFonts w:hint="eastAsia" w:ascii="仿宋_GB2312" w:hAnsi="楷体" w:eastAsia="仿宋_GB2312"/>
          <w:b/>
          <w:color w:val="auto"/>
          <w:sz w:val="24"/>
          <w:highlight w:val="none"/>
        </w:rPr>
        <w:t>1.3 价款</w:t>
      </w:r>
      <w:bookmarkEnd w:id="78"/>
      <w:bookmarkEnd w:id="79"/>
      <w:bookmarkEnd w:id="80"/>
    </w:p>
    <w:p w14:paraId="2CF7C683">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本合同总价为：人民币</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元（大写：</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元人民币，含税）。</w:t>
      </w:r>
    </w:p>
    <w:p w14:paraId="772316D8">
      <w:pPr>
        <w:spacing w:line="360" w:lineRule="auto"/>
        <w:ind w:firstLine="482" w:firstLineChars="200"/>
        <w:rPr>
          <w:rFonts w:hint="eastAsia" w:ascii="仿宋_GB2312" w:hAnsi="楷体" w:eastAsia="仿宋_GB2312"/>
          <w:b/>
          <w:color w:val="auto"/>
          <w:sz w:val="24"/>
          <w:highlight w:val="none"/>
        </w:rPr>
      </w:pPr>
      <w:bookmarkStart w:id="81" w:name="_Toc10340"/>
      <w:bookmarkStart w:id="82" w:name="_Toc1814"/>
      <w:bookmarkStart w:id="83" w:name="_Toc22618"/>
      <w:r>
        <w:rPr>
          <w:rFonts w:hint="eastAsia" w:ascii="仿宋_GB2312" w:hAnsi="楷体" w:eastAsia="仿宋_GB2312"/>
          <w:b/>
          <w:color w:val="auto"/>
          <w:sz w:val="24"/>
          <w:highlight w:val="none"/>
        </w:rPr>
        <w:t>1.4 付款方式和发票开具方式</w:t>
      </w:r>
      <w:bookmarkEnd w:id="81"/>
      <w:bookmarkEnd w:id="82"/>
      <w:bookmarkEnd w:id="83"/>
    </w:p>
    <w:p w14:paraId="02FD1831">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1.4.1 付款方式：</w:t>
      </w:r>
    </w:p>
    <w:p w14:paraId="05FF6122">
      <w:pPr>
        <w:spacing w:line="360" w:lineRule="auto"/>
        <w:ind w:firstLine="480" w:firstLineChars="20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u w:val="single"/>
          <w:lang w:eastAsia="zh-CN"/>
        </w:rPr>
        <w:t>（</w:t>
      </w:r>
      <w:r>
        <w:rPr>
          <w:rFonts w:hint="eastAsia" w:ascii="仿宋_GB2312" w:hAnsi="楷体" w:eastAsia="仿宋_GB2312"/>
          <w:color w:val="auto"/>
          <w:sz w:val="24"/>
          <w:highlight w:val="none"/>
          <w:u w:val="single"/>
          <w:lang w:val="en-US" w:eastAsia="zh-CN"/>
        </w:rPr>
        <w:t>1</w:t>
      </w:r>
      <w:r>
        <w:rPr>
          <w:rFonts w:hint="eastAsia" w:ascii="仿宋_GB2312" w:hAnsi="楷体" w:eastAsia="仿宋_GB2312"/>
          <w:color w:val="auto"/>
          <w:sz w:val="24"/>
          <w:highlight w:val="none"/>
          <w:u w:val="single"/>
          <w:lang w:eastAsia="zh-CN"/>
        </w:rPr>
        <w:t>）</w:t>
      </w:r>
      <w:r>
        <w:rPr>
          <w:rFonts w:hint="eastAsia" w:ascii="仿宋_GB2312" w:hAnsi="楷体" w:eastAsia="仿宋_GB2312"/>
          <w:color w:val="auto"/>
          <w:sz w:val="24"/>
          <w:highlight w:val="none"/>
          <w:u w:val="single"/>
        </w:rPr>
        <w:t>服务周期内分为8个季度进行支付，每季度支付金额为服务合同款的12.5%</w:t>
      </w:r>
      <w:r>
        <w:rPr>
          <w:rFonts w:hint="eastAsia" w:ascii="仿宋_GB2312" w:hAnsi="楷体" w:eastAsia="仿宋_GB2312"/>
          <w:color w:val="auto"/>
          <w:sz w:val="24"/>
          <w:highlight w:val="none"/>
          <w:u w:val="none"/>
        </w:rPr>
        <w:t>。</w:t>
      </w:r>
    </w:p>
    <w:p w14:paraId="583DBCDB">
      <w:pPr>
        <w:spacing w:line="360" w:lineRule="auto"/>
        <w:ind w:firstLine="480" w:firstLineChars="200"/>
        <w:rPr>
          <w:rFonts w:hint="eastAsia" w:ascii="仿宋_GB2312" w:hAnsi="楷体" w:eastAsia="仿宋_GB2312"/>
          <w:color w:val="auto"/>
          <w:sz w:val="24"/>
          <w:highlight w:val="none"/>
          <w:lang w:eastAsia="zh-CN"/>
        </w:rPr>
      </w:pPr>
      <w:r>
        <w:rPr>
          <w:rFonts w:hint="eastAsia" w:ascii="仿宋_GB2312" w:hAnsi="楷体" w:eastAsia="仿宋_GB2312"/>
          <w:color w:val="auto"/>
          <w:sz w:val="24"/>
          <w:highlight w:val="none"/>
          <w:u w:val="single"/>
          <w:lang w:eastAsia="zh-CN"/>
        </w:rPr>
        <w:t>（</w:t>
      </w:r>
      <w:r>
        <w:rPr>
          <w:rFonts w:hint="eastAsia" w:ascii="仿宋_GB2312" w:hAnsi="楷体" w:eastAsia="仿宋_GB2312"/>
          <w:color w:val="auto"/>
          <w:sz w:val="24"/>
          <w:highlight w:val="none"/>
          <w:u w:val="single"/>
          <w:lang w:val="en-US" w:eastAsia="zh-CN"/>
        </w:rPr>
        <w:t>2</w:t>
      </w:r>
      <w:r>
        <w:rPr>
          <w:rFonts w:hint="eastAsia" w:ascii="仿宋_GB2312" w:hAnsi="楷体" w:eastAsia="仿宋_GB2312"/>
          <w:color w:val="auto"/>
          <w:sz w:val="24"/>
          <w:highlight w:val="none"/>
          <w:u w:val="single"/>
          <w:lang w:eastAsia="zh-CN"/>
        </w:rPr>
        <w:t>）</w:t>
      </w:r>
      <w:r>
        <w:rPr>
          <w:rFonts w:hint="eastAsia" w:ascii="仿宋_GB2312" w:hAnsi="楷体" w:eastAsia="仿宋_GB2312"/>
          <w:color w:val="auto"/>
          <w:sz w:val="24"/>
          <w:highlight w:val="none"/>
          <w:u w:val="single"/>
        </w:rPr>
        <w:t>支付条件：采购人按季度对成交供应商进行运维服务考核（运维服务考核表详见附件1，如合同期内采购人调整考核办法，则下一季度按新修订的运维服务考核办法进行执行）。考核合格后，由成交供应商开具符合国家规定以及符合采购人财务管理要求的相应发票给采购人，采购人在收到发票后10个工作日内向成交供应商支付当季运维服务费</w:t>
      </w:r>
      <w:r>
        <w:rPr>
          <w:rFonts w:hint="eastAsia" w:ascii="仿宋_GB2312" w:hAnsi="楷体" w:eastAsia="仿宋_GB2312"/>
          <w:color w:val="auto"/>
          <w:sz w:val="24"/>
          <w:highlight w:val="none"/>
          <w:lang w:eastAsia="zh-CN"/>
        </w:rPr>
        <w:t>。</w:t>
      </w:r>
    </w:p>
    <w:p w14:paraId="26A269B9">
      <w:pPr>
        <w:spacing w:line="360" w:lineRule="auto"/>
        <w:ind w:firstLine="480" w:firstLineChars="200"/>
        <w:rPr>
          <w:rFonts w:hint="eastAsia" w:ascii="仿宋_GB2312" w:hAnsi="楷体" w:eastAsia="仿宋_GB2312"/>
          <w:color w:val="auto"/>
          <w:sz w:val="24"/>
          <w:highlight w:val="none"/>
          <w:lang w:eastAsia="zh-CN"/>
        </w:rPr>
      </w:pPr>
      <w:r>
        <w:rPr>
          <w:rFonts w:hint="eastAsia" w:ascii="仿宋_GB2312" w:hAnsi="楷体" w:eastAsia="仿宋_GB2312"/>
          <w:color w:val="auto"/>
          <w:sz w:val="24"/>
          <w:highlight w:val="none"/>
        </w:rPr>
        <w:t>1.4.2 发票开具方式：</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u w:val="single"/>
          <w:lang w:eastAsia="zh-CN"/>
        </w:rPr>
        <w:t>普通增值税发票。</w:t>
      </w:r>
    </w:p>
    <w:p w14:paraId="50FA4773">
      <w:pPr>
        <w:spacing w:line="360" w:lineRule="auto"/>
        <w:ind w:firstLine="482" w:firstLineChars="200"/>
        <w:rPr>
          <w:rFonts w:hint="eastAsia" w:ascii="仿宋_GB2312" w:hAnsi="楷体" w:eastAsia="仿宋_GB2312"/>
          <w:b/>
          <w:color w:val="auto"/>
          <w:sz w:val="24"/>
          <w:highlight w:val="none"/>
        </w:rPr>
      </w:pPr>
      <w:bookmarkStart w:id="84" w:name="_Toc32071"/>
      <w:bookmarkStart w:id="85" w:name="_Toc19304"/>
      <w:bookmarkStart w:id="86" w:name="_Toc2846"/>
      <w:r>
        <w:rPr>
          <w:rFonts w:hint="eastAsia" w:ascii="仿宋_GB2312" w:hAnsi="楷体" w:eastAsia="仿宋_GB2312"/>
          <w:b/>
          <w:color w:val="auto"/>
          <w:sz w:val="24"/>
          <w:highlight w:val="none"/>
        </w:rPr>
        <w:t>1.5 标的物交付期限、地点、方式</w:t>
      </w:r>
      <w:bookmarkEnd w:id="84"/>
      <w:bookmarkEnd w:id="85"/>
      <w:bookmarkEnd w:id="86"/>
      <w:r>
        <w:rPr>
          <w:rFonts w:hint="eastAsia" w:ascii="仿宋_GB2312" w:hAnsi="楷体" w:eastAsia="仿宋_GB2312"/>
          <w:b/>
          <w:color w:val="auto"/>
          <w:sz w:val="24"/>
          <w:highlight w:val="none"/>
        </w:rPr>
        <w:t>和服务期限</w:t>
      </w:r>
    </w:p>
    <w:p w14:paraId="6C22ACB4">
      <w:pPr>
        <w:spacing w:line="360" w:lineRule="auto"/>
        <w:ind w:firstLine="480" w:firstLineChars="20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rPr>
        <w:t>1.5.1 服务期限：</w:t>
      </w:r>
      <w:r>
        <w:rPr>
          <w:rFonts w:hint="eastAsia" w:ascii="仿宋_GB2312" w:hAnsi="楷体" w:eastAsia="仿宋_GB2312"/>
          <w:color w:val="auto"/>
          <w:sz w:val="24"/>
          <w:highlight w:val="none"/>
          <w:u w:val="single"/>
        </w:rPr>
        <w:t>自签订合同之日起2年</w:t>
      </w:r>
      <w:r>
        <w:rPr>
          <w:rFonts w:hint="eastAsia" w:ascii="仿宋_GB2312" w:hAnsi="楷体" w:eastAsia="仿宋_GB2312"/>
          <w:color w:val="auto"/>
          <w:sz w:val="24"/>
          <w:highlight w:val="none"/>
          <w:u w:val="none"/>
        </w:rPr>
        <w:t>；</w:t>
      </w:r>
    </w:p>
    <w:p w14:paraId="53BF2DE0">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1.5.2 服务地点：</w:t>
      </w:r>
      <w:r>
        <w:rPr>
          <w:rFonts w:hint="eastAsia" w:ascii="仿宋_GB2312" w:hAnsi="楷体" w:eastAsia="仿宋_GB2312"/>
          <w:color w:val="auto"/>
          <w:sz w:val="24"/>
          <w:highlight w:val="none"/>
          <w:u w:val="single"/>
        </w:rPr>
        <w:t>广西工业职业技术学院（南宁校区：南宁市西乡塘区秀灵路37号；贵港校区：广西贵港市桂林路1118号；武鸣校区：广西南宁市武鸣区城厢镇凤鸣路83号），采购人指定地点</w:t>
      </w:r>
      <w:r>
        <w:rPr>
          <w:rFonts w:hint="eastAsia" w:ascii="仿宋_GB2312" w:hAnsi="楷体" w:eastAsia="仿宋_GB2312"/>
          <w:color w:val="auto"/>
          <w:sz w:val="24"/>
          <w:highlight w:val="none"/>
        </w:rPr>
        <w:t>；</w:t>
      </w:r>
    </w:p>
    <w:p w14:paraId="3DD2D519">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1.5.3 交付方式：</w:t>
      </w:r>
      <w:r>
        <w:rPr>
          <w:rFonts w:hint="eastAsia" w:ascii="仿宋_GB2312" w:hAnsi="楷体" w:eastAsia="仿宋_GB2312"/>
          <w:color w:val="auto"/>
          <w:sz w:val="24"/>
          <w:highlight w:val="none"/>
          <w:u w:val="single"/>
          <w:lang w:eastAsia="zh-CN"/>
        </w:rPr>
        <w:t>现场交付</w:t>
      </w:r>
      <w:r>
        <w:rPr>
          <w:rFonts w:hint="eastAsia" w:ascii="仿宋_GB2312" w:hAnsi="楷体" w:eastAsia="仿宋_GB2312"/>
          <w:color w:val="auto"/>
          <w:sz w:val="24"/>
          <w:highlight w:val="none"/>
        </w:rPr>
        <w:t>；</w:t>
      </w:r>
    </w:p>
    <w:p w14:paraId="59A91068">
      <w:pPr>
        <w:spacing w:line="360" w:lineRule="auto"/>
        <w:ind w:firstLine="480" w:firstLineChars="200"/>
        <w:rPr>
          <w:rFonts w:hint="eastAsia" w:ascii="仿宋_GB2312" w:hAnsi="楷体" w:eastAsia="仿宋_GB2312"/>
          <w:color w:val="auto"/>
          <w:sz w:val="24"/>
          <w:highlight w:val="none"/>
          <w:lang w:eastAsia="zh-CN"/>
        </w:rPr>
      </w:pPr>
      <w:r>
        <w:rPr>
          <w:rFonts w:hint="eastAsia" w:ascii="仿宋_GB2312" w:hAnsi="楷体" w:eastAsia="仿宋_GB2312"/>
          <w:color w:val="auto"/>
          <w:sz w:val="24"/>
          <w:highlight w:val="none"/>
        </w:rPr>
        <w:t>1.5.</w:t>
      </w:r>
      <w:r>
        <w:rPr>
          <w:rFonts w:ascii="仿宋_GB2312" w:hAnsi="楷体" w:eastAsia="仿宋_GB2312"/>
          <w:color w:val="auto"/>
          <w:sz w:val="24"/>
          <w:highlight w:val="none"/>
        </w:rPr>
        <w:t>4</w:t>
      </w:r>
      <w:r>
        <w:rPr>
          <w:rFonts w:hint="eastAsia" w:ascii="仿宋_GB2312" w:hAnsi="楷体" w:eastAsia="仿宋_GB2312"/>
          <w:color w:val="auto"/>
          <w:sz w:val="24"/>
          <w:highlight w:val="none"/>
        </w:rPr>
        <w:t xml:space="preserve"> 服务及质保期限：</w:t>
      </w:r>
      <w:r>
        <w:rPr>
          <w:rFonts w:hint="eastAsia" w:ascii="仿宋_GB2312" w:hAnsi="楷体" w:eastAsia="仿宋_GB2312"/>
          <w:color w:val="auto"/>
          <w:sz w:val="24"/>
          <w:highlight w:val="none"/>
          <w:u w:val="single"/>
        </w:rPr>
        <w:t>自签订合同之日起2年</w:t>
      </w:r>
      <w:r>
        <w:rPr>
          <w:rFonts w:hint="eastAsia" w:ascii="仿宋_GB2312" w:hAnsi="楷体" w:eastAsia="仿宋_GB2312"/>
          <w:color w:val="auto"/>
          <w:sz w:val="24"/>
          <w:highlight w:val="none"/>
          <w:u w:val="none"/>
          <w:lang w:eastAsia="zh-CN"/>
        </w:rPr>
        <w:t>。</w:t>
      </w:r>
    </w:p>
    <w:p w14:paraId="683661EB">
      <w:pPr>
        <w:spacing w:line="360" w:lineRule="auto"/>
        <w:ind w:firstLine="482" w:firstLineChars="200"/>
        <w:rPr>
          <w:rFonts w:hint="eastAsia" w:ascii="仿宋_GB2312" w:hAnsi="楷体" w:eastAsia="仿宋_GB2312"/>
          <w:b/>
          <w:color w:val="auto"/>
          <w:sz w:val="24"/>
          <w:highlight w:val="none"/>
        </w:rPr>
      </w:pPr>
      <w:bookmarkStart w:id="87" w:name="_Toc21423"/>
      <w:bookmarkStart w:id="88" w:name="_Toc19554"/>
      <w:bookmarkStart w:id="89" w:name="_Toc27250"/>
      <w:r>
        <w:rPr>
          <w:rFonts w:hint="eastAsia" w:ascii="仿宋_GB2312" w:hAnsi="楷体" w:eastAsia="仿宋_GB2312"/>
          <w:b/>
          <w:color w:val="auto"/>
          <w:sz w:val="24"/>
          <w:highlight w:val="none"/>
        </w:rPr>
        <w:t>1.6 违约责任</w:t>
      </w:r>
      <w:bookmarkEnd w:id="87"/>
      <w:bookmarkEnd w:id="88"/>
      <w:bookmarkEnd w:id="89"/>
    </w:p>
    <w:p w14:paraId="3AF25AB6">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1.6.1 除不可抗力外，如果乙方没有按照本合同约定的期限、地点和方式交付标的物，甲方可要求乙方支付违约金，违约金按每迟延交付标的物一日的应交付而未交付标的物价格的</w:t>
      </w:r>
      <w:r>
        <w:rPr>
          <w:rFonts w:hint="eastAsia" w:ascii="仿宋_GB2312" w:hAnsi="楷体" w:eastAsia="仿宋_GB2312"/>
          <w:color w:val="auto"/>
          <w:sz w:val="24"/>
          <w:highlight w:val="none"/>
          <w:u w:val="single"/>
        </w:rPr>
        <w:t>万分之五</w:t>
      </w:r>
      <w:r>
        <w:rPr>
          <w:rFonts w:hint="eastAsia" w:ascii="仿宋_GB2312" w:hAnsi="楷体" w:eastAsia="仿宋_GB2312"/>
          <w:color w:val="auto"/>
          <w:sz w:val="24"/>
          <w:highlight w:val="none"/>
        </w:rPr>
        <w:t>计算，最高限额为本合同总价的</w:t>
      </w:r>
      <w:r>
        <w:rPr>
          <w:rFonts w:hint="eastAsia" w:ascii="仿宋_GB2312" w:hAnsi="楷体" w:eastAsia="仿宋_GB2312"/>
          <w:color w:val="auto"/>
          <w:sz w:val="24"/>
          <w:highlight w:val="none"/>
          <w:u w:val="single"/>
          <w:lang w:val="en-US" w:eastAsia="zh-CN"/>
        </w:rPr>
        <w:t>20</w:t>
      </w:r>
      <w:r>
        <w:rPr>
          <w:rFonts w:hint="eastAsia" w:ascii="仿宋_GB2312" w:hAnsi="楷体" w:eastAsia="仿宋_GB2312"/>
          <w:color w:val="auto"/>
          <w:sz w:val="24"/>
          <w:highlight w:val="none"/>
        </w:rPr>
        <w:t>%；迟延超过</w:t>
      </w:r>
      <w:r>
        <w:rPr>
          <w:rFonts w:hint="eastAsia" w:ascii="仿宋_GB2312" w:hAnsi="楷体" w:eastAsia="仿宋_GB2312"/>
          <w:color w:val="auto"/>
          <w:sz w:val="24"/>
          <w:highlight w:val="none"/>
          <w:lang w:eastAsia="zh-CN"/>
        </w:rPr>
        <w:t>[</w:t>
      </w:r>
      <w:r>
        <w:rPr>
          <w:rFonts w:hint="eastAsia" w:ascii="仿宋_GB2312" w:hAnsi="楷体" w:eastAsia="仿宋_GB2312"/>
          <w:color w:val="auto"/>
          <w:sz w:val="24"/>
          <w:highlight w:val="none"/>
          <w:lang w:val="en-US" w:eastAsia="zh-CN"/>
        </w:rPr>
        <w:t>10</w:t>
      </w:r>
      <w:r>
        <w:rPr>
          <w:rFonts w:hint="eastAsia" w:ascii="仿宋_GB2312" w:hAnsi="楷体" w:eastAsia="仿宋_GB2312"/>
          <w:color w:val="auto"/>
          <w:sz w:val="24"/>
          <w:highlight w:val="none"/>
          <w:lang w:eastAsia="zh-CN"/>
        </w:rPr>
        <w:t>]</w:t>
      </w:r>
      <w:r>
        <w:rPr>
          <w:rFonts w:hint="eastAsia" w:ascii="仿宋_GB2312" w:hAnsi="楷体" w:eastAsia="仿宋_GB2312"/>
          <w:color w:val="auto"/>
          <w:sz w:val="24"/>
          <w:highlight w:val="none"/>
        </w:rPr>
        <w:t>日的，甲方有权在要求乙方支付违约金的同时，书面通知乙方解除本合同，乙方应退回全部已收取的合同价款并按合同总金额的</w:t>
      </w:r>
      <w:r>
        <w:rPr>
          <w:rFonts w:hint="eastAsia" w:ascii="仿宋_GB2312" w:hAnsi="楷体" w:eastAsia="仿宋_GB2312"/>
          <w:color w:val="auto"/>
          <w:sz w:val="24"/>
          <w:highlight w:val="none"/>
          <w:u w:val="single"/>
          <w:lang w:val="en-US" w:eastAsia="zh-CN"/>
        </w:rPr>
        <w:t>20</w:t>
      </w:r>
      <w:r>
        <w:rPr>
          <w:rFonts w:hint="eastAsia" w:ascii="仿宋_GB2312" w:hAnsi="楷体" w:eastAsia="仿宋_GB2312"/>
          <w:color w:val="auto"/>
          <w:sz w:val="24"/>
          <w:highlight w:val="none"/>
        </w:rPr>
        <w:t>%向甲方支付违约金；</w:t>
      </w:r>
    </w:p>
    <w:p w14:paraId="492E1945">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1.6.2 除不可抗力外，如果甲方没有按照本合同约定的付款方式付款，乙方可要求甲方支付违约金，违约金按每迟延付款一日的应付而未付款的</w:t>
      </w:r>
      <w:r>
        <w:rPr>
          <w:rFonts w:hint="eastAsia" w:ascii="仿宋_GB2312" w:hAnsi="楷体" w:eastAsia="仿宋_GB2312"/>
          <w:color w:val="auto"/>
          <w:sz w:val="24"/>
          <w:highlight w:val="none"/>
          <w:u w:val="single"/>
        </w:rPr>
        <w:t>万分之五</w:t>
      </w:r>
      <w:r>
        <w:rPr>
          <w:rFonts w:hint="eastAsia" w:ascii="仿宋_GB2312" w:hAnsi="楷体" w:eastAsia="仿宋_GB2312"/>
          <w:color w:val="auto"/>
          <w:sz w:val="24"/>
          <w:highlight w:val="none"/>
        </w:rPr>
        <w:t>计算，最高限额为欠付金额的</w:t>
      </w:r>
      <w:r>
        <w:rPr>
          <w:rFonts w:hint="eastAsia" w:ascii="仿宋_GB2312" w:hAnsi="楷体" w:eastAsia="仿宋_GB2312"/>
          <w:color w:val="auto"/>
          <w:sz w:val="24"/>
          <w:highlight w:val="none"/>
          <w:u w:val="single"/>
          <w:lang w:val="en-US" w:eastAsia="zh-CN"/>
        </w:rPr>
        <w:t>20</w:t>
      </w:r>
      <w:r>
        <w:rPr>
          <w:rFonts w:hint="eastAsia" w:ascii="仿宋_GB2312" w:hAnsi="楷体" w:eastAsia="仿宋_GB2312"/>
          <w:color w:val="auto"/>
          <w:sz w:val="24"/>
          <w:highlight w:val="none"/>
        </w:rPr>
        <w:t>%；迟延付款的违约金计算数额达到前述最高限额之日起，乙方有权在要求甲方支付违约金的同时，书面通知甲方解除本合同；</w:t>
      </w:r>
    </w:p>
    <w:p w14:paraId="2594049D">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r>
        <w:rPr>
          <w:rFonts w:hint="eastAsia" w:ascii="仿宋_GB2312" w:hAnsi="楷体" w:eastAsia="仿宋_GB2312"/>
          <w:color w:val="auto"/>
          <w:sz w:val="24"/>
          <w:highlight w:val="none"/>
          <w:lang w:eastAsia="zh-CN"/>
        </w:rPr>
        <w:t>，</w:t>
      </w:r>
      <w:r>
        <w:rPr>
          <w:rFonts w:hint="eastAsia" w:ascii="仿宋_GB2312" w:hAnsi="楷体" w:eastAsia="仿宋_GB2312"/>
          <w:color w:val="auto"/>
          <w:sz w:val="24"/>
          <w:highlight w:val="none"/>
          <w:lang w:val="en-US" w:eastAsia="zh-CN"/>
        </w:rPr>
        <w:t>并有权要求违约方按照合同总金额20%支付违约金</w:t>
      </w:r>
      <w:r>
        <w:rPr>
          <w:rFonts w:hint="eastAsia" w:ascii="仿宋_GB2312" w:hAnsi="楷体" w:eastAsia="仿宋_GB2312"/>
          <w:color w:val="auto"/>
          <w:sz w:val="24"/>
          <w:highlight w:val="none"/>
        </w:rPr>
        <w:t>；</w:t>
      </w:r>
    </w:p>
    <w:p w14:paraId="691B0F00">
      <w:pPr>
        <w:spacing w:line="360" w:lineRule="auto"/>
        <w:ind w:left="239" w:leftChars="114" w:firstLine="240" w:firstLineChars="100"/>
        <w:rPr>
          <w:rFonts w:hint="eastAsia" w:ascii="仿宋" w:hAnsi="仿宋" w:eastAsia="仿宋" w:cs="仿宋"/>
          <w:color w:val="auto"/>
          <w:sz w:val="24"/>
          <w:highlight w:val="none"/>
        </w:rPr>
      </w:pPr>
      <w:r>
        <w:rPr>
          <w:rFonts w:hint="eastAsia" w:ascii="仿宋_GB2312" w:hAnsi="楷体" w:eastAsia="仿宋_GB2312"/>
          <w:color w:val="auto"/>
          <w:sz w:val="24"/>
          <w:highlight w:val="none"/>
        </w:rPr>
        <w:t>1.6.4乙方在质保期内未按承诺提供售后等服务的，每发生一次向甲方支付</w:t>
      </w:r>
      <w:r>
        <w:rPr>
          <w:rFonts w:hint="eastAsia" w:ascii="仿宋" w:hAnsi="仿宋" w:eastAsia="仿宋" w:cs="仿宋"/>
          <w:color w:val="auto"/>
          <w:sz w:val="24"/>
          <w:highlight w:val="none"/>
          <w:u w:val="single"/>
          <w:lang w:val="en-US" w:eastAsia="zh-CN"/>
        </w:rPr>
        <w:t>2000</w:t>
      </w:r>
      <w:r>
        <w:rPr>
          <w:rFonts w:hint="eastAsia" w:ascii="仿宋_GB2312" w:hAnsi="楷体" w:eastAsia="仿宋_GB2312"/>
          <w:color w:val="auto"/>
          <w:sz w:val="24"/>
          <w:highlight w:val="none"/>
        </w:rPr>
        <w:t>元的违约金。</w:t>
      </w:r>
    </w:p>
    <w:p w14:paraId="33B62399">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w:t>
      </w:r>
      <w:r>
        <w:rPr>
          <w:rFonts w:hint="eastAsia" w:ascii="仿宋_GB2312" w:hAnsi="楷体" w:eastAsia="仿宋_GB2312"/>
          <w:color w:val="auto"/>
          <w:sz w:val="24"/>
          <w:highlight w:val="none"/>
          <w:lang w:val="en-US" w:eastAsia="zh-CN"/>
        </w:rPr>
        <w:t>按照合同总金额20%</w:t>
      </w:r>
      <w:r>
        <w:rPr>
          <w:rFonts w:hint="eastAsia" w:ascii="仿宋_GB2312" w:hAnsi="楷体" w:eastAsia="仿宋_GB2312"/>
          <w:color w:val="auto"/>
          <w:sz w:val="24"/>
          <w:highlight w:val="none"/>
        </w:rPr>
        <w:t>支付违约金和按照己方实际损失情况要求违约方赔偿损失；且守约方行使的任何权利救济方式均不视为其放弃了其他法定或者约定的权利救济方式；</w:t>
      </w:r>
    </w:p>
    <w:p w14:paraId="63FB5AA7">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6A7EA71">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1.6.7 如果出现政府采购监督管理部门在处理投诉事项期间，书面通知甲方暂停采购活动的情形，或者询问或质疑事项可能影响中标结果的，导致甲方中止履行合同的情形，均不视为甲方违约。</w:t>
      </w:r>
    </w:p>
    <w:p w14:paraId="63755ECD">
      <w:pPr>
        <w:spacing w:line="360" w:lineRule="auto"/>
        <w:ind w:firstLine="480" w:firstLineChars="200"/>
        <w:rPr>
          <w:rFonts w:hint="eastAsia" w:ascii="仿宋_GB2312" w:hAnsi="楷体" w:eastAsia="仿宋_GB2312"/>
          <w:color w:val="auto"/>
          <w:sz w:val="24"/>
          <w:highlight w:val="none"/>
          <w:lang w:val="en-US" w:eastAsia="zh-CN"/>
        </w:rPr>
      </w:pPr>
      <w:r>
        <w:rPr>
          <w:rFonts w:hint="eastAsia" w:ascii="仿宋_GB2312" w:hAnsi="楷体" w:eastAsia="仿宋_GB2312"/>
          <w:color w:val="auto"/>
          <w:sz w:val="24"/>
          <w:highlight w:val="none"/>
          <w:lang w:val="en-US" w:eastAsia="zh-CN"/>
        </w:rPr>
        <w:t>1.6.8 乙方在服务期间按</w:t>
      </w:r>
      <w:r>
        <w:rPr>
          <w:rFonts w:hint="eastAsia" w:ascii="宋体" w:hAnsi="宋体" w:eastAsia="宋体" w:cs="宋体"/>
          <w:b w:val="0"/>
          <w:bCs w:val="0"/>
          <w:color w:val="auto"/>
          <w:sz w:val="21"/>
          <w:szCs w:val="21"/>
          <w:highlight w:val="none"/>
        </w:rPr>
        <w:t>考核要求</w:t>
      </w:r>
      <w:r>
        <w:rPr>
          <w:rFonts w:hint="eastAsia" w:ascii="宋体" w:hAnsi="宋体" w:eastAsia="宋体" w:cs="宋体"/>
          <w:b w:val="0"/>
          <w:bCs w:val="0"/>
          <w:color w:val="auto"/>
          <w:sz w:val="21"/>
          <w:szCs w:val="21"/>
          <w:highlight w:val="none"/>
          <w:lang w:val="en-US" w:eastAsia="zh-CN"/>
        </w:rPr>
        <w:t>考核</w:t>
      </w:r>
      <w:r>
        <w:rPr>
          <w:rFonts w:hint="eastAsia" w:ascii="仿宋_GB2312" w:hAnsi="楷体" w:eastAsia="仿宋_GB2312"/>
          <w:color w:val="auto"/>
          <w:sz w:val="24"/>
          <w:highlight w:val="none"/>
          <w:lang w:val="en-US" w:eastAsia="zh-CN"/>
        </w:rPr>
        <w:t>不合格或者未经学校批准从事其他经营活动超过3次的，甲方有权解除本合同，要求乙方退出，并不再支付该季度服务费用，如果因服务原因造成甲方损失的，还需需要按价赔偿损失，履约保证金不再退还。</w:t>
      </w:r>
    </w:p>
    <w:p w14:paraId="713EEC14">
      <w:pPr>
        <w:spacing w:line="360" w:lineRule="auto"/>
        <w:ind w:firstLine="482" w:firstLineChars="200"/>
        <w:rPr>
          <w:rFonts w:hint="eastAsia" w:ascii="仿宋_GB2312" w:hAnsi="楷体" w:eastAsia="仿宋_GB2312"/>
          <w:b/>
          <w:color w:val="auto"/>
          <w:sz w:val="24"/>
          <w:highlight w:val="none"/>
        </w:rPr>
      </w:pPr>
      <w:bookmarkStart w:id="90" w:name="_Toc28375"/>
      <w:bookmarkStart w:id="91" w:name="_Toc16021"/>
      <w:bookmarkStart w:id="92" w:name="_Toc15583"/>
      <w:r>
        <w:rPr>
          <w:rFonts w:hint="eastAsia" w:ascii="仿宋_GB2312" w:hAnsi="楷体" w:eastAsia="仿宋_GB2312"/>
          <w:b/>
          <w:color w:val="auto"/>
          <w:sz w:val="24"/>
          <w:highlight w:val="none"/>
        </w:rPr>
        <w:t>1.7 合同争议的解决</w:t>
      </w:r>
      <w:bookmarkEnd w:id="90"/>
      <w:bookmarkEnd w:id="91"/>
      <w:bookmarkEnd w:id="92"/>
    </w:p>
    <w:p w14:paraId="0E78C236">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本合同履行过程中发生的任何争议，双方当事人均可通过和解或者调解解决；不愿和解、调解或者和解、调解不成的，可以选择下列第</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u w:val="single"/>
          <w:lang w:val="en-US" w:eastAsia="zh-CN"/>
        </w:rPr>
        <w:t>1.7.2</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种方式解决：</w:t>
      </w:r>
    </w:p>
    <w:p w14:paraId="02FBD30A">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1.7.1 将争议提交</w:t>
      </w:r>
      <w:r>
        <w:rPr>
          <w:rFonts w:hint="eastAsia" w:ascii="仿宋_GB2312" w:hAnsi="楷体" w:eastAsia="仿宋_GB2312"/>
          <w:color w:val="auto"/>
          <w:sz w:val="24"/>
          <w:highlight w:val="none"/>
          <w:u w:val="single"/>
        </w:rPr>
        <w:t>南宁</w:t>
      </w:r>
      <w:r>
        <w:rPr>
          <w:rFonts w:hint="eastAsia" w:ascii="仿宋_GB2312" w:hAnsi="楷体" w:eastAsia="仿宋_GB2312"/>
          <w:color w:val="auto"/>
          <w:sz w:val="24"/>
          <w:highlight w:val="none"/>
        </w:rPr>
        <w:t>仲裁委员会依申请仲裁时其现行有效的仲裁规则裁决；</w:t>
      </w:r>
    </w:p>
    <w:p w14:paraId="2057A10A">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1.7.2 向</w:t>
      </w:r>
      <w:r>
        <w:rPr>
          <w:rFonts w:hint="eastAsia" w:ascii="仿宋_GB2312" w:hAnsi="楷体" w:eastAsia="仿宋_GB2312"/>
          <w:color w:val="auto"/>
          <w:sz w:val="24"/>
          <w:highlight w:val="none"/>
          <w:u w:val="single"/>
        </w:rPr>
        <w:t xml:space="preserve">   甲方所在地  </w:t>
      </w:r>
      <w:r>
        <w:rPr>
          <w:rFonts w:hint="eastAsia" w:ascii="仿宋_GB2312" w:hAnsi="楷体" w:eastAsia="仿宋_GB2312"/>
          <w:color w:val="auto"/>
          <w:sz w:val="24"/>
          <w:highlight w:val="none"/>
        </w:rPr>
        <w:t>人民法院起诉。</w:t>
      </w:r>
    </w:p>
    <w:p w14:paraId="6BA01B24">
      <w:pPr>
        <w:spacing w:line="360" w:lineRule="auto"/>
        <w:ind w:firstLine="482" w:firstLineChars="200"/>
        <w:rPr>
          <w:rFonts w:hint="eastAsia" w:ascii="仿宋_GB2312" w:hAnsi="楷体" w:eastAsia="仿宋_GB2312"/>
          <w:b/>
          <w:color w:val="auto"/>
          <w:sz w:val="24"/>
          <w:highlight w:val="none"/>
        </w:rPr>
      </w:pPr>
      <w:bookmarkStart w:id="93" w:name="_Toc11173"/>
      <w:bookmarkStart w:id="94" w:name="_Toc15322"/>
      <w:bookmarkStart w:id="95" w:name="_Toc7245"/>
      <w:r>
        <w:rPr>
          <w:rFonts w:hint="eastAsia" w:ascii="仿宋_GB2312" w:hAnsi="楷体" w:eastAsia="仿宋_GB2312"/>
          <w:b/>
          <w:color w:val="auto"/>
          <w:sz w:val="24"/>
          <w:highlight w:val="none"/>
        </w:rPr>
        <w:t>1.8 合同生效</w:t>
      </w:r>
      <w:bookmarkEnd w:id="93"/>
      <w:bookmarkEnd w:id="94"/>
      <w:bookmarkEnd w:id="95"/>
    </w:p>
    <w:p w14:paraId="2AC00C5E">
      <w:pPr>
        <w:spacing w:line="360" w:lineRule="auto"/>
        <w:ind w:firstLine="480" w:firstLineChars="200"/>
        <w:rPr>
          <w:rFonts w:hint="default" w:ascii="仿宋_GB2312" w:hAnsi="楷体" w:eastAsia="仿宋_GB2312"/>
          <w:b/>
          <w:color w:val="auto"/>
          <w:sz w:val="24"/>
          <w:highlight w:val="none"/>
          <w:lang w:val="en-US" w:eastAsia="zh-CN"/>
        </w:rPr>
      </w:pPr>
      <w:r>
        <w:rPr>
          <w:rFonts w:hint="eastAsia" w:ascii="仿宋_GB2312" w:hAnsi="楷体" w:eastAsia="仿宋_GB2312"/>
          <w:color w:val="auto"/>
          <w:sz w:val="24"/>
          <w:highlight w:val="none"/>
        </w:rPr>
        <w:t>本合同自双方当事人加盖有效公章时生效。</w:t>
      </w:r>
      <w:r>
        <w:rPr>
          <w:rFonts w:hint="eastAsia" w:ascii="仿宋_GB2312" w:hAnsi="楷体" w:eastAsia="仿宋_GB2312"/>
          <w:color w:val="auto"/>
          <w:sz w:val="24"/>
          <w:highlight w:val="none"/>
          <w:lang w:val="en-US" w:eastAsia="zh-CN"/>
        </w:rPr>
        <w:t>本合同一式肆份，甲乙双方各执贰份，具有同等法律效力。</w:t>
      </w:r>
    </w:p>
    <w:tbl>
      <w:tblPr>
        <w:tblStyle w:val="29"/>
        <w:tblW w:w="9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92"/>
        <w:gridCol w:w="4700"/>
      </w:tblGrid>
      <w:tr w14:paraId="76FAE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2" w:type="dxa"/>
            <w:noWrap w:val="0"/>
            <w:vAlign w:val="center"/>
          </w:tcPr>
          <w:p w14:paraId="209D4212">
            <w:pPr>
              <w:spacing w:line="360" w:lineRule="auto"/>
              <w:jc w:val="left"/>
              <w:rPr>
                <w:rFonts w:hint="eastAsia" w:ascii="仿宋_GB2312" w:hAnsi="楷体" w:eastAsia="仿宋_GB2312" w:cs="Times New Roman"/>
                <w:color w:val="auto"/>
                <w:sz w:val="24"/>
                <w:highlight w:val="none"/>
                <w:lang w:val="zh-CN"/>
              </w:rPr>
            </w:pPr>
            <w:bookmarkStart w:id="96" w:name="_Toc331685783"/>
            <w:r>
              <w:rPr>
                <w:rFonts w:hint="eastAsia" w:ascii="仿宋_GB2312" w:hAnsi="楷体" w:eastAsia="仿宋_GB2312" w:cs="Times New Roman"/>
                <w:color w:val="auto"/>
                <w:sz w:val="24"/>
                <w:highlight w:val="none"/>
                <w:lang w:val="zh-CN"/>
              </w:rPr>
              <w:t>甲方：</w:t>
            </w:r>
          </w:p>
        </w:tc>
        <w:tc>
          <w:tcPr>
            <w:tcW w:w="4700" w:type="dxa"/>
            <w:noWrap w:val="0"/>
            <w:vAlign w:val="center"/>
          </w:tcPr>
          <w:p w14:paraId="40541808">
            <w:pPr>
              <w:spacing w:line="360" w:lineRule="auto"/>
              <w:jc w:val="left"/>
              <w:rPr>
                <w:rFonts w:hint="eastAsia" w:ascii="仿宋_GB2312" w:hAnsi="楷体" w:eastAsia="仿宋_GB2312" w:cs="Times New Roman"/>
                <w:color w:val="auto"/>
                <w:sz w:val="24"/>
                <w:highlight w:val="none"/>
                <w:lang w:val="zh-CN" w:eastAsia="zh-CN"/>
              </w:rPr>
            </w:pPr>
            <w:r>
              <w:rPr>
                <w:rFonts w:hint="eastAsia" w:ascii="仿宋_GB2312" w:hAnsi="楷体" w:eastAsia="仿宋_GB2312" w:cs="Times New Roman"/>
                <w:color w:val="auto"/>
                <w:sz w:val="24"/>
                <w:highlight w:val="none"/>
                <w:lang w:val="zh-CN"/>
              </w:rPr>
              <w:t>乙方：</w:t>
            </w:r>
          </w:p>
        </w:tc>
      </w:tr>
      <w:tr w14:paraId="00CFA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2" w:type="dxa"/>
            <w:noWrap w:val="0"/>
            <w:vAlign w:val="center"/>
          </w:tcPr>
          <w:p w14:paraId="306E23E6">
            <w:pPr>
              <w:spacing w:line="360" w:lineRule="auto"/>
              <w:jc w:val="left"/>
              <w:rPr>
                <w:rFonts w:hint="eastAsia" w:ascii="仿宋_GB2312" w:hAnsi="楷体" w:eastAsia="仿宋_GB2312" w:cs="Times New Roman"/>
                <w:color w:val="auto"/>
                <w:sz w:val="24"/>
                <w:highlight w:val="none"/>
                <w:lang w:val="zh-CN"/>
              </w:rPr>
            </w:pPr>
            <w:r>
              <w:rPr>
                <w:rFonts w:hint="eastAsia" w:ascii="仿宋_GB2312" w:hAnsi="楷体" w:eastAsia="仿宋_GB2312" w:cs="Times New Roman"/>
                <w:color w:val="auto"/>
                <w:sz w:val="24"/>
                <w:highlight w:val="none"/>
                <w:lang w:val="zh-CN"/>
              </w:rPr>
              <w:t>统一社会信用代码：</w:t>
            </w:r>
          </w:p>
          <w:p w14:paraId="5DD15A36">
            <w:pPr>
              <w:spacing w:line="360" w:lineRule="auto"/>
              <w:ind w:firstLine="480" w:firstLineChars="200"/>
              <w:jc w:val="left"/>
              <w:rPr>
                <w:rFonts w:hint="eastAsia" w:ascii="仿宋_GB2312" w:hAnsi="楷体" w:eastAsia="仿宋_GB2312" w:cs="Times New Roman"/>
                <w:color w:val="auto"/>
                <w:sz w:val="24"/>
                <w:highlight w:val="none"/>
                <w:lang w:val="zh-CN"/>
              </w:rPr>
            </w:pPr>
          </w:p>
        </w:tc>
        <w:tc>
          <w:tcPr>
            <w:tcW w:w="4700" w:type="dxa"/>
            <w:noWrap w:val="0"/>
            <w:vAlign w:val="center"/>
          </w:tcPr>
          <w:p w14:paraId="03950AB4">
            <w:pPr>
              <w:spacing w:line="360" w:lineRule="auto"/>
              <w:jc w:val="left"/>
              <w:rPr>
                <w:rFonts w:hint="eastAsia" w:ascii="仿宋_GB2312" w:hAnsi="楷体" w:eastAsia="仿宋_GB2312" w:cs="Times New Roman"/>
                <w:color w:val="auto"/>
                <w:sz w:val="24"/>
                <w:highlight w:val="none"/>
                <w:lang w:val="zh-CN"/>
              </w:rPr>
            </w:pPr>
            <w:r>
              <w:rPr>
                <w:rFonts w:hint="eastAsia" w:ascii="仿宋_GB2312" w:hAnsi="楷体" w:eastAsia="仿宋_GB2312" w:cs="Times New Roman"/>
                <w:color w:val="auto"/>
                <w:sz w:val="24"/>
                <w:highlight w:val="none"/>
                <w:lang w:val="zh-CN"/>
              </w:rPr>
              <w:t>统一社会信用代码：</w:t>
            </w:r>
          </w:p>
          <w:p w14:paraId="4E36140D">
            <w:pPr>
              <w:spacing w:line="360" w:lineRule="auto"/>
              <w:ind w:firstLine="480" w:firstLineChars="200"/>
              <w:jc w:val="left"/>
              <w:rPr>
                <w:rFonts w:hint="eastAsia" w:ascii="仿宋_GB2312" w:hAnsi="楷体" w:eastAsia="仿宋_GB2312" w:cs="Times New Roman"/>
                <w:color w:val="auto"/>
                <w:sz w:val="24"/>
                <w:highlight w:val="none"/>
                <w:lang w:val="zh-CN"/>
              </w:rPr>
            </w:pPr>
          </w:p>
        </w:tc>
      </w:tr>
      <w:tr w14:paraId="617F7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2" w:type="dxa"/>
            <w:noWrap w:val="0"/>
            <w:vAlign w:val="center"/>
          </w:tcPr>
          <w:p w14:paraId="43B06EEB">
            <w:pPr>
              <w:spacing w:line="360" w:lineRule="auto"/>
              <w:jc w:val="left"/>
              <w:rPr>
                <w:rFonts w:hint="eastAsia" w:ascii="仿宋_GB2312" w:hAnsi="楷体" w:eastAsia="仿宋_GB2312" w:cs="Times New Roman"/>
                <w:color w:val="auto"/>
                <w:sz w:val="24"/>
                <w:highlight w:val="none"/>
                <w:lang w:val="zh-CN"/>
              </w:rPr>
            </w:pPr>
            <w:r>
              <w:rPr>
                <w:rFonts w:hint="eastAsia" w:ascii="仿宋_GB2312" w:hAnsi="楷体" w:eastAsia="仿宋_GB2312" w:cs="Times New Roman"/>
                <w:color w:val="auto"/>
                <w:sz w:val="24"/>
                <w:highlight w:val="none"/>
                <w:lang w:val="zh-CN"/>
              </w:rPr>
              <w:t>住所：</w:t>
            </w:r>
          </w:p>
        </w:tc>
        <w:tc>
          <w:tcPr>
            <w:tcW w:w="4700" w:type="dxa"/>
            <w:noWrap w:val="0"/>
            <w:vAlign w:val="center"/>
          </w:tcPr>
          <w:p w14:paraId="09553EA4">
            <w:pPr>
              <w:spacing w:line="360" w:lineRule="auto"/>
              <w:jc w:val="left"/>
              <w:rPr>
                <w:rFonts w:hint="eastAsia" w:ascii="仿宋_GB2312" w:hAnsi="楷体" w:eastAsia="仿宋_GB2312" w:cs="Times New Roman"/>
                <w:color w:val="auto"/>
                <w:sz w:val="24"/>
                <w:highlight w:val="none"/>
                <w:lang w:val="zh-CN"/>
              </w:rPr>
            </w:pPr>
            <w:r>
              <w:rPr>
                <w:rFonts w:hint="eastAsia" w:ascii="仿宋_GB2312" w:hAnsi="楷体" w:eastAsia="仿宋_GB2312" w:cs="Times New Roman"/>
                <w:color w:val="auto"/>
                <w:sz w:val="24"/>
                <w:highlight w:val="none"/>
                <w:lang w:val="zh-CN"/>
              </w:rPr>
              <w:t>住所：</w:t>
            </w:r>
          </w:p>
        </w:tc>
      </w:tr>
      <w:tr w14:paraId="1F4B6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2" w:type="dxa"/>
            <w:noWrap w:val="0"/>
            <w:vAlign w:val="center"/>
          </w:tcPr>
          <w:p w14:paraId="328DEE73">
            <w:pPr>
              <w:spacing w:line="360" w:lineRule="auto"/>
              <w:jc w:val="left"/>
              <w:rPr>
                <w:rFonts w:hint="eastAsia" w:ascii="仿宋_GB2312" w:hAnsi="楷体" w:eastAsia="仿宋_GB2312" w:cs="Times New Roman"/>
                <w:color w:val="auto"/>
                <w:sz w:val="24"/>
                <w:highlight w:val="none"/>
                <w:lang w:val="zh-CN"/>
              </w:rPr>
            </w:pPr>
            <w:r>
              <w:rPr>
                <w:rFonts w:hint="eastAsia" w:ascii="仿宋_GB2312" w:hAnsi="楷体" w:eastAsia="仿宋_GB2312" w:cs="Times New Roman"/>
                <w:color w:val="auto"/>
                <w:sz w:val="24"/>
                <w:highlight w:val="none"/>
                <w:lang w:val="zh-CN"/>
              </w:rPr>
              <w:t>法定代表人或</w:t>
            </w:r>
          </w:p>
          <w:p w14:paraId="48192FD3">
            <w:pPr>
              <w:spacing w:line="360" w:lineRule="auto"/>
              <w:jc w:val="left"/>
              <w:rPr>
                <w:rFonts w:hint="eastAsia" w:ascii="仿宋_GB2312" w:hAnsi="楷体" w:eastAsia="仿宋_GB2312" w:cs="Times New Roman"/>
                <w:color w:val="auto"/>
                <w:sz w:val="24"/>
                <w:highlight w:val="none"/>
                <w:lang w:val="zh-CN"/>
              </w:rPr>
            </w:pPr>
            <w:r>
              <w:rPr>
                <w:rFonts w:hint="eastAsia" w:ascii="仿宋_GB2312" w:hAnsi="楷体" w:eastAsia="仿宋_GB2312" w:cs="Times New Roman"/>
                <w:color w:val="auto"/>
                <w:sz w:val="24"/>
                <w:highlight w:val="none"/>
                <w:lang w:val="zh-CN"/>
              </w:rPr>
              <w:t>授权代表（签字或盖章）：</w:t>
            </w:r>
          </w:p>
        </w:tc>
        <w:tc>
          <w:tcPr>
            <w:tcW w:w="4700" w:type="dxa"/>
            <w:noWrap w:val="0"/>
            <w:vAlign w:val="center"/>
          </w:tcPr>
          <w:p w14:paraId="7ABA3575">
            <w:pPr>
              <w:spacing w:line="360" w:lineRule="auto"/>
              <w:jc w:val="left"/>
              <w:rPr>
                <w:rFonts w:hint="eastAsia" w:ascii="仿宋_GB2312" w:hAnsi="楷体" w:eastAsia="仿宋_GB2312" w:cs="Times New Roman"/>
                <w:color w:val="auto"/>
                <w:sz w:val="24"/>
                <w:highlight w:val="none"/>
                <w:lang w:val="zh-CN"/>
              </w:rPr>
            </w:pPr>
            <w:r>
              <w:rPr>
                <w:rFonts w:hint="eastAsia" w:ascii="仿宋_GB2312" w:hAnsi="楷体" w:eastAsia="仿宋_GB2312" w:cs="Times New Roman"/>
                <w:color w:val="auto"/>
                <w:sz w:val="24"/>
                <w:highlight w:val="none"/>
                <w:lang w:val="zh-CN"/>
              </w:rPr>
              <w:t>法定代表人或</w:t>
            </w:r>
          </w:p>
          <w:p w14:paraId="79B9C7A5">
            <w:pPr>
              <w:spacing w:line="360" w:lineRule="auto"/>
              <w:jc w:val="left"/>
              <w:rPr>
                <w:rFonts w:hint="eastAsia" w:ascii="仿宋_GB2312" w:hAnsi="楷体" w:eastAsia="仿宋_GB2312" w:cs="Times New Roman"/>
                <w:color w:val="auto"/>
                <w:sz w:val="24"/>
                <w:highlight w:val="none"/>
                <w:lang w:val="zh-CN"/>
              </w:rPr>
            </w:pPr>
            <w:r>
              <w:rPr>
                <w:rFonts w:hint="eastAsia" w:ascii="仿宋_GB2312" w:hAnsi="楷体" w:eastAsia="仿宋_GB2312" w:cs="Times New Roman"/>
                <w:color w:val="auto"/>
                <w:sz w:val="24"/>
                <w:highlight w:val="none"/>
                <w:lang w:val="zh-CN"/>
              </w:rPr>
              <w:t>授权代表（签字或盖章）：</w:t>
            </w:r>
          </w:p>
        </w:tc>
      </w:tr>
      <w:tr w14:paraId="7E1E9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2" w:type="dxa"/>
            <w:noWrap w:val="0"/>
            <w:vAlign w:val="center"/>
          </w:tcPr>
          <w:p w14:paraId="2BEE1530">
            <w:pPr>
              <w:spacing w:line="360" w:lineRule="auto"/>
              <w:jc w:val="left"/>
              <w:rPr>
                <w:rFonts w:hint="eastAsia" w:ascii="仿宋_GB2312" w:hAnsi="楷体" w:eastAsia="仿宋_GB2312" w:cs="Times New Roman"/>
                <w:color w:val="auto"/>
                <w:sz w:val="24"/>
                <w:highlight w:val="none"/>
                <w:lang w:val="zh-CN"/>
              </w:rPr>
            </w:pPr>
            <w:r>
              <w:rPr>
                <w:rFonts w:hint="eastAsia" w:ascii="仿宋_GB2312" w:hAnsi="楷体" w:eastAsia="仿宋_GB2312" w:cs="Times New Roman"/>
                <w:color w:val="auto"/>
                <w:sz w:val="24"/>
                <w:highlight w:val="none"/>
                <w:lang w:val="zh-CN"/>
              </w:rPr>
              <w:t>联系人：</w:t>
            </w:r>
          </w:p>
        </w:tc>
        <w:tc>
          <w:tcPr>
            <w:tcW w:w="4700" w:type="dxa"/>
            <w:noWrap w:val="0"/>
            <w:vAlign w:val="center"/>
          </w:tcPr>
          <w:p w14:paraId="72382EFC">
            <w:pPr>
              <w:spacing w:line="360" w:lineRule="auto"/>
              <w:jc w:val="left"/>
              <w:rPr>
                <w:rFonts w:hint="eastAsia" w:ascii="仿宋_GB2312" w:hAnsi="楷体" w:eastAsia="仿宋_GB2312" w:cs="Times New Roman"/>
                <w:color w:val="auto"/>
                <w:sz w:val="24"/>
                <w:highlight w:val="none"/>
                <w:lang w:val="zh-CN"/>
              </w:rPr>
            </w:pPr>
            <w:r>
              <w:rPr>
                <w:rFonts w:hint="eastAsia" w:ascii="仿宋_GB2312" w:hAnsi="楷体" w:eastAsia="仿宋_GB2312" w:cs="Times New Roman"/>
                <w:color w:val="auto"/>
                <w:sz w:val="24"/>
                <w:highlight w:val="none"/>
                <w:lang w:val="zh-CN"/>
              </w:rPr>
              <w:t>联系人：</w:t>
            </w:r>
          </w:p>
        </w:tc>
      </w:tr>
      <w:tr w14:paraId="58DF9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2" w:type="dxa"/>
            <w:noWrap w:val="0"/>
            <w:vAlign w:val="center"/>
          </w:tcPr>
          <w:p w14:paraId="302AA2CB">
            <w:pPr>
              <w:spacing w:line="360" w:lineRule="auto"/>
              <w:jc w:val="left"/>
              <w:rPr>
                <w:rFonts w:hint="eastAsia" w:ascii="仿宋_GB2312" w:hAnsi="楷体" w:eastAsia="仿宋_GB2312" w:cs="Times New Roman"/>
                <w:color w:val="auto"/>
                <w:sz w:val="24"/>
                <w:highlight w:val="none"/>
                <w:lang w:val="zh-CN"/>
              </w:rPr>
            </w:pPr>
            <w:r>
              <w:rPr>
                <w:rFonts w:hint="eastAsia" w:ascii="仿宋_GB2312" w:hAnsi="楷体" w:eastAsia="仿宋_GB2312" w:cs="Times New Roman"/>
                <w:color w:val="auto"/>
                <w:sz w:val="24"/>
                <w:highlight w:val="none"/>
                <w:lang w:val="zh-CN"/>
              </w:rPr>
              <w:t>约定送达地址：</w:t>
            </w:r>
          </w:p>
        </w:tc>
        <w:tc>
          <w:tcPr>
            <w:tcW w:w="4700" w:type="dxa"/>
            <w:noWrap w:val="0"/>
            <w:vAlign w:val="center"/>
          </w:tcPr>
          <w:p w14:paraId="243731F0">
            <w:pPr>
              <w:spacing w:line="360" w:lineRule="auto"/>
              <w:jc w:val="left"/>
              <w:rPr>
                <w:rFonts w:hint="eastAsia" w:ascii="仿宋_GB2312" w:hAnsi="楷体" w:eastAsia="仿宋_GB2312" w:cs="Times New Roman"/>
                <w:color w:val="auto"/>
                <w:sz w:val="24"/>
                <w:highlight w:val="none"/>
                <w:lang w:val="zh-CN"/>
              </w:rPr>
            </w:pPr>
            <w:r>
              <w:rPr>
                <w:rFonts w:hint="eastAsia" w:ascii="仿宋_GB2312" w:hAnsi="楷体" w:eastAsia="仿宋_GB2312" w:cs="Times New Roman"/>
                <w:color w:val="auto"/>
                <w:sz w:val="24"/>
                <w:highlight w:val="none"/>
                <w:lang w:val="zh-CN"/>
              </w:rPr>
              <w:t>约定送达地址：</w:t>
            </w:r>
          </w:p>
        </w:tc>
      </w:tr>
      <w:tr w14:paraId="75D59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2" w:type="dxa"/>
            <w:noWrap w:val="0"/>
            <w:vAlign w:val="center"/>
          </w:tcPr>
          <w:p w14:paraId="781CACAE">
            <w:pPr>
              <w:spacing w:line="360" w:lineRule="auto"/>
              <w:jc w:val="left"/>
              <w:rPr>
                <w:rFonts w:hint="eastAsia" w:ascii="仿宋_GB2312" w:hAnsi="楷体" w:eastAsia="仿宋_GB2312" w:cs="Times New Roman"/>
                <w:color w:val="auto"/>
                <w:sz w:val="24"/>
                <w:highlight w:val="none"/>
                <w:lang w:val="zh-CN"/>
              </w:rPr>
            </w:pPr>
            <w:r>
              <w:rPr>
                <w:rFonts w:hint="eastAsia" w:ascii="仿宋_GB2312" w:hAnsi="楷体" w:eastAsia="仿宋_GB2312" w:cs="Times New Roman"/>
                <w:color w:val="auto"/>
                <w:sz w:val="24"/>
                <w:highlight w:val="none"/>
                <w:lang w:val="zh-CN"/>
              </w:rPr>
              <w:t>邮政编码：</w:t>
            </w:r>
          </w:p>
        </w:tc>
        <w:tc>
          <w:tcPr>
            <w:tcW w:w="4700" w:type="dxa"/>
            <w:noWrap w:val="0"/>
            <w:vAlign w:val="center"/>
          </w:tcPr>
          <w:p w14:paraId="3579779A">
            <w:pPr>
              <w:spacing w:line="360" w:lineRule="auto"/>
              <w:jc w:val="left"/>
              <w:rPr>
                <w:rFonts w:hint="eastAsia" w:ascii="仿宋_GB2312" w:hAnsi="楷体" w:eastAsia="仿宋_GB2312" w:cs="Times New Roman"/>
                <w:color w:val="auto"/>
                <w:sz w:val="24"/>
                <w:highlight w:val="none"/>
                <w:lang w:val="zh-CN"/>
              </w:rPr>
            </w:pPr>
            <w:r>
              <w:rPr>
                <w:rFonts w:hint="eastAsia" w:ascii="仿宋_GB2312" w:hAnsi="楷体" w:eastAsia="仿宋_GB2312" w:cs="Times New Roman"/>
                <w:color w:val="auto"/>
                <w:sz w:val="24"/>
                <w:highlight w:val="none"/>
                <w:lang w:val="zh-CN"/>
              </w:rPr>
              <w:t>邮政编码：</w:t>
            </w:r>
          </w:p>
        </w:tc>
      </w:tr>
      <w:tr w14:paraId="2A1C8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2" w:type="dxa"/>
            <w:noWrap w:val="0"/>
            <w:vAlign w:val="center"/>
          </w:tcPr>
          <w:p w14:paraId="4B1C2EDC">
            <w:pPr>
              <w:spacing w:line="360" w:lineRule="auto"/>
              <w:jc w:val="left"/>
              <w:rPr>
                <w:rFonts w:hint="eastAsia" w:ascii="仿宋_GB2312" w:hAnsi="楷体" w:eastAsia="仿宋_GB2312" w:cs="Times New Roman"/>
                <w:color w:val="auto"/>
                <w:sz w:val="24"/>
                <w:highlight w:val="none"/>
                <w:lang w:val="zh-CN"/>
              </w:rPr>
            </w:pPr>
            <w:r>
              <w:rPr>
                <w:rFonts w:hint="eastAsia" w:ascii="仿宋_GB2312" w:hAnsi="楷体" w:eastAsia="仿宋_GB2312" w:cs="Times New Roman"/>
                <w:color w:val="auto"/>
                <w:sz w:val="24"/>
                <w:highlight w:val="none"/>
                <w:lang w:val="zh-CN"/>
              </w:rPr>
              <w:t>电话:</w:t>
            </w:r>
          </w:p>
        </w:tc>
        <w:tc>
          <w:tcPr>
            <w:tcW w:w="4700" w:type="dxa"/>
            <w:noWrap w:val="0"/>
            <w:vAlign w:val="center"/>
          </w:tcPr>
          <w:p w14:paraId="0D5944C8">
            <w:pPr>
              <w:spacing w:line="360" w:lineRule="auto"/>
              <w:jc w:val="left"/>
              <w:rPr>
                <w:rFonts w:hint="eastAsia" w:ascii="仿宋_GB2312" w:hAnsi="楷体" w:eastAsia="仿宋_GB2312" w:cs="Times New Roman"/>
                <w:color w:val="auto"/>
                <w:sz w:val="24"/>
                <w:highlight w:val="none"/>
                <w:lang w:val="zh-CN"/>
              </w:rPr>
            </w:pPr>
            <w:r>
              <w:rPr>
                <w:rFonts w:hint="eastAsia" w:ascii="仿宋_GB2312" w:hAnsi="楷体" w:eastAsia="仿宋_GB2312" w:cs="Times New Roman"/>
                <w:color w:val="auto"/>
                <w:sz w:val="24"/>
                <w:highlight w:val="none"/>
                <w:lang w:val="zh-CN"/>
              </w:rPr>
              <w:t>电话:</w:t>
            </w:r>
          </w:p>
        </w:tc>
      </w:tr>
      <w:tr w14:paraId="3D80B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2" w:type="dxa"/>
            <w:noWrap w:val="0"/>
            <w:vAlign w:val="center"/>
          </w:tcPr>
          <w:p w14:paraId="4B7B8596">
            <w:pPr>
              <w:spacing w:line="360" w:lineRule="auto"/>
              <w:jc w:val="left"/>
              <w:rPr>
                <w:rFonts w:hint="eastAsia" w:ascii="仿宋_GB2312" w:hAnsi="楷体" w:eastAsia="仿宋_GB2312" w:cs="Times New Roman"/>
                <w:color w:val="auto"/>
                <w:sz w:val="24"/>
                <w:highlight w:val="none"/>
                <w:lang w:val="en-US" w:eastAsia="zh-CN"/>
              </w:rPr>
            </w:pPr>
            <w:r>
              <w:rPr>
                <w:rFonts w:hint="eastAsia" w:ascii="仿宋_GB2312" w:hAnsi="楷体" w:eastAsia="仿宋_GB2312" w:cs="Times New Roman"/>
                <w:color w:val="auto"/>
                <w:sz w:val="24"/>
                <w:highlight w:val="none"/>
                <w:lang w:val="zh-CN"/>
              </w:rPr>
              <w:t>传真:</w:t>
            </w:r>
          </w:p>
        </w:tc>
        <w:tc>
          <w:tcPr>
            <w:tcW w:w="4700" w:type="dxa"/>
            <w:noWrap w:val="0"/>
            <w:vAlign w:val="center"/>
          </w:tcPr>
          <w:p w14:paraId="54FD65E7">
            <w:pPr>
              <w:spacing w:line="360" w:lineRule="auto"/>
              <w:jc w:val="left"/>
              <w:rPr>
                <w:rFonts w:hint="eastAsia" w:ascii="仿宋_GB2312" w:hAnsi="楷体" w:eastAsia="仿宋_GB2312" w:cs="Times New Roman"/>
                <w:color w:val="auto"/>
                <w:sz w:val="24"/>
                <w:highlight w:val="none"/>
                <w:lang w:val="zh-CN"/>
              </w:rPr>
            </w:pPr>
            <w:r>
              <w:rPr>
                <w:rFonts w:hint="eastAsia" w:ascii="仿宋_GB2312" w:hAnsi="楷体" w:eastAsia="仿宋_GB2312" w:cs="Times New Roman"/>
                <w:color w:val="auto"/>
                <w:sz w:val="24"/>
                <w:highlight w:val="none"/>
                <w:lang w:val="zh-CN"/>
              </w:rPr>
              <w:t>传真:</w:t>
            </w:r>
          </w:p>
        </w:tc>
      </w:tr>
      <w:tr w14:paraId="55F3E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2" w:type="dxa"/>
            <w:noWrap w:val="0"/>
            <w:vAlign w:val="center"/>
          </w:tcPr>
          <w:p w14:paraId="48F2A6AC">
            <w:pPr>
              <w:spacing w:line="360" w:lineRule="auto"/>
              <w:jc w:val="left"/>
              <w:rPr>
                <w:rFonts w:hint="eastAsia" w:ascii="仿宋_GB2312" w:hAnsi="楷体" w:eastAsia="仿宋_GB2312" w:cs="Times New Roman"/>
                <w:color w:val="auto"/>
                <w:sz w:val="24"/>
                <w:highlight w:val="none"/>
                <w:lang w:val="zh-CN"/>
              </w:rPr>
            </w:pPr>
            <w:r>
              <w:rPr>
                <w:rFonts w:hint="eastAsia" w:ascii="仿宋_GB2312" w:hAnsi="楷体" w:eastAsia="仿宋_GB2312" w:cs="Times New Roman"/>
                <w:color w:val="auto"/>
                <w:sz w:val="24"/>
                <w:highlight w:val="none"/>
                <w:lang w:val="zh-CN"/>
              </w:rPr>
              <w:t>电子邮箱：</w:t>
            </w:r>
          </w:p>
        </w:tc>
        <w:tc>
          <w:tcPr>
            <w:tcW w:w="4700" w:type="dxa"/>
            <w:noWrap w:val="0"/>
            <w:vAlign w:val="center"/>
          </w:tcPr>
          <w:p w14:paraId="2891DB4C">
            <w:pPr>
              <w:spacing w:line="360" w:lineRule="auto"/>
              <w:jc w:val="left"/>
              <w:rPr>
                <w:rFonts w:hint="eastAsia" w:ascii="仿宋_GB2312" w:hAnsi="楷体" w:eastAsia="仿宋_GB2312" w:cs="Times New Roman"/>
                <w:color w:val="auto"/>
                <w:sz w:val="24"/>
                <w:highlight w:val="none"/>
                <w:lang w:val="en-US" w:eastAsia="zh-CN"/>
              </w:rPr>
            </w:pPr>
            <w:r>
              <w:rPr>
                <w:rFonts w:hint="eastAsia" w:ascii="仿宋_GB2312" w:hAnsi="楷体" w:eastAsia="仿宋_GB2312" w:cs="Times New Roman"/>
                <w:color w:val="auto"/>
                <w:sz w:val="24"/>
                <w:highlight w:val="none"/>
                <w:lang w:val="zh-CN"/>
              </w:rPr>
              <w:t>电子邮箱：</w:t>
            </w:r>
          </w:p>
        </w:tc>
      </w:tr>
      <w:tr w14:paraId="752FF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2" w:type="dxa"/>
            <w:noWrap w:val="0"/>
            <w:vAlign w:val="center"/>
          </w:tcPr>
          <w:p w14:paraId="1DDA6589">
            <w:pPr>
              <w:spacing w:line="360" w:lineRule="auto"/>
              <w:jc w:val="left"/>
              <w:rPr>
                <w:rFonts w:hint="eastAsia" w:ascii="仿宋_GB2312" w:hAnsi="楷体" w:eastAsia="仿宋_GB2312" w:cs="Times New Roman"/>
                <w:color w:val="auto"/>
                <w:sz w:val="24"/>
                <w:highlight w:val="none"/>
                <w:lang w:val="en-US" w:eastAsia="zh-CN"/>
              </w:rPr>
            </w:pPr>
            <w:r>
              <w:rPr>
                <w:rFonts w:hint="eastAsia" w:ascii="仿宋_GB2312" w:hAnsi="楷体" w:eastAsia="仿宋_GB2312" w:cs="Times New Roman"/>
                <w:color w:val="auto"/>
                <w:sz w:val="24"/>
                <w:highlight w:val="none"/>
              </w:rPr>
              <w:t>开户银行：</w:t>
            </w:r>
          </w:p>
        </w:tc>
        <w:tc>
          <w:tcPr>
            <w:tcW w:w="4700" w:type="dxa"/>
            <w:noWrap w:val="0"/>
            <w:vAlign w:val="center"/>
          </w:tcPr>
          <w:p w14:paraId="43F8798D">
            <w:pPr>
              <w:spacing w:line="360" w:lineRule="auto"/>
              <w:jc w:val="left"/>
              <w:rPr>
                <w:rFonts w:hint="eastAsia" w:ascii="仿宋_GB2312" w:hAnsi="楷体" w:eastAsia="仿宋_GB2312" w:cs="Times New Roman"/>
                <w:color w:val="auto"/>
                <w:sz w:val="24"/>
                <w:highlight w:val="none"/>
                <w:lang w:val="zh-CN"/>
              </w:rPr>
            </w:pPr>
            <w:r>
              <w:rPr>
                <w:rFonts w:hint="eastAsia" w:ascii="仿宋_GB2312" w:hAnsi="楷体" w:eastAsia="仿宋_GB2312" w:cs="Times New Roman"/>
                <w:color w:val="auto"/>
                <w:sz w:val="24"/>
                <w:highlight w:val="none"/>
              </w:rPr>
              <w:t>开户银行：</w:t>
            </w:r>
          </w:p>
        </w:tc>
      </w:tr>
      <w:tr w14:paraId="6311D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2" w:type="dxa"/>
            <w:noWrap w:val="0"/>
            <w:vAlign w:val="center"/>
          </w:tcPr>
          <w:p w14:paraId="41C802F3">
            <w:pPr>
              <w:spacing w:line="360" w:lineRule="auto"/>
              <w:jc w:val="left"/>
              <w:rPr>
                <w:rFonts w:hint="eastAsia" w:ascii="仿宋_GB2312" w:hAnsi="楷体" w:eastAsia="仿宋_GB2312" w:cs="Times New Roman"/>
                <w:color w:val="auto"/>
                <w:sz w:val="24"/>
                <w:highlight w:val="none"/>
                <w:lang w:val="en-US" w:eastAsia="zh-CN"/>
              </w:rPr>
            </w:pPr>
            <w:r>
              <w:rPr>
                <w:rFonts w:hint="eastAsia" w:ascii="仿宋_GB2312" w:hAnsi="楷体" w:eastAsia="仿宋_GB2312" w:cs="Times New Roman"/>
                <w:color w:val="auto"/>
                <w:sz w:val="24"/>
                <w:highlight w:val="none"/>
              </w:rPr>
              <w:t>开户名称：</w:t>
            </w:r>
          </w:p>
        </w:tc>
        <w:tc>
          <w:tcPr>
            <w:tcW w:w="4700" w:type="dxa"/>
            <w:noWrap w:val="0"/>
            <w:vAlign w:val="center"/>
          </w:tcPr>
          <w:p w14:paraId="6BD36536">
            <w:pPr>
              <w:spacing w:line="360" w:lineRule="auto"/>
              <w:jc w:val="left"/>
              <w:rPr>
                <w:rFonts w:hint="eastAsia" w:ascii="仿宋_GB2312" w:hAnsi="楷体" w:eastAsia="仿宋_GB2312" w:cs="Times New Roman"/>
                <w:color w:val="auto"/>
                <w:sz w:val="24"/>
                <w:highlight w:val="none"/>
                <w:lang w:val="zh-CN"/>
              </w:rPr>
            </w:pPr>
            <w:r>
              <w:rPr>
                <w:rFonts w:hint="eastAsia" w:ascii="仿宋_GB2312" w:hAnsi="楷体" w:eastAsia="仿宋_GB2312" w:cs="Times New Roman"/>
                <w:color w:val="auto"/>
                <w:sz w:val="24"/>
                <w:highlight w:val="none"/>
              </w:rPr>
              <w:t>开户名称：</w:t>
            </w:r>
          </w:p>
        </w:tc>
      </w:tr>
      <w:tr w14:paraId="00D77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2" w:type="dxa"/>
            <w:noWrap w:val="0"/>
            <w:vAlign w:val="center"/>
          </w:tcPr>
          <w:p w14:paraId="1028C060">
            <w:pPr>
              <w:spacing w:line="360" w:lineRule="auto"/>
              <w:jc w:val="left"/>
              <w:rPr>
                <w:rFonts w:hint="eastAsia" w:ascii="仿宋_GB2312" w:hAnsi="楷体" w:eastAsia="仿宋_GB2312" w:cs="Times New Roman"/>
                <w:color w:val="auto"/>
                <w:sz w:val="24"/>
                <w:highlight w:val="none"/>
                <w:lang w:val="en-US" w:eastAsia="zh-CN"/>
              </w:rPr>
            </w:pPr>
            <w:r>
              <w:rPr>
                <w:rFonts w:hint="eastAsia" w:ascii="仿宋_GB2312" w:hAnsi="楷体" w:eastAsia="仿宋_GB2312" w:cs="Times New Roman"/>
                <w:color w:val="auto"/>
                <w:sz w:val="24"/>
                <w:highlight w:val="none"/>
              </w:rPr>
              <w:t>开户账号：</w:t>
            </w:r>
          </w:p>
        </w:tc>
        <w:tc>
          <w:tcPr>
            <w:tcW w:w="4700" w:type="dxa"/>
            <w:noWrap w:val="0"/>
            <w:vAlign w:val="center"/>
          </w:tcPr>
          <w:p w14:paraId="34039F0B">
            <w:pPr>
              <w:spacing w:line="360" w:lineRule="auto"/>
              <w:jc w:val="left"/>
              <w:rPr>
                <w:rFonts w:hint="eastAsia" w:ascii="仿宋_GB2312" w:hAnsi="楷体" w:eastAsia="仿宋_GB2312" w:cs="Times New Roman"/>
                <w:color w:val="auto"/>
                <w:sz w:val="24"/>
                <w:highlight w:val="none"/>
                <w:lang w:val="zh-CN"/>
              </w:rPr>
            </w:pPr>
            <w:r>
              <w:rPr>
                <w:rFonts w:hint="eastAsia" w:ascii="仿宋_GB2312" w:hAnsi="楷体" w:eastAsia="仿宋_GB2312" w:cs="Times New Roman"/>
                <w:color w:val="auto"/>
                <w:sz w:val="24"/>
                <w:highlight w:val="none"/>
              </w:rPr>
              <w:t>开户账号：</w:t>
            </w:r>
          </w:p>
        </w:tc>
      </w:tr>
    </w:tbl>
    <w:p w14:paraId="400F6FDB">
      <w:pPr>
        <w:pStyle w:val="74"/>
        <w:spacing w:after="0"/>
        <w:ind w:firstLine="482"/>
        <w:jc w:val="center"/>
        <w:outlineLvl w:val="1"/>
        <w:rPr>
          <w:rFonts w:hint="eastAsia" w:ascii="仿宋_GB2312" w:hAnsi="楷体" w:eastAsia="仿宋_GB2312"/>
          <w:b/>
          <w:color w:val="auto"/>
          <w:sz w:val="28"/>
          <w:szCs w:val="28"/>
          <w:highlight w:val="none"/>
        </w:rPr>
      </w:pPr>
      <w:r>
        <w:rPr>
          <w:rFonts w:hint="eastAsia" w:ascii="仿宋_GB2312" w:hAnsi="楷体" w:eastAsia="仿宋_GB2312"/>
          <w:b/>
          <w:color w:val="auto"/>
          <w:highlight w:val="none"/>
        </w:rPr>
        <w:br w:type="page"/>
      </w:r>
      <w:bookmarkStart w:id="97" w:name="_Toc31499"/>
      <w:bookmarkStart w:id="98" w:name="_Toc80205945"/>
      <w:r>
        <w:rPr>
          <w:rFonts w:hint="eastAsia" w:ascii="仿宋_GB2312" w:hAnsi="楷体" w:eastAsia="仿宋_GB2312"/>
          <w:b/>
          <w:color w:val="auto"/>
          <w:sz w:val="28"/>
          <w:szCs w:val="28"/>
          <w:highlight w:val="none"/>
        </w:rPr>
        <w:t>第二部分 合同一般条款</w:t>
      </w:r>
      <w:bookmarkEnd w:id="96"/>
      <w:bookmarkEnd w:id="97"/>
      <w:bookmarkEnd w:id="98"/>
    </w:p>
    <w:p w14:paraId="155D7567">
      <w:pPr>
        <w:spacing w:line="360" w:lineRule="auto"/>
        <w:ind w:firstLine="482" w:firstLineChars="200"/>
        <w:rPr>
          <w:rFonts w:hint="eastAsia" w:ascii="仿宋_GB2312" w:hAnsi="楷体" w:eastAsia="仿宋_GB2312"/>
          <w:b/>
          <w:color w:val="auto"/>
          <w:sz w:val="24"/>
          <w:highlight w:val="none"/>
        </w:rPr>
      </w:pPr>
      <w:bookmarkStart w:id="99" w:name="_Toc279701240"/>
      <w:bookmarkStart w:id="100" w:name="_Ref467379214"/>
      <w:bookmarkStart w:id="101" w:name="_Ref467378404"/>
      <w:bookmarkStart w:id="102" w:name="_Toc19614"/>
      <w:bookmarkStart w:id="103" w:name="_Ref467378463"/>
      <w:bookmarkStart w:id="104" w:name="_Ref467379109"/>
      <w:bookmarkStart w:id="105" w:name="_Ref467379094"/>
      <w:bookmarkStart w:id="106" w:name="_Toc28763"/>
      <w:bookmarkStart w:id="107" w:name="_Toc259093669"/>
      <w:bookmarkStart w:id="108" w:name="_Toc487900349"/>
      <w:bookmarkStart w:id="109" w:name="_Ref467379195"/>
      <w:bookmarkStart w:id="110" w:name="_Ref467378499"/>
      <w:bookmarkStart w:id="111" w:name="_Ref467379101"/>
      <w:bookmarkStart w:id="112" w:name="_Ref467379225"/>
      <w:bookmarkStart w:id="113" w:name="_Ref467379205"/>
      <w:bookmarkStart w:id="114" w:name="_Toc16917"/>
      <w:r>
        <w:rPr>
          <w:rFonts w:hint="eastAsia" w:ascii="仿宋_GB2312" w:hAnsi="楷体" w:eastAsia="仿宋_GB2312"/>
          <w:b/>
          <w:color w:val="auto"/>
          <w:sz w:val="24"/>
          <w:highlight w:val="none"/>
        </w:rPr>
        <w:t>2.1 定义</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1CE8342C">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本合同中的下列词语应按以下内容进行解释：</w:t>
      </w:r>
    </w:p>
    <w:p w14:paraId="60C40C38">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2.1.1 “合同”系指采购人和</w:t>
      </w:r>
      <w:r>
        <w:rPr>
          <w:rFonts w:hint="eastAsia" w:ascii="仿宋_GB2312" w:hAnsi="楷体" w:eastAsia="仿宋_GB2312"/>
          <w:color w:val="auto"/>
          <w:sz w:val="24"/>
          <w:highlight w:val="none"/>
          <w:lang w:eastAsia="zh-CN"/>
        </w:rPr>
        <w:t>成交人</w:t>
      </w:r>
      <w:r>
        <w:rPr>
          <w:rFonts w:hint="eastAsia" w:ascii="仿宋_GB2312" w:hAnsi="楷体" w:eastAsia="仿宋_GB2312"/>
          <w:color w:val="auto"/>
          <w:sz w:val="24"/>
          <w:highlight w:val="none"/>
        </w:rPr>
        <w:t>签订的载明双方当事人所达成的协议，并包括所有的附件、附录和构成合同的其他文件。</w:t>
      </w:r>
    </w:p>
    <w:p w14:paraId="2BAE6AE1">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2.1.2 “合同价”系指根据合同约定，</w:t>
      </w:r>
      <w:r>
        <w:rPr>
          <w:rFonts w:hint="eastAsia" w:ascii="仿宋_GB2312" w:hAnsi="楷体" w:eastAsia="仿宋_GB2312"/>
          <w:color w:val="auto"/>
          <w:sz w:val="24"/>
          <w:highlight w:val="none"/>
          <w:lang w:eastAsia="zh-CN"/>
        </w:rPr>
        <w:t>成交人</w:t>
      </w:r>
      <w:r>
        <w:rPr>
          <w:rFonts w:hint="eastAsia" w:ascii="仿宋_GB2312" w:hAnsi="楷体" w:eastAsia="仿宋_GB2312"/>
          <w:color w:val="auto"/>
          <w:sz w:val="24"/>
          <w:highlight w:val="none"/>
        </w:rPr>
        <w:t>在完全履行合同义务后，采购人应支付给</w:t>
      </w:r>
      <w:r>
        <w:rPr>
          <w:rFonts w:hint="eastAsia" w:ascii="仿宋_GB2312" w:hAnsi="楷体" w:eastAsia="仿宋_GB2312"/>
          <w:color w:val="auto"/>
          <w:sz w:val="24"/>
          <w:highlight w:val="none"/>
          <w:lang w:eastAsia="zh-CN"/>
        </w:rPr>
        <w:t>成交人</w:t>
      </w:r>
      <w:r>
        <w:rPr>
          <w:rFonts w:hint="eastAsia" w:ascii="仿宋_GB2312" w:hAnsi="楷体" w:eastAsia="仿宋_GB2312"/>
          <w:color w:val="auto"/>
          <w:sz w:val="24"/>
          <w:highlight w:val="none"/>
        </w:rPr>
        <w:t>的价格。</w:t>
      </w:r>
    </w:p>
    <w:p w14:paraId="6217DA0A">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2.1.3 “标的物”系指</w:t>
      </w:r>
      <w:r>
        <w:rPr>
          <w:rFonts w:hint="eastAsia" w:ascii="仿宋_GB2312" w:hAnsi="楷体" w:eastAsia="仿宋_GB2312"/>
          <w:color w:val="auto"/>
          <w:sz w:val="24"/>
          <w:highlight w:val="none"/>
          <w:lang w:eastAsia="zh-CN"/>
        </w:rPr>
        <w:t>成交人</w:t>
      </w:r>
      <w:r>
        <w:rPr>
          <w:rFonts w:hint="eastAsia" w:ascii="仿宋_GB2312" w:hAnsi="楷体" w:eastAsia="仿宋_GB2312"/>
          <w:color w:val="auto"/>
          <w:sz w:val="24"/>
          <w:highlight w:val="none"/>
        </w:rPr>
        <w:t>根据合同约定应向采购人交付的一切各种形态和种类的货物、服务和工程，包括但不限于原材料、燃料、设备、机械、仪表、备件、计算机软件、信息化系统、信息化维保、物业服务、产品等，并包括工具、手册等其他相关资料。</w:t>
      </w:r>
    </w:p>
    <w:p w14:paraId="6DA01FEA">
      <w:pPr>
        <w:spacing w:line="360" w:lineRule="auto"/>
        <w:ind w:firstLine="480" w:firstLineChars="200"/>
        <w:rPr>
          <w:rFonts w:hint="eastAsia" w:ascii="仿宋_GB2312" w:hAnsi="楷体" w:eastAsia="仿宋_GB2312"/>
          <w:color w:val="auto"/>
          <w:sz w:val="24"/>
          <w:highlight w:val="none"/>
        </w:rPr>
      </w:pPr>
      <w:bookmarkStart w:id="115" w:name="_Ref467378840"/>
      <w:r>
        <w:rPr>
          <w:rFonts w:hint="eastAsia" w:ascii="仿宋_GB2312" w:hAnsi="楷体" w:eastAsia="仿宋_GB2312"/>
          <w:color w:val="auto"/>
          <w:sz w:val="24"/>
          <w:highlight w:val="none"/>
        </w:rPr>
        <w:t>2.1.4 “甲方”系指与</w:t>
      </w:r>
      <w:r>
        <w:rPr>
          <w:rFonts w:hint="eastAsia" w:ascii="仿宋_GB2312" w:hAnsi="楷体" w:eastAsia="仿宋_GB2312"/>
          <w:color w:val="auto"/>
          <w:sz w:val="24"/>
          <w:highlight w:val="none"/>
          <w:lang w:eastAsia="zh-CN"/>
        </w:rPr>
        <w:t>成交人</w:t>
      </w:r>
      <w:r>
        <w:rPr>
          <w:rFonts w:hint="eastAsia" w:ascii="仿宋_GB2312" w:hAnsi="楷体" w:eastAsia="仿宋_GB2312"/>
          <w:color w:val="auto"/>
          <w:sz w:val="24"/>
          <w:highlight w:val="none"/>
        </w:rPr>
        <w:t>签署合同的采购人</w:t>
      </w:r>
      <w:bookmarkEnd w:id="115"/>
      <w:r>
        <w:rPr>
          <w:rFonts w:hint="eastAsia" w:ascii="仿宋_GB2312" w:hAnsi="楷体" w:eastAsia="仿宋_GB2312"/>
          <w:color w:val="auto"/>
          <w:sz w:val="24"/>
          <w:highlight w:val="none"/>
        </w:rPr>
        <w:t>；采购人委托采购机构代表其与乙方签订合同的，采购人的授权委托书作为合同附件。</w:t>
      </w:r>
    </w:p>
    <w:p w14:paraId="6E6FACD8">
      <w:pPr>
        <w:spacing w:line="360" w:lineRule="auto"/>
        <w:ind w:firstLine="480" w:firstLineChars="200"/>
        <w:rPr>
          <w:rFonts w:hint="eastAsia" w:ascii="仿宋_GB2312" w:hAnsi="楷体" w:eastAsia="仿宋_GB2312"/>
          <w:color w:val="auto"/>
          <w:sz w:val="24"/>
          <w:highlight w:val="none"/>
        </w:rPr>
      </w:pPr>
      <w:bookmarkStart w:id="116" w:name="_Ref467379400"/>
      <w:r>
        <w:rPr>
          <w:rFonts w:hint="eastAsia" w:ascii="仿宋_GB2312" w:hAnsi="楷体" w:eastAsia="仿宋_GB2312"/>
          <w:color w:val="auto"/>
          <w:sz w:val="24"/>
          <w:highlight w:val="none"/>
        </w:rPr>
        <w:t>2.1.5 “乙方”系指根据合同约定交付标的物的</w:t>
      </w:r>
      <w:bookmarkEnd w:id="116"/>
      <w:r>
        <w:rPr>
          <w:rFonts w:hint="eastAsia" w:ascii="仿宋_GB2312" w:hAnsi="楷体" w:eastAsia="仿宋_GB2312"/>
          <w:color w:val="auto"/>
          <w:sz w:val="24"/>
          <w:highlight w:val="none"/>
          <w:lang w:eastAsia="zh-CN"/>
        </w:rPr>
        <w:t>成交人</w:t>
      </w:r>
      <w:r>
        <w:rPr>
          <w:rFonts w:hint="eastAsia" w:ascii="仿宋_GB2312" w:hAnsi="楷体" w:eastAsia="仿宋_GB2312"/>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640B284">
      <w:pPr>
        <w:spacing w:line="360" w:lineRule="auto"/>
        <w:ind w:firstLine="480" w:firstLineChars="200"/>
        <w:rPr>
          <w:rFonts w:hint="eastAsia" w:ascii="仿宋_GB2312" w:hAnsi="楷体" w:eastAsia="仿宋_GB2312"/>
          <w:color w:val="auto"/>
          <w:sz w:val="24"/>
          <w:highlight w:val="none"/>
        </w:rPr>
      </w:pPr>
      <w:bookmarkStart w:id="117" w:name="_Ref467379436"/>
      <w:r>
        <w:rPr>
          <w:rFonts w:hint="eastAsia" w:ascii="仿宋_GB2312" w:hAnsi="楷体" w:eastAsia="仿宋_GB2312"/>
          <w:color w:val="auto"/>
          <w:sz w:val="24"/>
          <w:highlight w:val="none"/>
        </w:rPr>
        <w:t>2.1.6 “现场”系指合同约定标的物将要运至或者实施或者安装的地点。</w:t>
      </w:r>
      <w:bookmarkEnd w:id="117"/>
    </w:p>
    <w:p w14:paraId="7205D01B">
      <w:pPr>
        <w:spacing w:line="360" w:lineRule="auto"/>
        <w:ind w:firstLine="482" w:firstLineChars="200"/>
        <w:rPr>
          <w:rFonts w:hint="eastAsia" w:ascii="仿宋_GB2312" w:hAnsi="楷体" w:eastAsia="仿宋_GB2312"/>
          <w:b/>
          <w:color w:val="auto"/>
          <w:sz w:val="24"/>
          <w:highlight w:val="none"/>
        </w:rPr>
      </w:pPr>
      <w:bookmarkStart w:id="118" w:name="_Toc259093670"/>
      <w:bookmarkStart w:id="119" w:name="_Toc279701241"/>
      <w:bookmarkStart w:id="120" w:name="_Toc27635"/>
      <w:bookmarkStart w:id="121" w:name="_Toc487900350"/>
      <w:bookmarkStart w:id="122" w:name="_Toc13336"/>
      <w:bookmarkStart w:id="123" w:name="_Toc32504"/>
      <w:r>
        <w:rPr>
          <w:rFonts w:hint="eastAsia" w:ascii="仿宋_GB2312" w:hAnsi="楷体" w:eastAsia="仿宋_GB2312"/>
          <w:b/>
          <w:color w:val="auto"/>
          <w:sz w:val="24"/>
          <w:highlight w:val="none"/>
        </w:rPr>
        <w:t>2.2 技术规范</w:t>
      </w:r>
      <w:bookmarkEnd w:id="118"/>
      <w:bookmarkEnd w:id="119"/>
      <w:bookmarkEnd w:id="120"/>
      <w:bookmarkEnd w:id="121"/>
      <w:bookmarkEnd w:id="122"/>
      <w:bookmarkEnd w:id="123"/>
    </w:p>
    <w:p w14:paraId="7A7B25A9">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368DE4D2">
      <w:pPr>
        <w:spacing w:line="360" w:lineRule="auto"/>
        <w:ind w:firstLine="482" w:firstLineChars="200"/>
        <w:rPr>
          <w:rFonts w:hint="eastAsia" w:ascii="仿宋_GB2312" w:hAnsi="楷体" w:eastAsia="仿宋_GB2312"/>
          <w:b/>
          <w:color w:val="auto"/>
          <w:sz w:val="24"/>
          <w:highlight w:val="none"/>
        </w:rPr>
      </w:pPr>
      <w:bookmarkStart w:id="124" w:name="_Toc259093671"/>
      <w:bookmarkStart w:id="125" w:name="_Toc279701242"/>
      <w:bookmarkStart w:id="126" w:name="_Toc9829"/>
      <w:bookmarkStart w:id="127" w:name="_Toc31634"/>
      <w:bookmarkStart w:id="128" w:name="_Toc487900351"/>
      <w:bookmarkStart w:id="129" w:name="_Toc27853"/>
      <w:r>
        <w:rPr>
          <w:rFonts w:hint="eastAsia" w:ascii="仿宋_GB2312" w:hAnsi="楷体" w:eastAsia="仿宋_GB2312"/>
          <w:b/>
          <w:color w:val="auto"/>
          <w:sz w:val="24"/>
          <w:highlight w:val="none"/>
        </w:rPr>
        <w:t>2.3 知识产权</w:t>
      </w:r>
      <w:bookmarkEnd w:id="124"/>
      <w:bookmarkEnd w:id="125"/>
      <w:bookmarkEnd w:id="126"/>
      <w:bookmarkEnd w:id="127"/>
      <w:bookmarkEnd w:id="128"/>
      <w:bookmarkEnd w:id="129"/>
    </w:p>
    <w:p w14:paraId="07380981">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7259B347">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2.3.2具有知识产权的计算机软件等标的物的知识产权归属，详见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w:t>
      </w:r>
    </w:p>
    <w:p w14:paraId="2B8283EC">
      <w:pPr>
        <w:spacing w:line="360" w:lineRule="auto"/>
        <w:ind w:firstLine="482" w:firstLineChars="200"/>
        <w:rPr>
          <w:rFonts w:hint="eastAsia" w:ascii="仿宋_GB2312" w:hAnsi="楷体" w:eastAsia="仿宋_GB2312"/>
          <w:b/>
          <w:color w:val="auto"/>
          <w:sz w:val="24"/>
          <w:highlight w:val="none"/>
        </w:rPr>
      </w:pPr>
      <w:bookmarkStart w:id="130" w:name="_Toc4194"/>
      <w:bookmarkStart w:id="131" w:name="_Toc11932"/>
      <w:bookmarkStart w:id="132" w:name="_Toc29149"/>
      <w:r>
        <w:rPr>
          <w:rFonts w:hint="eastAsia" w:ascii="仿宋_GB2312" w:hAnsi="楷体" w:eastAsia="仿宋_GB2312"/>
          <w:b/>
          <w:color w:val="auto"/>
          <w:sz w:val="24"/>
          <w:highlight w:val="none"/>
        </w:rPr>
        <w:t>2.4 包装和装运</w:t>
      </w:r>
      <w:bookmarkEnd w:id="130"/>
      <w:bookmarkEnd w:id="131"/>
      <w:bookmarkEnd w:id="132"/>
    </w:p>
    <w:p w14:paraId="1FBD2601">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2.4.1除</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58CF3512">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2.4.2 装运标的物的要求和通知，详见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w:t>
      </w:r>
    </w:p>
    <w:p w14:paraId="1F398FE0">
      <w:pPr>
        <w:spacing w:line="360" w:lineRule="auto"/>
        <w:ind w:firstLine="482" w:firstLineChars="200"/>
        <w:rPr>
          <w:rFonts w:hint="eastAsia" w:ascii="仿宋_GB2312" w:hAnsi="楷体" w:eastAsia="仿宋_GB2312"/>
          <w:b/>
          <w:color w:val="auto"/>
          <w:sz w:val="24"/>
          <w:highlight w:val="none"/>
        </w:rPr>
      </w:pPr>
      <w:bookmarkStart w:id="133" w:name="_Ref467379536"/>
      <w:bookmarkStart w:id="134" w:name="_Toc279701245"/>
      <w:bookmarkStart w:id="135" w:name="_Ref467378541"/>
      <w:bookmarkStart w:id="136" w:name="_Ref467378591"/>
      <w:bookmarkStart w:id="137" w:name="_Toc259093674"/>
      <w:bookmarkStart w:id="138" w:name="_Ref467379527"/>
      <w:bookmarkStart w:id="139" w:name="_Ref467379542"/>
      <w:bookmarkStart w:id="140" w:name="_Toc487900354"/>
      <w:bookmarkStart w:id="141" w:name="_Toc30272"/>
      <w:bookmarkStart w:id="142" w:name="_Toc26182"/>
      <w:bookmarkStart w:id="143" w:name="_Toc19074"/>
      <w:r>
        <w:rPr>
          <w:rFonts w:hint="eastAsia" w:ascii="仿宋_GB2312" w:hAnsi="楷体" w:eastAsia="仿宋_GB2312"/>
          <w:b/>
          <w:color w:val="auto"/>
          <w:sz w:val="24"/>
          <w:highlight w:val="none"/>
        </w:rPr>
        <w:t>2.</w:t>
      </w:r>
      <w:bookmarkEnd w:id="133"/>
      <w:bookmarkEnd w:id="134"/>
      <w:bookmarkEnd w:id="135"/>
      <w:bookmarkEnd w:id="136"/>
      <w:bookmarkEnd w:id="137"/>
      <w:bookmarkEnd w:id="138"/>
      <w:bookmarkEnd w:id="139"/>
      <w:bookmarkEnd w:id="140"/>
      <w:r>
        <w:rPr>
          <w:rFonts w:hint="eastAsia" w:ascii="仿宋_GB2312" w:hAnsi="楷体" w:eastAsia="仿宋_GB2312"/>
          <w:b/>
          <w:color w:val="auto"/>
          <w:sz w:val="24"/>
          <w:highlight w:val="none"/>
        </w:rPr>
        <w:t>5 履约检查和问题反馈</w:t>
      </w:r>
      <w:bookmarkEnd w:id="141"/>
      <w:bookmarkEnd w:id="142"/>
      <w:bookmarkEnd w:id="143"/>
    </w:p>
    <w:p w14:paraId="050A3D63">
      <w:pPr>
        <w:spacing w:line="360" w:lineRule="auto"/>
        <w:ind w:firstLine="480" w:firstLineChars="200"/>
        <w:rPr>
          <w:rFonts w:hint="eastAsia" w:ascii="仿宋_GB2312" w:hAnsi="楷体" w:eastAsia="仿宋_GB2312"/>
          <w:color w:val="auto"/>
          <w:sz w:val="24"/>
          <w:highlight w:val="none"/>
        </w:rPr>
      </w:pPr>
      <w:bookmarkStart w:id="144" w:name="_Ref467379657"/>
      <w:r>
        <w:rPr>
          <w:rFonts w:hint="eastAsia" w:ascii="仿宋_GB2312" w:hAnsi="楷体" w:eastAsia="仿宋_GB2312"/>
          <w:color w:val="auto"/>
          <w:sz w:val="24"/>
          <w:highlight w:val="none"/>
        </w:rPr>
        <w:t>2.5.1</w:t>
      </w:r>
      <w:bookmarkEnd w:id="144"/>
      <w:bookmarkStart w:id="145" w:name="_Toc186431854"/>
      <w:bookmarkStart w:id="146" w:name="_Toc279701247"/>
      <w:bookmarkStart w:id="147" w:name="_Toc487900357"/>
      <w:bookmarkStart w:id="148" w:name="_Toc259093676"/>
      <w:bookmarkStart w:id="149" w:name="_Ref467379807"/>
      <w:bookmarkStart w:id="150" w:name="_Ref467379793"/>
      <w:r>
        <w:rPr>
          <w:rFonts w:hint="eastAsia" w:ascii="仿宋_GB2312" w:hAnsi="楷体" w:eastAsia="仿宋_GB2312"/>
          <w:color w:val="auto"/>
          <w:sz w:val="24"/>
          <w:highlight w:val="none"/>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70F3B0AF">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2.5.2 合同履行期间，甲方有权将履行过程中出现的问题反馈给乙方，双方当事人应以书面形式约定需要完善和改进的内容</w:t>
      </w:r>
      <w:bookmarkEnd w:id="145"/>
      <w:bookmarkStart w:id="151" w:name="_Toc186431855"/>
      <w:r>
        <w:rPr>
          <w:rFonts w:hint="eastAsia" w:ascii="仿宋_GB2312" w:hAnsi="楷体" w:eastAsia="仿宋_GB2312"/>
          <w:color w:val="auto"/>
          <w:sz w:val="24"/>
          <w:highlight w:val="none"/>
        </w:rPr>
        <w:t>。</w:t>
      </w:r>
    </w:p>
    <w:bookmarkEnd w:id="151"/>
    <w:p w14:paraId="53AC2A0C">
      <w:pPr>
        <w:spacing w:line="360" w:lineRule="auto"/>
        <w:ind w:firstLine="482" w:firstLineChars="200"/>
        <w:rPr>
          <w:rFonts w:hint="eastAsia" w:ascii="仿宋_GB2312" w:hAnsi="楷体" w:eastAsia="仿宋_GB2312"/>
          <w:b/>
          <w:color w:val="auto"/>
          <w:sz w:val="24"/>
          <w:highlight w:val="none"/>
        </w:rPr>
      </w:pPr>
      <w:bookmarkStart w:id="152" w:name="_Toc19219"/>
      <w:bookmarkStart w:id="153" w:name="_Toc7836"/>
      <w:bookmarkStart w:id="154" w:name="_Toc28451"/>
      <w:r>
        <w:rPr>
          <w:rFonts w:hint="eastAsia" w:ascii="仿宋_GB2312" w:hAnsi="楷体" w:eastAsia="仿宋_GB2312"/>
          <w:b/>
          <w:color w:val="auto"/>
          <w:sz w:val="24"/>
          <w:highlight w:val="none"/>
        </w:rPr>
        <w:t>2.6 结算方式和付款条件</w:t>
      </w:r>
      <w:bookmarkEnd w:id="146"/>
      <w:bookmarkEnd w:id="147"/>
      <w:bookmarkEnd w:id="148"/>
      <w:bookmarkEnd w:id="149"/>
      <w:bookmarkEnd w:id="150"/>
      <w:bookmarkEnd w:id="152"/>
      <w:bookmarkEnd w:id="153"/>
      <w:bookmarkEnd w:id="154"/>
    </w:p>
    <w:p w14:paraId="358C0845">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w:t>
      </w:r>
    </w:p>
    <w:p w14:paraId="0AC28913">
      <w:pPr>
        <w:spacing w:line="360" w:lineRule="auto"/>
        <w:ind w:firstLine="482" w:firstLineChars="200"/>
        <w:rPr>
          <w:rFonts w:hint="eastAsia" w:ascii="仿宋_GB2312" w:hAnsi="楷体" w:eastAsia="仿宋_GB2312"/>
          <w:b/>
          <w:color w:val="auto"/>
          <w:sz w:val="24"/>
          <w:highlight w:val="none"/>
        </w:rPr>
      </w:pPr>
      <w:bookmarkStart w:id="155" w:name="_Toc487900358"/>
      <w:bookmarkStart w:id="156" w:name="_Ref467379923"/>
      <w:bookmarkStart w:id="157" w:name="_Ref467379863"/>
      <w:bookmarkStart w:id="158" w:name="_Toc279701248"/>
      <w:bookmarkStart w:id="159" w:name="_Ref467379852"/>
      <w:bookmarkStart w:id="160" w:name="_Toc259093677"/>
      <w:bookmarkStart w:id="161" w:name="_Toc3225"/>
      <w:bookmarkStart w:id="162" w:name="_Toc16110"/>
      <w:bookmarkStart w:id="163" w:name="_Toc774"/>
      <w:r>
        <w:rPr>
          <w:rFonts w:hint="eastAsia" w:ascii="仿宋_GB2312" w:hAnsi="楷体" w:eastAsia="仿宋_GB2312"/>
          <w:b/>
          <w:color w:val="auto"/>
          <w:sz w:val="24"/>
          <w:highlight w:val="none"/>
        </w:rPr>
        <w:t>2.7 技术资料</w:t>
      </w:r>
      <w:bookmarkEnd w:id="155"/>
      <w:bookmarkEnd w:id="156"/>
      <w:bookmarkEnd w:id="157"/>
      <w:bookmarkEnd w:id="158"/>
      <w:bookmarkEnd w:id="159"/>
      <w:bookmarkEnd w:id="160"/>
      <w:r>
        <w:rPr>
          <w:rFonts w:hint="eastAsia" w:ascii="仿宋_GB2312" w:hAnsi="楷体" w:eastAsia="仿宋_GB2312"/>
          <w:b/>
          <w:color w:val="auto"/>
          <w:sz w:val="24"/>
          <w:highlight w:val="none"/>
        </w:rPr>
        <w:t>和保密义务</w:t>
      </w:r>
      <w:bookmarkEnd w:id="161"/>
      <w:bookmarkEnd w:id="162"/>
      <w:bookmarkEnd w:id="163"/>
    </w:p>
    <w:p w14:paraId="34E6E7E8">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2.7.1 乙方有权依据合同约定和项目需要，向甲方了解有关情况，调阅有关资料等，甲方应予积极配合；</w:t>
      </w:r>
    </w:p>
    <w:p w14:paraId="3CF17AFB">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2.7.2 乙方有义务妥善保管和保护由甲方提供的前款信息和资料等；</w:t>
      </w:r>
    </w:p>
    <w:p w14:paraId="11E77C47">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61F408B1">
      <w:pPr>
        <w:spacing w:line="360" w:lineRule="auto"/>
        <w:ind w:firstLine="482" w:firstLineChars="200"/>
        <w:rPr>
          <w:rFonts w:hint="eastAsia" w:ascii="仿宋_GB2312" w:hAnsi="楷体" w:eastAsia="仿宋_GB2312"/>
          <w:b/>
          <w:color w:val="auto"/>
          <w:sz w:val="24"/>
          <w:highlight w:val="none"/>
        </w:rPr>
      </w:pPr>
      <w:bookmarkStart w:id="164" w:name="_Toc7860"/>
      <w:r>
        <w:rPr>
          <w:rFonts w:hint="eastAsia" w:ascii="仿宋_GB2312" w:hAnsi="楷体" w:eastAsia="仿宋_GB2312"/>
          <w:b/>
          <w:color w:val="auto"/>
          <w:sz w:val="24"/>
          <w:highlight w:val="none"/>
        </w:rPr>
        <w:t>2.8 质量保证</w:t>
      </w:r>
      <w:bookmarkEnd w:id="164"/>
    </w:p>
    <w:p w14:paraId="40CD89F8">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2.8.1 乙方应建立和完善履行合同的内部质量保证体系，并提供相关内部规章制度给甲方，以便甲方进行监督检查；</w:t>
      </w:r>
    </w:p>
    <w:p w14:paraId="58A55544">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2.8.2 乙方应保证履行合同的人员数量和素质、软件和硬件设备的配置、场地、环境和设施等满足全面履行合同的要求，并应接受甲方的监督检查。</w:t>
      </w:r>
    </w:p>
    <w:p w14:paraId="751DF8D9">
      <w:pPr>
        <w:spacing w:line="360" w:lineRule="auto"/>
        <w:ind w:firstLine="480" w:firstLineChars="200"/>
        <w:rPr>
          <w:rFonts w:hint="eastAsia" w:ascii="仿宋_GB2312" w:hAnsi="仿宋" w:eastAsia="仿宋_GB2312" w:cs="仿宋_GB2312"/>
          <w:color w:val="auto"/>
          <w:kern w:val="0"/>
          <w:sz w:val="24"/>
          <w:highlight w:val="none"/>
        </w:rPr>
      </w:pPr>
      <w:r>
        <w:rPr>
          <w:rFonts w:hint="eastAsia" w:ascii="仿宋_GB2312" w:hAnsi="仿宋" w:eastAsia="仿宋_GB2312"/>
          <w:color w:val="auto"/>
          <w:sz w:val="24"/>
          <w:highlight w:val="none"/>
        </w:rPr>
        <w:t>2.8.3乙方应确保项目技术人员的数量和水平与</w:t>
      </w:r>
      <w:r>
        <w:rPr>
          <w:rFonts w:hint="eastAsia" w:ascii="仿宋_GB2312" w:hAnsi="仿宋" w:eastAsia="仿宋_GB2312"/>
          <w:color w:val="auto"/>
          <w:sz w:val="24"/>
          <w:highlight w:val="none"/>
          <w:lang w:eastAsia="zh-CN"/>
        </w:rPr>
        <w:t>响应文件</w:t>
      </w:r>
      <w:r>
        <w:rPr>
          <w:rFonts w:hint="eastAsia" w:ascii="仿宋_GB2312" w:hAnsi="仿宋" w:eastAsia="仿宋_GB2312"/>
          <w:color w:val="auto"/>
          <w:sz w:val="24"/>
          <w:highlight w:val="none"/>
        </w:rPr>
        <w:t>一致。未经甲方书面同意，乙方不得擅自更换</w:t>
      </w:r>
      <w:r>
        <w:rPr>
          <w:rFonts w:hint="eastAsia" w:ascii="仿宋_GB2312" w:hAnsi="仿宋" w:eastAsia="仿宋_GB2312"/>
          <w:color w:val="auto"/>
          <w:sz w:val="24"/>
          <w:highlight w:val="none"/>
          <w:lang w:eastAsia="zh-CN"/>
        </w:rPr>
        <w:t>响应文件</w:t>
      </w:r>
      <w:r>
        <w:rPr>
          <w:rFonts w:hint="eastAsia" w:ascii="仿宋_GB2312" w:hAnsi="仿宋" w:eastAsia="仿宋_GB2312"/>
          <w:color w:val="auto"/>
          <w:sz w:val="24"/>
          <w:highlight w:val="none"/>
        </w:rPr>
        <w:t>中注明的项目经理和技术负责人。否则</w:t>
      </w:r>
      <w:r>
        <w:rPr>
          <w:rFonts w:hint="eastAsia" w:ascii="仿宋_GB2312" w:hAnsi="仿宋" w:eastAsia="仿宋_GB2312" w:cs="仿宋_GB2312"/>
          <w:color w:val="auto"/>
          <w:kern w:val="0"/>
          <w:sz w:val="24"/>
          <w:highlight w:val="none"/>
        </w:rPr>
        <w:t>甲方有权放弃或终止合同。</w:t>
      </w:r>
    </w:p>
    <w:p w14:paraId="29AF42F6">
      <w:pPr>
        <w:spacing w:line="360" w:lineRule="auto"/>
        <w:ind w:firstLine="480" w:firstLineChars="200"/>
        <w:rPr>
          <w:rFonts w:hint="eastAsia" w:ascii="仿宋_GB2312" w:hAnsi="楷体" w:eastAsia="仿宋_GB2312"/>
          <w:color w:val="auto"/>
          <w:sz w:val="24"/>
          <w:highlight w:val="none"/>
        </w:rPr>
      </w:pPr>
      <w:r>
        <w:rPr>
          <w:rFonts w:hint="eastAsia" w:ascii="仿宋_GB2312" w:hAnsi="仿宋" w:eastAsia="仿宋_GB2312"/>
          <w:color w:val="auto"/>
          <w:sz w:val="24"/>
          <w:highlight w:val="none"/>
        </w:rPr>
        <w:t>2.8.4因乙方原因造成甲方其他系统不能正常运行，酿成重大事故（工作日系统中断一天以上）的，乙方应承担全部法律责任，并赔偿经济损失，赔偿金额为项目总价的</w:t>
      </w:r>
      <w:r>
        <w:rPr>
          <w:rFonts w:hint="eastAsia" w:ascii="仿宋_GB2312" w:hAnsi="仿宋" w:eastAsia="仿宋_GB2312"/>
          <w:color w:val="auto"/>
          <w:sz w:val="24"/>
          <w:highlight w:val="none"/>
          <w:u w:val="single"/>
        </w:rPr>
        <w:t>30%</w:t>
      </w:r>
      <w:r>
        <w:rPr>
          <w:rFonts w:hint="eastAsia" w:ascii="仿宋_GB2312" w:hAnsi="仿宋" w:eastAsia="仿宋_GB2312"/>
          <w:color w:val="auto"/>
          <w:sz w:val="24"/>
          <w:highlight w:val="none"/>
        </w:rPr>
        <w:t>。</w:t>
      </w:r>
    </w:p>
    <w:p w14:paraId="1105A3F9">
      <w:pPr>
        <w:spacing w:line="360" w:lineRule="auto"/>
        <w:ind w:firstLine="482" w:firstLineChars="200"/>
        <w:rPr>
          <w:rFonts w:hint="eastAsia" w:ascii="仿宋_GB2312" w:hAnsi="楷体" w:eastAsia="仿宋_GB2312"/>
          <w:b/>
          <w:color w:val="auto"/>
          <w:sz w:val="24"/>
          <w:highlight w:val="none"/>
        </w:rPr>
      </w:pPr>
      <w:bookmarkStart w:id="165" w:name="_Toc17244"/>
      <w:bookmarkStart w:id="166" w:name="_Toc487900362"/>
      <w:bookmarkStart w:id="167" w:name="_Toc279701252"/>
      <w:bookmarkStart w:id="168" w:name="_Toc259093681"/>
      <w:r>
        <w:rPr>
          <w:rFonts w:hint="eastAsia" w:ascii="仿宋_GB2312" w:hAnsi="楷体" w:eastAsia="仿宋_GB2312"/>
          <w:b/>
          <w:color w:val="auto"/>
          <w:sz w:val="24"/>
          <w:highlight w:val="none"/>
        </w:rPr>
        <w:t>2.9 标的物的风险负担</w:t>
      </w:r>
      <w:bookmarkEnd w:id="165"/>
    </w:p>
    <w:p w14:paraId="7ADED234">
      <w:pPr>
        <w:spacing w:line="360" w:lineRule="auto"/>
        <w:ind w:firstLine="480" w:firstLineChars="200"/>
        <w:rPr>
          <w:rFonts w:hint="eastAsia" w:ascii="仿宋_GB2312" w:hAnsi="楷体" w:eastAsia="仿宋_GB2312"/>
          <w:b/>
          <w:color w:val="auto"/>
          <w:sz w:val="24"/>
          <w:highlight w:val="none"/>
        </w:rPr>
      </w:pPr>
      <w:r>
        <w:rPr>
          <w:rFonts w:hint="eastAsia" w:ascii="仿宋_GB2312" w:hAnsi="楷体" w:eastAsia="仿宋_GB2312"/>
          <w:color w:val="auto"/>
          <w:sz w:val="24"/>
          <w:highlight w:val="none"/>
        </w:rPr>
        <w:t>标的物或者在途标的物或者交付给第一承运人后的标的物毁损、灭失的风险负担详见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w:t>
      </w:r>
    </w:p>
    <w:p w14:paraId="3928ABEB">
      <w:pPr>
        <w:spacing w:line="360" w:lineRule="auto"/>
        <w:ind w:firstLine="482" w:firstLineChars="200"/>
        <w:rPr>
          <w:rFonts w:hint="eastAsia" w:ascii="仿宋_GB2312" w:hAnsi="楷体" w:eastAsia="仿宋_GB2312"/>
          <w:b/>
          <w:color w:val="auto"/>
          <w:sz w:val="24"/>
          <w:highlight w:val="none"/>
        </w:rPr>
      </w:pPr>
      <w:bookmarkStart w:id="169" w:name="_Toc14055"/>
      <w:r>
        <w:rPr>
          <w:rFonts w:hint="eastAsia" w:ascii="仿宋_GB2312" w:hAnsi="楷体" w:eastAsia="仿宋_GB2312"/>
          <w:b/>
          <w:color w:val="auto"/>
          <w:sz w:val="24"/>
          <w:highlight w:val="none"/>
        </w:rPr>
        <w:t>2.10 延迟交货</w:t>
      </w:r>
      <w:bookmarkEnd w:id="166"/>
      <w:bookmarkEnd w:id="167"/>
      <w:bookmarkEnd w:id="168"/>
      <w:bookmarkEnd w:id="169"/>
      <w:r>
        <w:rPr>
          <w:rFonts w:hint="eastAsia" w:ascii="仿宋_GB2312" w:hAnsi="楷体" w:eastAsia="仿宋_GB2312"/>
          <w:b/>
          <w:color w:val="auto"/>
          <w:sz w:val="24"/>
          <w:highlight w:val="none"/>
        </w:rPr>
        <w:t>/交付</w:t>
      </w:r>
    </w:p>
    <w:p w14:paraId="22E89609">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41BFB8E9">
      <w:pPr>
        <w:spacing w:line="360" w:lineRule="auto"/>
        <w:ind w:firstLine="482" w:firstLineChars="200"/>
        <w:rPr>
          <w:rFonts w:hint="eastAsia" w:ascii="仿宋_GB2312" w:hAnsi="楷体" w:eastAsia="仿宋_GB2312"/>
          <w:b/>
          <w:color w:val="auto"/>
          <w:sz w:val="24"/>
          <w:highlight w:val="none"/>
        </w:rPr>
      </w:pPr>
      <w:bookmarkStart w:id="170" w:name="_Toc7502"/>
      <w:bookmarkStart w:id="171" w:name="_Toc259093683"/>
      <w:bookmarkStart w:id="172" w:name="_Toc487900364"/>
      <w:bookmarkStart w:id="173" w:name="_Toc279701254"/>
      <w:bookmarkStart w:id="174" w:name="_Ref467378121"/>
      <w:r>
        <w:rPr>
          <w:rFonts w:hint="eastAsia" w:ascii="仿宋_GB2312" w:hAnsi="楷体" w:eastAsia="仿宋_GB2312"/>
          <w:b/>
          <w:color w:val="auto"/>
          <w:sz w:val="24"/>
          <w:highlight w:val="none"/>
        </w:rPr>
        <w:t>2.11 合同变更</w:t>
      </w:r>
      <w:bookmarkEnd w:id="170"/>
    </w:p>
    <w:p w14:paraId="48E35CAA">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6C7FB102">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2.11.2 合同继续履行将损害国家利益和社会公共利益的，双方当事人应当以书面形式变更合同。有过错的一方应当承担赔偿责任，双方当事人都有过错的，各自承担相应的责任。</w:t>
      </w:r>
      <w:bookmarkStart w:id="175" w:name="_Toc259093688"/>
      <w:bookmarkStart w:id="176" w:name="_Toc487900369"/>
      <w:bookmarkStart w:id="177" w:name="_Toc279701259"/>
    </w:p>
    <w:p w14:paraId="519ED74C">
      <w:pPr>
        <w:spacing w:line="360" w:lineRule="auto"/>
        <w:ind w:firstLine="482" w:firstLineChars="200"/>
        <w:rPr>
          <w:rFonts w:hint="eastAsia" w:ascii="仿宋_GB2312" w:hAnsi="楷体" w:eastAsia="仿宋_GB2312"/>
          <w:b/>
          <w:color w:val="auto"/>
          <w:sz w:val="24"/>
          <w:highlight w:val="none"/>
        </w:rPr>
      </w:pPr>
      <w:bookmarkStart w:id="178" w:name="_Toc10366"/>
      <w:bookmarkStart w:id="179" w:name="_Toc15237"/>
      <w:bookmarkStart w:id="180" w:name="_Toc22955"/>
      <w:r>
        <w:rPr>
          <w:rFonts w:hint="eastAsia" w:ascii="仿宋_GB2312" w:hAnsi="楷体" w:eastAsia="仿宋_GB2312"/>
          <w:b/>
          <w:color w:val="auto"/>
          <w:sz w:val="24"/>
          <w:highlight w:val="none"/>
        </w:rPr>
        <w:t>2.12 合同转让</w:t>
      </w:r>
      <w:bookmarkEnd w:id="175"/>
      <w:bookmarkEnd w:id="176"/>
      <w:bookmarkEnd w:id="177"/>
      <w:r>
        <w:rPr>
          <w:rFonts w:hint="eastAsia" w:ascii="仿宋_GB2312" w:hAnsi="楷体" w:eastAsia="仿宋_GB2312"/>
          <w:b/>
          <w:color w:val="auto"/>
          <w:sz w:val="24"/>
          <w:highlight w:val="none"/>
        </w:rPr>
        <w:t>和分包</w:t>
      </w:r>
      <w:bookmarkEnd w:id="178"/>
      <w:bookmarkEnd w:id="179"/>
      <w:bookmarkEnd w:id="180"/>
    </w:p>
    <w:p w14:paraId="232499E1">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32153AF1">
      <w:pPr>
        <w:spacing w:line="360" w:lineRule="auto"/>
        <w:ind w:firstLine="482" w:firstLineChars="200"/>
        <w:rPr>
          <w:rFonts w:hint="eastAsia" w:ascii="仿宋_GB2312" w:hAnsi="楷体" w:eastAsia="仿宋_GB2312"/>
          <w:b/>
          <w:color w:val="auto"/>
          <w:sz w:val="24"/>
          <w:highlight w:val="none"/>
        </w:rPr>
      </w:pPr>
      <w:bookmarkStart w:id="181" w:name="_Toc13566"/>
      <w:bookmarkStart w:id="182" w:name="_Toc16508"/>
      <w:bookmarkStart w:id="183" w:name="_Toc14066"/>
      <w:r>
        <w:rPr>
          <w:rFonts w:hint="eastAsia" w:ascii="仿宋_GB2312" w:hAnsi="楷体" w:eastAsia="仿宋_GB2312"/>
          <w:b/>
          <w:color w:val="auto"/>
          <w:sz w:val="24"/>
          <w:highlight w:val="none"/>
        </w:rPr>
        <w:t>2.13 不可抗力</w:t>
      </w:r>
      <w:bookmarkEnd w:id="181"/>
      <w:bookmarkEnd w:id="182"/>
      <w:bookmarkEnd w:id="183"/>
    </w:p>
    <w:p w14:paraId="5DA7C61C">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2.13.1如果任何一方遭遇法律规定的不可抗力，致使合同履行受阻时，履行合同的期限应予延长，延长的期限应相当于不可抗力所影响的时间；</w:t>
      </w:r>
    </w:p>
    <w:p w14:paraId="496785A5">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2.13.2受不可抗力影响的一方在不可抗力发生后，应在</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约定时间内以书面形式通知对方当事人，并在</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约定时间内，将有关部门出具的证明文件送达对方当事人。</w:t>
      </w:r>
    </w:p>
    <w:p w14:paraId="3C66A4A5">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2.13.3 因不可抗力致使不能实现合同目的的，当事人可以解除合同；</w:t>
      </w:r>
    </w:p>
    <w:p w14:paraId="7CB14451">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2.13.4 因不可抗力致使合同有变更必要的，双方当事人应在</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约定时间内以书面形式变更合同；</w:t>
      </w:r>
    </w:p>
    <w:p w14:paraId="5F442B15">
      <w:pPr>
        <w:spacing w:line="360" w:lineRule="auto"/>
        <w:ind w:firstLine="482" w:firstLineChars="200"/>
        <w:rPr>
          <w:rFonts w:hint="eastAsia" w:ascii="仿宋_GB2312" w:hAnsi="楷体" w:eastAsia="仿宋_GB2312"/>
          <w:b/>
          <w:color w:val="auto"/>
          <w:sz w:val="24"/>
          <w:highlight w:val="none"/>
        </w:rPr>
      </w:pPr>
      <w:bookmarkStart w:id="184" w:name="_Toc487900365"/>
      <w:bookmarkStart w:id="185" w:name="_Toc6969"/>
      <w:bookmarkStart w:id="186" w:name="_Toc689"/>
      <w:bookmarkStart w:id="187" w:name="_Toc259093684"/>
      <w:bookmarkStart w:id="188" w:name="_Toc279701255"/>
      <w:bookmarkStart w:id="189" w:name="_Toc30676"/>
      <w:r>
        <w:rPr>
          <w:rFonts w:hint="eastAsia" w:ascii="仿宋_GB2312" w:hAnsi="楷体" w:eastAsia="仿宋_GB2312"/>
          <w:b/>
          <w:color w:val="auto"/>
          <w:sz w:val="24"/>
          <w:highlight w:val="none"/>
        </w:rPr>
        <w:t>2.14 税费</w:t>
      </w:r>
      <w:bookmarkEnd w:id="184"/>
      <w:bookmarkEnd w:id="185"/>
      <w:bookmarkEnd w:id="186"/>
      <w:bookmarkEnd w:id="187"/>
      <w:bookmarkEnd w:id="188"/>
      <w:bookmarkEnd w:id="189"/>
    </w:p>
    <w:p w14:paraId="6E6B4992">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与合同有关的一切税费，均按照中华人民共和国法律的相关规定执行。</w:t>
      </w:r>
    </w:p>
    <w:p w14:paraId="0CC1F643">
      <w:pPr>
        <w:spacing w:line="360" w:lineRule="auto"/>
        <w:ind w:firstLine="482" w:firstLineChars="200"/>
        <w:rPr>
          <w:rFonts w:hint="eastAsia" w:ascii="仿宋_GB2312" w:hAnsi="楷体" w:eastAsia="仿宋_GB2312"/>
          <w:b/>
          <w:color w:val="auto"/>
          <w:sz w:val="24"/>
          <w:highlight w:val="none"/>
        </w:rPr>
      </w:pPr>
      <w:bookmarkStart w:id="190" w:name="_Toc7102"/>
      <w:bookmarkStart w:id="191" w:name="_Toc259093687"/>
      <w:bookmarkStart w:id="192" w:name="_Toc279701258"/>
      <w:bookmarkStart w:id="193" w:name="_Toc16959"/>
      <w:bookmarkStart w:id="194" w:name="_Toc8298"/>
      <w:bookmarkStart w:id="195" w:name="_Toc487900368"/>
      <w:r>
        <w:rPr>
          <w:rFonts w:hint="eastAsia" w:ascii="仿宋_GB2312" w:hAnsi="楷体" w:eastAsia="仿宋_GB2312"/>
          <w:b/>
          <w:color w:val="auto"/>
          <w:sz w:val="24"/>
          <w:highlight w:val="none"/>
        </w:rPr>
        <w:t>2.15 乙方破产</w:t>
      </w:r>
      <w:bookmarkEnd w:id="190"/>
      <w:bookmarkEnd w:id="191"/>
      <w:bookmarkEnd w:id="192"/>
      <w:bookmarkEnd w:id="193"/>
      <w:bookmarkEnd w:id="194"/>
      <w:bookmarkEnd w:id="195"/>
    </w:p>
    <w:p w14:paraId="43825E4A">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2AA0856">
      <w:pPr>
        <w:spacing w:line="360" w:lineRule="auto"/>
        <w:ind w:firstLine="482" w:firstLineChars="200"/>
        <w:rPr>
          <w:rFonts w:hint="eastAsia" w:ascii="仿宋_GB2312" w:hAnsi="楷体" w:eastAsia="仿宋_GB2312"/>
          <w:b/>
          <w:color w:val="auto"/>
          <w:sz w:val="24"/>
          <w:highlight w:val="none"/>
        </w:rPr>
      </w:pPr>
      <w:bookmarkStart w:id="196" w:name="_Toc6134"/>
      <w:bookmarkStart w:id="197" w:name="_Toc29333"/>
      <w:bookmarkStart w:id="198" w:name="_Toc15387"/>
      <w:r>
        <w:rPr>
          <w:rFonts w:hint="eastAsia" w:ascii="仿宋_GB2312" w:hAnsi="楷体" w:eastAsia="仿宋_GB2312"/>
          <w:b/>
          <w:color w:val="auto"/>
          <w:sz w:val="24"/>
          <w:highlight w:val="none"/>
        </w:rPr>
        <w:t>2.16 合同中止、终止</w:t>
      </w:r>
      <w:bookmarkEnd w:id="196"/>
      <w:bookmarkEnd w:id="197"/>
      <w:bookmarkEnd w:id="198"/>
    </w:p>
    <w:p w14:paraId="55EB9FD9">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2.16.1 双方当事人不得擅自中止或者终止合同；</w:t>
      </w:r>
    </w:p>
    <w:p w14:paraId="3BC92A47">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2.16.2合同继续履行将损害国家利益和社会公共利益的，双方当事人应当中止或者终止合同。有过错的一方应当承担赔偿责任，双方当事人都有过错的，各自承担相应的责任。</w:t>
      </w:r>
    </w:p>
    <w:p w14:paraId="01A80C2F">
      <w:pPr>
        <w:spacing w:line="360" w:lineRule="auto"/>
        <w:ind w:firstLine="482" w:firstLineChars="200"/>
        <w:rPr>
          <w:rFonts w:hint="eastAsia" w:ascii="仿宋_GB2312" w:hAnsi="楷体" w:eastAsia="仿宋_GB2312"/>
          <w:b/>
          <w:color w:val="auto"/>
          <w:sz w:val="24"/>
          <w:highlight w:val="none"/>
        </w:rPr>
      </w:pPr>
      <w:bookmarkStart w:id="199" w:name="_Toc6596"/>
      <w:bookmarkStart w:id="200" w:name="_Toc14563"/>
      <w:bookmarkStart w:id="201" w:name="_Toc1125"/>
      <w:r>
        <w:rPr>
          <w:rFonts w:hint="eastAsia" w:ascii="仿宋_GB2312" w:hAnsi="楷体" w:eastAsia="仿宋_GB2312"/>
          <w:b/>
          <w:color w:val="auto"/>
          <w:sz w:val="24"/>
          <w:highlight w:val="none"/>
        </w:rPr>
        <w:t>2.17 检验和验收</w:t>
      </w:r>
      <w:bookmarkEnd w:id="199"/>
      <w:bookmarkEnd w:id="200"/>
      <w:bookmarkEnd w:id="201"/>
    </w:p>
    <w:p w14:paraId="71D660AF">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2.17.1标的物交付前，乙方应对标的物的质量、数量等方面进行详细、全面的检验，并向甲方出具证明标的物符合合同约定的文件；标的物交付时，乙方在</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约定时间内组织验收，并可依法邀请相关方参加，验收应出具验收书。</w:t>
      </w:r>
    </w:p>
    <w:p w14:paraId="5D027007">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6F80F7C9">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2.17.3 检验和验收标准、程序等具体内容以及前述验收书的效力详见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i/>
          <w:color w:val="auto"/>
          <w:sz w:val="24"/>
          <w:highlight w:val="none"/>
        </w:rPr>
        <w:t>。</w:t>
      </w:r>
    </w:p>
    <w:bookmarkEnd w:id="171"/>
    <w:bookmarkEnd w:id="172"/>
    <w:bookmarkEnd w:id="173"/>
    <w:bookmarkEnd w:id="174"/>
    <w:p w14:paraId="0543BFB2">
      <w:pPr>
        <w:spacing w:line="360" w:lineRule="auto"/>
        <w:ind w:firstLine="482" w:firstLineChars="200"/>
        <w:rPr>
          <w:rFonts w:hint="eastAsia" w:ascii="仿宋_GB2312" w:hAnsi="楷体" w:eastAsia="仿宋_GB2312"/>
          <w:b/>
          <w:color w:val="auto"/>
          <w:sz w:val="24"/>
          <w:highlight w:val="none"/>
        </w:rPr>
      </w:pPr>
      <w:bookmarkStart w:id="202" w:name="_Toc279701261"/>
      <w:bookmarkStart w:id="203" w:name="_Toc259093690"/>
      <w:bookmarkStart w:id="204" w:name="_Toc487900371"/>
      <w:bookmarkStart w:id="205" w:name="_Toc11284"/>
      <w:bookmarkStart w:id="206" w:name="_Toc19604"/>
      <w:bookmarkStart w:id="207" w:name="_Toc25182"/>
      <w:r>
        <w:rPr>
          <w:rFonts w:hint="eastAsia" w:ascii="仿宋_GB2312" w:hAnsi="楷体" w:eastAsia="仿宋_GB2312"/>
          <w:b/>
          <w:color w:val="auto"/>
          <w:sz w:val="24"/>
          <w:highlight w:val="none"/>
        </w:rPr>
        <w:t>2.18 通知</w:t>
      </w:r>
      <w:bookmarkEnd w:id="202"/>
      <w:bookmarkEnd w:id="203"/>
      <w:bookmarkEnd w:id="204"/>
      <w:r>
        <w:rPr>
          <w:rFonts w:hint="eastAsia" w:ascii="仿宋_GB2312" w:hAnsi="楷体" w:eastAsia="仿宋_GB2312"/>
          <w:b/>
          <w:color w:val="auto"/>
          <w:sz w:val="24"/>
          <w:highlight w:val="none"/>
        </w:rPr>
        <w:t>和送达</w:t>
      </w:r>
      <w:bookmarkEnd w:id="205"/>
      <w:bookmarkEnd w:id="206"/>
      <w:bookmarkEnd w:id="207"/>
    </w:p>
    <w:p w14:paraId="0EDE4DAB">
      <w:pPr>
        <w:spacing w:line="360" w:lineRule="auto"/>
        <w:ind w:firstLine="480" w:firstLineChars="200"/>
        <w:rPr>
          <w:rFonts w:hint="eastAsia" w:ascii="仿宋_GB2312" w:hAnsi="楷体" w:eastAsia="仿宋_GB2312"/>
          <w:color w:val="auto"/>
          <w:sz w:val="24"/>
          <w:highlight w:val="none"/>
        </w:rPr>
      </w:pPr>
      <w:bookmarkStart w:id="208" w:name="_Toc6698"/>
      <w:bookmarkStart w:id="209" w:name="_Toc3135"/>
      <w:bookmarkStart w:id="210" w:name="_Toc259093691"/>
      <w:bookmarkStart w:id="211" w:name="_Toc487900372"/>
      <w:bookmarkStart w:id="212" w:name="_Toc279701262"/>
      <w:r>
        <w:rPr>
          <w:rFonts w:hint="eastAsia" w:ascii="仿宋_GB2312" w:hAnsi="楷体" w:eastAsia="仿宋_GB2312"/>
          <w:color w:val="auto"/>
          <w:sz w:val="24"/>
          <w:highlight w:val="none"/>
        </w:rPr>
        <w:t>2.18.1 任何一方因履行合同而以合同第一部分尾部所列明的</w:t>
      </w:r>
      <w:r>
        <w:rPr>
          <w:rFonts w:hint="eastAsia" w:ascii="仿宋_GB2312" w:hAnsi="楷体" w:eastAsia="仿宋_GB2312"/>
          <w:color w:val="auto"/>
          <w:sz w:val="24"/>
          <w:highlight w:val="none"/>
          <w:u w:val="single"/>
        </w:rPr>
        <w:t>“约定送达地址”</w:t>
      </w:r>
      <w:r>
        <w:rPr>
          <w:rFonts w:hint="eastAsia" w:ascii="仿宋_GB2312" w:hAnsi="楷体" w:eastAsia="仿宋_GB2312"/>
          <w:color w:val="auto"/>
          <w:sz w:val="24"/>
          <w:highlight w:val="none"/>
        </w:rPr>
        <w:t>为收件地址的所有通知、文件、材料，均视为已向对方当事人送达；任何一方变更上述送达方式或者地址的，应于</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u w:val="single"/>
          <w:lang w:val="en-US" w:eastAsia="zh-CN"/>
        </w:rPr>
        <w:t>5</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个工作日内书面通知对方当事人，在对方当事人收到有关变更通知之前，变更前的约定送达方式或者地址仍视为有效。</w:t>
      </w:r>
      <w:bookmarkEnd w:id="208"/>
      <w:bookmarkEnd w:id="209"/>
    </w:p>
    <w:p w14:paraId="4FFA224E">
      <w:pPr>
        <w:spacing w:line="360" w:lineRule="auto"/>
        <w:ind w:firstLine="480" w:firstLineChars="200"/>
        <w:rPr>
          <w:rFonts w:hint="eastAsia" w:ascii="仿宋_GB2312" w:hAnsi="楷体" w:eastAsia="仿宋_GB2312"/>
          <w:color w:val="auto"/>
          <w:sz w:val="24"/>
          <w:highlight w:val="none"/>
        </w:rPr>
      </w:pPr>
      <w:bookmarkStart w:id="213" w:name="_Toc23128"/>
      <w:bookmarkStart w:id="214" w:name="_Toc23294"/>
      <w:r>
        <w:rPr>
          <w:rFonts w:hint="eastAsia" w:ascii="仿宋_GB2312" w:hAnsi="楷体" w:eastAsia="仿宋_GB2312"/>
          <w:color w:val="auto"/>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13"/>
      <w:bookmarkEnd w:id="214"/>
    </w:p>
    <w:p w14:paraId="017198D1">
      <w:pPr>
        <w:spacing w:line="360" w:lineRule="auto"/>
        <w:ind w:firstLine="482" w:firstLineChars="200"/>
        <w:rPr>
          <w:rFonts w:hint="eastAsia" w:ascii="仿宋_GB2312" w:hAnsi="楷体" w:eastAsia="仿宋_GB2312"/>
          <w:b/>
          <w:color w:val="auto"/>
          <w:sz w:val="24"/>
          <w:highlight w:val="none"/>
        </w:rPr>
      </w:pPr>
      <w:bookmarkStart w:id="215" w:name="_Toc4355"/>
      <w:bookmarkStart w:id="216" w:name="_Toc18540"/>
      <w:bookmarkStart w:id="217" w:name="_Toc30599"/>
      <w:r>
        <w:rPr>
          <w:rFonts w:hint="eastAsia" w:ascii="仿宋_GB2312" w:hAnsi="楷体" w:eastAsia="仿宋_GB2312"/>
          <w:b/>
          <w:color w:val="auto"/>
          <w:sz w:val="24"/>
          <w:highlight w:val="none"/>
        </w:rPr>
        <w:t>2.19 计量单位</w:t>
      </w:r>
      <w:bookmarkEnd w:id="210"/>
      <w:bookmarkEnd w:id="211"/>
      <w:bookmarkEnd w:id="212"/>
      <w:bookmarkEnd w:id="215"/>
      <w:bookmarkEnd w:id="216"/>
      <w:bookmarkEnd w:id="217"/>
    </w:p>
    <w:p w14:paraId="78B2D047">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除技术规范中另有规定外,合同的计量单位均使用国家法定计量单位。</w:t>
      </w:r>
    </w:p>
    <w:p w14:paraId="00E706C9">
      <w:pPr>
        <w:spacing w:line="360" w:lineRule="auto"/>
        <w:ind w:firstLine="482" w:firstLineChars="200"/>
        <w:rPr>
          <w:rFonts w:hint="eastAsia" w:ascii="仿宋_GB2312" w:hAnsi="楷体" w:eastAsia="仿宋_GB2312"/>
          <w:b/>
          <w:color w:val="auto"/>
          <w:sz w:val="24"/>
          <w:highlight w:val="none"/>
        </w:rPr>
      </w:pPr>
      <w:bookmarkStart w:id="218" w:name="_Toc10330"/>
      <w:bookmarkStart w:id="219" w:name="_Toc18567"/>
      <w:bookmarkStart w:id="220" w:name="_Toc279701263"/>
      <w:bookmarkStart w:id="221" w:name="_Toc487900373"/>
      <w:bookmarkStart w:id="222" w:name="_Toc12773"/>
      <w:bookmarkStart w:id="223" w:name="_Toc259093692"/>
      <w:r>
        <w:rPr>
          <w:rFonts w:hint="eastAsia" w:ascii="仿宋_GB2312" w:hAnsi="楷体" w:eastAsia="仿宋_GB2312"/>
          <w:b/>
          <w:color w:val="auto"/>
          <w:sz w:val="24"/>
          <w:highlight w:val="none"/>
        </w:rPr>
        <w:t>2.20 合同使用的文字和适用的法律</w:t>
      </w:r>
      <w:bookmarkEnd w:id="218"/>
      <w:bookmarkEnd w:id="219"/>
      <w:bookmarkEnd w:id="220"/>
      <w:bookmarkEnd w:id="221"/>
      <w:bookmarkEnd w:id="222"/>
      <w:bookmarkEnd w:id="223"/>
    </w:p>
    <w:p w14:paraId="5F4D6E62">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2.20.1 合同使用汉语书就、变更和解释；</w:t>
      </w:r>
    </w:p>
    <w:p w14:paraId="16DA6C99">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2.20.2 合同适用中华人民共和国法律。</w:t>
      </w:r>
    </w:p>
    <w:p w14:paraId="05037D5E">
      <w:pPr>
        <w:spacing w:line="360" w:lineRule="auto"/>
        <w:ind w:firstLine="482" w:firstLineChars="200"/>
        <w:rPr>
          <w:rFonts w:hint="eastAsia" w:ascii="仿宋_GB2312" w:hAnsi="楷体" w:eastAsia="仿宋_GB2312"/>
          <w:b/>
          <w:color w:val="auto"/>
          <w:sz w:val="24"/>
          <w:highlight w:val="none"/>
        </w:rPr>
      </w:pPr>
      <w:bookmarkStart w:id="224" w:name="_Toc279701264"/>
      <w:bookmarkStart w:id="225" w:name="_Toc259093693"/>
      <w:bookmarkStart w:id="226" w:name="_Toc12004"/>
      <w:bookmarkStart w:id="227" w:name="_Toc3148"/>
      <w:bookmarkStart w:id="228" w:name="_Toc16673"/>
      <w:bookmarkStart w:id="229" w:name="_Toc487900374"/>
      <w:r>
        <w:rPr>
          <w:rFonts w:hint="eastAsia" w:ascii="仿宋_GB2312" w:hAnsi="楷体" w:eastAsia="仿宋_GB2312"/>
          <w:b/>
          <w:color w:val="auto"/>
          <w:sz w:val="24"/>
          <w:highlight w:val="none"/>
        </w:rPr>
        <w:t>2.21 履约保证金</w:t>
      </w:r>
      <w:bookmarkEnd w:id="224"/>
      <w:bookmarkEnd w:id="225"/>
      <w:bookmarkEnd w:id="226"/>
      <w:bookmarkEnd w:id="227"/>
      <w:bookmarkEnd w:id="228"/>
    </w:p>
    <w:p w14:paraId="0FF658DD">
      <w:pPr>
        <w:spacing w:line="360" w:lineRule="auto"/>
        <w:ind w:firstLine="480" w:firstLineChars="200"/>
        <w:rPr>
          <w:rFonts w:ascii="仿宋_GB2312" w:hAnsi="仿宋" w:eastAsia="仿宋_GB2312" w:cs="Arial"/>
          <w:snapToGrid w:val="0"/>
          <w:color w:val="auto"/>
          <w:kern w:val="0"/>
          <w:sz w:val="24"/>
          <w:highlight w:val="none"/>
        </w:rPr>
      </w:pPr>
      <w:r>
        <w:rPr>
          <w:rFonts w:hint="eastAsia" w:ascii="仿宋_GB2312" w:hAnsi="楷体" w:eastAsia="仿宋_GB2312"/>
          <w:color w:val="auto"/>
          <w:sz w:val="24"/>
          <w:highlight w:val="none"/>
        </w:rPr>
        <w:t>本项目不收取履约保证金</w:t>
      </w:r>
    </w:p>
    <w:p w14:paraId="79812F95">
      <w:pPr>
        <w:spacing w:line="360" w:lineRule="auto"/>
        <w:ind w:firstLine="482" w:firstLineChars="200"/>
        <w:rPr>
          <w:rFonts w:hint="eastAsia" w:ascii="仿宋_GB2312" w:hAnsi="仿宋" w:eastAsia="仿宋_GB2312"/>
          <w:color w:val="auto"/>
          <w:kern w:val="0"/>
          <w:sz w:val="24"/>
          <w:highlight w:val="none"/>
          <w:lang w:val="zh-CN"/>
        </w:rPr>
      </w:pPr>
      <w:r>
        <w:rPr>
          <w:rFonts w:hint="eastAsia" w:ascii="仿宋_GB2312" w:hAnsi="楷体" w:eastAsia="仿宋_GB2312"/>
          <w:b/>
          <w:color w:val="auto"/>
          <w:sz w:val="24"/>
          <w:highlight w:val="none"/>
        </w:rPr>
        <w:t>2.22 中小企业政策</w:t>
      </w:r>
    </w:p>
    <w:p w14:paraId="7D56A3DC">
      <w:pPr>
        <w:spacing w:line="360" w:lineRule="auto"/>
        <w:ind w:firstLine="480" w:firstLineChars="200"/>
        <w:rPr>
          <w:rFonts w:ascii="仿宋_GB2312" w:hAnsi="仿宋" w:eastAsia="仿宋_GB2312"/>
          <w:color w:val="auto"/>
          <w:kern w:val="0"/>
          <w:sz w:val="24"/>
          <w:highlight w:val="none"/>
          <w:lang w:val="zh-CN"/>
        </w:rPr>
      </w:pPr>
      <w:r>
        <w:rPr>
          <w:rFonts w:hint="eastAsia" w:ascii="仿宋_GB2312" w:hAnsi="仿宋" w:eastAsia="仿宋_GB2312"/>
          <w:color w:val="auto"/>
          <w:kern w:val="0"/>
          <w:sz w:val="24"/>
          <w:highlight w:val="none"/>
          <w:lang w:val="zh-CN"/>
        </w:rPr>
        <w:t>2.22.</w:t>
      </w:r>
      <w:r>
        <w:rPr>
          <w:rFonts w:hint="eastAsia" w:ascii="仿宋_GB2312" w:hAnsi="仿宋" w:eastAsia="仿宋_GB2312"/>
          <w:color w:val="auto"/>
          <w:kern w:val="0"/>
          <w:sz w:val="24"/>
          <w:highlight w:val="none"/>
          <w:lang w:val="en-US" w:eastAsia="zh-CN"/>
        </w:rPr>
        <w:t>1</w:t>
      </w:r>
      <w:r>
        <w:rPr>
          <w:rFonts w:ascii="仿宋_GB2312" w:hAnsi="仿宋" w:eastAsia="仿宋_GB2312"/>
          <w:color w:val="auto"/>
          <w:kern w:val="0"/>
          <w:sz w:val="24"/>
          <w:highlight w:val="none"/>
          <w:lang w:val="zh-CN"/>
        </w:rPr>
        <w:t>本合同（</w:t>
      </w:r>
      <w:r>
        <w:rPr>
          <w:rFonts w:hint="eastAsia" w:ascii="仿宋_GB2312" w:hAnsi="仿宋" w:eastAsia="仿宋_GB2312"/>
          <w:color w:val="auto"/>
          <w:kern w:val="0"/>
          <w:sz w:val="24"/>
          <w:highlight w:val="none"/>
          <w:lang w:val="zh-CN"/>
        </w:rPr>
        <w:t>☑</w:t>
      </w:r>
      <w:r>
        <w:rPr>
          <w:rFonts w:ascii="仿宋_GB2312" w:hAnsi="仿宋" w:eastAsia="仿宋_GB2312"/>
          <w:color w:val="auto"/>
          <w:kern w:val="0"/>
          <w:sz w:val="24"/>
          <w:highlight w:val="none"/>
          <w:lang w:val="zh-CN"/>
        </w:rPr>
        <w:t xml:space="preserve">是  </w:t>
      </w:r>
      <w:r>
        <w:rPr>
          <w:rFonts w:hint="eastAsia" w:ascii="仿宋_GB2312" w:hAnsi="仿宋" w:eastAsia="仿宋_GB2312"/>
          <w:color w:val="auto"/>
          <w:kern w:val="0"/>
          <w:sz w:val="24"/>
          <w:highlight w:val="none"/>
          <w:lang w:val="zh-CN"/>
        </w:rPr>
        <w:t>□否）为中小企业预留合同。</w:t>
      </w:r>
    </w:p>
    <w:bookmarkEnd w:id="229"/>
    <w:p w14:paraId="5E262B7E">
      <w:pPr>
        <w:spacing w:line="360" w:lineRule="auto"/>
        <w:ind w:firstLine="482" w:firstLineChars="200"/>
        <w:rPr>
          <w:rFonts w:hint="eastAsia" w:ascii="仿宋_GB2312" w:hAnsi="楷体" w:eastAsia="仿宋_GB2312"/>
          <w:b/>
          <w:color w:val="auto"/>
          <w:sz w:val="24"/>
          <w:highlight w:val="none"/>
        </w:rPr>
      </w:pPr>
      <w:bookmarkStart w:id="230" w:name="_Toc19890"/>
      <w:bookmarkStart w:id="231" w:name="_Toc14001"/>
      <w:bookmarkStart w:id="232" w:name="_Toc6885"/>
      <w:r>
        <w:rPr>
          <w:rFonts w:hint="eastAsia" w:ascii="仿宋_GB2312" w:hAnsi="楷体" w:eastAsia="仿宋_GB2312"/>
          <w:b/>
          <w:color w:val="auto"/>
          <w:sz w:val="24"/>
          <w:highlight w:val="none"/>
        </w:rPr>
        <w:t>2.23 合同份数</w:t>
      </w:r>
      <w:bookmarkEnd w:id="230"/>
      <w:bookmarkEnd w:id="231"/>
      <w:bookmarkEnd w:id="232"/>
    </w:p>
    <w:p w14:paraId="5313FD53">
      <w:pPr>
        <w:spacing w:line="360" w:lineRule="auto"/>
        <w:ind w:firstLine="480" w:firstLineChars="200"/>
        <w:rPr>
          <w:rFonts w:hint="eastAsia" w:ascii="仿宋_GB2312" w:hAnsi="楷体" w:eastAsia="仿宋_GB2312"/>
          <w:color w:val="auto"/>
          <w:sz w:val="24"/>
          <w:highlight w:val="none"/>
        </w:rPr>
      </w:pPr>
      <w:r>
        <w:rPr>
          <w:rFonts w:hint="eastAsia" w:ascii="仿宋_GB2312" w:hAnsi="宋体" w:eastAsia="仿宋_GB2312"/>
          <w:color w:val="auto"/>
          <w:sz w:val="24"/>
          <w:highlight w:val="none"/>
        </w:rPr>
        <w:t>本合同壹式</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u w:val="single"/>
          <w:lang w:eastAsia="zh-CN"/>
        </w:rPr>
        <w:t>柒</w:t>
      </w:r>
      <w:r>
        <w:rPr>
          <w:rFonts w:hint="eastAsia" w:ascii="仿宋_GB2312" w:hAnsi="仿宋" w:eastAsia="仿宋_GB2312"/>
          <w:color w:val="auto"/>
          <w:sz w:val="24"/>
          <w:highlight w:val="none"/>
          <w:u w:val="single"/>
        </w:rPr>
        <w:t xml:space="preserve"> </w:t>
      </w:r>
      <w:r>
        <w:rPr>
          <w:rFonts w:hint="eastAsia" w:ascii="仿宋_GB2312" w:hAnsi="宋体" w:eastAsia="仿宋_GB2312"/>
          <w:color w:val="auto"/>
          <w:sz w:val="24"/>
          <w:highlight w:val="none"/>
        </w:rPr>
        <w:t>份，甲方执</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u w:val="single"/>
          <w:lang w:eastAsia="zh-CN"/>
        </w:rPr>
        <w:t>叁</w:t>
      </w:r>
      <w:r>
        <w:rPr>
          <w:rFonts w:hint="eastAsia" w:ascii="仿宋_GB2312" w:hAnsi="仿宋" w:eastAsia="仿宋_GB2312"/>
          <w:color w:val="auto"/>
          <w:sz w:val="24"/>
          <w:highlight w:val="none"/>
          <w:u w:val="single"/>
        </w:rPr>
        <w:t xml:space="preserve"> </w:t>
      </w:r>
      <w:r>
        <w:rPr>
          <w:rFonts w:hint="eastAsia" w:ascii="仿宋_GB2312" w:hAnsi="宋体" w:eastAsia="仿宋_GB2312"/>
          <w:color w:val="auto"/>
          <w:sz w:val="24"/>
          <w:highlight w:val="none"/>
        </w:rPr>
        <w:t>份，乙方执</w:t>
      </w:r>
      <w:r>
        <w:rPr>
          <w:rFonts w:hint="eastAsia" w:ascii="仿宋_GB2312" w:hAnsi="仿宋" w:eastAsia="仿宋_GB2312"/>
          <w:color w:val="auto"/>
          <w:sz w:val="24"/>
          <w:highlight w:val="none"/>
          <w:u w:val="single"/>
        </w:rPr>
        <w:t xml:space="preserve">  </w:t>
      </w:r>
      <w:r>
        <w:rPr>
          <w:rFonts w:hint="eastAsia" w:ascii="仿宋_GB2312" w:hAnsi="宋体" w:eastAsia="仿宋_GB2312"/>
          <w:color w:val="auto"/>
          <w:sz w:val="24"/>
          <w:highlight w:val="none"/>
          <w:u w:val="single"/>
          <w:lang w:eastAsia="zh-CN"/>
        </w:rPr>
        <w:t>贰</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份</w:t>
      </w:r>
      <w:r>
        <w:rPr>
          <w:rFonts w:hint="eastAsia" w:ascii="仿宋_GB2312" w:hAnsi="宋体" w:eastAsia="仿宋_GB2312"/>
          <w:color w:val="auto"/>
          <w:sz w:val="24"/>
          <w:highlight w:val="none"/>
          <w:lang w:eastAsia="zh-CN"/>
        </w:rPr>
        <w:t>，采购代理机构</w:t>
      </w:r>
      <w:r>
        <w:rPr>
          <w:rFonts w:hint="eastAsia" w:ascii="仿宋_GB2312" w:hAnsi="宋体" w:eastAsia="仿宋_GB2312"/>
          <w:color w:val="auto"/>
          <w:sz w:val="24"/>
          <w:highlight w:val="none"/>
        </w:rPr>
        <w:t>执</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u w:val="single"/>
          <w:lang w:eastAsia="zh-CN"/>
        </w:rPr>
        <w:t>贰</w:t>
      </w:r>
      <w:r>
        <w:rPr>
          <w:rFonts w:hint="eastAsia" w:ascii="仿宋_GB2312" w:hAnsi="宋体" w:eastAsia="仿宋_GB2312"/>
          <w:color w:val="auto"/>
          <w:sz w:val="24"/>
          <w:highlight w:val="none"/>
          <w:u w:val="single"/>
        </w:rPr>
        <w:t xml:space="preserve"> </w:t>
      </w:r>
      <w:r>
        <w:rPr>
          <w:rFonts w:hint="eastAsia" w:ascii="仿宋_GB2312" w:hAnsi="仿宋" w:eastAsia="仿宋_GB2312"/>
          <w:color w:val="auto"/>
          <w:sz w:val="24"/>
          <w:highlight w:val="none"/>
          <w:u w:val="single"/>
        </w:rPr>
        <w:t xml:space="preserve"> </w:t>
      </w:r>
      <w:r>
        <w:rPr>
          <w:rFonts w:hint="eastAsia" w:ascii="仿宋_GB2312" w:hAnsi="宋体" w:eastAsia="仿宋_GB2312"/>
          <w:color w:val="auto"/>
          <w:sz w:val="24"/>
          <w:highlight w:val="none"/>
        </w:rPr>
        <w:t>份</w:t>
      </w:r>
      <w:r>
        <w:rPr>
          <w:rFonts w:hint="eastAsia" w:ascii="仿宋_GB2312" w:hAnsi="宋体" w:eastAsia="仿宋_GB2312"/>
          <w:color w:val="auto"/>
          <w:sz w:val="24"/>
          <w:highlight w:val="none"/>
          <w:lang w:eastAsia="zh-CN"/>
        </w:rPr>
        <w:t>，</w:t>
      </w:r>
      <w:r>
        <w:rPr>
          <w:rFonts w:hint="eastAsia" w:ascii="仿宋_GB2312" w:hAnsi="楷体" w:eastAsia="仿宋_GB2312"/>
          <w:color w:val="auto"/>
          <w:sz w:val="24"/>
          <w:highlight w:val="none"/>
        </w:rPr>
        <w:t>每份均具有同等法律效力。</w:t>
      </w:r>
    </w:p>
    <w:p w14:paraId="72082DEC">
      <w:pPr>
        <w:pStyle w:val="74"/>
        <w:spacing w:after="0"/>
        <w:jc w:val="center"/>
        <w:outlineLvl w:val="1"/>
        <w:rPr>
          <w:rFonts w:hint="eastAsia" w:ascii="仿宋_GB2312" w:hAnsi="楷体" w:eastAsia="仿宋_GB2312"/>
          <w:b/>
          <w:color w:val="auto"/>
          <w:sz w:val="28"/>
          <w:szCs w:val="28"/>
          <w:highlight w:val="none"/>
        </w:rPr>
      </w:pPr>
      <w:r>
        <w:rPr>
          <w:rFonts w:hint="eastAsia" w:ascii="仿宋_GB2312" w:hAnsi="楷体" w:eastAsia="仿宋_GB2312"/>
          <w:color w:val="auto"/>
          <w:highlight w:val="none"/>
        </w:rPr>
        <w:br w:type="page"/>
      </w:r>
      <w:bookmarkStart w:id="233" w:name="_Toc12652"/>
      <w:bookmarkStart w:id="234" w:name="_Toc80205946"/>
      <w:bookmarkStart w:id="235" w:name="_Toc331685784"/>
      <w:r>
        <w:rPr>
          <w:rFonts w:hint="eastAsia" w:ascii="仿宋_GB2312" w:hAnsi="楷体" w:eastAsia="仿宋_GB2312"/>
          <w:b/>
          <w:color w:val="auto"/>
          <w:sz w:val="28"/>
          <w:szCs w:val="28"/>
          <w:highlight w:val="none"/>
        </w:rPr>
        <w:t>第三部分  合同专用条款</w:t>
      </w:r>
      <w:bookmarkEnd w:id="233"/>
      <w:bookmarkEnd w:id="234"/>
      <w:bookmarkEnd w:id="235"/>
    </w:p>
    <w:p w14:paraId="72D3A24B">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568F7961">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2.3.2具有知识产权的标的物知识产权归属：</w:t>
      </w:r>
    </w:p>
    <w:p w14:paraId="7EF36223">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s="Times New Roman"/>
          <w:color w:val="auto"/>
          <w:sz w:val="24"/>
          <w:highlight w:val="none"/>
          <w:u w:val="single"/>
          <w:lang w:eastAsia="zh-CN"/>
        </w:rPr>
        <w:t>（</w:t>
      </w:r>
      <w:r>
        <w:rPr>
          <w:rFonts w:hint="eastAsia" w:ascii="仿宋_GB2312" w:hAnsi="楷体" w:eastAsia="仿宋_GB2312" w:cs="Times New Roman"/>
          <w:color w:val="auto"/>
          <w:sz w:val="24"/>
          <w:highlight w:val="none"/>
          <w:u w:val="single"/>
          <w:lang w:val="en-US" w:eastAsia="zh-CN"/>
        </w:rPr>
        <w:t>1</w:t>
      </w:r>
      <w:r>
        <w:rPr>
          <w:rFonts w:hint="eastAsia" w:ascii="仿宋_GB2312" w:hAnsi="楷体" w:eastAsia="仿宋_GB2312" w:cs="Times New Roman"/>
          <w:color w:val="auto"/>
          <w:sz w:val="24"/>
          <w:highlight w:val="none"/>
          <w:u w:val="single"/>
          <w:lang w:eastAsia="zh-CN"/>
        </w:rPr>
        <w:t>）</w:t>
      </w:r>
      <w:r>
        <w:rPr>
          <w:rFonts w:hint="eastAsia" w:ascii="仿宋_GB2312" w:hAnsi="楷体" w:eastAsia="仿宋_GB2312" w:cs="Times New Roman"/>
          <w:color w:val="auto"/>
          <w:sz w:val="24"/>
          <w:highlight w:val="none"/>
          <w:u w:val="single"/>
        </w:rPr>
        <w:t>乙方应保证所提供的货物或其任何一部分均不会侵犯任何第三方的专利权、商标权或著作权。</w:t>
      </w:r>
      <w:r>
        <w:rPr>
          <w:rFonts w:hint="eastAsia" w:ascii="仿宋_GB2312" w:hAnsi="楷体" w:eastAsia="仿宋_GB2312" w:cs="Times New Roman"/>
          <w:color w:val="auto"/>
          <w:sz w:val="24"/>
          <w:highlight w:val="none"/>
          <w:u w:val="single"/>
          <w:lang w:eastAsia="zh-CN"/>
        </w:rPr>
        <w:t>（</w:t>
      </w:r>
      <w:r>
        <w:rPr>
          <w:rFonts w:hint="eastAsia" w:ascii="仿宋_GB2312" w:hAnsi="楷体" w:eastAsia="仿宋_GB2312" w:cs="Times New Roman"/>
          <w:color w:val="auto"/>
          <w:sz w:val="24"/>
          <w:highlight w:val="none"/>
          <w:u w:val="single"/>
          <w:lang w:val="en-US" w:eastAsia="zh-CN"/>
        </w:rPr>
        <w:t>2</w:t>
      </w:r>
      <w:r>
        <w:rPr>
          <w:rFonts w:hint="eastAsia" w:ascii="仿宋_GB2312" w:hAnsi="楷体" w:eastAsia="仿宋_GB2312" w:cs="Times New Roman"/>
          <w:color w:val="auto"/>
          <w:sz w:val="24"/>
          <w:highlight w:val="none"/>
          <w:u w:val="single"/>
          <w:lang w:eastAsia="zh-CN"/>
        </w:rPr>
        <w:t>）</w:t>
      </w:r>
      <w:r>
        <w:rPr>
          <w:rFonts w:hint="eastAsia" w:ascii="仿宋_GB2312" w:hAnsi="楷体" w:eastAsia="仿宋_GB2312" w:cs="Times New Roman"/>
          <w:color w:val="auto"/>
          <w:sz w:val="24"/>
          <w:highlight w:val="none"/>
          <w:u w:val="single"/>
        </w:rPr>
        <w:t>乙方保证所交付货物的所有权完全属于乙方且无任何抵押、查封等产权瑕疵。如乙方所交付货物有产权瑕疵的，视为乙方违约，</w:t>
      </w:r>
      <w:r>
        <w:rPr>
          <w:rFonts w:hint="eastAsia" w:ascii="仿宋_GB2312" w:hAnsi="楷体" w:eastAsia="仿宋_GB2312" w:cs="Times New Roman"/>
          <w:color w:val="auto"/>
          <w:sz w:val="24"/>
          <w:highlight w:val="none"/>
          <w:u w:val="single"/>
          <w:lang w:val="en-US" w:eastAsia="zh-CN"/>
        </w:rPr>
        <w:t>甲方有权解除合同并要求乙方</w:t>
      </w:r>
      <w:r>
        <w:rPr>
          <w:rFonts w:hint="eastAsia" w:ascii="仿宋_GB2312" w:hAnsi="楷体" w:eastAsia="仿宋_GB2312" w:cs="Times New Roman"/>
          <w:color w:val="auto"/>
          <w:sz w:val="24"/>
          <w:highlight w:val="none"/>
          <w:u w:val="single"/>
        </w:rPr>
        <w:t>按照本合同</w:t>
      </w:r>
      <w:r>
        <w:rPr>
          <w:rFonts w:hint="eastAsia" w:ascii="仿宋_GB2312" w:hAnsi="楷体" w:eastAsia="仿宋_GB2312" w:cs="Times New Roman"/>
          <w:color w:val="auto"/>
          <w:sz w:val="24"/>
          <w:highlight w:val="none"/>
          <w:u w:val="single"/>
          <w:lang w:val="en-US" w:eastAsia="zh-CN"/>
        </w:rPr>
        <w:t>总金额20%支付违约金</w:t>
      </w:r>
      <w:r>
        <w:rPr>
          <w:rFonts w:hint="eastAsia" w:ascii="仿宋_GB2312" w:hAnsi="楷体" w:eastAsia="仿宋_GB2312" w:cs="Times New Roman"/>
          <w:color w:val="auto"/>
          <w:sz w:val="24"/>
          <w:highlight w:val="none"/>
          <w:u w:val="single"/>
        </w:rPr>
        <w:t>。但在已经全部支付完合同款后才发现有产权瑕疵的，</w:t>
      </w:r>
      <w:r>
        <w:rPr>
          <w:rFonts w:hint="eastAsia" w:ascii="仿宋_GB2312" w:hAnsi="楷体" w:eastAsia="仿宋_GB2312" w:cs="Times New Roman"/>
          <w:color w:val="auto"/>
          <w:sz w:val="24"/>
          <w:highlight w:val="none"/>
          <w:u w:val="single"/>
          <w:lang w:val="en-US" w:eastAsia="zh-CN"/>
        </w:rPr>
        <w:t>甲方有权解除合同，</w:t>
      </w:r>
      <w:r>
        <w:rPr>
          <w:rFonts w:hint="eastAsia" w:ascii="仿宋_GB2312" w:hAnsi="楷体" w:eastAsia="仿宋_GB2312" w:cs="Times New Roman"/>
          <w:color w:val="auto"/>
          <w:sz w:val="24"/>
          <w:highlight w:val="none"/>
          <w:u w:val="single"/>
        </w:rPr>
        <w:t>乙方除了</w:t>
      </w:r>
      <w:r>
        <w:rPr>
          <w:rFonts w:hint="eastAsia" w:ascii="仿宋_GB2312" w:hAnsi="楷体" w:eastAsia="仿宋_GB2312" w:cs="Times New Roman"/>
          <w:color w:val="auto"/>
          <w:sz w:val="24"/>
          <w:highlight w:val="none"/>
          <w:u w:val="single"/>
          <w:lang w:val="en-US" w:eastAsia="zh-CN"/>
        </w:rPr>
        <w:t>应按照合同总金额20%</w:t>
      </w:r>
      <w:r>
        <w:rPr>
          <w:rFonts w:hint="eastAsia" w:ascii="仿宋_GB2312" w:hAnsi="楷体" w:eastAsia="仿宋_GB2312" w:cs="Times New Roman"/>
          <w:color w:val="auto"/>
          <w:sz w:val="24"/>
          <w:highlight w:val="none"/>
          <w:u w:val="single"/>
        </w:rPr>
        <w:t>支付违约金</w:t>
      </w:r>
      <w:r>
        <w:rPr>
          <w:rFonts w:hint="eastAsia" w:ascii="仿宋_GB2312" w:hAnsi="楷体" w:eastAsia="仿宋_GB2312" w:cs="Times New Roman"/>
          <w:color w:val="auto"/>
          <w:sz w:val="24"/>
          <w:highlight w:val="none"/>
          <w:u w:val="single"/>
          <w:lang w:val="en-US" w:eastAsia="zh-CN"/>
        </w:rPr>
        <w:t>外</w:t>
      </w:r>
      <w:r>
        <w:rPr>
          <w:rFonts w:hint="eastAsia" w:ascii="仿宋_GB2312" w:hAnsi="楷体" w:eastAsia="仿宋_GB2312" w:cs="Times New Roman"/>
          <w:color w:val="auto"/>
          <w:sz w:val="24"/>
          <w:highlight w:val="none"/>
          <w:u w:val="single"/>
        </w:rPr>
        <w:t>还应负担甲方由此产生的一切损失</w:t>
      </w:r>
      <w:r>
        <w:rPr>
          <w:rFonts w:hint="eastAsia" w:ascii="仿宋_GB2312" w:hAnsi="楷体" w:eastAsia="仿宋_GB2312" w:cs="Times New Roman"/>
          <w:color w:val="auto"/>
          <w:sz w:val="24"/>
          <w:highlight w:val="none"/>
          <w:u w:val="none"/>
        </w:rPr>
        <w:t xml:space="preserve">。     </w:t>
      </w:r>
      <w:r>
        <w:rPr>
          <w:rFonts w:hint="eastAsia" w:ascii="仿宋_GB2312" w:hAnsi="楷体" w:eastAsia="仿宋_GB2312"/>
          <w:color w:val="auto"/>
          <w:sz w:val="24"/>
          <w:highlight w:val="none"/>
          <w:u w:val="none"/>
        </w:rPr>
        <w:t xml:space="preserve">  </w:t>
      </w:r>
      <w:r>
        <w:rPr>
          <w:rFonts w:hint="eastAsia" w:ascii="仿宋_GB2312" w:hAnsi="楷体" w:eastAsia="仿宋_GB2312"/>
          <w:color w:val="auto"/>
          <w:sz w:val="24"/>
          <w:highlight w:val="none"/>
        </w:rPr>
        <w:t xml:space="preserve">          </w:t>
      </w:r>
    </w:p>
    <w:p w14:paraId="690F2A56">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2.4.1包装和装运专用条款（如果有）：</w:t>
      </w:r>
    </w:p>
    <w:p w14:paraId="30F682A1">
      <w:pPr>
        <w:spacing w:line="360" w:lineRule="auto"/>
        <w:ind w:firstLine="480" w:firstLineChars="20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u w:val="single"/>
        </w:rPr>
        <w:t>由乙方全程负责运输</w:t>
      </w:r>
    </w:p>
    <w:p w14:paraId="1F383112">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2.4.2装运标的物的要求和通知：</w:t>
      </w:r>
    </w:p>
    <w:p w14:paraId="5288CE4C">
      <w:pPr>
        <w:spacing w:line="360" w:lineRule="auto"/>
        <w:ind w:firstLine="480" w:firstLineChars="20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u w:val="single"/>
        </w:rPr>
        <w:t>符合验收要求</w:t>
      </w:r>
    </w:p>
    <w:p w14:paraId="54F1810B">
      <w:pPr>
        <w:spacing w:line="360" w:lineRule="auto"/>
        <w:ind w:firstLine="480" w:firstLineChars="200"/>
        <w:rPr>
          <w:rFonts w:hint="eastAsia" w:ascii="仿宋_GB2312" w:hAnsi="楷体" w:eastAsia="仿宋_GB2312"/>
          <w:b/>
          <w:color w:val="auto"/>
          <w:sz w:val="24"/>
          <w:highlight w:val="none"/>
        </w:rPr>
      </w:pPr>
      <w:r>
        <w:rPr>
          <w:rFonts w:hint="eastAsia" w:ascii="仿宋_GB2312" w:hAnsi="楷体" w:eastAsia="仿宋_GB2312"/>
          <w:color w:val="auto"/>
          <w:sz w:val="24"/>
          <w:highlight w:val="none"/>
        </w:rPr>
        <w:t>2.6</w:t>
      </w:r>
      <w:r>
        <w:rPr>
          <w:rFonts w:hint="eastAsia" w:ascii="仿宋_GB2312" w:hAnsi="楷体" w:eastAsia="仿宋_GB2312"/>
          <w:b/>
          <w:color w:val="auto"/>
          <w:sz w:val="24"/>
          <w:highlight w:val="none"/>
        </w:rPr>
        <w:t>结算方式和付款条件</w:t>
      </w:r>
    </w:p>
    <w:p w14:paraId="27AF28EA">
      <w:pPr>
        <w:spacing w:line="360" w:lineRule="auto"/>
        <w:ind w:firstLine="480" w:firstLineChars="200"/>
        <w:rPr>
          <w:rFonts w:hint="eastAsia" w:ascii="仿宋_GB2312" w:eastAsia="仿宋_GB2312" w:cs="仿宋_GB2312"/>
          <w:color w:val="auto"/>
          <w:kern w:val="0"/>
          <w:sz w:val="24"/>
          <w:highlight w:val="none"/>
          <w:lang w:val="zh-CN"/>
        </w:rPr>
      </w:pPr>
      <w:r>
        <w:rPr>
          <w:rFonts w:hint="eastAsia" w:ascii="仿宋_GB2312" w:eastAsia="仿宋_GB2312" w:cs="仿宋_GB2312"/>
          <w:color w:val="auto"/>
          <w:kern w:val="0"/>
          <w:sz w:val="24"/>
          <w:highlight w:val="none"/>
          <w:lang w:val="zh-CN"/>
        </w:rPr>
        <w:t>本次项目合同总价为大写人民币</w:t>
      </w:r>
      <w:r>
        <w:rPr>
          <w:rFonts w:hint="eastAsia" w:ascii="仿宋_GB2312" w:eastAsia="仿宋_GB2312" w:cs="仿宋_GB2312"/>
          <w:color w:val="auto"/>
          <w:kern w:val="0"/>
          <w:sz w:val="24"/>
          <w:highlight w:val="none"/>
          <w:u w:val="single"/>
          <w:lang w:val="zh-CN"/>
        </w:rPr>
        <w:t xml:space="preserve">            （</w:t>
      </w:r>
      <w:r>
        <w:rPr>
          <w:rFonts w:hint="eastAsia" w:ascii="仿宋_GB2312" w:eastAsia="仿宋_GB2312" w:cs="仿宋_GB2312"/>
          <w:color w:val="auto"/>
          <w:kern w:val="0"/>
          <w:sz w:val="24"/>
          <w:highlight w:val="none"/>
          <w:lang w:val="zh-CN"/>
        </w:rPr>
        <w:t>￥    元）。本项目采用以下勾选结算方式进行支付：</w:t>
      </w:r>
    </w:p>
    <w:p w14:paraId="09A5A650">
      <w:pPr>
        <w:spacing w:line="360" w:lineRule="auto"/>
        <w:ind w:firstLine="480" w:firstLineChars="20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u w:val="single"/>
          <w:lang w:eastAsia="zh-CN"/>
        </w:rPr>
        <w:t>（</w:t>
      </w:r>
      <w:r>
        <w:rPr>
          <w:rFonts w:hint="eastAsia" w:ascii="仿宋_GB2312" w:hAnsi="楷体" w:eastAsia="仿宋_GB2312"/>
          <w:color w:val="auto"/>
          <w:sz w:val="24"/>
          <w:highlight w:val="none"/>
          <w:u w:val="single"/>
          <w:lang w:val="en-US" w:eastAsia="zh-CN"/>
        </w:rPr>
        <w:t>1</w:t>
      </w:r>
      <w:r>
        <w:rPr>
          <w:rFonts w:hint="eastAsia" w:ascii="仿宋_GB2312" w:hAnsi="楷体" w:eastAsia="仿宋_GB2312"/>
          <w:color w:val="auto"/>
          <w:sz w:val="24"/>
          <w:highlight w:val="none"/>
          <w:u w:val="single"/>
          <w:lang w:eastAsia="zh-CN"/>
        </w:rPr>
        <w:t>）</w:t>
      </w:r>
      <w:r>
        <w:rPr>
          <w:rFonts w:hint="eastAsia" w:ascii="仿宋_GB2312" w:hAnsi="楷体" w:eastAsia="仿宋_GB2312"/>
          <w:color w:val="auto"/>
          <w:sz w:val="24"/>
          <w:highlight w:val="none"/>
          <w:u w:val="single"/>
        </w:rPr>
        <w:t>服务周期内分为8个季度进行支付，每季度支付金额为服务合同款的12.5%</w:t>
      </w:r>
      <w:r>
        <w:rPr>
          <w:rFonts w:hint="eastAsia" w:ascii="仿宋_GB2312" w:hAnsi="楷体" w:eastAsia="仿宋_GB2312"/>
          <w:color w:val="auto"/>
          <w:sz w:val="24"/>
          <w:highlight w:val="none"/>
          <w:u w:val="none"/>
        </w:rPr>
        <w:t>。</w:t>
      </w:r>
    </w:p>
    <w:p w14:paraId="224F782F">
      <w:pPr>
        <w:spacing w:line="360" w:lineRule="auto"/>
        <w:ind w:firstLine="480" w:firstLineChars="200"/>
        <w:rPr>
          <w:rFonts w:hint="eastAsia" w:ascii="仿宋_GB2312" w:hAnsi="楷体" w:eastAsia="仿宋_GB2312"/>
          <w:color w:val="auto"/>
          <w:sz w:val="24"/>
          <w:highlight w:val="none"/>
          <w:lang w:eastAsia="zh-CN"/>
        </w:rPr>
      </w:pPr>
      <w:r>
        <w:rPr>
          <w:rFonts w:hint="eastAsia" w:ascii="仿宋_GB2312" w:hAnsi="楷体" w:eastAsia="仿宋_GB2312"/>
          <w:color w:val="auto"/>
          <w:sz w:val="24"/>
          <w:highlight w:val="none"/>
          <w:u w:val="single"/>
          <w:lang w:eastAsia="zh-CN"/>
        </w:rPr>
        <w:t>（</w:t>
      </w:r>
      <w:r>
        <w:rPr>
          <w:rFonts w:hint="eastAsia" w:ascii="仿宋_GB2312" w:hAnsi="楷体" w:eastAsia="仿宋_GB2312"/>
          <w:color w:val="auto"/>
          <w:sz w:val="24"/>
          <w:highlight w:val="none"/>
          <w:u w:val="single"/>
          <w:lang w:val="en-US" w:eastAsia="zh-CN"/>
        </w:rPr>
        <w:t>2</w:t>
      </w:r>
      <w:r>
        <w:rPr>
          <w:rFonts w:hint="eastAsia" w:ascii="仿宋_GB2312" w:hAnsi="楷体" w:eastAsia="仿宋_GB2312"/>
          <w:color w:val="auto"/>
          <w:sz w:val="24"/>
          <w:highlight w:val="none"/>
          <w:u w:val="single"/>
          <w:lang w:eastAsia="zh-CN"/>
        </w:rPr>
        <w:t>）</w:t>
      </w:r>
      <w:r>
        <w:rPr>
          <w:rFonts w:hint="eastAsia" w:ascii="仿宋_GB2312" w:hAnsi="楷体" w:eastAsia="仿宋_GB2312"/>
          <w:color w:val="auto"/>
          <w:sz w:val="24"/>
          <w:highlight w:val="none"/>
          <w:u w:val="single"/>
        </w:rPr>
        <w:t>支付条件：采购人按季度对成交供应商进行运维服务考核（运维服务考核表详见附件1，如合同期内采购人调整考核办法，则下一季度按新修订的运维服务考核办法进行执行）。考核合格后，由成交供应商开具符合国家规定以及符合采购人财务管理要求的相应发票给采购人，采购人在收到发票后10个工作日内向成交供应商支付当季运维服务费</w:t>
      </w:r>
      <w:r>
        <w:rPr>
          <w:rFonts w:hint="eastAsia" w:ascii="仿宋_GB2312" w:hAnsi="楷体" w:eastAsia="仿宋_GB2312"/>
          <w:color w:val="auto"/>
          <w:sz w:val="24"/>
          <w:highlight w:val="none"/>
          <w:lang w:eastAsia="zh-CN"/>
        </w:rPr>
        <w:t>。</w:t>
      </w:r>
    </w:p>
    <w:p w14:paraId="6DF25E3E">
      <w:pPr>
        <w:spacing w:line="360" w:lineRule="auto"/>
        <w:ind w:firstLine="480" w:firstLineChars="200"/>
        <w:rPr>
          <w:rFonts w:hint="eastAsia" w:ascii="仿宋_GB2312" w:eastAsia="仿宋_GB2312" w:cs="仿宋_GB2312"/>
          <w:color w:val="auto"/>
          <w:kern w:val="0"/>
          <w:sz w:val="24"/>
          <w:highlight w:val="none"/>
          <w:lang w:val="zh-CN"/>
        </w:rPr>
      </w:pPr>
      <w:r>
        <w:rPr>
          <w:rFonts w:hint="eastAsia" w:ascii="仿宋_GB2312" w:hAnsi="仿宋" w:eastAsia="仿宋_GB2312"/>
          <w:color w:val="auto"/>
          <w:sz w:val="24"/>
          <w:highlight w:val="none"/>
        </w:rPr>
        <w:t>甲方无故逾期支付服务费用的，按照每逾期一日支付欠付服务费额度的</w:t>
      </w:r>
      <w:r>
        <w:rPr>
          <w:rFonts w:hint="eastAsia" w:ascii="仿宋_GB2312" w:hAnsi="仿宋" w:eastAsia="仿宋_GB2312"/>
          <w:color w:val="auto"/>
          <w:sz w:val="24"/>
          <w:highlight w:val="none"/>
          <w:u w:val="single"/>
        </w:rPr>
        <w:t>万分之五</w:t>
      </w:r>
      <w:r>
        <w:rPr>
          <w:rFonts w:hint="eastAsia" w:ascii="仿宋_GB2312" w:hAnsi="仿宋" w:eastAsia="仿宋_GB2312"/>
          <w:color w:val="auto"/>
          <w:sz w:val="24"/>
          <w:highlight w:val="none"/>
        </w:rPr>
        <w:t>承担违约责任，违约金上限按照《合同书》约定执行。</w:t>
      </w:r>
    </w:p>
    <w:p w14:paraId="29A776A3">
      <w:pPr>
        <w:spacing w:line="360" w:lineRule="auto"/>
        <w:ind w:firstLine="480" w:firstLineChars="200"/>
        <w:rPr>
          <w:rFonts w:hint="eastAsia" w:ascii="仿宋_GB2312" w:hAnsi="楷体" w:eastAsia="仿宋_GB2312"/>
          <w:b/>
          <w:color w:val="auto"/>
          <w:sz w:val="24"/>
          <w:highlight w:val="none"/>
        </w:rPr>
      </w:pPr>
      <w:r>
        <w:rPr>
          <w:rFonts w:hint="eastAsia" w:ascii="仿宋_GB2312" w:hAnsi="楷体" w:eastAsia="仿宋_GB2312"/>
          <w:color w:val="auto"/>
          <w:sz w:val="24"/>
          <w:highlight w:val="none"/>
        </w:rPr>
        <w:t>2.9</w:t>
      </w:r>
      <w:r>
        <w:rPr>
          <w:rFonts w:hint="eastAsia" w:ascii="仿宋_GB2312" w:hAnsi="楷体" w:eastAsia="仿宋_GB2312"/>
          <w:b/>
          <w:color w:val="auto"/>
          <w:sz w:val="24"/>
          <w:highlight w:val="none"/>
        </w:rPr>
        <w:t>标的物的风险负担</w:t>
      </w:r>
    </w:p>
    <w:p w14:paraId="112A1A23">
      <w:pPr>
        <w:spacing w:line="360" w:lineRule="auto"/>
        <w:ind w:firstLine="480" w:firstLineChars="200"/>
        <w:rPr>
          <w:rFonts w:hint="eastAsia" w:ascii="仿宋_GB2312" w:hAnsi="楷体" w:eastAsia="仿宋_GB2312"/>
          <w:color w:val="auto"/>
          <w:sz w:val="24"/>
          <w:highlight w:val="none"/>
          <w:u w:val="single"/>
          <w:lang w:eastAsia="zh-CN"/>
        </w:rPr>
      </w:pPr>
      <w:r>
        <w:rPr>
          <w:rFonts w:hint="eastAsia" w:ascii="仿宋_GB2312" w:hAnsi="楷体" w:eastAsia="仿宋_GB2312"/>
          <w:color w:val="auto"/>
          <w:sz w:val="24"/>
          <w:highlight w:val="none"/>
        </w:rPr>
        <w:t>标的物或者在途标的物或者交付给第一承运人后的标的物毁损、灭失的风险负担：</w:t>
      </w:r>
      <w:r>
        <w:rPr>
          <w:rFonts w:hint="eastAsia" w:ascii="仿宋_GB2312" w:hAnsi="楷体" w:eastAsia="仿宋_GB2312"/>
          <w:color w:val="auto"/>
          <w:sz w:val="24"/>
          <w:highlight w:val="none"/>
          <w:u w:val="single"/>
        </w:rPr>
        <w:t>乙方</w:t>
      </w:r>
      <w:r>
        <w:rPr>
          <w:rFonts w:hint="eastAsia" w:ascii="仿宋_GB2312" w:hAnsi="楷体" w:eastAsia="仿宋_GB2312"/>
          <w:color w:val="auto"/>
          <w:sz w:val="24"/>
          <w:highlight w:val="none"/>
          <w:u w:val="none"/>
          <w:lang w:eastAsia="zh-CN"/>
        </w:rPr>
        <w:t>。</w:t>
      </w:r>
    </w:p>
    <w:p w14:paraId="0924B8CE">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2.13.2受不可抗力影响的一方在不可抗力发生后，应在</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u w:val="single"/>
          <w:lang w:val="en-US" w:eastAsia="zh-CN"/>
        </w:rPr>
        <w:t>7</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日内以书面形式通知对方当事人，并在</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u w:val="single"/>
          <w:lang w:val="en-US" w:eastAsia="zh-CN"/>
        </w:rPr>
        <w:t>10</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日内，将有关部门出具的证明文件送达对方当事人。</w:t>
      </w:r>
    </w:p>
    <w:p w14:paraId="012E1CB1">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2.13.4因不可抗力致使合同有变更必要的，双方当事人应在</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u w:val="single"/>
          <w:lang w:val="en-US" w:eastAsia="zh-CN"/>
        </w:rPr>
        <w:t>30</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日内以书面形式变更合同；</w:t>
      </w:r>
    </w:p>
    <w:p w14:paraId="42C7F00D">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2.17.1标的物交付前，乙方应对标的物的质量、数量等方面进行详细、全面的检验，并向甲方出具证明标的物符合合同约定的文件；标的物交付时，乙方在</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u w:val="single"/>
          <w:lang w:val="en-US" w:eastAsia="zh-CN"/>
        </w:rPr>
        <w:t>30</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日内（发起验收，并可依法邀请相关方参加，验收应出具验收书。</w:t>
      </w:r>
    </w:p>
    <w:p w14:paraId="0459E562">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2.17.3 检验和验收标准、程序等具体内容以及前述验收书的效力：</w:t>
      </w:r>
    </w:p>
    <w:p w14:paraId="47647A86">
      <w:pPr>
        <w:spacing w:line="360" w:lineRule="auto"/>
        <w:ind w:firstLine="480" w:firstLineChars="200"/>
        <w:rPr>
          <w:rFonts w:hint="eastAsia" w:ascii="仿宋_GB2312" w:hAnsi="楷体" w:eastAsia="仿宋_GB2312" w:cs="Times New Roman"/>
          <w:color w:val="auto"/>
          <w:sz w:val="24"/>
          <w:highlight w:val="none"/>
          <w:u w:val="single"/>
        </w:rPr>
      </w:pPr>
      <w:r>
        <w:rPr>
          <w:rFonts w:hint="eastAsia" w:ascii="仿宋_GB2312" w:hAnsi="楷体" w:eastAsia="仿宋_GB2312" w:cs="Times New Roman"/>
          <w:color w:val="auto"/>
          <w:sz w:val="24"/>
          <w:highlight w:val="none"/>
          <w:u w:val="single"/>
        </w:rPr>
        <w:t>验收小组对照合同中各</w:t>
      </w:r>
      <w:r>
        <w:rPr>
          <w:rFonts w:hint="eastAsia" w:ascii="仿宋_GB2312" w:hAnsi="楷体" w:eastAsia="仿宋_GB2312" w:cs="Times New Roman"/>
          <w:color w:val="auto"/>
          <w:sz w:val="24"/>
          <w:highlight w:val="none"/>
          <w:u w:val="single"/>
          <w:lang w:eastAsia="zh-CN"/>
        </w:rPr>
        <w:t>服务</w:t>
      </w:r>
      <w:r>
        <w:rPr>
          <w:rFonts w:hint="eastAsia" w:ascii="仿宋_GB2312" w:hAnsi="楷体" w:eastAsia="仿宋_GB2312" w:cs="Times New Roman"/>
          <w:color w:val="auto"/>
          <w:sz w:val="24"/>
          <w:highlight w:val="none"/>
          <w:u w:val="single"/>
        </w:rPr>
        <w:t>参数进行验收，与合同一致即为合格。服务需求一览表符合</w:t>
      </w:r>
      <w:r>
        <w:rPr>
          <w:rFonts w:hint="eastAsia" w:ascii="仿宋_GB2312" w:hAnsi="楷体" w:eastAsia="仿宋_GB2312" w:cs="Times New Roman"/>
          <w:color w:val="auto"/>
          <w:sz w:val="24"/>
          <w:highlight w:val="none"/>
          <w:u w:val="single"/>
          <w:lang w:eastAsia="zh-CN"/>
        </w:rPr>
        <w:t>磋商文件及投标文件</w:t>
      </w:r>
      <w:r>
        <w:rPr>
          <w:rFonts w:hint="eastAsia" w:ascii="仿宋_GB2312" w:hAnsi="楷体" w:eastAsia="仿宋_GB2312" w:cs="Times New Roman"/>
          <w:color w:val="auto"/>
          <w:sz w:val="24"/>
          <w:highlight w:val="none"/>
          <w:u w:val="single"/>
        </w:rPr>
        <w:t>要求，无任何变动，</w:t>
      </w:r>
      <w:r>
        <w:rPr>
          <w:rFonts w:hint="eastAsia" w:ascii="仿宋_GB2312" w:hAnsi="楷体" w:eastAsia="仿宋_GB2312" w:cs="Times New Roman"/>
          <w:color w:val="auto"/>
          <w:sz w:val="24"/>
          <w:highlight w:val="none"/>
          <w:u w:val="single"/>
          <w:lang w:eastAsia="zh-CN"/>
        </w:rPr>
        <w:t>提交服务</w:t>
      </w:r>
      <w:r>
        <w:rPr>
          <w:rFonts w:hint="eastAsia" w:ascii="仿宋_GB2312" w:hAnsi="楷体" w:eastAsia="仿宋_GB2312" w:cs="Times New Roman"/>
          <w:color w:val="auto"/>
          <w:sz w:val="24"/>
          <w:highlight w:val="none"/>
          <w:u w:val="single"/>
          <w:lang w:val="en-US" w:eastAsia="zh-CN"/>
        </w:rPr>
        <w:t>成果</w:t>
      </w:r>
      <w:r>
        <w:rPr>
          <w:rFonts w:hint="eastAsia" w:ascii="仿宋_GB2312" w:hAnsi="楷体" w:eastAsia="仿宋_GB2312" w:cs="Times New Roman"/>
          <w:color w:val="auto"/>
          <w:sz w:val="24"/>
          <w:highlight w:val="none"/>
          <w:u w:val="single"/>
        </w:rPr>
        <w:t>后验收付款。</w:t>
      </w:r>
    </w:p>
    <w:p w14:paraId="18F1812A">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3.1 其他：</w:t>
      </w:r>
    </w:p>
    <w:p w14:paraId="3892D341">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项目验收：</w:t>
      </w:r>
    </w:p>
    <w:p w14:paraId="4A2E095A">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甲方参照《广西壮族自治区政府采购供应商履约验收评价管理办法》（桂财采〔2015〕22号）规定组织对乙方履约的验收。验收方成员应当在验收书上签字，并承担相应的法律责任。如果发现与合同中要求不符，乙方须承担由此发生的一切损失和费用，并接受相应的处理。</w:t>
      </w:r>
    </w:p>
    <w:p w14:paraId="588CD9BD">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1334ACB4">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615FBAEE">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4、验收产生的费用首次验收费用由甲方承担，如首次验收不合格，后续验收费用由乙方支付。</w:t>
      </w:r>
    </w:p>
    <w:p w14:paraId="63ED1FAB">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5、验收内容及资料要求：</w:t>
      </w:r>
    </w:p>
    <w:p w14:paraId="04034663">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根根据采购文件确定的技术指标或者服务要求确定验收指标和标准。未进行相应约定的，应当符合国家强制性规定、政策要求、安全标准、行业或企业有关标准等。</w:t>
      </w:r>
    </w:p>
    <w:p w14:paraId="11EC259D">
      <w:pPr>
        <w:tabs>
          <w:tab w:val="left" w:pos="904"/>
        </w:tabs>
        <w:snapToGrid w:val="0"/>
        <w:spacing w:line="360" w:lineRule="auto"/>
        <w:ind w:firstLine="480" w:firstLineChars="200"/>
        <w:jc w:val="left"/>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5.1验收内容</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914"/>
        <w:gridCol w:w="5930"/>
      </w:tblGrid>
      <w:tr w14:paraId="43058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center"/>
          </w:tcPr>
          <w:p w14:paraId="46C8C193">
            <w:pPr>
              <w:widowControl/>
              <w:spacing w:line="360" w:lineRule="auto"/>
              <w:ind w:firstLine="200"/>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序号</w:t>
            </w:r>
          </w:p>
        </w:tc>
        <w:tc>
          <w:tcPr>
            <w:tcW w:w="1914" w:type="dxa"/>
            <w:noWrap w:val="0"/>
            <w:vAlign w:val="center"/>
          </w:tcPr>
          <w:p w14:paraId="6828FADA">
            <w:pPr>
              <w:widowControl/>
              <w:spacing w:line="360" w:lineRule="auto"/>
              <w:ind w:firstLine="200"/>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验收内容</w:t>
            </w:r>
          </w:p>
        </w:tc>
        <w:tc>
          <w:tcPr>
            <w:tcW w:w="5930" w:type="dxa"/>
            <w:noWrap w:val="0"/>
            <w:vAlign w:val="center"/>
          </w:tcPr>
          <w:p w14:paraId="7F93C498">
            <w:pPr>
              <w:widowControl/>
              <w:spacing w:line="360" w:lineRule="auto"/>
              <w:ind w:firstLine="200"/>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 xml:space="preserve"> 验收标准</w:t>
            </w:r>
          </w:p>
        </w:tc>
      </w:tr>
      <w:tr w14:paraId="20E20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3" w:type="dxa"/>
            <w:noWrap w:val="0"/>
            <w:vAlign w:val="center"/>
          </w:tcPr>
          <w:p w14:paraId="65664385">
            <w:pPr>
              <w:widowControl/>
              <w:spacing w:line="360" w:lineRule="auto"/>
              <w:ind w:firstLine="200"/>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w:t>
            </w:r>
          </w:p>
        </w:tc>
        <w:tc>
          <w:tcPr>
            <w:tcW w:w="1914" w:type="dxa"/>
            <w:noWrap w:val="0"/>
            <w:vAlign w:val="center"/>
          </w:tcPr>
          <w:p w14:paraId="61291859">
            <w:pPr>
              <w:widowControl/>
              <w:spacing w:line="360" w:lineRule="auto"/>
              <w:ind w:firstLine="200"/>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交货产品数量</w:t>
            </w:r>
          </w:p>
        </w:tc>
        <w:tc>
          <w:tcPr>
            <w:tcW w:w="5930" w:type="dxa"/>
            <w:noWrap w:val="0"/>
            <w:vAlign w:val="center"/>
          </w:tcPr>
          <w:p w14:paraId="71FC3532">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详见竞争性磋商文件</w:t>
            </w:r>
          </w:p>
        </w:tc>
      </w:tr>
      <w:tr w14:paraId="1328A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673" w:type="dxa"/>
            <w:noWrap w:val="0"/>
            <w:vAlign w:val="center"/>
          </w:tcPr>
          <w:p w14:paraId="3FBA7281">
            <w:pPr>
              <w:widowControl/>
              <w:spacing w:line="360" w:lineRule="auto"/>
              <w:ind w:firstLine="200"/>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2</w:t>
            </w:r>
          </w:p>
        </w:tc>
        <w:tc>
          <w:tcPr>
            <w:tcW w:w="1914" w:type="dxa"/>
            <w:noWrap w:val="0"/>
            <w:vAlign w:val="center"/>
          </w:tcPr>
          <w:p w14:paraId="2CEB8094">
            <w:pPr>
              <w:widowControl/>
              <w:spacing w:line="360" w:lineRule="auto"/>
              <w:ind w:firstLine="200"/>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交货产品的质量文件</w:t>
            </w:r>
          </w:p>
        </w:tc>
        <w:tc>
          <w:tcPr>
            <w:tcW w:w="5930" w:type="dxa"/>
            <w:noWrap w:val="0"/>
            <w:vAlign w:val="center"/>
          </w:tcPr>
          <w:p w14:paraId="3E3C74A2">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详见竞争性磋商文件及响应文件</w:t>
            </w:r>
          </w:p>
        </w:tc>
      </w:tr>
      <w:tr w14:paraId="539BB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673" w:type="dxa"/>
            <w:noWrap w:val="0"/>
            <w:vAlign w:val="center"/>
          </w:tcPr>
          <w:p w14:paraId="63817C49">
            <w:pPr>
              <w:widowControl/>
              <w:spacing w:line="360" w:lineRule="auto"/>
              <w:ind w:firstLine="200"/>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4</w:t>
            </w:r>
          </w:p>
        </w:tc>
        <w:tc>
          <w:tcPr>
            <w:tcW w:w="1914" w:type="dxa"/>
            <w:noWrap w:val="0"/>
            <w:vAlign w:val="center"/>
          </w:tcPr>
          <w:p w14:paraId="3173974B">
            <w:pPr>
              <w:spacing w:line="360" w:lineRule="auto"/>
              <w:ind w:firstLine="200"/>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 xml:space="preserve">交货产品技术、性能指标 </w:t>
            </w:r>
          </w:p>
        </w:tc>
        <w:tc>
          <w:tcPr>
            <w:tcW w:w="5930" w:type="dxa"/>
            <w:noWrap w:val="0"/>
            <w:vAlign w:val="center"/>
          </w:tcPr>
          <w:p w14:paraId="1D239634">
            <w:pPr>
              <w:pStyle w:val="12"/>
              <w:keepNext w:val="0"/>
              <w:keepLines w:val="0"/>
              <w:pageBreakBefore w:val="0"/>
              <w:kinsoku/>
              <w:wordWrap/>
              <w:overflowPunct/>
              <w:topLinePunct w:val="0"/>
              <w:autoSpaceDE/>
              <w:autoSpaceDN/>
              <w:bidi w:val="0"/>
              <w:adjustRightInd/>
              <w:snapToGrid/>
              <w:spacing w:after="0" w:line="360" w:lineRule="auto"/>
              <w:ind w:firstLine="0" w:firstLineChars="0"/>
              <w:jc w:val="center"/>
              <w:textAlignment w:val="auto"/>
              <w:rPr>
                <w:rFonts w:hint="eastAsia" w:ascii="仿宋" w:hAnsi="仿宋" w:eastAsia="仿宋" w:cs="仿宋"/>
                <w:color w:val="auto"/>
                <w:highlight w:val="none"/>
                <w:lang w:eastAsia="zh-CN"/>
              </w:rPr>
            </w:pPr>
            <w:r>
              <w:rPr>
                <w:rFonts w:hint="eastAsia" w:ascii="仿宋" w:hAnsi="仿宋" w:eastAsia="仿宋" w:cs="仿宋"/>
                <w:color w:val="auto"/>
                <w:kern w:val="0"/>
                <w:sz w:val="24"/>
                <w:highlight w:val="none"/>
                <w:lang w:eastAsia="zh-CN"/>
              </w:rPr>
              <w:t>详见竞争性磋商文件及响应文件</w:t>
            </w:r>
          </w:p>
        </w:tc>
      </w:tr>
      <w:tr w14:paraId="6254C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673" w:type="dxa"/>
            <w:noWrap w:val="0"/>
            <w:vAlign w:val="center"/>
          </w:tcPr>
          <w:p w14:paraId="68A93101">
            <w:pPr>
              <w:widowControl/>
              <w:spacing w:line="360" w:lineRule="auto"/>
              <w:ind w:firstLine="20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1914" w:type="dxa"/>
            <w:noWrap w:val="0"/>
            <w:vAlign w:val="center"/>
          </w:tcPr>
          <w:p w14:paraId="2700BCCE">
            <w:pPr>
              <w:spacing w:line="360" w:lineRule="auto"/>
              <w:ind w:firstLine="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售后服务</w:t>
            </w:r>
          </w:p>
          <w:p w14:paraId="26AF2776">
            <w:pPr>
              <w:widowControl/>
              <w:spacing w:line="360" w:lineRule="auto"/>
              <w:ind w:firstLine="200"/>
              <w:jc w:val="center"/>
              <w:rPr>
                <w:rFonts w:hint="eastAsia" w:ascii="仿宋" w:hAnsi="仿宋" w:eastAsia="仿宋" w:cs="仿宋"/>
                <w:bCs/>
                <w:color w:val="auto"/>
                <w:kern w:val="0"/>
                <w:sz w:val="24"/>
                <w:highlight w:val="none"/>
              </w:rPr>
            </w:pPr>
            <w:r>
              <w:rPr>
                <w:rFonts w:hint="eastAsia" w:ascii="仿宋" w:hAnsi="仿宋" w:eastAsia="仿宋" w:cs="仿宋"/>
                <w:color w:val="auto"/>
                <w:sz w:val="24"/>
                <w:highlight w:val="none"/>
              </w:rPr>
              <w:t>承诺</w:t>
            </w:r>
          </w:p>
        </w:tc>
        <w:tc>
          <w:tcPr>
            <w:tcW w:w="5930" w:type="dxa"/>
            <w:noWrap w:val="0"/>
            <w:vAlign w:val="center"/>
          </w:tcPr>
          <w:p w14:paraId="7335642B">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详见竞争性磋商文件及响应文件</w:t>
            </w:r>
          </w:p>
        </w:tc>
      </w:tr>
      <w:tr w14:paraId="54AEB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673" w:type="dxa"/>
            <w:noWrap w:val="0"/>
            <w:vAlign w:val="center"/>
          </w:tcPr>
          <w:p w14:paraId="35575BEB">
            <w:pPr>
              <w:widowControl/>
              <w:spacing w:line="360" w:lineRule="auto"/>
              <w:ind w:firstLine="200"/>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6</w:t>
            </w:r>
          </w:p>
        </w:tc>
        <w:tc>
          <w:tcPr>
            <w:tcW w:w="1914" w:type="dxa"/>
            <w:noWrap w:val="0"/>
            <w:vAlign w:val="center"/>
          </w:tcPr>
          <w:p w14:paraId="323BFFA6">
            <w:pPr>
              <w:widowControl/>
              <w:spacing w:line="360" w:lineRule="auto"/>
              <w:ind w:firstLine="200"/>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其他工作</w:t>
            </w:r>
          </w:p>
        </w:tc>
        <w:tc>
          <w:tcPr>
            <w:tcW w:w="5930" w:type="dxa"/>
            <w:noWrap w:val="0"/>
            <w:vAlign w:val="center"/>
          </w:tcPr>
          <w:p w14:paraId="4239C193">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无</w:t>
            </w:r>
          </w:p>
        </w:tc>
      </w:tr>
    </w:tbl>
    <w:p w14:paraId="37FB1A5A">
      <w:pPr>
        <w:tabs>
          <w:tab w:val="left" w:pos="904"/>
        </w:tabs>
        <w:snapToGrid w:val="0"/>
        <w:spacing w:line="360" w:lineRule="auto"/>
        <w:ind w:firstLine="480" w:firstLineChars="200"/>
        <w:jc w:val="left"/>
        <w:rPr>
          <w:rFonts w:hint="eastAsia" w:ascii="仿宋" w:hAnsi="仿宋" w:eastAsia="仿宋" w:cs="仿宋"/>
          <w:color w:val="auto"/>
          <w:sz w:val="24"/>
          <w:highlight w:val="none"/>
        </w:rPr>
      </w:pPr>
    </w:p>
    <w:p w14:paraId="65107F22">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5.2验收资料要求</w:t>
      </w:r>
    </w:p>
    <w:p w14:paraId="48BCA2CB">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验收资料要求包括（不限于）以下内容：</w:t>
      </w:r>
    </w:p>
    <w:p w14:paraId="19D62B63">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（1）采购文件；</w:t>
      </w:r>
    </w:p>
    <w:p w14:paraId="7171AC54">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（2）响应文件；</w:t>
      </w:r>
    </w:p>
    <w:p w14:paraId="6A22EB75">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（3）采购合同；</w:t>
      </w:r>
    </w:p>
    <w:p w14:paraId="6A24FFBB">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（4）到货核验单（需采购核验人、复核人及乙方交货人三方签字盖章）、产品拍照图片、产品说明书、产品合格证、质量保证书原件、三包凭证、产品的检测报告、原厂质保承诺函等；</w:t>
      </w:r>
    </w:p>
    <w:p w14:paraId="0924DB04">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（5）其他需提供的相关材料。</w:t>
      </w:r>
    </w:p>
    <w:p w14:paraId="6F4BE6F3">
      <w:pPr>
        <w:widowControl/>
        <w:ind w:firstLine="720" w:firstLineChars="300"/>
        <w:jc w:val="left"/>
        <w:rPr>
          <w:rFonts w:hint="eastAsia" w:ascii="仿宋" w:hAnsi="仿宋" w:eastAsia="仿宋"/>
          <w:bCs/>
          <w:color w:val="auto"/>
          <w:sz w:val="24"/>
          <w:highlight w:val="none"/>
        </w:rPr>
      </w:pPr>
    </w:p>
    <w:p w14:paraId="6018264F">
      <w:pPr>
        <w:spacing w:line="360" w:lineRule="auto"/>
        <w:ind w:firstLine="480" w:firstLineChars="20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u w:val="single"/>
        </w:rPr>
        <w:t xml:space="preserve">                                                                       </w:t>
      </w:r>
    </w:p>
    <w:p w14:paraId="4EFB7A14">
      <w:pPr>
        <w:tabs>
          <w:tab w:val="left" w:pos="7380"/>
        </w:tabs>
        <w:spacing w:line="360" w:lineRule="auto"/>
        <w:jc w:val="center"/>
        <w:rPr>
          <w:rFonts w:ascii="宋体" w:hAnsi="宋体" w:cs="仿宋_GB2312"/>
          <w:b/>
          <w:color w:val="auto"/>
          <w:sz w:val="44"/>
          <w:szCs w:val="44"/>
          <w:highlight w:val="none"/>
        </w:rPr>
      </w:pPr>
    </w:p>
    <w:p w14:paraId="5765DF2F">
      <w:pPr>
        <w:tabs>
          <w:tab w:val="left" w:pos="3261"/>
        </w:tabs>
        <w:spacing w:line="360" w:lineRule="auto"/>
        <w:contextualSpacing/>
        <w:jc w:val="center"/>
        <w:rPr>
          <w:rFonts w:ascii="宋体" w:hAnsi="宋体" w:cs="仿宋_GB2312"/>
          <w:b/>
          <w:color w:val="auto"/>
          <w:sz w:val="44"/>
          <w:szCs w:val="44"/>
          <w:highlight w:val="none"/>
        </w:rPr>
      </w:pPr>
    </w:p>
    <w:p w14:paraId="3DD1079E">
      <w:pPr>
        <w:spacing w:line="360" w:lineRule="auto"/>
        <w:jc w:val="center"/>
        <w:rPr>
          <w:rFonts w:ascii="宋体" w:hAnsi="宋体"/>
          <w:b/>
          <w:bCs/>
          <w:color w:val="auto"/>
          <w:sz w:val="44"/>
          <w:szCs w:val="44"/>
          <w:highlight w:val="none"/>
        </w:rPr>
        <w:sectPr>
          <w:pgSz w:w="11910" w:h="16840"/>
          <w:pgMar w:top="1340" w:right="1500" w:bottom="280" w:left="1680" w:header="720" w:footer="720" w:gutter="0"/>
          <w:cols w:space="720" w:num="1"/>
        </w:sectPr>
      </w:pPr>
    </w:p>
    <w:p w14:paraId="27552941">
      <w:pPr>
        <w:tabs>
          <w:tab w:val="left" w:pos="3261"/>
        </w:tabs>
        <w:spacing w:line="360" w:lineRule="auto"/>
        <w:contextualSpacing/>
        <w:jc w:val="center"/>
        <w:rPr>
          <w:rFonts w:ascii="宋体" w:hAnsi="宋体" w:cs="仿宋_GB2312"/>
          <w:b/>
          <w:color w:val="auto"/>
          <w:sz w:val="44"/>
          <w:szCs w:val="44"/>
          <w:highlight w:val="none"/>
        </w:rPr>
      </w:pPr>
    </w:p>
    <w:p w14:paraId="253BA936">
      <w:pPr>
        <w:tabs>
          <w:tab w:val="left" w:pos="3261"/>
        </w:tabs>
        <w:spacing w:line="360" w:lineRule="auto"/>
        <w:contextualSpacing/>
        <w:jc w:val="center"/>
        <w:rPr>
          <w:rFonts w:ascii="宋体" w:hAnsi="宋体" w:cs="仿宋_GB2312"/>
          <w:b/>
          <w:color w:val="auto"/>
          <w:sz w:val="44"/>
          <w:szCs w:val="44"/>
          <w:highlight w:val="none"/>
        </w:rPr>
      </w:pPr>
    </w:p>
    <w:p w14:paraId="44F1DA14">
      <w:pPr>
        <w:tabs>
          <w:tab w:val="left" w:pos="3261"/>
        </w:tabs>
        <w:spacing w:line="360" w:lineRule="auto"/>
        <w:contextualSpacing/>
        <w:jc w:val="center"/>
        <w:rPr>
          <w:rFonts w:ascii="宋体" w:hAnsi="宋体" w:cs="仿宋_GB2312"/>
          <w:b/>
          <w:color w:val="auto"/>
          <w:sz w:val="44"/>
          <w:szCs w:val="44"/>
          <w:highlight w:val="none"/>
        </w:rPr>
      </w:pPr>
    </w:p>
    <w:p w14:paraId="248EDB57">
      <w:pPr>
        <w:tabs>
          <w:tab w:val="left" w:pos="3261"/>
        </w:tabs>
        <w:spacing w:line="360" w:lineRule="auto"/>
        <w:contextualSpacing/>
        <w:jc w:val="center"/>
        <w:rPr>
          <w:rFonts w:ascii="宋体" w:hAnsi="宋体" w:cs="仿宋_GB2312"/>
          <w:b/>
          <w:color w:val="auto"/>
          <w:sz w:val="44"/>
          <w:szCs w:val="44"/>
          <w:highlight w:val="none"/>
        </w:rPr>
      </w:pPr>
    </w:p>
    <w:p w14:paraId="5964838E">
      <w:pPr>
        <w:tabs>
          <w:tab w:val="left" w:pos="3261"/>
        </w:tabs>
        <w:spacing w:line="360" w:lineRule="auto"/>
        <w:contextualSpacing/>
        <w:jc w:val="center"/>
        <w:rPr>
          <w:rFonts w:ascii="宋体" w:hAnsi="宋体" w:cs="仿宋_GB2312"/>
          <w:b/>
          <w:color w:val="auto"/>
          <w:sz w:val="44"/>
          <w:szCs w:val="44"/>
          <w:highlight w:val="none"/>
        </w:rPr>
      </w:pPr>
    </w:p>
    <w:p w14:paraId="35E5DB7A">
      <w:pPr>
        <w:pStyle w:val="2"/>
        <w:jc w:val="center"/>
        <w:rPr>
          <w:rFonts w:hint="eastAsia" w:ascii="宋体" w:hAnsi="宋体" w:cs="仿宋_GB2312"/>
          <w:color w:val="auto"/>
          <w:highlight w:val="none"/>
          <w:lang w:val="en-US"/>
        </w:rPr>
        <w:sectPr>
          <w:pgSz w:w="11910" w:h="16840"/>
          <w:pgMar w:top="1340" w:right="1500" w:bottom="280" w:left="1680" w:header="720" w:footer="720" w:gutter="0"/>
          <w:cols w:space="720" w:num="1"/>
        </w:sectPr>
      </w:pPr>
      <w:bookmarkStart w:id="236" w:name="_Toc9862"/>
      <w:r>
        <w:rPr>
          <w:rFonts w:hint="eastAsia" w:ascii="宋体" w:hAnsi="宋体" w:cs="仿宋_GB2312"/>
          <w:b w:val="0"/>
          <w:color w:val="auto"/>
          <w:highlight w:val="none"/>
        </w:rPr>
        <w:t>第七章 质疑、投诉材料格式</w:t>
      </w:r>
      <w:bookmarkEnd w:id="236"/>
    </w:p>
    <w:p w14:paraId="7579467B">
      <w:pPr>
        <w:spacing w:line="360" w:lineRule="auto"/>
        <w:jc w:val="center"/>
        <w:rPr>
          <w:rFonts w:hint="eastAsia" w:ascii="宋体" w:hAnsi="宋体"/>
          <w:b/>
          <w:bCs/>
          <w:color w:val="auto"/>
          <w:sz w:val="32"/>
          <w:szCs w:val="32"/>
          <w:highlight w:val="none"/>
        </w:rPr>
      </w:pPr>
      <w:r>
        <w:rPr>
          <w:rFonts w:hint="eastAsia" w:ascii="宋体" w:hAnsi="宋体"/>
          <w:b/>
          <w:bCs/>
          <w:color w:val="auto"/>
          <w:sz w:val="32"/>
          <w:szCs w:val="32"/>
          <w:highlight w:val="none"/>
        </w:rPr>
        <w:t>质疑函（格式）</w:t>
      </w:r>
    </w:p>
    <w:p w14:paraId="0B5E52B2">
      <w:pPr>
        <w:pStyle w:val="16"/>
        <w:spacing w:line="360" w:lineRule="auto"/>
        <w:ind w:firstLine="482" w:firstLineChars="200"/>
        <w:contextualSpacing/>
        <w:rPr>
          <w:rFonts w:hAnsi="宋体"/>
          <w:b/>
          <w:bCs/>
          <w:color w:val="auto"/>
          <w:sz w:val="24"/>
          <w:szCs w:val="24"/>
          <w:highlight w:val="none"/>
        </w:rPr>
      </w:pPr>
      <w:r>
        <w:rPr>
          <w:rFonts w:hint="eastAsia" w:hAnsi="宋体"/>
          <w:b/>
          <w:bCs/>
          <w:color w:val="auto"/>
          <w:sz w:val="24"/>
          <w:szCs w:val="24"/>
          <w:highlight w:val="none"/>
        </w:rPr>
        <w:t>一、质疑供应商基本信息：</w:t>
      </w:r>
    </w:p>
    <w:p w14:paraId="177B41E5">
      <w:pPr>
        <w:pStyle w:val="16"/>
        <w:spacing w:line="360" w:lineRule="auto"/>
        <w:ind w:firstLine="480" w:firstLineChars="200"/>
        <w:contextualSpacing/>
        <w:rPr>
          <w:rFonts w:hint="eastAsia" w:hAnsi="宋体"/>
          <w:bCs/>
          <w:color w:val="auto"/>
          <w:sz w:val="24"/>
          <w:szCs w:val="24"/>
          <w:highlight w:val="none"/>
          <w:u w:val="single"/>
        </w:rPr>
      </w:pPr>
      <w:r>
        <w:rPr>
          <w:rFonts w:hint="eastAsia" w:hAnsi="宋体"/>
          <w:bCs/>
          <w:color w:val="auto"/>
          <w:sz w:val="24"/>
          <w:szCs w:val="24"/>
          <w:highlight w:val="none"/>
        </w:rPr>
        <w:t>质疑供应商：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568C8924">
      <w:pPr>
        <w:pStyle w:val="16"/>
        <w:spacing w:line="360" w:lineRule="auto"/>
        <w:ind w:firstLine="480" w:firstLineChars="200"/>
        <w:contextualSpacing/>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5F137EDA">
      <w:pPr>
        <w:pStyle w:val="16"/>
        <w:spacing w:line="360" w:lineRule="auto"/>
        <w:ind w:firstLine="480" w:firstLineChars="200"/>
        <w:contextualSpacing/>
        <w:rPr>
          <w:rFonts w:hint="eastAsia" w:hAnsi="宋体"/>
          <w:bCs/>
          <w:color w:val="auto"/>
          <w:sz w:val="24"/>
          <w:szCs w:val="24"/>
          <w:highlight w:val="none"/>
        </w:rPr>
      </w:pPr>
      <w:r>
        <w:rPr>
          <w:rFonts w:hAnsi="宋体"/>
          <w:bCs/>
          <w:color w:val="auto"/>
          <w:sz w:val="24"/>
          <w:szCs w:val="24"/>
          <w:highlight w:val="none"/>
        </w:rPr>
        <w:t>联系人</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56A7C54B">
      <w:pPr>
        <w:pStyle w:val="16"/>
        <w:spacing w:line="360" w:lineRule="auto"/>
        <w:ind w:firstLine="480" w:firstLineChars="200"/>
        <w:contextualSpacing/>
        <w:rPr>
          <w:rFonts w:hint="eastAsia" w:hAnsi="宋体"/>
          <w:bCs/>
          <w:color w:val="auto"/>
          <w:sz w:val="24"/>
          <w:szCs w:val="24"/>
          <w:highlight w:val="non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p>
    <w:p w14:paraId="7E5D21D9">
      <w:pPr>
        <w:pStyle w:val="16"/>
        <w:spacing w:line="360" w:lineRule="auto"/>
        <w:ind w:firstLine="480" w:firstLineChars="200"/>
        <w:contextualSpacing/>
        <w:rPr>
          <w:rFonts w:hint="eastAsia" w:hAnsi="宋体"/>
          <w:bCs/>
          <w:color w:val="auto"/>
          <w:sz w:val="24"/>
          <w:szCs w:val="24"/>
          <w:highlight w:val="none"/>
          <w:u w:val="single"/>
        </w:rPr>
      </w:pP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0DC98F99">
      <w:pPr>
        <w:pStyle w:val="16"/>
        <w:spacing w:line="360" w:lineRule="auto"/>
        <w:ind w:firstLine="480" w:firstLineChars="200"/>
        <w:contextualSpacing/>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0480FB0A">
      <w:pPr>
        <w:pStyle w:val="16"/>
        <w:spacing w:line="360" w:lineRule="auto"/>
        <w:ind w:firstLine="482" w:firstLineChars="200"/>
        <w:contextualSpacing/>
        <w:rPr>
          <w:rFonts w:hint="eastAsia" w:hAnsi="宋体"/>
          <w:b/>
          <w:bCs/>
          <w:color w:val="auto"/>
          <w:sz w:val="24"/>
          <w:szCs w:val="24"/>
          <w:highlight w:val="none"/>
        </w:rPr>
      </w:pPr>
      <w:r>
        <w:rPr>
          <w:rFonts w:hint="eastAsia" w:hAnsi="宋体"/>
          <w:b/>
          <w:bCs/>
          <w:color w:val="auto"/>
          <w:sz w:val="24"/>
          <w:szCs w:val="24"/>
          <w:highlight w:val="none"/>
        </w:rPr>
        <w:t>二、质疑项目基本情况：</w:t>
      </w:r>
    </w:p>
    <w:p w14:paraId="13739B7F">
      <w:pPr>
        <w:pStyle w:val="16"/>
        <w:spacing w:line="360" w:lineRule="auto"/>
        <w:ind w:left="25" w:leftChars="12" w:firstLine="472" w:firstLineChars="197"/>
        <w:contextualSpacing/>
        <w:rPr>
          <w:rFonts w:hint="eastAsia"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03017BB3">
      <w:pPr>
        <w:pStyle w:val="16"/>
        <w:spacing w:line="360" w:lineRule="auto"/>
        <w:ind w:left="25" w:leftChars="12" w:firstLine="472" w:firstLineChars="197"/>
        <w:contextualSpacing/>
        <w:rPr>
          <w:rFonts w:hint="eastAsia"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273F23A4">
      <w:pPr>
        <w:pStyle w:val="16"/>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37493579">
      <w:pPr>
        <w:pStyle w:val="16"/>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质疑事项：</w:t>
      </w:r>
    </w:p>
    <w:p w14:paraId="65793CCB">
      <w:pPr>
        <w:pStyle w:val="16"/>
        <w:spacing w:line="360" w:lineRule="auto"/>
        <w:ind w:left="25" w:leftChars="12" w:firstLine="352" w:firstLineChars="147"/>
        <w:contextualSpacing/>
        <w:rPr>
          <w:rFonts w:hint="eastAsia" w:hAnsi="宋体"/>
          <w:color w:val="auto"/>
          <w:sz w:val="24"/>
          <w:szCs w:val="24"/>
          <w:highlight w:val="none"/>
        </w:rPr>
      </w:pPr>
      <w:r>
        <w:rPr>
          <w:rFonts w:hint="eastAsia" w:hAnsi="宋体"/>
          <w:color w:val="auto"/>
          <w:sz w:val="24"/>
          <w:szCs w:val="24"/>
          <w:highlight w:val="none"/>
        </w:rPr>
        <w:t>□采购文件   采购文件获取日期：</w:t>
      </w:r>
      <w:r>
        <w:rPr>
          <w:rFonts w:hint="eastAsia" w:hAnsi="宋体"/>
          <w:bCs/>
          <w:color w:val="auto"/>
          <w:sz w:val="24"/>
          <w:szCs w:val="24"/>
          <w:highlight w:val="none"/>
          <w:u w:val="single"/>
        </w:rPr>
        <w:t xml:space="preserve">                                   </w:t>
      </w:r>
    </w:p>
    <w:p w14:paraId="0410F928">
      <w:pPr>
        <w:pStyle w:val="16"/>
        <w:spacing w:line="360" w:lineRule="auto"/>
        <w:ind w:left="25" w:leftChars="12" w:firstLine="352" w:firstLineChars="147"/>
        <w:contextualSpacing/>
        <w:rPr>
          <w:rFonts w:hint="eastAsia" w:hAnsi="宋体"/>
          <w:color w:val="auto"/>
          <w:sz w:val="24"/>
          <w:szCs w:val="24"/>
          <w:highlight w:val="none"/>
        </w:rPr>
      </w:pPr>
      <w:r>
        <w:rPr>
          <w:rFonts w:hint="eastAsia" w:hAnsi="宋体"/>
          <w:color w:val="auto"/>
          <w:sz w:val="24"/>
          <w:szCs w:val="24"/>
          <w:highlight w:val="none"/>
        </w:rPr>
        <w:t xml:space="preserve">□采购过程   </w:t>
      </w:r>
    </w:p>
    <w:p w14:paraId="33C26FD3">
      <w:pPr>
        <w:pStyle w:val="16"/>
        <w:spacing w:line="360" w:lineRule="auto"/>
        <w:ind w:left="25" w:leftChars="12" w:firstLine="352" w:firstLineChars="147"/>
        <w:contextualSpacing/>
        <w:rPr>
          <w:rFonts w:hint="eastAsia" w:hAnsi="宋体"/>
          <w:bCs/>
          <w:color w:val="auto"/>
          <w:sz w:val="24"/>
          <w:szCs w:val="24"/>
          <w:highlight w:val="none"/>
          <w:u w:val="single"/>
        </w:rPr>
      </w:pPr>
      <w:r>
        <w:rPr>
          <w:rFonts w:hint="eastAsia" w:hAnsi="宋体"/>
          <w:color w:val="auto"/>
          <w:sz w:val="24"/>
          <w:szCs w:val="24"/>
          <w:highlight w:val="none"/>
        </w:rPr>
        <w:t xml:space="preserve">□成交结果   </w:t>
      </w:r>
    </w:p>
    <w:p w14:paraId="4A4A5758">
      <w:pPr>
        <w:pStyle w:val="16"/>
        <w:spacing w:line="360" w:lineRule="auto"/>
        <w:ind w:left="25" w:leftChars="12" w:firstLine="472" w:firstLineChars="196"/>
        <w:contextualSpacing/>
        <w:rPr>
          <w:rFonts w:hint="eastAsia" w:hAnsi="宋体"/>
          <w:b/>
          <w:color w:val="auto"/>
          <w:sz w:val="24"/>
          <w:szCs w:val="24"/>
          <w:highlight w:val="none"/>
        </w:rPr>
      </w:pPr>
      <w:r>
        <w:rPr>
          <w:rFonts w:hint="eastAsia" w:hAnsi="宋体"/>
          <w:b/>
          <w:color w:val="auto"/>
          <w:sz w:val="24"/>
          <w:szCs w:val="24"/>
          <w:highlight w:val="none"/>
        </w:rPr>
        <w:t>三、质疑事项具体内容</w:t>
      </w:r>
    </w:p>
    <w:p w14:paraId="338CDDAC">
      <w:pPr>
        <w:pStyle w:val="16"/>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质疑事项1：</w:t>
      </w:r>
      <w:r>
        <w:rPr>
          <w:rFonts w:hint="eastAsia" w:hAnsi="宋体"/>
          <w:bCs/>
          <w:color w:val="auto"/>
          <w:sz w:val="24"/>
          <w:szCs w:val="24"/>
          <w:highlight w:val="none"/>
          <w:u w:val="single"/>
        </w:rPr>
        <w:t xml:space="preserve">                                                                    </w:t>
      </w:r>
    </w:p>
    <w:p w14:paraId="4E652C8C">
      <w:pPr>
        <w:pStyle w:val="16"/>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事实依据：</w:t>
      </w:r>
      <w:r>
        <w:rPr>
          <w:rFonts w:hint="eastAsia" w:hAnsi="宋体"/>
          <w:bCs/>
          <w:color w:val="auto"/>
          <w:sz w:val="24"/>
          <w:szCs w:val="24"/>
          <w:highlight w:val="none"/>
          <w:u w:val="single"/>
        </w:rPr>
        <w:t xml:space="preserve">                                                                      </w:t>
      </w:r>
    </w:p>
    <w:p w14:paraId="3BF9AD56">
      <w:pPr>
        <w:pStyle w:val="16"/>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法律依据：</w:t>
      </w:r>
      <w:r>
        <w:rPr>
          <w:rFonts w:hint="eastAsia" w:hAnsi="宋体"/>
          <w:color w:val="auto"/>
          <w:sz w:val="24"/>
          <w:szCs w:val="24"/>
          <w:highlight w:val="none"/>
          <w:u w:val="single"/>
        </w:rPr>
        <w:t xml:space="preserve">                                                        </w:t>
      </w:r>
      <w:r>
        <w:rPr>
          <w:rFonts w:hint="eastAsia" w:hAnsi="宋体"/>
          <w:bCs/>
          <w:color w:val="auto"/>
          <w:sz w:val="24"/>
          <w:szCs w:val="24"/>
          <w:highlight w:val="none"/>
          <w:u w:val="single"/>
        </w:rPr>
        <w:t xml:space="preserve">               </w:t>
      </w:r>
    </w:p>
    <w:p w14:paraId="04C3371D">
      <w:pPr>
        <w:pStyle w:val="16"/>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质疑事项2</w:t>
      </w:r>
    </w:p>
    <w:p w14:paraId="7D61ACB7">
      <w:pPr>
        <w:pStyle w:val="16"/>
        <w:spacing w:line="360" w:lineRule="auto"/>
        <w:ind w:left="25" w:leftChars="12" w:firstLine="472" w:firstLineChars="197"/>
        <w:contextualSpacing/>
        <w:rPr>
          <w:rFonts w:hint="eastAsia" w:hAnsi="宋体"/>
          <w:color w:val="auto"/>
          <w:sz w:val="24"/>
          <w:szCs w:val="24"/>
          <w:highlight w:val="none"/>
        </w:rPr>
      </w:pPr>
      <w:r>
        <w:rPr>
          <w:rFonts w:hAnsi="宋体"/>
          <w:color w:val="auto"/>
          <w:sz w:val="24"/>
          <w:szCs w:val="24"/>
          <w:highlight w:val="none"/>
        </w:rPr>
        <w:t>……</w:t>
      </w:r>
    </w:p>
    <w:p w14:paraId="6BF1B9AE">
      <w:pPr>
        <w:pStyle w:val="16"/>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四、与质疑事项相关的质疑请求：</w:t>
      </w:r>
    </w:p>
    <w:p w14:paraId="7F92CEEF">
      <w:pPr>
        <w:pStyle w:val="16"/>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1F24E2B3">
      <w:pPr>
        <w:pStyle w:val="16"/>
        <w:spacing w:line="360" w:lineRule="auto"/>
        <w:ind w:left="25" w:leftChars="12" w:firstLine="352" w:firstLineChars="147"/>
        <w:contextualSpacing/>
        <w:rPr>
          <w:rFonts w:hint="eastAsia" w:hAnsi="宋体"/>
          <w:color w:val="auto"/>
          <w:sz w:val="24"/>
          <w:szCs w:val="24"/>
          <w:highlight w:val="none"/>
        </w:rPr>
      </w:pPr>
    </w:p>
    <w:p w14:paraId="201EE635">
      <w:pPr>
        <w:pStyle w:val="16"/>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签字（签章）：                                       公章：</w:t>
      </w:r>
    </w:p>
    <w:p w14:paraId="33B47DEB">
      <w:pPr>
        <w:pStyle w:val="16"/>
        <w:spacing w:line="360" w:lineRule="auto"/>
        <w:ind w:left="25" w:leftChars="12" w:firstLine="352" w:firstLineChars="147"/>
        <w:contextualSpacing/>
        <w:rPr>
          <w:rFonts w:hint="eastAsia" w:hAnsi="宋体"/>
          <w:color w:val="auto"/>
          <w:sz w:val="24"/>
          <w:szCs w:val="24"/>
          <w:highlight w:val="none"/>
        </w:rPr>
      </w:pPr>
    </w:p>
    <w:p w14:paraId="41A96276">
      <w:pPr>
        <w:pStyle w:val="16"/>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日期：</w:t>
      </w:r>
    </w:p>
    <w:p w14:paraId="55D9BE9C">
      <w:pPr>
        <w:pStyle w:val="16"/>
        <w:spacing w:line="360" w:lineRule="auto"/>
        <w:contextualSpacing/>
        <w:rPr>
          <w:rFonts w:hint="eastAsia" w:hAnsi="宋体"/>
          <w:b/>
          <w:color w:val="auto"/>
          <w:sz w:val="24"/>
          <w:szCs w:val="24"/>
          <w:highlight w:val="none"/>
          <w:lang w:eastAsia="zh-CN"/>
        </w:rPr>
      </w:pPr>
    </w:p>
    <w:p w14:paraId="4D561015">
      <w:pPr>
        <w:pStyle w:val="16"/>
        <w:spacing w:line="360" w:lineRule="auto"/>
        <w:contextualSpacing/>
        <w:rPr>
          <w:rFonts w:hint="eastAsia" w:hAnsi="宋体"/>
          <w:b/>
          <w:color w:val="auto"/>
          <w:sz w:val="24"/>
          <w:szCs w:val="24"/>
          <w:highlight w:val="none"/>
          <w:lang w:eastAsia="zh-CN"/>
        </w:rPr>
      </w:pPr>
    </w:p>
    <w:p w14:paraId="34803217">
      <w:pPr>
        <w:pStyle w:val="16"/>
        <w:spacing w:line="360" w:lineRule="auto"/>
        <w:contextualSpacing/>
        <w:rPr>
          <w:rFonts w:hint="eastAsia" w:hAnsi="宋体"/>
          <w:b/>
          <w:color w:val="auto"/>
          <w:sz w:val="24"/>
          <w:szCs w:val="24"/>
          <w:highlight w:val="none"/>
        </w:rPr>
      </w:pPr>
      <w:r>
        <w:rPr>
          <w:rFonts w:hint="eastAsia" w:hAnsi="宋体"/>
          <w:b/>
          <w:color w:val="auto"/>
          <w:sz w:val="24"/>
          <w:szCs w:val="24"/>
          <w:highlight w:val="none"/>
        </w:rPr>
        <w:t>说明：</w:t>
      </w:r>
    </w:p>
    <w:p w14:paraId="6A134983">
      <w:pPr>
        <w:pStyle w:val="16"/>
        <w:spacing w:line="360" w:lineRule="auto"/>
        <w:ind w:left="25" w:leftChars="12" w:firstLine="354" w:firstLineChars="147"/>
        <w:contextualSpacing/>
        <w:rPr>
          <w:rFonts w:hint="eastAsia" w:hAnsi="宋体"/>
          <w:b/>
          <w:bCs/>
          <w:color w:val="auto"/>
          <w:sz w:val="24"/>
          <w:szCs w:val="24"/>
          <w:highlight w:val="none"/>
        </w:rPr>
      </w:pPr>
      <w:r>
        <w:rPr>
          <w:rFonts w:hint="eastAsia" w:hAnsi="宋体"/>
          <w:b/>
          <w:color w:val="auto"/>
          <w:sz w:val="24"/>
          <w:szCs w:val="24"/>
          <w:highlight w:val="none"/>
        </w:rPr>
        <w:t>1.供应商提出质疑时，应提交质疑函和必要的证明材料</w:t>
      </w:r>
      <w:r>
        <w:rPr>
          <w:rFonts w:hint="eastAsia" w:hAnsi="宋体"/>
          <w:b/>
          <w:bCs/>
          <w:color w:val="auto"/>
          <w:sz w:val="24"/>
          <w:szCs w:val="24"/>
          <w:highlight w:val="none"/>
        </w:rPr>
        <w:t>。</w:t>
      </w:r>
    </w:p>
    <w:p w14:paraId="10B16E94">
      <w:pPr>
        <w:pStyle w:val="16"/>
        <w:spacing w:line="360" w:lineRule="auto"/>
        <w:ind w:left="25" w:leftChars="12" w:firstLine="354" w:firstLineChars="147"/>
        <w:contextualSpacing/>
        <w:rPr>
          <w:rFonts w:hint="eastAsia" w:hAnsi="宋体"/>
          <w:b/>
          <w:color w:val="auto"/>
          <w:sz w:val="24"/>
          <w:szCs w:val="24"/>
          <w:highlight w:val="none"/>
        </w:rPr>
      </w:pPr>
      <w:r>
        <w:rPr>
          <w:rFonts w:hint="eastAsia" w:hAnsi="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0B4F77E">
      <w:pPr>
        <w:pStyle w:val="16"/>
        <w:spacing w:line="360" w:lineRule="auto"/>
        <w:ind w:left="25" w:leftChars="12" w:firstLine="354" w:firstLineChars="147"/>
        <w:contextualSpacing/>
        <w:rPr>
          <w:rFonts w:hint="eastAsia" w:hAnsi="宋体"/>
          <w:b/>
          <w:color w:val="auto"/>
          <w:sz w:val="24"/>
          <w:szCs w:val="24"/>
          <w:highlight w:val="none"/>
        </w:rPr>
      </w:pPr>
      <w:r>
        <w:rPr>
          <w:rFonts w:hint="eastAsia" w:hAnsi="宋体"/>
          <w:b/>
          <w:color w:val="auto"/>
          <w:sz w:val="24"/>
          <w:szCs w:val="24"/>
          <w:highlight w:val="none"/>
        </w:rPr>
        <w:t>3.质疑函的质疑事项应具体、明确，并有必要的事实依据和法律依据。</w:t>
      </w:r>
    </w:p>
    <w:p w14:paraId="3EFDF748">
      <w:pPr>
        <w:pStyle w:val="16"/>
        <w:spacing w:line="360" w:lineRule="auto"/>
        <w:ind w:left="25" w:leftChars="12" w:firstLine="354" w:firstLineChars="147"/>
        <w:contextualSpacing/>
        <w:rPr>
          <w:rFonts w:hint="eastAsia" w:hAnsi="宋体"/>
          <w:b/>
          <w:color w:val="auto"/>
          <w:sz w:val="24"/>
          <w:szCs w:val="24"/>
          <w:highlight w:val="none"/>
        </w:rPr>
      </w:pPr>
      <w:r>
        <w:rPr>
          <w:rFonts w:hint="eastAsia" w:hAnsi="宋体"/>
          <w:b/>
          <w:color w:val="auto"/>
          <w:sz w:val="24"/>
          <w:szCs w:val="24"/>
          <w:highlight w:val="none"/>
        </w:rPr>
        <w:t>4.质疑函的质疑请求应与质疑事项相关。</w:t>
      </w:r>
    </w:p>
    <w:p w14:paraId="58ED822E">
      <w:pPr>
        <w:pStyle w:val="16"/>
        <w:spacing w:line="360" w:lineRule="auto"/>
        <w:ind w:left="25" w:leftChars="12" w:firstLine="354" w:firstLineChars="147"/>
        <w:contextualSpacing/>
        <w:rPr>
          <w:rFonts w:hint="eastAsia" w:hAnsi="宋体"/>
          <w:b/>
          <w:color w:val="auto"/>
          <w:highlight w:val="none"/>
        </w:rPr>
      </w:pPr>
      <w:r>
        <w:rPr>
          <w:rFonts w:hint="eastAsia" w:hAnsi="宋体"/>
          <w:b/>
          <w:color w:val="auto"/>
          <w:sz w:val="24"/>
          <w:szCs w:val="24"/>
          <w:highlight w:val="none"/>
        </w:rPr>
        <w:t>5.质疑供应商为法人或者其他组织的，质疑函应由法定代表人、主要负责人，或者其授权代表签字或者盖章，并加盖公章。</w:t>
      </w:r>
    </w:p>
    <w:p w14:paraId="594595F4">
      <w:pPr>
        <w:pStyle w:val="16"/>
        <w:snapToGrid w:val="0"/>
        <w:rPr>
          <w:rFonts w:hint="eastAsia"/>
          <w:b/>
          <w:color w:val="auto"/>
          <w:sz w:val="24"/>
          <w:szCs w:val="24"/>
          <w:highlight w:val="none"/>
        </w:rPr>
      </w:pPr>
    </w:p>
    <w:p w14:paraId="7E1B3CAC">
      <w:pPr>
        <w:spacing w:line="460" w:lineRule="exact"/>
        <w:jc w:val="center"/>
        <w:rPr>
          <w:rFonts w:hint="eastAsia" w:eastAsia="隶书"/>
          <w:color w:val="auto"/>
          <w:sz w:val="44"/>
          <w:highlight w:val="none"/>
        </w:rPr>
      </w:pPr>
      <w:r>
        <w:rPr>
          <w:rFonts w:eastAsia="隶书"/>
          <w:color w:val="auto"/>
          <w:sz w:val="44"/>
          <w:highlight w:val="none"/>
        </w:rPr>
        <w:br w:type="page"/>
      </w:r>
    </w:p>
    <w:p w14:paraId="45F2E3B6">
      <w:pPr>
        <w:spacing w:line="360" w:lineRule="auto"/>
        <w:jc w:val="center"/>
        <w:rPr>
          <w:rFonts w:hint="eastAsia" w:ascii="宋体" w:hAnsi="宋体"/>
          <w:b/>
          <w:bCs/>
          <w:color w:val="auto"/>
          <w:sz w:val="32"/>
          <w:szCs w:val="32"/>
          <w:highlight w:val="none"/>
        </w:rPr>
      </w:pPr>
      <w:r>
        <w:rPr>
          <w:rFonts w:hint="eastAsia" w:ascii="宋体" w:hAnsi="宋体"/>
          <w:b/>
          <w:bCs/>
          <w:color w:val="auto"/>
          <w:sz w:val="32"/>
          <w:szCs w:val="32"/>
          <w:highlight w:val="none"/>
        </w:rPr>
        <w:t>投诉书（格式）</w:t>
      </w:r>
    </w:p>
    <w:p w14:paraId="667C3849">
      <w:pPr>
        <w:pStyle w:val="16"/>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一、投诉相关主体基本情况：</w:t>
      </w:r>
    </w:p>
    <w:p w14:paraId="3BD3C679">
      <w:pPr>
        <w:pStyle w:val="16"/>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75784E52">
      <w:pPr>
        <w:pStyle w:val="16"/>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0F56DEBE">
      <w:pPr>
        <w:pStyle w:val="16"/>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法定代表人/主要负责人：</w:t>
      </w:r>
      <w:r>
        <w:rPr>
          <w:rFonts w:hint="eastAsia" w:hAnsi="宋体"/>
          <w:bCs/>
          <w:color w:val="auto"/>
          <w:sz w:val="24"/>
          <w:szCs w:val="24"/>
          <w:highlight w:val="none"/>
          <w:u w:val="single"/>
        </w:rPr>
        <w:t xml:space="preserve">                                                         </w:t>
      </w:r>
    </w:p>
    <w:p w14:paraId="3578D136">
      <w:pPr>
        <w:pStyle w:val="16"/>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2C796F05">
      <w:pPr>
        <w:pStyle w:val="16"/>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424838F9">
      <w:pPr>
        <w:pStyle w:val="16"/>
        <w:snapToGrid w:val="0"/>
        <w:spacing w:line="360" w:lineRule="auto"/>
        <w:ind w:firstLine="480" w:firstLineChars="200"/>
        <w:rPr>
          <w:rFonts w:hint="eastAsia" w:hAnsi="宋体"/>
          <w:bCs/>
          <w:color w:val="auto"/>
          <w:sz w:val="24"/>
          <w:szCs w:val="24"/>
          <w:highlight w:val="none"/>
          <w:u w:val="single"/>
          <w:lang w:eastAsia="zh-CN"/>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4005CD12">
      <w:pPr>
        <w:pStyle w:val="16"/>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3D4BF378">
      <w:pPr>
        <w:pStyle w:val="16"/>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被投诉人1：</w:t>
      </w:r>
    </w:p>
    <w:p w14:paraId="0BC5F872">
      <w:pPr>
        <w:pStyle w:val="16"/>
        <w:snapToGrid w:val="0"/>
        <w:spacing w:line="360" w:lineRule="auto"/>
        <w:ind w:firstLine="480" w:firstLineChars="200"/>
        <w:rPr>
          <w:rFonts w:hint="eastAsia" w:hAnsi="宋体"/>
          <w:bCs/>
          <w:color w:val="auto"/>
          <w:sz w:val="24"/>
          <w:szCs w:val="24"/>
          <w:highlight w:val="none"/>
          <w:u w:val="single"/>
          <w:lang w:eastAsia="zh-CN"/>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p>
    <w:p w14:paraId="53652689">
      <w:pPr>
        <w:pStyle w:val="16"/>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62FC018D">
      <w:pPr>
        <w:pStyle w:val="16"/>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5D56A47B">
      <w:pPr>
        <w:pStyle w:val="16"/>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被投诉人2：</w:t>
      </w:r>
    </w:p>
    <w:p w14:paraId="23D8DAE2">
      <w:pPr>
        <w:pStyle w:val="16"/>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w:t>
      </w:r>
    </w:p>
    <w:p w14:paraId="7DDDAB39">
      <w:pPr>
        <w:pStyle w:val="16"/>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相关供应商：</w:t>
      </w:r>
      <w:r>
        <w:rPr>
          <w:rFonts w:hint="eastAsia" w:hAnsi="宋体"/>
          <w:bCs/>
          <w:color w:val="auto"/>
          <w:sz w:val="24"/>
          <w:szCs w:val="24"/>
          <w:highlight w:val="none"/>
          <w:u w:val="single"/>
        </w:rPr>
        <w:t xml:space="preserve">                                                                       </w:t>
      </w:r>
    </w:p>
    <w:p w14:paraId="469EC825">
      <w:pPr>
        <w:pStyle w:val="16"/>
        <w:snapToGrid w:val="0"/>
        <w:spacing w:line="360" w:lineRule="auto"/>
        <w:ind w:firstLine="480" w:firstLineChars="200"/>
        <w:rPr>
          <w:rFonts w:hint="eastAsia"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069C4940">
      <w:pPr>
        <w:pStyle w:val="16"/>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4CA1D9D1">
      <w:pPr>
        <w:pStyle w:val="16"/>
        <w:snapToGrid w:val="0"/>
        <w:spacing w:line="360" w:lineRule="auto"/>
        <w:ind w:firstLine="482" w:firstLineChars="200"/>
        <w:rPr>
          <w:rFonts w:hint="eastAsia" w:hAnsi="宋体"/>
          <w:b/>
          <w:bCs/>
          <w:color w:val="auto"/>
          <w:sz w:val="24"/>
          <w:szCs w:val="24"/>
          <w:highlight w:val="none"/>
        </w:rPr>
      </w:pPr>
      <w:r>
        <w:rPr>
          <w:rFonts w:hint="eastAsia" w:hAnsi="宋体"/>
          <w:b/>
          <w:bCs/>
          <w:color w:val="auto"/>
          <w:sz w:val="24"/>
          <w:szCs w:val="24"/>
          <w:highlight w:val="none"/>
        </w:rPr>
        <w:t>二、投诉项目基本情况：</w:t>
      </w:r>
    </w:p>
    <w:p w14:paraId="2F71744A">
      <w:pPr>
        <w:pStyle w:val="16"/>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7B13B0F9">
      <w:pPr>
        <w:pStyle w:val="16"/>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6175E2F2">
      <w:pPr>
        <w:pStyle w:val="16"/>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719FDC09">
      <w:pPr>
        <w:pStyle w:val="16"/>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代理机构名称：</w:t>
      </w:r>
      <w:r>
        <w:rPr>
          <w:rFonts w:hint="eastAsia" w:hAnsi="宋体"/>
          <w:bCs/>
          <w:color w:val="auto"/>
          <w:sz w:val="24"/>
          <w:szCs w:val="24"/>
          <w:highlight w:val="none"/>
          <w:u w:val="single"/>
        </w:rPr>
        <w:t xml:space="preserve">                                                                      </w:t>
      </w:r>
    </w:p>
    <w:p w14:paraId="5D5EE7E6">
      <w:pPr>
        <w:pStyle w:val="16"/>
        <w:spacing w:line="360" w:lineRule="auto"/>
        <w:ind w:left="25" w:leftChars="12" w:firstLine="472" w:firstLineChars="197"/>
        <w:rPr>
          <w:rFonts w:hint="eastAsia" w:hAnsi="宋体"/>
          <w:bCs/>
          <w:color w:val="auto"/>
          <w:sz w:val="24"/>
          <w:szCs w:val="24"/>
          <w:highlight w:val="none"/>
          <w:u w:val="single"/>
        </w:rPr>
      </w:pPr>
      <w:r>
        <w:rPr>
          <w:rFonts w:hint="eastAsia" w:hAnsi="宋体"/>
          <w:bCs/>
          <w:color w:val="auto"/>
          <w:sz w:val="24"/>
          <w:szCs w:val="24"/>
          <w:highlight w:val="none"/>
          <w:lang w:eastAsia="zh-CN"/>
        </w:rPr>
        <w:t>磋商文件</w:t>
      </w:r>
      <w:r>
        <w:rPr>
          <w:rFonts w:hint="eastAsia" w:hAnsi="宋体"/>
          <w:bCs/>
          <w:color w:val="auto"/>
          <w:sz w:val="24"/>
          <w:szCs w:val="24"/>
          <w:highlight w:val="none"/>
        </w:rPr>
        <w:t>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01D5A194">
      <w:pPr>
        <w:pStyle w:val="16"/>
        <w:spacing w:line="360" w:lineRule="auto"/>
        <w:ind w:left="25" w:leftChars="12" w:firstLine="472" w:firstLineChars="197"/>
        <w:rPr>
          <w:rFonts w:hint="eastAsia" w:hAnsi="宋体"/>
          <w:b/>
          <w:color w:val="auto"/>
          <w:sz w:val="24"/>
          <w:szCs w:val="24"/>
          <w:highlight w:val="none"/>
        </w:rPr>
      </w:pPr>
      <w:r>
        <w:rPr>
          <w:rFonts w:hint="eastAsia" w:hAnsi="宋体"/>
          <w:bCs/>
          <w:color w:val="auto"/>
          <w:sz w:val="24"/>
          <w:szCs w:val="24"/>
          <w:highlight w:val="none"/>
        </w:rPr>
        <w:t>采购结果公告：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78ACE023">
      <w:pPr>
        <w:pStyle w:val="16"/>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三、质疑基本情况</w:t>
      </w:r>
    </w:p>
    <w:p w14:paraId="27CF571C">
      <w:pPr>
        <w:pStyle w:val="16"/>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投诉人于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日，向</w:t>
      </w:r>
      <w:r>
        <w:rPr>
          <w:rFonts w:hint="eastAsia" w:hAnsi="宋体"/>
          <w:color w:val="auto"/>
          <w:sz w:val="24"/>
          <w:szCs w:val="24"/>
          <w:highlight w:val="none"/>
          <w:u w:val="single"/>
        </w:rPr>
        <w:t xml:space="preserve">                                </w:t>
      </w:r>
      <w:r>
        <w:rPr>
          <w:rFonts w:hint="eastAsia" w:hAnsi="宋体"/>
          <w:color w:val="auto"/>
          <w:sz w:val="24"/>
          <w:szCs w:val="24"/>
          <w:highlight w:val="none"/>
        </w:rPr>
        <w:t>提出质疑，质疑事项为：</w:t>
      </w:r>
    </w:p>
    <w:p w14:paraId="49CC1B6F">
      <w:pPr>
        <w:pStyle w:val="16"/>
        <w:spacing w:line="360" w:lineRule="auto"/>
        <w:ind w:firstLine="241"/>
        <w:rPr>
          <w:rFonts w:hint="eastAsia" w:hAnsi="宋体"/>
          <w:bCs/>
          <w:color w:val="auto"/>
          <w:sz w:val="24"/>
          <w:szCs w:val="24"/>
          <w:highlight w:val="none"/>
          <w:u w:val="single"/>
        </w:rPr>
      </w:pP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2D04F172">
      <w:pPr>
        <w:pStyle w:val="16"/>
        <w:spacing w:line="360" w:lineRule="auto"/>
        <w:ind w:firstLine="241"/>
        <w:rPr>
          <w:rFonts w:hint="eastAsia"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181B5EBC">
      <w:pPr>
        <w:pStyle w:val="16"/>
        <w:spacing w:line="360" w:lineRule="auto"/>
        <w:ind w:firstLine="480" w:firstLineChars="200"/>
        <w:rPr>
          <w:rFonts w:hint="eastAsia" w:hAnsi="宋体"/>
          <w:color w:val="auto"/>
          <w:sz w:val="24"/>
          <w:szCs w:val="24"/>
          <w:highlight w:val="none"/>
        </w:rPr>
      </w:pPr>
      <w:r>
        <w:rPr>
          <w:rFonts w:hint="eastAsia" w:hAnsi="宋体"/>
          <w:bCs/>
          <w:color w:val="auto"/>
          <w:sz w:val="24"/>
          <w:szCs w:val="24"/>
          <w:highlight w:val="none"/>
          <w:u w:val="single"/>
        </w:rPr>
        <w:t>采购人/代理机构</w:t>
      </w:r>
      <w:r>
        <w:rPr>
          <w:rFonts w:hint="eastAsia" w:hAnsi="宋体"/>
          <w:bCs/>
          <w:color w:val="auto"/>
          <w:sz w:val="24"/>
          <w:szCs w:val="24"/>
          <w:highlight w:val="none"/>
        </w:rPr>
        <w:t>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r>
        <w:rPr>
          <w:rFonts w:hint="eastAsia" w:hAnsi="宋体"/>
          <w:bCs/>
          <w:color w:val="auto"/>
          <w:sz w:val="24"/>
          <w:szCs w:val="24"/>
          <w:highlight w:val="none"/>
        </w:rPr>
        <w:t xml:space="preserve">就质疑事项作出了答复/没有在法定期限内作出答复。                                                                                             </w:t>
      </w:r>
    </w:p>
    <w:p w14:paraId="4A4E54D5">
      <w:pPr>
        <w:pStyle w:val="16"/>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四、投诉事项具体内容</w:t>
      </w:r>
    </w:p>
    <w:p w14:paraId="7932B7BC">
      <w:pPr>
        <w:pStyle w:val="16"/>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投诉事项1：</w:t>
      </w:r>
      <w:r>
        <w:rPr>
          <w:rFonts w:hint="eastAsia" w:hAnsi="宋体"/>
          <w:bCs/>
          <w:color w:val="auto"/>
          <w:sz w:val="24"/>
          <w:szCs w:val="24"/>
          <w:highlight w:val="none"/>
          <w:u w:val="single"/>
        </w:rPr>
        <w:t xml:space="preserve">                                                                           </w:t>
      </w:r>
    </w:p>
    <w:p w14:paraId="35A20D07">
      <w:pPr>
        <w:pStyle w:val="16"/>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事实依据：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3ED71FD5">
      <w:pPr>
        <w:pStyle w:val="16"/>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u w:val="single"/>
        </w:rPr>
        <w:t xml:space="preserve">                                                                                        </w:t>
      </w:r>
    </w:p>
    <w:p w14:paraId="3B5594FC">
      <w:pPr>
        <w:pStyle w:val="16"/>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法律依据：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5596E5B5">
      <w:pPr>
        <w:pStyle w:val="16"/>
        <w:spacing w:line="360" w:lineRule="auto"/>
        <w:ind w:left="25" w:leftChars="12" w:firstLine="352" w:firstLineChars="147"/>
        <w:rPr>
          <w:rFonts w:hint="eastAsia"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1ACC4C4E">
      <w:pPr>
        <w:pStyle w:val="16"/>
        <w:spacing w:line="360" w:lineRule="auto"/>
        <w:ind w:left="25" w:leftChars="12" w:firstLine="472" w:firstLineChars="197"/>
        <w:rPr>
          <w:rFonts w:hint="eastAsia" w:hAnsi="宋体"/>
          <w:bCs/>
          <w:color w:val="auto"/>
          <w:sz w:val="24"/>
          <w:szCs w:val="24"/>
          <w:highlight w:val="none"/>
        </w:rPr>
      </w:pPr>
      <w:r>
        <w:rPr>
          <w:rFonts w:hint="eastAsia" w:hAnsi="宋体"/>
          <w:color w:val="auto"/>
          <w:sz w:val="24"/>
          <w:szCs w:val="24"/>
          <w:highlight w:val="none"/>
        </w:rPr>
        <w:t xml:space="preserve">投诉事项2  </w:t>
      </w:r>
      <w:r>
        <w:rPr>
          <w:rFonts w:hint="eastAsia" w:hAnsi="宋体"/>
          <w:bCs/>
          <w:color w:val="auto"/>
          <w:sz w:val="24"/>
          <w:szCs w:val="24"/>
          <w:highlight w:val="none"/>
        </w:rPr>
        <w:t xml:space="preserve">   </w:t>
      </w:r>
    </w:p>
    <w:p w14:paraId="178AA82F">
      <w:pPr>
        <w:pStyle w:val="16"/>
        <w:spacing w:line="360" w:lineRule="auto"/>
        <w:ind w:left="25" w:leftChars="12" w:firstLine="472" w:firstLineChars="197"/>
        <w:rPr>
          <w:rFonts w:hint="eastAsia" w:hAnsi="宋体"/>
          <w:bCs/>
          <w:color w:val="auto"/>
          <w:sz w:val="24"/>
          <w:szCs w:val="24"/>
          <w:highlight w:val="none"/>
        </w:rPr>
      </w:pPr>
      <w:r>
        <w:rPr>
          <w:rFonts w:hAnsi="宋体"/>
          <w:bCs/>
          <w:color w:val="auto"/>
          <w:sz w:val="24"/>
          <w:szCs w:val="24"/>
          <w:highlight w:val="none"/>
        </w:rPr>
        <w:t>……</w:t>
      </w:r>
    </w:p>
    <w:p w14:paraId="79F8DE42">
      <w:pPr>
        <w:pStyle w:val="16"/>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五、与投诉事项相关的投诉请求：</w:t>
      </w:r>
    </w:p>
    <w:p w14:paraId="0A06E75A">
      <w:pPr>
        <w:pStyle w:val="16"/>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56F1A482">
      <w:pPr>
        <w:pStyle w:val="16"/>
        <w:spacing w:line="360" w:lineRule="auto"/>
        <w:ind w:left="25" w:leftChars="12" w:firstLine="352" w:firstLineChars="147"/>
        <w:rPr>
          <w:rFonts w:hint="eastAsia" w:hAnsi="宋体"/>
          <w:color w:val="auto"/>
          <w:sz w:val="24"/>
          <w:szCs w:val="24"/>
          <w:highlight w:val="none"/>
        </w:rPr>
      </w:pPr>
    </w:p>
    <w:p w14:paraId="1CCDE329">
      <w:pPr>
        <w:pStyle w:val="16"/>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签字（签章）：                                       公章：</w:t>
      </w:r>
    </w:p>
    <w:p w14:paraId="188B314F">
      <w:pPr>
        <w:pStyle w:val="16"/>
        <w:spacing w:line="360" w:lineRule="auto"/>
        <w:ind w:left="25" w:leftChars="12" w:firstLine="352" w:firstLineChars="147"/>
        <w:rPr>
          <w:rFonts w:hint="eastAsia" w:hAnsi="宋体"/>
          <w:color w:val="auto"/>
          <w:sz w:val="24"/>
          <w:szCs w:val="24"/>
          <w:highlight w:val="none"/>
        </w:rPr>
      </w:pPr>
    </w:p>
    <w:p w14:paraId="5F54D492">
      <w:pPr>
        <w:pStyle w:val="16"/>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日期：</w:t>
      </w:r>
    </w:p>
    <w:p w14:paraId="452CEC2D">
      <w:pPr>
        <w:pStyle w:val="16"/>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 xml:space="preserve">                                                                                 </w:t>
      </w:r>
    </w:p>
    <w:p w14:paraId="1ACB02D7">
      <w:pPr>
        <w:pStyle w:val="16"/>
        <w:snapToGrid w:val="0"/>
        <w:spacing w:line="360" w:lineRule="auto"/>
        <w:rPr>
          <w:rFonts w:hint="eastAsia" w:hAnsi="宋体"/>
          <w:b/>
          <w:color w:val="auto"/>
          <w:sz w:val="24"/>
          <w:szCs w:val="24"/>
          <w:highlight w:val="none"/>
        </w:rPr>
      </w:pPr>
    </w:p>
    <w:p w14:paraId="5553CED4">
      <w:pPr>
        <w:pStyle w:val="16"/>
        <w:snapToGrid w:val="0"/>
        <w:spacing w:line="360" w:lineRule="auto"/>
        <w:rPr>
          <w:rFonts w:hint="eastAsia" w:hAnsi="宋体"/>
          <w:b/>
          <w:color w:val="auto"/>
          <w:sz w:val="24"/>
          <w:szCs w:val="24"/>
          <w:highlight w:val="none"/>
        </w:rPr>
      </w:pPr>
      <w:r>
        <w:rPr>
          <w:rFonts w:hint="eastAsia" w:hAnsi="宋体"/>
          <w:b/>
          <w:color w:val="auto"/>
          <w:sz w:val="24"/>
          <w:szCs w:val="24"/>
          <w:highlight w:val="none"/>
        </w:rPr>
        <w:t>说明：</w:t>
      </w:r>
    </w:p>
    <w:p w14:paraId="47D5A7BD">
      <w:pPr>
        <w:pStyle w:val="16"/>
        <w:spacing w:line="360" w:lineRule="auto"/>
        <w:ind w:left="25" w:leftChars="12" w:firstLine="354" w:firstLineChars="147"/>
        <w:rPr>
          <w:rFonts w:hint="eastAsia" w:hAnsi="宋体"/>
          <w:b/>
          <w:bCs/>
          <w:color w:val="auto"/>
          <w:sz w:val="24"/>
          <w:szCs w:val="24"/>
          <w:highlight w:val="none"/>
        </w:rPr>
      </w:pPr>
      <w:r>
        <w:rPr>
          <w:rFonts w:hint="eastAsia" w:hAnsi="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b/>
          <w:bCs/>
          <w:color w:val="auto"/>
          <w:sz w:val="24"/>
          <w:szCs w:val="24"/>
          <w:highlight w:val="none"/>
        </w:rPr>
        <w:t>。</w:t>
      </w:r>
    </w:p>
    <w:p w14:paraId="3B0514CE">
      <w:pPr>
        <w:pStyle w:val="16"/>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4C7F56A1">
      <w:pPr>
        <w:pStyle w:val="16"/>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3.投诉书应简要列明质疑事项，质疑函、质疑答复等作为附件材料提供。</w:t>
      </w:r>
    </w:p>
    <w:p w14:paraId="09045DFD">
      <w:pPr>
        <w:pStyle w:val="16"/>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4.投诉书的投诉事项应具体、明确，并有必要的事实依据和法律依据。</w:t>
      </w:r>
    </w:p>
    <w:p w14:paraId="31924FE4">
      <w:pPr>
        <w:pStyle w:val="16"/>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5.投诉书的投诉请求应与投诉事项相关。</w:t>
      </w:r>
    </w:p>
    <w:p w14:paraId="0E9747F9">
      <w:pPr>
        <w:pStyle w:val="16"/>
        <w:spacing w:line="360" w:lineRule="auto"/>
        <w:ind w:left="25" w:leftChars="12" w:firstLine="354" w:firstLineChars="147"/>
        <w:rPr>
          <w:rFonts w:hint="eastAsia" w:hAnsi="宋体"/>
          <w:b/>
          <w:color w:val="auto"/>
          <w:highlight w:val="none"/>
        </w:rPr>
      </w:pPr>
      <w:r>
        <w:rPr>
          <w:rFonts w:hint="eastAsia" w:hAnsi="宋体"/>
          <w:b/>
          <w:color w:val="auto"/>
          <w:sz w:val="24"/>
          <w:szCs w:val="24"/>
          <w:highlight w:val="none"/>
        </w:rPr>
        <w:t>6.投诉人为法人或者其他组织的，投诉书应由法定代表人、主要负责人，或者其授权代表签字或者盖章，并加盖公章。</w:t>
      </w:r>
    </w:p>
    <w:p w14:paraId="4A5A9E69">
      <w:pPr>
        <w:spacing w:line="360" w:lineRule="auto"/>
        <w:jc w:val="center"/>
        <w:rPr>
          <w:rFonts w:hint="eastAsia" w:hAnsi="宋体"/>
          <w:b/>
          <w:color w:val="auto"/>
          <w:highlight w:val="none"/>
        </w:rPr>
      </w:pPr>
    </w:p>
    <w:sectPr>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新魏">
    <w:altName w:val="宋体"/>
    <w:panose1 w:val="02010800040101010101"/>
    <w:charset w:val="86"/>
    <w:family w:val="auto"/>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Cambria Math">
    <w:panose1 w:val="02040503050406030204"/>
    <w:charset w:val="00"/>
    <w:family w:val="roman"/>
    <w:pitch w:val="default"/>
    <w:sig w:usb0="E00002FF" w:usb1="420024FF" w:usb2="00000000" w:usb3="00000000" w:csb0="2000019F" w:csb1="00000000"/>
  </w:font>
  <w:font w:name="Helvetica">
    <w:altName w:val="Arial"/>
    <w:panose1 w:val="00000000000000000000"/>
    <w:charset w:val="00"/>
    <w:family w:val="swiss"/>
    <w:pitch w:val="default"/>
    <w:sig w:usb0="00000000" w:usb1="00000000" w:usb2="00000000" w:usb3="00000000" w:csb0="2000019F" w:csb1="4F01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AECA2">
    <w:pPr>
      <w:pStyle w:val="19"/>
      <w:tabs>
        <w:tab w:val="center" w:pos="4439"/>
        <w:tab w:val="clear" w:pos="4153"/>
      </w:tabs>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7FCC26">
                          <w:pPr>
                            <w:pStyle w:val="1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512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0NPFssBAACcAwAADgAAAGRycy9lMm9Eb2MueG1srVPNjtMwEL4j8Q6W&#10;79RpV6A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cNvaHEcYsDv3z/dvnx6/LzK3m5&#10;XN1khfoANSbeB0xNwxs/4N7MfkBnJj6oaPMXKRGMo77nq75ySETkR+vVel1hSGBsviA+e3geIqS3&#10;0luSjYZGHGDRlZ/eQxpT55Rczfk7bUwZonF/ORAze1jufewxW2nYDxOhvW/PyKfH2TfU4apTYt45&#10;lDavyWzE2djPxjFEfejKHuV6EF4fEzZRessVRtipMA6tsJsWLG/Fn/eS9fB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9DTxbLAQAAnAMAAA4AAAAAAAAAAQAgAAAAHgEAAGRycy9lMm9E&#10;b2MueG1sUEsFBgAAAAAGAAYAWQEAAFsFAAAAAA==&#10;">
              <v:fill on="f" focussize="0,0"/>
              <v:stroke on="f"/>
              <v:imagedata o:title=""/>
              <o:lock v:ext="edit" aspectratio="f"/>
              <v:textbox inset="0mm,0mm,0mm,0mm" style="mso-fit-shape-to-text:t;">
                <w:txbxContent>
                  <w:p w14:paraId="357FCC26">
                    <w:pPr>
                      <w:pStyle w:val="19"/>
                    </w:pPr>
                    <w:r>
                      <w:fldChar w:fldCharType="begin"/>
                    </w:r>
                    <w:r>
                      <w:instrText xml:space="preserve"> PAGE  \* MERGEFORMAT </w:instrText>
                    </w:r>
                    <w:r>
                      <w:fldChar w:fldCharType="separate"/>
                    </w:r>
                    <w:r>
                      <w:t>1</w:t>
                    </w:r>
                    <w:r>
                      <w:fldChar w:fldCharType="end"/>
                    </w:r>
                  </w:p>
                </w:txbxContent>
              </v:textbox>
            </v:shape>
          </w:pict>
        </mc:Fallback>
      </mc:AlternateContent>
    </w:r>
  </w:p>
  <w:p w14:paraId="412EC4CC">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55DE1">
    <w:pPr>
      <w:pStyle w:val="19"/>
      <w:tabs>
        <w:tab w:val="center" w:pos="4439"/>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758AEC"/>
                      </w:txbxContent>
                    </wps:txbx>
                    <wps:bodyPr wrap="none" lIns="0" tIns="0" rIns="0" bIns="0" upright="0">
                      <a:spAutoFit/>
                    </wps:bodyPr>
                  </wps:wsp>
                </a:graphicData>
              </a:graphic>
            </wp:anchor>
          </w:drawing>
        </mc:Choice>
        <mc:Fallback>
          <w:pict>
            <v:shape id="文本框 512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25socsBAACcAwAADgAAAGRycy9lMm9Eb2MueG1srVPNjtMwEL4j8Q6W&#10;79RptaA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cNvaHEcYsDv3z/dvnx6/LzK3m5&#10;XN1khfoANSbeB0xNwxs/4N7MfkBnJj6oaPMXKRGMo77nq75ySETkR+vVel1hSGBsviA+e3geIqS3&#10;0luSjYZGHGDRlZ/eQxpT55Rczfk7bUwZonF/ORAze1jufewxW2nYDxOhvW/PyKfH2TfU4apTYt45&#10;lDavyWzE2djPxjFEfejKHuV6EF4fEzZRessVRtipMA6tsJsWLG/Fn/eS9fB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ubKHLAQAAnAMAAA4AAAAAAAAAAQAgAAAAHgEAAGRycy9lMm9E&#10;b2MueG1sUEsFBgAAAAAGAAYAWQEAAFsFAAAAAA==&#10;">
              <v:fill on="f" focussize="0,0"/>
              <v:stroke on="f"/>
              <v:imagedata o:title=""/>
              <o:lock v:ext="edit" aspectratio="f"/>
              <v:textbox inset="0mm,0mm,0mm,0mm" style="mso-fit-shape-to-text:t;">
                <w:txbxContent>
                  <w:p w14:paraId="4F758AEC"/>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1FD06">
    <w:pPr>
      <w:pStyle w:val="1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652781">
                          <w:pPr>
                            <w:pStyle w:val="19"/>
                            <w:jc w:val="center"/>
                          </w:pPr>
                          <w:r>
                            <w:fldChar w:fldCharType="begin"/>
                          </w:r>
                          <w:r>
                            <w:instrText xml:space="preserve"> PAGE  \* MERGEFORMAT </w:instrText>
                          </w:r>
                          <w:r>
                            <w:fldChar w:fldCharType="separate"/>
                          </w:r>
                          <w:r>
                            <w:t>90</w:t>
                          </w:r>
                          <w:r>
                            <w:fldChar w:fldCharType="end"/>
                          </w:r>
                        </w:p>
                      </w:txbxContent>
                    </wps:txbx>
                    <wps:bodyPr wrap="none" lIns="0" tIns="0" rIns="0" bIns="0" upright="0">
                      <a:spAutoFit/>
                    </wps:bodyPr>
                  </wps:wsp>
                </a:graphicData>
              </a:graphic>
            </wp:anchor>
          </w:drawing>
        </mc:Choice>
        <mc:Fallback>
          <w:pict>
            <v:shape id="文本框 512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4IoM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3m9&#10;XC2zQn2AGhMfAqam4c4POXvyAzoz8UFFm79IiWAc9T1f9ZVDIiI/Wq/W6wpDAmPzBXHY4/MQIb2V&#10;3pJsNDTiAIuu/PQe0pg6p+Rqzt9rY9DPa+P+ciBm9rDc+9hjttKwH6bG9749I58eZ99Qh6tOiXnn&#10;UNq8JrMRZ2M/G8cQ9aEre5TrQbg9Jmyi9JYrjLBTYRxaYTctWN6KP+8l6/Gn2v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peCKDLAQAAnAMAAA4AAAAAAAAAAQAgAAAAHgEAAGRycy9lMm9E&#10;b2MueG1sUEsFBgAAAAAGAAYAWQEAAFsFAAAAAA==&#10;">
              <v:fill on="f" focussize="0,0"/>
              <v:stroke on="f"/>
              <v:imagedata o:title=""/>
              <o:lock v:ext="edit" aspectratio="f"/>
              <v:textbox inset="0mm,0mm,0mm,0mm" style="mso-fit-shape-to-text:t;">
                <w:txbxContent>
                  <w:p w14:paraId="08652781">
                    <w:pPr>
                      <w:pStyle w:val="19"/>
                      <w:jc w:val="center"/>
                    </w:pPr>
                    <w:r>
                      <w:fldChar w:fldCharType="begin"/>
                    </w:r>
                    <w:r>
                      <w:instrText xml:space="preserve"> PAGE  \* MERGEFORMAT </w:instrText>
                    </w:r>
                    <w:r>
                      <w:fldChar w:fldCharType="separate"/>
                    </w:r>
                    <w:r>
                      <w:t>90</w:t>
                    </w:r>
                    <w:r>
                      <w:fldChar w:fldCharType="end"/>
                    </w:r>
                  </w:p>
                </w:txbxContent>
              </v:textbox>
            </v:shape>
          </w:pict>
        </mc:Fallback>
      </mc:AlternateContent>
    </w:r>
  </w:p>
  <w:p w14:paraId="6BBB3057">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0DFEF">
    <w:pPr>
      <w:pStyle w:val="1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75CFC7">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upright="0">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U7UoM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22VZ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VO1KDLAQAAnAMAAA4AAAAAAAAAAQAgAAAAHgEAAGRycy9lMm9E&#10;b2MueG1sUEsFBgAAAAAGAAYAWQEAAFsFAAAAAA==&#10;">
              <v:fill on="f" focussize="0,0"/>
              <v:stroke on="f"/>
              <v:imagedata o:title=""/>
              <o:lock v:ext="edit" aspectratio="f"/>
              <v:textbox inset="0mm,0mm,0mm,0mm" style="mso-fit-shape-to-text:t;">
                <w:txbxContent>
                  <w:p w14:paraId="7275CFC7">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9F8A5">
    <w:pPr>
      <w:pStyle w:val="21"/>
      <w:tabs>
        <w:tab w:val="center" w:pos="0"/>
        <w:tab w:val="clear" w:pos="4153"/>
      </w:tabs>
      <w:rPr>
        <w:lang w:val="en-US"/>
      </w:rPr>
    </w:pPr>
    <w:r>
      <w:rPr>
        <w:rFonts w:hint="eastAsia"/>
        <w:lang w:eastAsia="zh-CN"/>
      </w:rPr>
      <w:t>政府采购</w:t>
    </w:r>
    <w:r>
      <w:rPr>
        <w:rFonts w:hint="eastAsia"/>
      </w:rPr>
      <w:t>竞争性</w:t>
    </w:r>
    <w:r>
      <w:rPr>
        <w:rFonts w:hint="eastAsia"/>
        <w:lang w:eastAsia="zh-CN"/>
      </w:rPr>
      <w:t>磋商</w:t>
    </w:r>
    <w:r>
      <w:rPr>
        <w:rFonts w:hint="eastAsia"/>
      </w:rPr>
      <w:t>采购</w:t>
    </w:r>
    <w:r>
      <w:rPr>
        <w:rFonts w:hint="eastAsia"/>
        <w:lang w:eastAsia="zh-CN"/>
      </w:rPr>
      <w:t>文件（</w:t>
    </w:r>
    <w:r>
      <w:rPr>
        <w:rFonts w:hint="eastAsia"/>
      </w:rPr>
      <w:t xml:space="preserve">项目编号： </w:t>
    </w:r>
    <w:r>
      <w:rPr>
        <w:rFonts w:hint="eastAsia"/>
        <w:lang w:eastAsia="zh-CN"/>
      </w:rPr>
      <w:t>GXZC2025-C3-001048-HDZB）</w:t>
    </w:r>
  </w:p>
  <w:p w14:paraId="474CE070">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86162">
    <w:pPr>
      <w:pStyle w:val="2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lvlText w:val="（%1）"/>
      <w:lvlJc w:val="left"/>
      <w:pPr>
        <w:tabs>
          <w:tab w:val="left" w:pos="1140"/>
        </w:tabs>
        <w:ind w:left="1140" w:hanging="7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12A45ED"/>
    <w:multiLevelType w:val="multilevel"/>
    <w:tmpl w:val="012A45E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tabs>
          <w:tab w:val="left" w:pos="1440"/>
        </w:tabs>
        <w:ind w:left="1440" w:hanging="360"/>
      </w:pPr>
      <w:rPr>
        <w:rFonts w:hint="default"/>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pStyle w:val="5"/>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num w:numId="1">
    <w:abstractNumId w:val="2"/>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5,6,7"/>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jMjhmYTA0ZGM2ZmVmYzE5YWQ4NGYwYzE0NWJkZWUifQ=="/>
  </w:docVars>
  <w:rsids>
    <w:rsidRoot w:val="00F34B14"/>
    <w:rsid w:val="00000672"/>
    <w:rsid w:val="00001013"/>
    <w:rsid w:val="00001799"/>
    <w:rsid w:val="00001AF2"/>
    <w:rsid w:val="00001ECA"/>
    <w:rsid w:val="00002D29"/>
    <w:rsid w:val="00003B93"/>
    <w:rsid w:val="0000474D"/>
    <w:rsid w:val="00005FDF"/>
    <w:rsid w:val="000070B3"/>
    <w:rsid w:val="000076B8"/>
    <w:rsid w:val="0001047A"/>
    <w:rsid w:val="000109DC"/>
    <w:rsid w:val="00010D39"/>
    <w:rsid w:val="0001172C"/>
    <w:rsid w:val="00011A4D"/>
    <w:rsid w:val="00011BC9"/>
    <w:rsid w:val="00012854"/>
    <w:rsid w:val="00012EA6"/>
    <w:rsid w:val="00013359"/>
    <w:rsid w:val="000139CF"/>
    <w:rsid w:val="00013AA4"/>
    <w:rsid w:val="00013DFE"/>
    <w:rsid w:val="000141EA"/>
    <w:rsid w:val="00015094"/>
    <w:rsid w:val="00016ABC"/>
    <w:rsid w:val="000177DB"/>
    <w:rsid w:val="000179C9"/>
    <w:rsid w:val="00017CCC"/>
    <w:rsid w:val="00020227"/>
    <w:rsid w:val="00020263"/>
    <w:rsid w:val="00020455"/>
    <w:rsid w:val="00020527"/>
    <w:rsid w:val="00020813"/>
    <w:rsid w:val="000220B2"/>
    <w:rsid w:val="0002264C"/>
    <w:rsid w:val="00022731"/>
    <w:rsid w:val="00022792"/>
    <w:rsid w:val="00024463"/>
    <w:rsid w:val="00025461"/>
    <w:rsid w:val="00025636"/>
    <w:rsid w:val="00025E36"/>
    <w:rsid w:val="00026855"/>
    <w:rsid w:val="00026886"/>
    <w:rsid w:val="0002785D"/>
    <w:rsid w:val="000329E0"/>
    <w:rsid w:val="000352E9"/>
    <w:rsid w:val="00035494"/>
    <w:rsid w:val="00036125"/>
    <w:rsid w:val="00036A07"/>
    <w:rsid w:val="0003780B"/>
    <w:rsid w:val="00040571"/>
    <w:rsid w:val="00040973"/>
    <w:rsid w:val="0004156E"/>
    <w:rsid w:val="00041713"/>
    <w:rsid w:val="0004440C"/>
    <w:rsid w:val="00046B5E"/>
    <w:rsid w:val="000470CB"/>
    <w:rsid w:val="000509D9"/>
    <w:rsid w:val="00051ACB"/>
    <w:rsid w:val="000533E7"/>
    <w:rsid w:val="00055D41"/>
    <w:rsid w:val="00057CD6"/>
    <w:rsid w:val="00060DCE"/>
    <w:rsid w:val="000610E3"/>
    <w:rsid w:val="000614F3"/>
    <w:rsid w:val="000623B4"/>
    <w:rsid w:val="00062405"/>
    <w:rsid w:val="000634A7"/>
    <w:rsid w:val="00063B0B"/>
    <w:rsid w:val="00063F81"/>
    <w:rsid w:val="00064847"/>
    <w:rsid w:val="00065E08"/>
    <w:rsid w:val="000673E2"/>
    <w:rsid w:val="0007063F"/>
    <w:rsid w:val="000707FD"/>
    <w:rsid w:val="00070949"/>
    <w:rsid w:val="000711E4"/>
    <w:rsid w:val="000724D9"/>
    <w:rsid w:val="00072AED"/>
    <w:rsid w:val="00073F47"/>
    <w:rsid w:val="0007492F"/>
    <w:rsid w:val="00074ED8"/>
    <w:rsid w:val="00075B7E"/>
    <w:rsid w:val="00077ACA"/>
    <w:rsid w:val="00077C70"/>
    <w:rsid w:val="000813B5"/>
    <w:rsid w:val="00081BA3"/>
    <w:rsid w:val="00081D2E"/>
    <w:rsid w:val="00081F89"/>
    <w:rsid w:val="00082619"/>
    <w:rsid w:val="00082D02"/>
    <w:rsid w:val="00083871"/>
    <w:rsid w:val="00083B91"/>
    <w:rsid w:val="0008473C"/>
    <w:rsid w:val="0008520B"/>
    <w:rsid w:val="000860BD"/>
    <w:rsid w:val="000871B8"/>
    <w:rsid w:val="000916DA"/>
    <w:rsid w:val="00092442"/>
    <w:rsid w:val="000929EF"/>
    <w:rsid w:val="000933BE"/>
    <w:rsid w:val="00093CD4"/>
    <w:rsid w:val="0009560F"/>
    <w:rsid w:val="0009588E"/>
    <w:rsid w:val="000959EE"/>
    <w:rsid w:val="00097183"/>
    <w:rsid w:val="000972CB"/>
    <w:rsid w:val="00097608"/>
    <w:rsid w:val="000A13F3"/>
    <w:rsid w:val="000A23B1"/>
    <w:rsid w:val="000A2B0E"/>
    <w:rsid w:val="000A398F"/>
    <w:rsid w:val="000A3BB7"/>
    <w:rsid w:val="000A448C"/>
    <w:rsid w:val="000A509C"/>
    <w:rsid w:val="000A54A7"/>
    <w:rsid w:val="000A6007"/>
    <w:rsid w:val="000A65A6"/>
    <w:rsid w:val="000A70E3"/>
    <w:rsid w:val="000A7275"/>
    <w:rsid w:val="000A7A12"/>
    <w:rsid w:val="000A7A72"/>
    <w:rsid w:val="000B1202"/>
    <w:rsid w:val="000B1801"/>
    <w:rsid w:val="000B1D0C"/>
    <w:rsid w:val="000B2273"/>
    <w:rsid w:val="000B2585"/>
    <w:rsid w:val="000B2BC6"/>
    <w:rsid w:val="000B2D03"/>
    <w:rsid w:val="000B3815"/>
    <w:rsid w:val="000B3C7B"/>
    <w:rsid w:val="000B4321"/>
    <w:rsid w:val="000B6A6B"/>
    <w:rsid w:val="000B6C95"/>
    <w:rsid w:val="000B79FC"/>
    <w:rsid w:val="000B7BD1"/>
    <w:rsid w:val="000C02B1"/>
    <w:rsid w:val="000C1679"/>
    <w:rsid w:val="000C1EE3"/>
    <w:rsid w:val="000C3AE7"/>
    <w:rsid w:val="000C3CC9"/>
    <w:rsid w:val="000C5B9C"/>
    <w:rsid w:val="000C6DE4"/>
    <w:rsid w:val="000C7202"/>
    <w:rsid w:val="000D0A89"/>
    <w:rsid w:val="000D1389"/>
    <w:rsid w:val="000D1798"/>
    <w:rsid w:val="000D2626"/>
    <w:rsid w:val="000D291C"/>
    <w:rsid w:val="000D3FB6"/>
    <w:rsid w:val="000D411D"/>
    <w:rsid w:val="000D4589"/>
    <w:rsid w:val="000D4809"/>
    <w:rsid w:val="000D73DD"/>
    <w:rsid w:val="000E1C51"/>
    <w:rsid w:val="000E28AB"/>
    <w:rsid w:val="000E2E3E"/>
    <w:rsid w:val="000E3583"/>
    <w:rsid w:val="000E3AF0"/>
    <w:rsid w:val="000E43A8"/>
    <w:rsid w:val="000E4E04"/>
    <w:rsid w:val="000E693B"/>
    <w:rsid w:val="000E6EC9"/>
    <w:rsid w:val="000E70B4"/>
    <w:rsid w:val="000E7B62"/>
    <w:rsid w:val="000F0E1E"/>
    <w:rsid w:val="000F1A1B"/>
    <w:rsid w:val="000F2A95"/>
    <w:rsid w:val="000F3281"/>
    <w:rsid w:val="000F32FD"/>
    <w:rsid w:val="000F3733"/>
    <w:rsid w:val="000F5F8B"/>
    <w:rsid w:val="000F6153"/>
    <w:rsid w:val="000F63C8"/>
    <w:rsid w:val="000F64AA"/>
    <w:rsid w:val="000F7AF4"/>
    <w:rsid w:val="000F7C33"/>
    <w:rsid w:val="000F7F0C"/>
    <w:rsid w:val="001004D6"/>
    <w:rsid w:val="00102676"/>
    <w:rsid w:val="00103646"/>
    <w:rsid w:val="00103918"/>
    <w:rsid w:val="00104897"/>
    <w:rsid w:val="00104EDE"/>
    <w:rsid w:val="00105CDA"/>
    <w:rsid w:val="00106BEE"/>
    <w:rsid w:val="00107C74"/>
    <w:rsid w:val="0011091C"/>
    <w:rsid w:val="00111266"/>
    <w:rsid w:val="001112EB"/>
    <w:rsid w:val="00112768"/>
    <w:rsid w:val="00113678"/>
    <w:rsid w:val="00113C3E"/>
    <w:rsid w:val="00115E11"/>
    <w:rsid w:val="00115EEE"/>
    <w:rsid w:val="00115F56"/>
    <w:rsid w:val="00116CA9"/>
    <w:rsid w:val="00116F38"/>
    <w:rsid w:val="001170A4"/>
    <w:rsid w:val="00117AE7"/>
    <w:rsid w:val="00117CBD"/>
    <w:rsid w:val="0012006A"/>
    <w:rsid w:val="00121979"/>
    <w:rsid w:val="00122064"/>
    <w:rsid w:val="00124341"/>
    <w:rsid w:val="00124492"/>
    <w:rsid w:val="00124B12"/>
    <w:rsid w:val="001250A0"/>
    <w:rsid w:val="001263B8"/>
    <w:rsid w:val="0012763E"/>
    <w:rsid w:val="00130217"/>
    <w:rsid w:val="00130783"/>
    <w:rsid w:val="00130A47"/>
    <w:rsid w:val="00130D7C"/>
    <w:rsid w:val="00132B47"/>
    <w:rsid w:val="001337F8"/>
    <w:rsid w:val="001348B4"/>
    <w:rsid w:val="001351CB"/>
    <w:rsid w:val="00135530"/>
    <w:rsid w:val="00135947"/>
    <w:rsid w:val="001359A2"/>
    <w:rsid w:val="00135F92"/>
    <w:rsid w:val="00136020"/>
    <w:rsid w:val="00136445"/>
    <w:rsid w:val="00140132"/>
    <w:rsid w:val="00141C9C"/>
    <w:rsid w:val="0014277F"/>
    <w:rsid w:val="001434BE"/>
    <w:rsid w:val="00144050"/>
    <w:rsid w:val="0014479F"/>
    <w:rsid w:val="001452B4"/>
    <w:rsid w:val="00145320"/>
    <w:rsid w:val="001476D3"/>
    <w:rsid w:val="001509CF"/>
    <w:rsid w:val="00150D1D"/>
    <w:rsid w:val="001525AA"/>
    <w:rsid w:val="00152A87"/>
    <w:rsid w:val="00153BB5"/>
    <w:rsid w:val="00154518"/>
    <w:rsid w:val="00156359"/>
    <w:rsid w:val="001568F3"/>
    <w:rsid w:val="00156DD6"/>
    <w:rsid w:val="0016086E"/>
    <w:rsid w:val="00160D0C"/>
    <w:rsid w:val="00161172"/>
    <w:rsid w:val="00161998"/>
    <w:rsid w:val="00161E65"/>
    <w:rsid w:val="00162597"/>
    <w:rsid w:val="001629AF"/>
    <w:rsid w:val="001629FD"/>
    <w:rsid w:val="0016428A"/>
    <w:rsid w:val="001647C9"/>
    <w:rsid w:val="00165627"/>
    <w:rsid w:val="00165929"/>
    <w:rsid w:val="001661A3"/>
    <w:rsid w:val="00167226"/>
    <w:rsid w:val="0016782B"/>
    <w:rsid w:val="0016784D"/>
    <w:rsid w:val="00172CA8"/>
    <w:rsid w:val="00173256"/>
    <w:rsid w:val="00173B0E"/>
    <w:rsid w:val="00173E03"/>
    <w:rsid w:val="00174182"/>
    <w:rsid w:val="0017512C"/>
    <w:rsid w:val="0017586A"/>
    <w:rsid w:val="00175BA6"/>
    <w:rsid w:val="00176CA7"/>
    <w:rsid w:val="00176F8E"/>
    <w:rsid w:val="001778C5"/>
    <w:rsid w:val="00177E56"/>
    <w:rsid w:val="00177F0A"/>
    <w:rsid w:val="00180DA0"/>
    <w:rsid w:val="00181EAD"/>
    <w:rsid w:val="00181F43"/>
    <w:rsid w:val="00182862"/>
    <w:rsid w:val="00184F57"/>
    <w:rsid w:val="00185544"/>
    <w:rsid w:val="00185617"/>
    <w:rsid w:val="00186FE1"/>
    <w:rsid w:val="00187A14"/>
    <w:rsid w:val="0019171E"/>
    <w:rsid w:val="00192368"/>
    <w:rsid w:val="001923A0"/>
    <w:rsid w:val="001928B1"/>
    <w:rsid w:val="00193537"/>
    <w:rsid w:val="00193846"/>
    <w:rsid w:val="00195424"/>
    <w:rsid w:val="001955FF"/>
    <w:rsid w:val="00196D6E"/>
    <w:rsid w:val="00197EDD"/>
    <w:rsid w:val="001A02B3"/>
    <w:rsid w:val="001A04BB"/>
    <w:rsid w:val="001A08D0"/>
    <w:rsid w:val="001A1B39"/>
    <w:rsid w:val="001A2120"/>
    <w:rsid w:val="001A28C6"/>
    <w:rsid w:val="001A2E69"/>
    <w:rsid w:val="001A3C34"/>
    <w:rsid w:val="001A3EDE"/>
    <w:rsid w:val="001A4222"/>
    <w:rsid w:val="001A50EA"/>
    <w:rsid w:val="001A5BA2"/>
    <w:rsid w:val="001A5E24"/>
    <w:rsid w:val="001A6B27"/>
    <w:rsid w:val="001A6D8B"/>
    <w:rsid w:val="001A6DAA"/>
    <w:rsid w:val="001A7717"/>
    <w:rsid w:val="001A793A"/>
    <w:rsid w:val="001B125A"/>
    <w:rsid w:val="001B1EBA"/>
    <w:rsid w:val="001B2142"/>
    <w:rsid w:val="001B2F2B"/>
    <w:rsid w:val="001B327A"/>
    <w:rsid w:val="001B35DE"/>
    <w:rsid w:val="001B3A13"/>
    <w:rsid w:val="001B3F5C"/>
    <w:rsid w:val="001B59FF"/>
    <w:rsid w:val="001B6512"/>
    <w:rsid w:val="001B65D7"/>
    <w:rsid w:val="001B6752"/>
    <w:rsid w:val="001B6768"/>
    <w:rsid w:val="001B6F1F"/>
    <w:rsid w:val="001B7CD7"/>
    <w:rsid w:val="001B7ECC"/>
    <w:rsid w:val="001C025B"/>
    <w:rsid w:val="001C115F"/>
    <w:rsid w:val="001C1581"/>
    <w:rsid w:val="001C1EAB"/>
    <w:rsid w:val="001C25A7"/>
    <w:rsid w:val="001C318C"/>
    <w:rsid w:val="001C35C4"/>
    <w:rsid w:val="001C4287"/>
    <w:rsid w:val="001C4479"/>
    <w:rsid w:val="001C5190"/>
    <w:rsid w:val="001C6081"/>
    <w:rsid w:val="001C7B48"/>
    <w:rsid w:val="001D0CFB"/>
    <w:rsid w:val="001D1A0D"/>
    <w:rsid w:val="001D343C"/>
    <w:rsid w:val="001D34F5"/>
    <w:rsid w:val="001D56FC"/>
    <w:rsid w:val="001D58A1"/>
    <w:rsid w:val="001D58C2"/>
    <w:rsid w:val="001D5A8A"/>
    <w:rsid w:val="001D61CA"/>
    <w:rsid w:val="001D6E87"/>
    <w:rsid w:val="001D735E"/>
    <w:rsid w:val="001D73C8"/>
    <w:rsid w:val="001D7BC6"/>
    <w:rsid w:val="001E129E"/>
    <w:rsid w:val="001E175C"/>
    <w:rsid w:val="001E1B0E"/>
    <w:rsid w:val="001E3B63"/>
    <w:rsid w:val="001E522E"/>
    <w:rsid w:val="001E5A94"/>
    <w:rsid w:val="001E5F6F"/>
    <w:rsid w:val="001F0373"/>
    <w:rsid w:val="001F2A2E"/>
    <w:rsid w:val="001F3356"/>
    <w:rsid w:val="001F3C63"/>
    <w:rsid w:val="001F4460"/>
    <w:rsid w:val="001F711A"/>
    <w:rsid w:val="001F75B0"/>
    <w:rsid w:val="00200CE5"/>
    <w:rsid w:val="00200F7C"/>
    <w:rsid w:val="002014DB"/>
    <w:rsid w:val="0020150B"/>
    <w:rsid w:val="00201E12"/>
    <w:rsid w:val="002033B5"/>
    <w:rsid w:val="0020382C"/>
    <w:rsid w:val="0020437A"/>
    <w:rsid w:val="0020454C"/>
    <w:rsid w:val="00204740"/>
    <w:rsid w:val="00205129"/>
    <w:rsid w:val="0020521F"/>
    <w:rsid w:val="0020532C"/>
    <w:rsid w:val="002114C7"/>
    <w:rsid w:val="0021302C"/>
    <w:rsid w:val="00213B1C"/>
    <w:rsid w:val="00214202"/>
    <w:rsid w:val="002148E3"/>
    <w:rsid w:val="0021552D"/>
    <w:rsid w:val="002156AE"/>
    <w:rsid w:val="00215E99"/>
    <w:rsid w:val="0022054D"/>
    <w:rsid w:val="00223DDB"/>
    <w:rsid w:val="00223FA4"/>
    <w:rsid w:val="00223FB0"/>
    <w:rsid w:val="00224067"/>
    <w:rsid w:val="0022421C"/>
    <w:rsid w:val="00224E83"/>
    <w:rsid w:val="00225664"/>
    <w:rsid w:val="0022663D"/>
    <w:rsid w:val="00227F2D"/>
    <w:rsid w:val="00230179"/>
    <w:rsid w:val="00231851"/>
    <w:rsid w:val="002319FB"/>
    <w:rsid w:val="00231B89"/>
    <w:rsid w:val="00231F11"/>
    <w:rsid w:val="00231F5E"/>
    <w:rsid w:val="002346B4"/>
    <w:rsid w:val="00234F6E"/>
    <w:rsid w:val="002355BE"/>
    <w:rsid w:val="002358EA"/>
    <w:rsid w:val="00236578"/>
    <w:rsid w:val="00236DE9"/>
    <w:rsid w:val="00237342"/>
    <w:rsid w:val="00237D5A"/>
    <w:rsid w:val="002415AE"/>
    <w:rsid w:val="00241D3C"/>
    <w:rsid w:val="00242109"/>
    <w:rsid w:val="00243189"/>
    <w:rsid w:val="002439AB"/>
    <w:rsid w:val="00243C19"/>
    <w:rsid w:val="00244AE8"/>
    <w:rsid w:val="00244DC9"/>
    <w:rsid w:val="00245587"/>
    <w:rsid w:val="00245F2B"/>
    <w:rsid w:val="00247F3A"/>
    <w:rsid w:val="00250122"/>
    <w:rsid w:val="00250755"/>
    <w:rsid w:val="00251043"/>
    <w:rsid w:val="00251C4A"/>
    <w:rsid w:val="0025271C"/>
    <w:rsid w:val="002529E4"/>
    <w:rsid w:val="002533CD"/>
    <w:rsid w:val="002535EA"/>
    <w:rsid w:val="00254EAB"/>
    <w:rsid w:val="002557AF"/>
    <w:rsid w:val="0025589C"/>
    <w:rsid w:val="00255B62"/>
    <w:rsid w:val="002566B1"/>
    <w:rsid w:val="002575E3"/>
    <w:rsid w:val="00257A74"/>
    <w:rsid w:val="002603C1"/>
    <w:rsid w:val="002609A1"/>
    <w:rsid w:val="002612B1"/>
    <w:rsid w:val="00266165"/>
    <w:rsid w:val="002662FE"/>
    <w:rsid w:val="00266F2C"/>
    <w:rsid w:val="0027125E"/>
    <w:rsid w:val="00271767"/>
    <w:rsid w:val="00272293"/>
    <w:rsid w:val="002723C8"/>
    <w:rsid w:val="00273C2A"/>
    <w:rsid w:val="00273CBE"/>
    <w:rsid w:val="002746B1"/>
    <w:rsid w:val="00274BAD"/>
    <w:rsid w:val="00282D56"/>
    <w:rsid w:val="002835B0"/>
    <w:rsid w:val="00283C74"/>
    <w:rsid w:val="0028407E"/>
    <w:rsid w:val="0028410F"/>
    <w:rsid w:val="00284572"/>
    <w:rsid w:val="00285221"/>
    <w:rsid w:val="00286FB5"/>
    <w:rsid w:val="00287763"/>
    <w:rsid w:val="00287FCB"/>
    <w:rsid w:val="00290606"/>
    <w:rsid w:val="002909B2"/>
    <w:rsid w:val="00291D6D"/>
    <w:rsid w:val="00291FF1"/>
    <w:rsid w:val="00292AA2"/>
    <w:rsid w:val="00293361"/>
    <w:rsid w:val="002952B1"/>
    <w:rsid w:val="00295D11"/>
    <w:rsid w:val="00296FB6"/>
    <w:rsid w:val="002A0001"/>
    <w:rsid w:val="002A0BD9"/>
    <w:rsid w:val="002A0C3A"/>
    <w:rsid w:val="002A1130"/>
    <w:rsid w:val="002A1880"/>
    <w:rsid w:val="002A23B7"/>
    <w:rsid w:val="002A3A57"/>
    <w:rsid w:val="002A4B4F"/>
    <w:rsid w:val="002A57A8"/>
    <w:rsid w:val="002A6DEF"/>
    <w:rsid w:val="002A6E42"/>
    <w:rsid w:val="002A770B"/>
    <w:rsid w:val="002B013E"/>
    <w:rsid w:val="002B058D"/>
    <w:rsid w:val="002B0C16"/>
    <w:rsid w:val="002B2AC5"/>
    <w:rsid w:val="002B3528"/>
    <w:rsid w:val="002B3539"/>
    <w:rsid w:val="002B4532"/>
    <w:rsid w:val="002B5042"/>
    <w:rsid w:val="002B69CC"/>
    <w:rsid w:val="002B6D71"/>
    <w:rsid w:val="002C0C1C"/>
    <w:rsid w:val="002C54C2"/>
    <w:rsid w:val="002C5D34"/>
    <w:rsid w:val="002C5D7F"/>
    <w:rsid w:val="002C60BB"/>
    <w:rsid w:val="002C661A"/>
    <w:rsid w:val="002D0D6F"/>
    <w:rsid w:val="002D25FC"/>
    <w:rsid w:val="002D4AC6"/>
    <w:rsid w:val="002D51E3"/>
    <w:rsid w:val="002D5BF5"/>
    <w:rsid w:val="002D5E95"/>
    <w:rsid w:val="002D5EE8"/>
    <w:rsid w:val="002D7360"/>
    <w:rsid w:val="002D7648"/>
    <w:rsid w:val="002E109C"/>
    <w:rsid w:val="002E193E"/>
    <w:rsid w:val="002E1A94"/>
    <w:rsid w:val="002E1D55"/>
    <w:rsid w:val="002E26C4"/>
    <w:rsid w:val="002E30A5"/>
    <w:rsid w:val="002E47E4"/>
    <w:rsid w:val="002E4BF9"/>
    <w:rsid w:val="002E4D61"/>
    <w:rsid w:val="002E5FED"/>
    <w:rsid w:val="002E68A7"/>
    <w:rsid w:val="002E6E6C"/>
    <w:rsid w:val="002F0522"/>
    <w:rsid w:val="002F0B85"/>
    <w:rsid w:val="002F16DD"/>
    <w:rsid w:val="002F199D"/>
    <w:rsid w:val="002F213C"/>
    <w:rsid w:val="002F2453"/>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1ADC"/>
    <w:rsid w:val="00302EFC"/>
    <w:rsid w:val="00303243"/>
    <w:rsid w:val="00303BCC"/>
    <w:rsid w:val="00303F2B"/>
    <w:rsid w:val="00303F8D"/>
    <w:rsid w:val="0030572D"/>
    <w:rsid w:val="0030586A"/>
    <w:rsid w:val="0030622D"/>
    <w:rsid w:val="00306811"/>
    <w:rsid w:val="00306F32"/>
    <w:rsid w:val="003074C5"/>
    <w:rsid w:val="00307A3C"/>
    <w:rsid w:val="00307FA4"/>
    <w:rsid w:val="00310290"/>
    <w:rsid w:val="0031083D"/>
    <w:rsid w:val="00310CC1"/>
    <w:rsid w:val="00311909"/>
    <w:rsid w:val="00311B60"/>
    <w:rsid w:val="00312504"/>
    <w:rsid w:val="00313026"/>
    <w:rsid w:val="00313913"/>
    <w:rsid w:val="0031421F"/>
    <w:rsid w:val="00314B31"/>
    <w:rsid w:val="00315A65"/>
    <w:rsid w:val="003165D7"/>
    <w:rsid w:val="00317BA7"/>
    <w:rsid w:val="00320BE2"/>
    <w:rsid w:val="00321886"/>
    <w:rsid w:val="00323694"/>
    <w:rsid w:val="00323BE7"/>
    <w:rsid w:val="00324C3A"/>
    <w:rsid w:val="00324D63"/>
    <w:rsid w:val="003255AF"/>
    <w:rsid w:val="003256EB"/>
    <w:rsid w:val="003259DB"/>
    <w:rsid w:val="003314D9"/>
    <w:rsid w:val="00331653"/>
    <w:rsid w:val="00331A48"/>
    <w:rsid w:val="00331BCC"/>
    <w:rsid w:val="003330C9"/>
    <w:rsid w:val="0033364C"/>
    <w:rsid w:val="00334415"/>
    <w:rsid w:val="00335EA1"/>
    <w:rsid w:val="0033691E"/>
    <w:rsid w:val="00336A6A"/>
    <w:rsid w:val="00336CCB"/>
    <w:rsid w:val="003411D1"/>
    <w:rsid w:val="003416BA"/>
    <w:rsid w:val="00342148"/>
    <w:rsid w:val="00342F99"/>
    <w:rsid w:val="0034575A"/>
    <w:rsid w:val="00345F57"/>
    <w:rsid w:val="00350458"/>
    <w:rsid w:val="00350E6C"/>
    <w:rsid w:val="003518A6"/>
    <w:rsid w:val="00351E7F"/>
    <w:rsid w:val="00352953"/>
    <w:rsid w:val="00354062"/>
    <w:rsid w:val="0035459E"/>
    <w:rsid w:val="00355C0D"/>
    <w:rsid w:val="003566A9"/>
    <w:rsid w:val="00356988"/>
    <w:rsid w:val="003569D3"/>
    <w:rsid w:val="00356CE9"/>
    <w:rsid w:val="003570BB"/>
    <w:rsid w:val="00357128"/>
    <w:rsid w:val="0035755E"/>
    <w:rsid w:val="00357A80"/>
    <w:rsid w:val="00361441"/>
    <w:rsid w:val="00361B8B"/>
    <w:rsid w:val="00363F39"/>
    <w:rsid w:val="0036445C"/>
    <w:rsid w:val="00364627"/>
    <w:rsid w:val="00364AB0"/>
    <w:rsid w:val="00364D71"/>
    <w:rsid w:val="003667B0"/>
    <w:rsid w:val="003667DD"/>
    <w:rsid w:val="00366B48"/>
    <w:rsid w:val="00367764"/>
    <w:rsid w:val="00370316"/>
    <w:rsid w:val="00370DC7"/>
    <w:rsid w:val="00371CBD"/>
    <w:rsid w:val="00371F20"/>
    <w:rsid w:val="003721E3"/>
    <w:rsid w:val="00372B98"/>
    <w:rsid w:val="003737B7"/>
    <w:rsid w:val="003740CC"/>
    <w:rsid w:val="003745F4"/>
    <w:rsid w:val="00374E79"/>
    <w:rsid w:val="0037529A"/>
    <w:rsid w:val="00375388"/>
    <w:rsid w:val="00375FB9"/>
    <w:rsid w:val="00376170"/>
    <w:rsid w:val="00376851"/>
    <w:rsid w:val="00376FA2"/>
    <w:rsid w:val="00377A3B"/>
    <w:rsid w:val="00377E3C"/>
    <w:rsid w:val="00380BBE"/>
    <w:rsid w:val="00381D70"/>
    <w:rsid w:val="0038235E"/>
    <w:rsid w:val="003829D0"/>
    <w:rsid w:val="0038326A"/>
    <w:rsid w:val="0038444F"/>
    <w:rsid w:val="003861F0"/>
    <w:rsid w:val="00387051"/>
    <w:rsid w:val="00387ECF"/>
    <w:rsid w:val="0039021B"/>
    <w:rsid w:val="00390429"/>
    <w:rsid w:val="003906A0"/>
    <w:rsid w:val="0039366C"/>
    <w:rsid w:val="00393EC8"/>
    <w:rsid w:val="003950F5"/>
    <w:rsid w:val="0039538F"/>
    <w:rsid w:val="00395E42"/>
    <w:rsid w:val="00396409"/>
    <w:rsid w:val="00396A2D"/>
    <w:rsid w:val="00396FC3"/>
    <w:rsid w:val="003A1A94"/>
    <w:rsid w:val="003A204E"/>
    <w:rsid w:val="003A2D25"/>
    <w:rsid w:val="003A5728"/>
    <w:rsid w:val="003A60E7"/>
    <w:rsid w:val="003A7092"/>
    <w:rsid w:val="003A72A1"/>
    <w:rsid w:val="003A7611"/>
    <w:rsid w:val="003A7D1F"/>
    <w:rsid w:val="003B0B6A"/>
    <w:rsid w:val="003B22F7"/>
    <w:rsid w:val="003B29CF"/>
    <w:rsid w:val="003B3A90"/>
    <w:rsid w:val="003B534F"/>
    <w:rsid w:val="003B7A79"/>
    <w:rsid w:val="003C0FE1"/>
    <w:rsid w:val="003C151A"/>
    <w:rsid w:val="003C350C"/>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7109"/>
    <w:rsid w:val="003D7CE8"/>
    <w:rsid w:val="003E0514"/>
    <w:rsid w:val="003E1032"/>
    <w:rsid w:val="003E1904"/>
    <w:rsid w:val="003E285E"/>
    <w:rsid w:val="003E3124"/>
    <w:rsid w:val="003E3300"/>
    <w:rsid w:val="003E43D3"/>
    <w:rsid w:val="003E48E1"/>
    <w:rsid w:val="003E59BB"/>
    <w:rsid w:val="003E6225"/>
    <w:rsid w:val="003E65AC"/>
    <w:rsid w:val="003E66AE"/>
    <w:rsid w:val="003E72B9"/>
    <w:rsid w:val="003E7C27"/>
    <w:rsid w:val="003E7ED4"/>
    <w:rsid w:val="003F0E52"/>
    <w:rsid w:val="003F0F6B"/>
    <w:rsid w:val="003F1FC6"/>
    <w:rsid w:val="003F1FE3"/>
    <w:rsid w:val="003F2359"/>
    <w:rsid w:val="003F3865"/>
    <w:rsid w:val="003F3D55"/>
    <w:rsid w:val="003F44E2"/>
    <w:rsid w:val="003F4632"/>
    <w:rsid w:val="003F47BA"/>
    <w:rsid w:val="003F4FE6"/>
    <w:rsid w:val="003F5638"/>
    <w:rsid w:val="003F6617"/>
    <w:rsid w:val="00402332"/>
    <w:rsid w:val="004025C2"/>
    <w:rsid w:val="00403195"/>
    <w:rsid w:val="004033A9"/>
    <w:rsid w:val="00403E55"/>
    <w:rsid w:val="0040407C"/>
    <w:rsid w:val="0040416C"/>
    <w:rsid w:val="00404681"/>
    <w:rsid w:val="00405AC1"/>
    <w:rsid w:val="00406923"/>
    <w:rsid w:val="0040763D"/>
    <w:rsid w:val="00410D17"/>
    <w:rsid w:val="00413442"/>
    <w:rsid w:val="00413821"/>
    <w:rsid w:val="00413BA5"/>
    <w:rsid w:val="004141A3"/>
    <w:rsid w:val="00414909"/>
    <w:rsid w:val="0041582F"/>
    <w:rsid w:val="00416112"/>
    <w:rsid w:val="00416AC8"/>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A36"/>
    <w:rsid w:val="00430B4F"/>
    <w:rsid w:val="00431084"/>
    <w:rsid w:val="004310D7"/>
    <w:rsid w:val="004322D6"/>
    <w:rsid w:val="00432589"/>
    <w:rsid w:val="00432A94"/>
    <w:rsid w:val="00432C95"/>
    <w:rsid w:val="00433827"/>
    <w:rsid w:val="00433A40"/>
    <w:rsid w:val="00434B70"/>
    <w:rsid w:val="004360C8"/>
    <w:rsid w:val="004371D5"/>
    <w:rsid w:val="0044006B"/>
    <w:rsid w:val="0044033F"/>
    <w:rsid w:val="00440630"/>
    <w:rsid w:val="00441F0F"/>
    <w:rsid w:val="00442965"/>
    <w:rsid w:val="00444157"/>
    <w:rsid w:val="0044417C"/>
    <w:rsid w:val="00444DB3"/>
    <w:rsid w:val="00445617"/>
    <w:rsid w:val="00445A2F"/>
    <w:rsid w:val="0044684E"/>
    <w:rsid w:val="00446F22"/>
    <w:rsid w:val="0045019F"/>
    <w:rsid w:val="004503A4"/>
    <w:rsid w:val="00450555"/>
    <w:rsid w:val="004506FA"/>
    <w:rsid w:val="00450DC6"/>
    <w:rsid w:val="004516A5"/>
    <w:rsid w:val="00451E9C"/>
    <w:rsid w:val="0045280F"/>
    <w:rsid w:val="004535AE"/>
    <w:rsid w:val="0045444D"/>
    <w:rsid w:val="0045463A"/>
    <w:rsid w:val="00454AC9"/>
    <w:rsid w:val="00455050"/>
    <w:rsid w:val="004554A3"/>
    <w:rsid w:val="00455A6E"/>
    <w:rsid w:val="00455EAD"/>
    <w:rsid w:val="004578EB"/>
    <w:rsid w:val="004604D5"/>
    <w:rsid w:val="00460697"/>
    <w:rsid w:val="0046117B"/>
    <w:rsid w:val="00464AB7"/>
    <w:rsid w:val="00465DE5"/>
    <w:rsid w:val="00467EF8"/>
    <w:rsid w:val="00472429"/>
    <w:rsid w:val="004725E5"/>
    <w:rsid w:val="00472751"/>
    <w:rsid w:val="00473128"/>
    <w:rsid w:val="00473263"/>
    <w:rsid w:val="00475078"/>
    <w:rsid w:val="00475767"/>
    <w:rsid w:val="004779A0"/>
    <w:rsid w:val="004808E3"/>
    <w:rsid w:val="00481016"/>
    <w:rsid w:val="0048204C"/>
    <w:rsid w:val="004821BB"/>
    <w:rsid w:val="004826FE"/>
    <w:rsid w:val="004827D5"/>
    <w:rsid w:val="00482AF2"/>
    <w:rsid w:val="004830C9"/>
    <w:rsid w:val="00483347"/>
    <w:rsid w:val="00483E2E"/>
    <w:rsid w:val="00484B69"/>
    <w:rsid w:val="00485406"/>
    <w:rsid w:val="0048590F"/>
    <w:rsid w:val="00486D60"/>
    <w:rsid w:val="00491FA1"/>
    <w:rsid w:val="00492A25"/>
    <w:rsid w:val="004938A3"/>
    <w:rsid w:val="0049558B"/>
    <w:rsid w:val="00496350"/>
    <w:rsid w:val="0049797C"/>
    <w:rsid w:val="004A00E1"/>
    <w:rsid w:val="004A0943"/>
    <w:rsid w:val="004A1405"/>
    <w:rsid w:val="004A1FC6"/>
    <w:rsid w:val="004A2E5F"/>
    <w:rsid w:val="004A38C2"/>
    <w:rsid w:val="004A3C03"/>
    <w:rsid w:val="004A3DB7"/>
    <w:rsid w:val="004A5088"/>
    <w:rsid w:val="004A5255"/>
    <w:rsid w:val="004A6CB0"/>
    <w:rsid w:val="004A70FF"/>
    <w:rsid w:val="004A7EDE"/>
    <w:rsid w:val="004B0ADA"/>
    <w:rsid w:val="004B0D93"/>
    <w:rsid w:val="004B1FA4"/>
    <w:rsid w:val="004B29AC"/>
    <w:rsid w:val="004B35DF"/>
    <w:rsid w:val="004B3627"/>
    <w:rsid w:val="004B4922"/>
    <w:rsid w:val="004B57DF"/>
    <w:rsid w:val="004B5976"/>
    <w:rsid w:val="004B7137"/>
    <w:rsid w:val="004B722E"/>
    <w:rsid w:val="004B72E8"/>
    <w:rsid w:val="004C01A5"/>
    <w:rsid w:val="004C0412"/>
    <w:rsid w:val="004C1142"/>
    <w:rsid w:val="004C2138"/>
    <w:rsid w:val="004C3940"/>
    <w:rsid w:val="004C51FD"/>
    <w:rsid w:val="004C65A8"/>
    <w:rsid w:val="004C6689"/>
    <w:rsid w:val="004D139A"/>
    <w:rsid w:val="004D14DC"/>
    <w:rsid w:val="004D17C6"/>
    <w:rsid w:val="004D2858"/>
    <w:rsid w:val="004D2E49"/>
    <w:rsid w:val="004D35BA"/>
    <w:rsid w:val="004D38E5"/>
    <w:rsid w:val="004D3C5A"/>
    <w:rsid w:val="004D449A"/>
    <w:rsid w:val="004D4701"/>
    <w:rsid w:val="004D47C7"/>
    <w:rsid w:val="004D4F35"/>
    <w:rsid w:val="004D5D45"/>
    <w:rsid w:val="004D618D"/>
    <w:rsid w:val="004D62A9"/>
    <w:rsid w:val="004D6FC3"/>
    <w:rsid w:val="004D7476"/>
    <w:rsid w:val="004D7716"/>
    <w:rsid w:val="004E0306"/>
    <w:rsid w:val="004E0572"/>
    <w:rsid w:val="004E06D5"/>
    <w:rsid w:val="004E1641"/>
    <w:rsid w:val="004E1818"/>
    <w:rsid w:val="004E1990"/>
    <w:rsid w:val="004E25A8"/>
    <w:rsid w:val="004E3930"/>
    <w:rsid w:val="004E3ED9"/>
    <w:rsid w:val="004E5866"/>
    <w:rsid w:val="004E6097"/>
    <w:rsid w:val="004E61EF"/>
    <w:rsid w:val="004E63C6"/>
    <w:rsid w:val="004E76A7"/>
    <w:rsid w:val="004E7B03"/>
    <w:rsid w:val="004F0064"/>
    <w:rsid w:val="004F06AC"/>
    <w:rsid w:val="004F1D2A"/>
    <w:rsid w:val="004F243F"/>
    <w:rsid w:val="004F252C"/>
    <w:rsid w:val="004F36A3"/>
    <w:rsid w:val="004F3E0C"/>
    <w:rsid w:val="004F4308"/>
    <w:rsid w:val="004F7160"/>
    <w:rsid w:val="00500258"/>
    <w:rsid w:val="00500B2D"/>
    <w:rsid w:val="00501A99"/>
    <w:rsid w:val="00503180"/>
    <w:rsid w:val="005038A4"/>
    <w:rsid w:val="00505450"/>
    <w:rsid w:val="005100B7"/>
    <w:rsid w:val="005113C9"/>
    <w:rsid w:val="00512050"/>
    <w:rsid w:val="00512055"/>
    <w:rsid w:val="0051280C"/>
    <w:rsid w:val="00512842"/>
    <w:rsid w:val="005128BE"/>
    <w:rsid w:val="0051356F"/>
    <w:rsid w:val="00513E7C"/>
    <w:rsid w:val="005140BB"/>
    <w:rsid w:val="00514FBE"/>
    <w:rsid w:val="00514FD9"/>
    <w:rsid w:val="0051550A"/>
    <w:rsid w:val="0051608F"/>
    <w:rsid w:val="00520EF8"/>
    <w:rsid w:val="005210F7"/>
    <w:rsid w:val="00521753"/>
    <w:rsid w:val="0052239D"/>
    <w:rsid w:val="005224EE"/>
    <w:rsid w:val="00522879"/>
    <w:rsid w:val="00523BB1"/>
    <w:rsid w:val="0052570E"/>
    <w:rsid w:val="005260CD"/>
    <w:rsid w:val="00526265"/>
    <w:rsid w:val="0052655D"/>
    <w:rsid w:val="005265E0"/>
    <w:rsid w:val="00526BC3"/>
    <w:rsid w:val="00531761"/>
    <w:rsid w:val="0053248F"/>
    <w:rsid w:val="0053332A"/>
    <w:rsid w:val="0053358A"/>
    <w:rsid w:val="00534668"/>
    <w:rsid w:val="00534DDD"/>
    <w:rsid w:val="00535291"/>
    <w:rsid w:val="00535A94"/>
    <w:rsid w:val="00537874"/>
    <w:rsid w:val="0053795F"/>
    <w:rsid w:val="00537D3D"/>
    <w:rsid w:val="00540511"/>
    <w:rsid w:val="00540578"/>
    <w:rsid w:val="00540808"/>
    <w:rsid w:val="0054080E"/>
    <w:rsid w:val="00540EA1"/>
    <w:rsid w:val="0054358E"/>
    <w:rsid w:val="00543AF4"/>
    <w:rsid w:val="00544191"/>
    <w:rsid w:val="0054440C"/>
    <w:rsid w:val="005448EC"/>
    <w:rsid w:val="00544C0A"/>
    <w:rsid w:val="00544F39"/>
    <w:rsid w:val="00546F90"/>
    <w:rsid w:val="00547EFB"/>
    <w:rsid w:val="005522F2"/>
    <w:rsid w:val="005531DF"/>
    <w:rsid w:val="00553874"/>
    <w:rsid w:val="00554577"/>
    <w:rsid w:val="00554AD8"/>
    <w:rsid w:val="00554F78"/>
    <w:rsid w:val="00555DA1"/>
    <w:rsid w:val="00556BF7"/>
    <w:rsid w:val="00557F60"/>
    <w:rsid w:val="00561730"/>
    <w:rsid w:val="00561B97"/>
    <w:rsid w:val="00562149"/>
    <w:rsid w:val="00567B5D"/>
    <w:rsid w:val="005706D5"/>
    <w:rsid w:val="00570757"/>
    <w:rsid w:val="00573733"/>
    <w:rsid w:val="00573F8B"/>
    <w:rsid w:val="00574554"/>
    <w:rsid w:val="00574E06"/>
    <w:rsid w:val="005751BB"/>
    <w:rsid w:val="00576089"/>
    <w:rsid w:val="005764B1"/>
    <w:rsid w:val="00576852"/>
    <w:rsid w:val="00576D06"/>
    <w:rsid w:val="00577287"/>
    <w:rsid w:val="005779E4"/>
    <w:rsid w:val="00577F9F"/>
    <w:rsid w:val="00580EC7"/>
    <w:rsid w:val="00581132"/>
    <w:rsid w:val="0058289C"/>
    <w:rsid w:val="005836C7"/>
    <w:rsid w:val="0058408E"/>
    <w:rsid w:val="00585374"/>
    <w:rsid w:val="005854CA"/>
    <w:rsid w:val="00585FAB"/>
    <w:rsid w:val="00590B77"/>
    <w:rsid w:val="00590D9A"/>
    <w:rsid w:val="005913A3"/>
    <w:rsid w:val="005917D3"/>
    <w:rsid w:val="005940D4"/>
    <w:rsid w:val="00594A7B"/>
    <w:rsid w:val="0059580E"/>
    <w:rsid w:val="00595D90"/>
    <w:rsid w:val="00596A6F"/>
    <w:rsid w:val="00596FCE"/>
    <w:rsid w:val="005A11BC"/>
    <w:rsid w:val="005A1525"/>
    <w:rsid w:val="005A1E17"/>
    <w:rsid w:val="005A252B"/>
    <w:rsid w:val="005A2A8F"/>
    <w:rsid w:val="005A2B34"/>
    <w:rsid w:val="005A3204"/>
    <w:rsid w:val="005A3341"/>
    <w:rsid w:val="005A3C3D"/>
    <w:rsid w:val="005A46EC"/>
    <w:rsid w:val="005A5EAE"/>
    <w:rsid w:val="005A6407"/>
    <w:rsid w:val="005A726C"/>
    <w:rsid w:val="005B07EC"/>
    <w:rsid w:val="005B2B11"/>
    <w:rsid w:val="005B32A4"/>
    <w:rsid w:val="005B3371"/>
    <w:rsid w:val="005B338D"/>
    <w:rsid w:val="005B36D7"/>
    <w:rsid w:val="005B3BAF"/>
    <w:rsid w:val="005B4DA3"/>
    <w:rsid w:val="005B5BEE"/>
    <w:rsid w:val="005B77D2"/>
    <w:rsid w:val="005C019B"/>
    <w:rsid w:val="005C08D0"/>
    <w:rsid w:val="005C1AED"/>
    <w:rsid w:val="005C30F5"/>
    <w:rsid w:val="005C51A5"/>
    <w:rsid w:val="005C557A"/>
    <w:rsid w:val="005C566F"/>
    <w:rsid w:val="005C5C47"/>
    <w:rsid w:val="005C61DD"/>
    <w:rsid w:val="005C6438"/>
    <w:rsid w:val="005C6B8B"/>
    <w:rsid w:val="005C727F"/>
    <w:rsid w:val="005D02E3"/>
    <w:rsid w:val="005D1F34"/>
    <w:rsid w:val="005D2C1F"/>
    <w:rsid w:val="005D2DE8"/>
    <w:rsid w:val="005D34B2"/>
    <w:rsid w:val="005D3B54"/>
    <w:rsid w:val="005D40CD"/>
    <w:rsid w:val="005D6B59"/>
    <w:rsid w:val="005D784B"/>
    <w:rsid w:val="005E03E4"/>
    <w:rsid w:val="005E0454"/>
    <w:rsid w:val="005E05F6"/>
    <w:rsid w:val="005E2442"/>
    <w:rsid w:val="005E3111"/>
    <w:rsid w:val="005E3F85"/>
    <w:rsid w:val="005E4A5F"/>
    <w:rsid w:val="005E57B0"/>
    <w:rsid w:val="005E5B01"/>
    <w:rsid w:val="005E6D3B"/>
    <w:rsid w:val="005F009E"/>
    <w:rsid w:val="005F0DF1"/>
    <w:rsid w:val="005F1516"/>
    <w:rsid w:val="005F229E"/>
    <w:rsid w:val="005F2564"/>
    <w:rsid w:val="005F3822"/>
    <w:rsid w:val="005F4635"/>
    <w:rsid w:val="005F4900"/>
    <w:rsid w:val="005F4E52"/>
    <w:rsid w:val="005F6D58"/>
    <w:rsid w:val="005F7383"/>
    <w:rsid w:val="0060058E"/>
    <w:rsid w:val="00601F77"/>
    <w:rsid w:val="00602A3C"/>
    <w:rsid w:val="00603EFD"/>
    <w:rsid w:val="0060475B"/>
    <w:rsid w:val="00604BED"/>
    <w:rsid w:val="00604FB6"/>
    <w:rsid w:val="00605387"/>
    <w:rsid w:val="00606302"/>
    <w:rsid w:val="006076FD"/>
    <w:rsid w:val="0061143F"/>
    <w:rsid w:val="006114D8"/>
    <w:rsid w:val="00613553"/>
    <w:rsid w:val="00613601"/>
    <w:rsid w:val="00613791"/>
    <w:rsid w:val="006150D6"/>
    <w:rsid w:val="00615245"/>
    <w:rsid w:val="0061590D"/>
    <w:rsid w:val="0061641E"/>
    <w:rsid w:val="00617EEE"/>
    <w:rsid w:val="00620A1F"/>
    <w:rsid w:val="006214DE"/>
    <w:rsid w:val="0062169D"/>
    <w:rsid w:val="0062181E"/>
    <w:rsid w:val="00621D97"/>
    <w:rsid w:val="0062211B"/>
    <w:rsid w:val="00622BB7"/>
    <w:rsid w:val="00622C1E"/>
    <w:rsid w:val="00623389"/>
    <w:rsid w:val="00623DAA"/>
    <w:rsid w:val="00623FAF"/>
    <w:rsid w:val="006265C4"/>
    <w:rsid w:val="0062678A"/>
    <w:rsid w:val="006270AF"/>
    <w:rsid w:val="00634367"/>
    <w:rsid w:val="00640082"/>
    <w:rsid w:val="00640291"/>
    <w:rsid w:val="00640EFE"/>
    <w:rsid w:val="00641D6D"/>
    <w:rsid w:val="00641FAC"/>
    <w:rsid w:val="00643664"/>
    <w:rsid w:val="00643CAA"/>
    <w:rsid w:val="00644F16"/>
    <w:rsid w:val="006455EB"/>
    <w:rsid w:val="006456C2"/>
    <w:rsid w:val="00645A65"/>
    <w:rsid w:val="006477F0"/>
    <w:rsid w:val="006478E4"/>
    <w:rsid w:val="0065171A"/>
    <w:rsid w:val="00652680"/>
    <w:rsid w:val="00653CDE"/>
    <w:rsid w:val="00654585"/>
    <w:rsid w:val="00655AB6"/>
    <w:rsid w:val="00656281"/>
    <w:rsid w:val="0065636A"/>
    <w:rsid w:val="00657003"/>
    <w:rsid w:val="00660238"/>
    <w:rsid w:val="006602EF"/>
    <w:rsid w:val="00661277"/>
    <w:rsid w:val="006619E0"/>
    <w:rsid w:val="00663FEA"/>
    <w:rsid w:val="00664803"/>
    <w:rsid w:val="006657C5"/>
    <w:rsid w:val="006661A4"/>
    <w:rsid w:val="00666AC0"/>
    <w:rsid w:val="006670E0"/>
    <w:rsid w:val="006671B8"/>
    <w:rsid w:val="00667275"/>
    <w:rsid w:val="00667532"/>
    <w:rsid w:val="0066783E"/>
    <w:rsid w:val="00667E53"/>
    <w:rsid w:val="006711C4"/>
    <w:rsid w:val="006713AB"/>
    <w:rsid w:val="00672CA5"/>
    <w:rsid w:val="00673711"/>
    <w:rsid w:val="00673F82"/>
    <w:rsid w:val="00674F74"/>
    <w:rsid w:val="0067508F"/>
    <w:rsid w:val="00677576"/>
    <w:rsid w:val="0068051E"/>
    <w:rsid w:val="00680B9D"/>
    <w:rsid w:val="00681F13"/>
    <w:rsid w:val="0068231C"/>
    <w:rsid w:val="00682344"/>
    <w:rsid w:val="00682F28"/>
    <w:rsid w:val="00683515"/>
    <w:rsid w:val="00684842"/>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16D5"/>
    <w:rsid w:val="006A1772"/>
    <w:rsid w:val="006A1780"/>
    <w:rsid w:val="006A21DD"/>
    <w:rsid w:val="006A26C6"/>
    <w:rsid w:val="006A3302"/>
    <w:rsid w:val="006A3B28"/>
    <w:rsid w:val="006A4FEE"/>
    <w:rsid w:val="006A703E"/>
    <w:rsid w:val="006A7BE3"/>
    <w:rsid w:val="006A7D32"/>
    <w:rsid w:val="006B01D1"/>
    <w:rsid w:val="006B0DF4"/>
    <w:rsid w:val="006B0E2B"/>
    <w:rsid w:val="006B16EA"/>
    <w:rsid w:val="006B1780"/>
    <w:rsid w:val="006B224E"/>
    <w:rsid w:val="006B376E"/>
    <w:rsid w:val="006B4589"/>
    <w:rsid w:val="006B610E"/>
    <w:rsid w:val="006B643B"/>
    <w:rsid w:val="006B6805"/>
    <w:rsid w:val="006B6DE0"/>
    <w:rsid w:val="006C16C3"/>
    <w:rsid w:val="006C2187"/>
    <w:rsid w:val="006C32F4"/>
    <w:rsid w:val="006C3C54"/>
    <w:rsid w:val="006C4B6B"/>
    <w:rsid w:val="006C4F9F"/>
    <w:rsid w:val="006C71A2"/>
    <w:rsid w:val="006C73EC"/>
    <w:rsid w:val="006D0C1D"/>
    <w:rsid w:val="006D2E9D"/>
    <w:rsid w:val="006D4A4E"/>
    <w:rsid w:val="006D4C42"/>
    <w:rsid w:val="006D5389"/>
    <w:rsid w:val="006D5809"/>
    <w:rsid w:val="006D607E"/>
    <w:rsid w:val="006D6781"/>
    <w:rsid w:val="006D6E12"/>
    <w:rsid w:val="006D70CB"/>
    <w:rsid w:val="006D715C"/>
    <w:rsid w:val="006D7363"/>
    <w:rsid w:val="006D774E"/>
    <w:rsid w:val="006D7EA2"/>
    <w:rsid w:val="006E0754"/>
    <w:rsid w:val="006E2668"/>
    <w:rsid w:val="006E2D39"/>
    <w:rsid w:val="006E32B0"/>
    <w:rsid w:val="006E348E"/>
    <w:rsid w:val="006E396A"/>
    <w:rsid w:val="006E3D63"/>
    <w:rsid w:val="006E58BF"/>
    <w:rsid w:val="006E5DD8"/>
    <w:rsid w:val="006E5EA1"/>
    <w:rsid w:val="006E6DEE"/>
    <w:rsid w:val="006E7D4B"/>
    <w:rsid w:val="006F0760"/>
    <w:rsid w:val="006F11E2"/>
    <w:rsid w:val="006F2574"/>
    <w:rsid w:val="006F3221"/>
    <w:rsid w:val="006F3231"/>
    <w:rsid w:val="006F3DE3"/>
    <w:rsid w:val="006F4787"/>
    <w:rsid w:val="006F5C43"/>
    <w:rsid w:val="006F61D8"/>
    <w:rsid w:val="006F62B7"/>
    <w:rsid w:val="006F70BC"/>
    <w:rsid w:val="006F734B"/>
    <w:rsid w:val="006F7E7C"/>
    <w:rsid w:val="0070174E"/>
    <w:rsid w:val="007018DB"/>
    <w:rsid w:val="00701DE6"/>
    <w:rsid w:val="00702740"/>
    <w:rsid w:val="0070381B"/>
    <w:rsid w:val="007076DD"/>
    <w:rsid w:val="0070796C"/>
    <w:rsid w:val="007109BB"/>
    <w:rsid w:val="00710EBF"/>
    <w:rsid w:val="007110B8"/>
    <w:rsid w:val="0071209F"/>
    <w:rsid w:val="007125A2"/>
    <w:rsid w:val="00713DD9"/>
    <w:rsid w:val="00713F79"/>
    <w:rsid w:val="007148A8"/>
    <w:rsid w:val="00716AC8"/>
    <w:rsid w:val="00716E54"/>
    <w:rsid w:val="00717421"/>
    <w:rsid w:val="0072033C"/>
    <w:rsid w:val="00720B1B"/>
    <w:rsid w:val="00721062"/>
    <w:rsid w:val="00721E5D"/>
    <w:rsid w:val="007229D4"/>
    <w:rsid w:val="007230F8"/>
    <w:rsid w:val="007233F4"/>
    <w:rsid w:val="00724044"/>
    <w:rsid w:val="007248D3"/>
    <w:rsid w:val="00724DF8"/>
    <w:rsid w:val="00725137"/>
    <w:rsid w:val="00725378"/>
    <w:rsid w:val="00727A43"/>
    <w:rsid w:val="00727FF2"/>
    <w:rsid w:val="00730550"/>
    <w:rsid w:val="00730C2A"/>
    <w:rsid w:val="00731434"/>
    <w:rsid w:val="00731E59"/>
    <w:rsid w:val="007323E0"/>
    <w:rsid w:val="00732911"/>
    <w:rsid w:val="00733721"/>
    <w:rsid w:val="00733DE2"/>
    <w:rsid w:val="007352EA"/>
    <w:rsid w:val="0073625F"/>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DE2"/>
    <w:rsid w:val="007504BF"/>
    <w:rsid w:val="007506CD"/>
    <w:rsid w:val="0075267F"/>
    <w:rsid w:val="007526EC"/>
    <w:rsid w:val="007527F7"/>
    <w:rsid w:val="00753C48"/>
    <w:rsid w:val="00754250"/>
    <w:rsid w:val="00754FE4"/>
    <w:rsid w:val="00755216"/>
    <w:rsid w:val="00756236"/>
    <w:rsid w:val="00756271"/>
    <w:rsid w:val="00756348"/>
    <w:rsid w:val="00756521"/>
    <w:rsid w:val="00756AB7"/>
    <w:rsid w:val="0076106D"/>
    <w:rsid w:val="007623FB"/>
    <w:rsid w:val="00762517"/>
    <w:rsid w:val="00763240"/>
    <w:rsid w:val="0076376A"/>
    <w:rsid w:val="007648AD"/>
    <w:rsid w:val="0076504E"/>
    <w:rsid w:val="00767BFD"/>
    <w:rsid w:val="00767EA0"/>
    <w:rsid w:val="0077068F"/>
    <w:rsid w:val="00771EDF"/>
    <w:rsid w:val="00772A90"/>
    <w:rsid w:val="00772F8D"/>
    <w:rsid w:val="0077408D"/>
    <w:rsid w:val="00774270"/>
    <w:rsid w:val="007743F6"/>
    <w:rsid w:val="00775679"/>
    <w:rsid w:val="0077574F"/>
    <w:rsid w:val="00775823"/>
    <w:rsid w:val="007777CC"/>
    <w:rsid w:val="00777B32"/>
    <w:rsid w:val="0078051E"/>
    <w:rsid w:val="00781089"/>
    <w:rsid w:val="007838F3"/>
    <w:rsid w:val="007856FE"/>
    <w:rsid w:val="00785F46"/>
    <w:rsid w:val="007865F4"/>
    <w:rsid w:val="00786D5C"/>
    <w:rsid w:val="00786E96"/>
    <w:rsid w:val="00787DFF"/>
    <w:rsid w:val="00787F93"/>
    <w:rsid w:val="00791E6D"/>
    <w:rsid w:val="00791EB5"/>
    <w:rsid w:val="00791FF2"/>
    <w:rsid w:val="00793696"/>
    <w:rsid w:val="007955DA"/>
    <w:rsid w:val="00796F65"/>
    <w:rsid w:val="007A11C2"/>
    <w:rsid w:val="007A18BB"/>
    <w:rsid w:val="007A27DD"/>
    <w:rsid w:val="007A41BF"/>
    <w:rsid w:val="007A490A"/>
    <w:rsid w:val="007A7B95"/>
    <w:rsid w:val="007B0297"/>
    <w:rsid w:val="007B02FA"/>
    <w:rsid w:val="007B0F53"/>
    <w:rsid w:val="007B21AE"/>
    <w:rsid w:val="007B2570"/>
    <w:rsid w:val="007B3113"/>
    <w:rsid w:val="007B3304"/>
    <w:rsid w:val="007B7490"/>
    <w:rsid w:val="007C0525"/>
    <w:rsid w:val="007C13F7"/>
    <w:rsid w:val="007C218D"/>
    <w:rsid w:val="007C2D28"/>
    <w:rsid w:val="007C3E22"/>
    <w:rsid w:val="007C5B90"/>
    <w:rsid w:val="007C6218"/>
    <w:rsid w:val="007C6484"/>
    <w:rsid w:val="007C67C6"/>
    <w:rsid w:val="007C78BE"/>
    <w:rsid w:val="007C7E59"/>
    <w:rsid w:val="007D0476"/>
    <w:rsid w:val="007D0B91"/>
    <w:rsid w:val="007D1452"/>
    <w:rsid w:val="007D3DCB"/>
    <w:rsid w:val="007D460C"/>
    <w:rsid w:val="007D4996"/>
    <w:rsid w:val="007D4AD3"/>
    <w:rsid w:val="007D5D19"/>
    <w:rsid w:val="007D5FDC"/>
    <w:rsid w:val="007D6176"/>
    <w:rsid w:val="007D6D68"/>
    <w:rsid w:val="007E32DA"/>
    <w:rsid w:val="007E4998"/>
    <w:rsid w:val="007E4A9C"/>
    <w:rsid w:val="007E59A0"/>
    <w:rsid w:val="007E6914"/>
    <w:rsid w:val="007E7F78"/>
    <w:rsid w:val="007F0179"/>
    <w:rsid w:val="007F2C13"/>
    <w:rsid w:val="007F2CEC"/>
    <w:rsid w:val="007F3435"/>
    <w:rsid w:val="007F55DE"/>
    <w:rsid w:val="007F762D"/>
    <w:rsid w:val="007F78F0"/>
    <w:rsid w:val="007F78FF"/>
    <w:rsid w:val="008001C5"/>
    <w:rsid w:val="00800F6C"/>
    <w:rsid w:val="00801065"/>
    <w:rsid w:val="00802C0B"/>
    <w:rsid w:val="008051FC"/>
    <w:rsid w:val="008055A9"/>
    <w:rsid w:val="008056C4"/>
    <w:rsid w:val="008057FD"/>
    <w:rsid w:val="00805D8B"/>
    <w:rsid w:val="00810BB6"/>
    <w:rsid w:val="00810E8E"/>
    <w:rsid w:val="00812C44"/>
    <w:rsid w:val="008135E1"/>
    <w:rsid w:val="00813779"/>
    <w:rsid w:val="00813E26"/>
    <w:rsid w:val="0081481D"/>
    <w:rsid w:val="00814BE8"/>
    <w:rsid w:val="00814F6E"/>
    <w:rsid w:val="00815363"/>
    <w:rsid w:val="00815B84"/>
    <w:rsid w:val="00816BE9"/>
    <w:rsid w:val="0082027C"/>
    <w:rsid w:val="00822518"/>
    <w:rsid w:val="008226F5"/>
    <w:rsid w:val="00823FC6"/>
    <w:rsid w:val="00824306"/>
    <w:rsid w:val="00825C74"/>
    <w:rsid w:val="00825CFA"/>
    <w:rsid w:val="00826AB9"/>
    <w:rsid w:val="00826E0E"/>
    <w:rsid w:val="00827D11"/>
    <w:rsid w:val="00827E0F"/>
    <w:rsid w:val="00827F6E"/>
    <w:rsid w:val="00831758"/>
    <w:rsid w:val="008317D9"/>
    <w:rsid w:val="0083279F"/>
    <w:rsid w:val="008334DB"/>
    <w:rsid w:val="00833B7F"/>
    <w:rsid w:val="00833E8E"/>
    <w:rsid w:val="00834906"/>
    <w:rsid w:val="00836075"/>
    <w:rsid w:val="00836417"/>
    <w:rsid w:val="00836A3E"/>
    <w:rsid w:val="00837526"/>
    <w:rsid w:val="008407A7"/>
    <w:rsid w:val="0084322B"/>
    <w:rsid w:val="00843F81"/>
    <w:rsid w:val="00844087"/>
    <w:rsid w:val="00844526"/>
    <w:rsid w:val="008448F1"/>
    <w:rsid w:val="0084519E"/>
    <w:rsid w:val="00845CAE"/>
    <w:rsid w:val="00846370"/>
    <w:rsid w:val="008477E7"/>
    <w:rsid w:val="00847C2B"/>
    <w:rsid w:val="00850272"/>
    <w:rsid w:val="008506B9"/>
    <w:rsid w:val="00851822"/>
    <w:rsid w:val="008532BF"/>
    <w:rsid w:val="008539B2"/>
    <w:rsid w:val="00853BF4"/>
    <w:rsid w:val="00854294"/>
    <w:rsid w:val="0085572E"/>
    <w:rsid w:val="0085788B"/>
    <w:rsid w:val="00857A9E"/>
    <w:rsid w:val="00857DE2"/>
    <w:rsid w:val="00863A8E"/>
    <w:rsid w:val="0086407F"/>
    <w:rsid w:val="008645E3"/>
    <w:rsid w:val="00864E79"/>
    <w:rsid w:val="0086661F"/>
    <w:rsid w:val="00866A0D"/>
    <w:rsid w:val="00866DB5"/>
    <w:rsid w:val="0086701D"/>
    <w:rsid w:val="0086702B"/>
    <w:rsid w:val="008672E2"/>
    <w:rsid w:val="0086784E"/>
    <w:rsid w:val="0087121C"/>
    <w:rsid w:val="00871FD2"/>
    <w:rsid w:val="00872084"/>
    <w:rsid w:val="00872827"/>
    <w:rsid w:val="00872A32"/>
    <w:rsid w:val="00874911"/>
    <w:rsid w:val="008754E4"/>
    <w:rsid w:val="00876EAE"/>
    <w:rsid w:val="00880106"/>
    <w:rsid w:val="00880F95"/>
    <w:rsid w:val="00882B44"/>
    <w:rsid w:val="008838AD"/>
    <w:rsid w:val="00885A6C"/>
    <w:rsid w:val="008864B3"/>
    <w:rsid w:val="008865E5"/>
    <w:rsid w:val="008871B0"/>
    <w:rsid w:val="00890B57"/>
    <w:rsid w:val="008916BA"/>
    <w:rsid w:val="0089217C"/>
    <w:rsid w:val="00892790"/>
    <w:rsid w:val="008931DA"/>
    <w:rsid w:val="00893671"/>
    <w:rsid w:val="008946DC"/>
    <w:rsid w:val="00895838"/>
    <w:rsid w:val="00895A1E"/>
    <w:rsid w:val="00895A72"/>
    <w:rsid w:val="00895CDF"/>
    <w:rsid w:val="00896679"/>
    <w:rsid w:val="00896D8C"/>
    <w:rsid w:val="008A0FC9"/>
    <w:rsid w:val="008A1956"/>
    <w:rsid w:val="008A1A7C"/>
    <w:rsid w:val="008A2CE2"/>
    <w:rsid w:val="008A40D3"/>
    <w:rsid w:val="008A469C"/>
    <w:rsid w:val="008A51D1"/>
    <w:rsid w:val="008A5DCE"/>
    <w:rsid w:val="008A75D3"/>
    <w:rsid w:val="008B05DD"/>
    <w:rsid w:val="008B07B8"/>
    <w:rsid w:val="008B17E8"/>
    <w:rsid w:val="008B1A41"/>
    <w:rsid w:val="008B2E7C"/>
    <w:rsid w:val="008B321A"/>
    <w:rsid w:val="008B399A"/>
    <w:rsid w:val="008B45F0"/>
    <w:rsid w:val="008B4A70"/>
    <w:rsid w:val="008B502F"/>
    <w:rsid w:val="008B6DFC"/>
    <w:rsid w:val="008B7227"/>
    <w:rsid w:val="008C02FB"/>
    <w:rsid w:val="008C04E0"/>
    <w:rsid w:val="008C191C"/>
    <w:rsid w:val="008C1DA4"/>
    <w:rsid w:val="008C29B0"/>
    <w:rsid w:val="008C2CD5"/>
    <w:rsid w:val="008C3618"/>
    <w:rsid w:val="008C39E7"/>
    <w:rsid w:val="008C43AD"/>
    <w:rsid w:val="008C6118"/>
    <w:rsid w:val="008C6341"/>
    <w:rsid w:val="008C731F"/>
    <w:rsid w:val="008C74D9"/>
    <w:rsid w:val="008D03C2"/>
    <w:rsid w:val="008D12FB"/>
    <w:rsid w:val="008D3B2D"/>
    <w:rsid w:val="008D58D9"/>
    <w:rsid w:val="008D5AD4"/>
    <w:rsid w:val="008D695E"/>
    <w:rsid w:val="008D6DD5"/>
    <w:rsid w:val="008D6E59"/>
    <w:rsid w:val="008D7155"/>
    <w:rsid w:val="008D76E0"/>
    <w:rsid w:val="008E0B29"/>
    <w:rsid w:val="008E141A"/>
    <w:rsid w:val="008E1A44"/>
    <w:rsid w:val="008E1E55"/>
    <w:rsid w:val="008E28E6"/>
    <w:rsid w:val="008E3232"/>
    <w:rsid w:val="008E3674"/>
    <w:rsid w:val="008E3B6C"/>
    <w:rsid w:val="008E3DE7"/>
    <w:rsid w:val="008E562C"/>
    <w:rsid w:val="008E6540"/>
    <w:rsid w:val="008E77D4"/>
    <w:rsid w:val="008E7ADD"/>
    <w:rsid w:val="008F091F"/>
    <w:rsid w:val="008F17B2"/>
    <w:rsid w:val="008F22B3"/>
    <w:rsid w:val="008F357B"/>
    <w:rsid w:val="008F44CA"/>
    <w:rsid w:val="008F49D3"/>
    <w:rsid w:val="008F6519"/>
    <w:rsid w:val="008F7012"/>
    <w:rsid w:val="008F7ADA"/>
    <w:rsid w:val="008F7B17"/>
    <w:rsid w:val="00900042"/>
    <w:rsid w:val="0090034B"/>
    <w:rsid w:val="00901121"/>
    <w:rsid w:val="00902623"/>
    <w:rsid w:val="00902A67"/>
    <w:rsid w:val="00902C5E"/>
    <w:rsid w:val="00904BE4"/>
    <w:rsid w:val="0090504A"/>
    <w:rsid w:val="009051F5"/>
    <w:rsid w:val="00905221"/>
    <w:rsid w:val="00905A7C"/>
    <w:rsid w:val="00905D7E"/>
    <w:rsid w:val="00907037"/>
    <w:rsid w:val="0091112C"/>
    <w:rsid w:val="0091160A"/>
    <w:rsid w:val="00912E04"/>
    <w:rsid w:val="00913258"/>
    <w:rsid w:val="00913851"/>
    <w:rsid w:val="00913BB0"/>
    <w:rsid w:val="0091456C"/>
    <w:rsid w:val="00914C5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4570"/>
    <w:rsid w:val="00926112"/>
    <w:rsid w:val="0092625F"/>
    <w:rsid w:val="00926B28"/>
    <w:rsid w:val="00926D9C"/>
    <w:rsid w:val="00927028"/>
    <w:rsid w:val="00927763"/>
    <w:rsid w:val="00927A2D"/>
    <w:rsid w:val="00927B37"/>
    <w:rsid w:val="00931917"/>
    <w:rsid w:val="009321B1"/>
    <w:rsid w:val="00932ED7"/>
    <w:rsid w:val="009333CF"/>
    <w:rsid w:val="0093422D"/>
    <w:rsid w:val="0093483B"/>
    <w:rsid w:val="00934CF9"/>
    <w:rsid w:val="00934DD7"/>
    <w:rsid w:val="009369A9"/>
    <w:rsid w:val="009369F9"/>
    <w:rsid w:val="00936CF7"/>
    <w:rsid w:val="00937783"/>
    <w:rsid w:val="00937EAD"/>
    <w:rsid w:val="00937F28"/>
    <w:rsid w:val="00940FE1"/>
    <w:rsid w:val="00942306"/>
    <w:rsid w:val="00942384"/>
    <w:rsid w:val="009424B8"/>
    <w:rsid w:val="00944668"/>
    <w:rsid w:val="00944DC6"/>
    <w:rsid w:val="009458B0"/>
    <w:rsid w:val="00945B52"/>
    <w:rsid w:val="00945B7A"/>
    <w:rsid w:val="00945F05"/>
    <w:rsid w:val="00946348"/>
    <w:rsid w:val="00947797"/>
    <w:rsid w:val="009478A2"/>
    <w:rsid w:val="00953808"/>
    <w:rsid w:val="009539A6"/>
    <w:rsid w:val="00954032"/>
    <w:rsid w:val="00954537"/>
    <w:rsid w:val="0095472D"/>
    <w:rsid w:val="00955FBB"/>
    <w:rsid w:val="0095694B"/>
    <w:rsid w:val="00956BD5"/>
    <w:rsid w:val="00956D84"/>
    <w:rsid w:val="009577B5"/>
    <w:rsid w:val="009608E6"/>
    <w:rsid w:val="00960F57"/>
    <w:rsid w:val="00961C90"/>
    <w:rsid w:val="00965443"/>
    <w:rsid w:val="00965954"/>
    <w:rsid w:val="00965A21"/>
    <w:rsid w:val="00965E55"/>
    <w:rsid w:val="0096608E"/>
    <w:rsid w:val="00966522"/>
    <w:rsid w:val="00966C33"/>
    <w:rsid w:val="00966FCB"/>
    <w:rsid w:val="00970F18"/>
    <w:rsid w:val="00971CF1"/>
    <w:rsid w:val="00971F5D"/>
    <w:rsid w:val="009721E9"/>
    <w:rsid w:val="00973772"/>
    <w:rsid w:val="0097471B"/>
    <w:rsid w:val="0097560A"/>
    <w:rsid w:val="00975E1E"/>
    <w:rsid w:val="00975E70"/>
    <w:rsid w:val="009761DE"/>
    <w:rsid w:val="009766FA"/>
    <w:rsid w:val="00977CD6"/>
    <w:rsid w:val="0098048B"/>
    <w:rsid w:val="00980DF9"/>
    <w:rsid w:val="00981150"/>
    <w:rsid w:val="0098243D"/>
    <w:rsid w:val="00982D26"/>
    <w:rsid w:val="00983B6E"/>
    <w:rsid w:val="00983FE5"/>
    <w:rsid w:val="009849E9"/>
    <w:rsid w:val="009859E4"/>
    <w:rsid w:val="00987812"/>
    <w:rsid w:val="00990225"/>
    <w:rsid w:val="00992A13"/>
    <w:rsid w:val="00994AAD"/>
    <w:rsid w:val="00994DE1"/>
    <w:rsid w:val="00995150"/>
    <w:rsid w:val="00995D67"/>
    <w:rsid w:val="009A013B"/>
    <w:rsid w:val="009A02F4"/>
    <w:rsid w:val="009A06BF"/>
    <w:rsid w:val="009A0D17"/>
    <w:rsid w:val="009A2494"/>
    <w:rsid w:val="009A32B1"/>
    <w:rsid w:val="009A33A3"/>
    <w:rsid w:val="009A36F2"/>
    <w:rsid w:val="009A40C3"/>
    <w:rsid w:val="009A40D5"/>
    <w:rsid w:val="009A57D0"/>
    <w:rsid w:val="009A6559"/>
    <w:rsid w:val="009A68FC"/>
    <w:rsid w:val="009A6CE4"/>
    <w:rsid w:val="009A7514"/>
    <w:rsid w:val="009A7E7A"/>
    <w:rsid w:val="009B1584"/>
    <w:rsid w:val="009B18F0"/>
    <w:rsid w:val="009B1F4C"/>
    <w:rsid w:val="009B2471"/>
    <w:rsid w:val="009B314F"/>
    <w:rsid w:val="009B439C"/>
    <w:rsid w:val="009B46BC"/>
    <w:rsid w:val="009B49A1"/>
    <w:rsid w:val="009B4A6C"/>
    <w:rsid w:val="009B4DA8"/>
    <w:rsid w:val="009B519A"/>
    <w:rsid w:val="009B620C"/>
    <w:rsid w:val="009B6753"/>
    <w:rsid w:val="009B676C"/>
    <w:rsid w:val="009B6A26"/>
    <w:rsid w:val="009C079D"/>
    <w:rsid w:val="009C0D70"/>
    <w:rsid w:val="009C13D1"/>
    <w:rsid w:val="009C2913"/>
    <w:rsid w:val="009C2BD4"/>
    <w:rsid w:val="009C5AFE"/>
    <w:rsid w:val="009C6606"/>
    <w:rsid w:val="009C6CE5"/>
    <w:rsid w:val="009C6D50"/>
    <w:rsid w:val="009C7547"/>
    <w:rsid w:val="009D05EC"/>
    <w:rsid w:val="009D18D4"/>
    <w:rsid w:val="009D2F60"/>
    <w:rsid w:val="009D3A2E"/>
    <w:rsid w:val="009D5ADE"/>
    <w:rsid w:val="009D5BAC"/>
    <w:rsid w:val="009D5C56"/>
    <w:rsid w:val="009D6265"/>
    <w:rsid w:val="009D64BD"/>
    <w:rsid w:val="009D6CB1"/>
    <w:rsid w:val="009E0286"/>
    <w:rsid w:val="009E153F"/>
    <w:rsid w:val="009E322A"/>
    <w:rsid w:val="009E393E"/>
    <w:rsid w:val="009E444E"/>
    <w:rsid w:val="009E4968"/>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A0010C"/>
    <w:rsid w:val="00A004DF"/>
    <w:rsid w:val="00A00FD5"/>
    <w:rsid w:val="00A012C0"/>
    <w:rsid w:val="00A019A8"/>
    <w:rsid w:val="00A01B03"/>
    <w:rsid w:val="00A01B89"/>
    <w:rsid w:val="00A02C66"/>
    <w:rsid w:val="00A02C84"/>
    <w:rsid w:val="00A0464C"/>
    <w:rsid w:val="00A050BB"/>
    <w:rsid w:val="00A054E0"/>
    <w:rsid w:val="00A05D91"/>
    <w:rsid w:val="00A0740B"/>
    <w:rsid w:val="00A07ED3"/>
    <w:rsid w:val="00A10CA8"/>
    <w:rsid w:val="00A11042"/>
    <w:rsid w:val="00A12579"/>
    <w:rsid w:val="00A133D8"/>
    <w:rsid w:val="00A15655"/>
    <w:rsid w:val="00A160B0"/>
    <w:rsid w:val="00A1740C"/>
    <w:rsid w:val="00A20069"/>
    <w:rsid w:val="00A2244D"/>
    <w:rsid w:val="00A2253D"/>
    <w:rsid w:val="00A2267F"/>
    <w:rsid w:val="00A22CDB"/>
    <w:rsid w:val="00A247B8"/>
    <w:rsid w:val="00A2495A"/>
    <w:rsid w:val="00A24C7A"/>
    <w:rsid w:val="00A24D8F"/>
    <w:rsid w:val="00A25B8B"/>
    <w:rsid w:val="00A25C5D"/>
    <w:rsid w:val="00A2689F"/>
    <w:rsid w:val="00A26ECA"/>
    <w:rsid w:val="00A27461"/>
    <w:rsid w:val="00A27D67"/>
    <w:rsid w:val="00A30ABC"/>
    <w:rsid w:val="00A33B74"/>
    <w:rsid w:val="00A3467F"/>
    <w:rsid w:val="00A34B4C"/>
    <w:rsid w:val="00A35030"/>
    <w:rsid w:val="00A3551A"/>
    <w:rsid w:val="00A366A0"/>
    <w:rsid w:val="00A37209"/>
    <w:rsid w:val="00A37584"/>
    <w:rsid w:val="00A376E8"/>
    <w:rsid w:val="00A37F8E"/>
    <w:rsid w:val="00A41537"/>
    <w:rsid w:val="00A41737"/>
    <w:rsid w:val="00A42B8F"/>
    <w:rsid w:val="00A42D8E"/>
    <w:rsid w:val="00A43254"/>
    <w:rsid w:val="00A43896"/>
    <w:rsid w:val="00A43A26"/>
    <w:rsid w:val="00A447A0"/>
    <w:rsid w:val="00A459F5"/>
    <w:rsid w:val="00A45FC0"/>
    <w:rsid w:val="00A46B74"/>
    <w:rsid w:val="00A47ECC"/>
    <w:rsid w:val="00A50171"/>
    <w:rsid w:val="00A504FA"/>
    <w:rsid w:val="00A5102E"/>
    <w:rsid w:val="00A5132E"/>
    <w:rsid w:val="00A51375"/>
    <w:rsid w:val="00A51533"/>
    <w:rsid w:val="00A531D4"/>
    <w:rsid w:val="00A54572"/>
    <w:rsid w:val="00A575B8"/>
    <w:rsid w:val="00A61C60"/>
    <w:rsid w:val="00A61ECB"/>
    <w:rsid w:val="00A6410C"/>
    <w:rsid w:val="00A647B1"/>
    <w:rsid w:val="00A64DEF"/>
    <w:rsid w:val="00A654D2"/>
    <w:rsid w:val="00A665DF"/>
    <w:rsid w:val="00A67928"/>
    <w:rsid w:val="00A67FCC"/>
    <w:rsid w:val="00A70AA5"/>
    <w:rsid w:val="00A70C03"/>
    <w:rsid w:val="00A71256"/>
    <w:rsid w:val="00A7217B"/>
    <w:rsid w:val="00A73861"/>
    <w:rsid w:val="00A739A6"/>
    <w:rsid w:val="00A740ED"/>
    <w:rsid w:val="00A74C29"/>
    <w:rsid w:val="00A74C62"/>
    <w:rsid w:val="00A75DF5"/>
    <w:rsid w:val="00A75EF9"/>
    <w:rsid w:val="00A8311C"/>
    <w:rsid w:val="00A835D0"/>
    <w:rsid w:val="00A84C5F"/>
    <w:rsid w:val="00A85930"/>
    <w:rsid w:val="00A863F7"/>
    <w:rsid w:val="00A86604"/>
    <w:rsid w:val="00A87519"/>
    <w:rsid w:val="00A9246D"/>
    <w:rsid w:val="00A92CCA"/>
    <w:rsid w:val="00A93BD0"/>
    <w:rsid w:val="00A93CC2"/>
    <w:rsid w:val="00A974CC"/>
    <w:rsid w:val="00AA2001"/>
    <w:rsid w:val="00AA2B5C"/>
    <w:rsid w:val="00AA32D2"/>
    <w:rsid w:val="00AA4016"/>
    <w:rsid w:val="00AA4C1F"/>
    <w:rsid w:val="00AA5328"/>
    <w:rsid w:val="00AA5393"/>
    <w:rsid w:val="00AA63D4"/>
    <w:rsid w:val="00AB03FD"/>
    <w:rsid w:val="00AB2000"/>
    <w:rsid w:val="00AB2E94"/>
    <w:rsid w:val="00AB38CB"/>
    <w:rsid w:val="00AB3BEC"/>
    <w:rsid w:val="00AB44E4"/>
    <w:rsid w:val="00AB4AEB"/>
    <w:rsid w:val="00AB4E5F"/>
    <w:rsid w:val="00AB5352"/>
    <w:rsid w:val="00AB56AE"/>
    <w:rsid w:val="00AB62D5"/>
    <w:rsid w:val="00AB65B5"/>
    <w:rsid w:val="00AB6DCD"/>
    <w:rsid w:val="00AB6EE0"/>
    <w:rsid w:val="00AC17A2"/>
    <w:rsid w:val="00AC40B7"/>
    <w:rsid w:val="00AC531F"/>
    <w:rsid w:val="00AC5B36"/>
    <w:rsid w:val="00AC6377"/>
    <w:rsid w:val="00AC66A4"/>
    <w:rsid w:val="00AC6CB1"/>
    <w:rsid w:val="00AC7D6D"/>
    <w:rsid w:val="00AD0091"/>
    <w:rsid w:val="00AD23EF"/>
    <w:rsid w:val="00AD2662"/>
    <w:rsid w:val="00AD307B"/>
    <w:rsid w:val="00AD4014"/>
    <w:rsid w:val="00AD41B3"/>
    <w:rsid w:val="00AD5721"/>
    <w:rsid w:val="00AD5C4D"/>
    <w:rsid w:val="00AD69F0"/>
    <w:rsid w:val="00AD7127"/>
    <w:rsid w:val="00AD730C"/>
    <w:rsid w:val="00AE123A"/>
    <w:rsid w:val="00AE1539"/>
    <w:rsid w:val="00AE28A7"/>
    <w:rsid w:val="00AE2A98"/>
    <w:rsid w:val="00AE2CF2"/>
    <w:rsid w:val="00AE3012"/>
    <w:rsid w:val="00AE33A6"/>
    <w:rsid w:val="00AE3729"/>
    <w:rsid w:val="00AE4138"/>
    <w:rsid w:val="00AE4CCE"/>
    <w:rsid w:val="00AE5C6A"/>
    <w:rsid w:val="00AE6317"/>
    <w:rsid w:val="00AE6B62"/>
    <w:rsid w:val="00AE7280"/>
    <w:rsid w:val="00AF033A"/>
    <w:rsid w:val="00AF1699"/>
    <w:rsid w:val="00AF1FD3"/>
    <w:rsid w:val="00AF2910"/>
    <w:rsid w:val="00AF34B8"/>
    <w:rsid w:val="00AF3896"/>
    <w:rsid w:val="00AF3FC2"/>
    <w:rsid w:val="00B0098A"/>
    <w:rsid w:val="00B00A5F"/>
    <w:rsid w:val="00B00F89"/>
    <w:rsid w:val="00B029B8"/>
    <w:rsid w:val="00B02F60"/>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2FE6"/>
    <w:rsid w:val="00B1303F"/>
    <w:rsid w:val="00B1364A"/>
    <w:rsid w:val="00B13859"/>
    <w:rsid w:val="00B13EC9"/>
    <w:rsid w:val="00B14319"/>
    <w:rsid w:val="00B14A06"/>
    <w:rsid w:val="00B158E1"/>
    <w:rsid w:val="00B16715"/>
    <w:rsid w:val="00B1768E"/>
    <w:rsid w:val="00B17910"/>
    <w:rsid w:val="00B20F18"/>
    <w:rsid w:val="00B21516"/>
    <w:rsid w:val="00B21A37"/>
    <w:rsid w:val="00B21D23"/>
    <w:rsid w:val="00B21F62"/>
    <w:rsid w:val="00B22CE0"/>
    <w:rsid w:val="00B23738"/>
    <w:rsid w:val="00B23BEF"/>
    <w:rsid w:val="00B247BB"/>
    <w:rsid w:val="00B2504A"/>
    <w:rsid w:val="00B25EE6"/>
    <w:rsid w:val="00B3115A"/>
    <w:rsid w:val="00B31825"/>
    <w:rsid w:val="00B31A5C"/>
    <w:rsid w:val="00B33B06"/>
    <w:rsid w:val="00B33C19"/>
    <w:rsid w:val="00B35A15"/>
    <w:rsid w:val="00B35B45"/>
    <w:rsid w:val="00B36A99"/>
    <w:rsid w:val="00B41D8B"/>
    <w:rsid w:val="00B42264"/>
    <w:rsid w:val="00B434B2"/>
    <w:rsid w:val="00B43D45"/>
    <w:rsid w:val="00B468F2"/>
    <w:rsid w:val="00B469DE"/>
    <w:rsid w:val="00B47286"/>
    <w:rsid w:val="00B50234"/>
    <w:rsid w:val="00B51BF4"/>
    <w:rsid w:val="00B52C68"/>
    <w:rsid w:val="00B5372B"/>
    <w:rsid w:val="00B542FE"/>
    <w:rsid w:val="00B55A1B"/>
    <w:rsid w:val="00B561DB"/>
    <w:rsid w:val="00B56DF9"/>
    <w:rsid w:val="00B600BD"/>
    <w:rsid w:val="00B61274"/>
    <w:rsid w:val="00B61DCE"/>
    <w:rsid w:val="00B62188"/>
    <w:rsid w:val="00B62F79"/>
    <w:rsid w:val="00B62F82"/>
    <w:rsid w:val="00B6306A"/>
    <w:rsid w:val="00B635E3"/>
    <w:rsid w:val="00B653D7"/>
    <w:rsid w:val="00B662FF"/>
    <w:rsid w:val="00B66679"/>
    <w:rsid w:val="00B70145"/>
    <w:rsid w:val="00B71A92"/>
    <w:rsid w:val="00B721D8"/>
    <w:rsid w:val="00B730CA"/>
    <w:rsid w:val="00B747C5"/>
    <w:rsid w:val="00B74F2F"/>
    <w:rsid w:val="00B753ED"/>
    <w:rsid w:val="00B769BC"/>
    <w:rsid w:val="00B77349"/>
    <w:rsid w:val="00B7761E"/>
    <w:rsid w:val="00B80A3D"/>
    <w:rsid w:val="00B80B04"/>
    <w:rsid w:val="00B8127B"/>
    <w:rsid w:val="00B819E5"/>
    <w:rsid w:val="00B821E4"/>
    <w:rsid w:val="00B823E0"/>
    <w:rsid w:val="00B8260D"/>
    <w:rsid w:val="00B82B78"/>
    <w:rsid w:val="00B845B4"/>
    <w:rsid w:val="00B84662"/>
    <w:rsid w:val="00B84C74"/>
    <w:rsid w:val="00B85191"/>
    <w:rsid w:val="00B858A1"/>
    <w:rsid w:val="00B85FEC"/>
    <w:rsid w:val="00B864A3"/>
    <w:rsid w:val="00B86C2A"/>
    <w:rsid w:val="00B878BE"/>
    <w:rsid w:val="00B902A5"/>
    <w:rsid w:val="00B90420"/>
    <w:rsid w:val="00B90848"/>
    <w:rsid w:val="00B91146"/>
    <w:rsid w:val="00B913E4"/>
    <w:rsid w:val="00B91DB9"/>
    <w:rsid w:val="00B91FF3"/>
    <w:rsid w:val="00B93EFE"/>
    <w:rsid w:val="00B944B9"/>
    <w:rsid w:val="00B94956"/>
    <w:rsid w:val="00B94C7F"/>
    <w:rsid w:val="00B94E93"/>
    <w:rsid w:val="00B956B5"/>
    <w:rsid w:val="00B96DF2"/>
    <w:rsid w:val="00B96E18"/>
    <w:rsid w:val="00B96F5A"/>
    <w:rsid w:val="00BA0B39"/>
    <w:rsid w:val="00BA0CB2"/>
    <w:rsid w:val="00BA0E26"/>
    <w:rsid w:val="00BA138B"/>
    <w:rsid w:val="00BA305B"/>
    <w:rsid w:val="00BA31BF"/>
    <w:rsid w:val="00BA3FC7"/>
    <w:rsid w:val="00BA478B"/>
    <w:rsid w:val="00BA5224"/>
    <w:rsid w:val="00BA575E"/>
    <w:rsid w:val="00BA76B7"/>
    <w:rsid w:val="00BA7E3B"/>
    <w:rsid w:val="00BB078D"/>
    <w:rsid w:val="00BB079C"/>
    <w:rsid w:val="00BB0D7A"/>
    <w:rsid w:val="00BB10E1"/>
    <w:rsid w:val="00BB2471"/>
    <w:rsid w:val="00BB25B8"/>
    <w:rsid w:val="00BB3035"/>
    <w:rsid w:val="00BB39C1"/>
    <w:rsid w:val="00BB3DF5"/>
    <w:rsid w:val="00BB5D16"/>
    <w:rsid w:val="00BB6180"/>
    <w:rsid w:val="00BB69E6"/>
    <w:rsid w:val="00BB7BE5"/>
    <w:rsid w:val="00BC08BD"/>
    <w:rsid w:val="00BC11E8"/>
    <w:rsid w:val="00BC1B7A"/>
    <w:rsid w:val="00BC2C17"/>
    <w:rsid w:val="00BC3ACD"/>
    <w:rsid w:val="00BC3B20"/>
    <w:rsid w:val="00BC3EE4"/>
    <w:rsid w:val="00BC588C"/>
    <w:rsid w:val="00BC62F4"/>
    <w:rsid w:val="00BC6E73"/>
    <w:rsid w:val="00BC74D3"/>
    <w:rsid w:val="00BD0014"/>
    <w:rsid w:val="00BD01D8"/>
    <w:rsid w:val="00BD255F"/>
    <w:rsid w:val="00BD2895"/>
    <w:rsid w:val="00BD4236"/>
    <w:rsid w:val="00BD483B"/>
    <w:rsid w:val="00BD5CD4"/>
    <w:rsid w:val="00BD65D9"/>
    <w:rsid w:val="00BD6DF3"/>
    <w:rsid w:val="00BD6E09"/>
    <w:rsid w:val="00BD6EF9"/>
    <w:rsid w:val="00BE0ACB"/>
    <w:rsid w:val="00BE2260"/>
    <w:rsid w:val="00BE3917"/>
    <w:rsid w:val="00BE50FD"/>
    <w:rsid w:val="00BE51CA"/>
    <w:rsid w:val="00BE537F"/>
    <w:rsid w:val="00BE5D77"/>
    <w:rsid w:val="00BE6D47"/>
    <w:rsid w:val="00BE7032"/>
    <w:rsid w:val="00BE7330"/>
    <w:rsid w:val="00BF01C5"/>
    <w:rsid w:val="00BF061A"/>
    <w:rsid w:val="00BF066A"/>
    <w:rsid w:val="00BF14CC"/>
    <w:rsid w:val="00BF1821"/>
    <w:rsid w:val="00BF3D7C"/>
    <w:rsid w:val="00BF4342"/>
    <w:rsid w:val="00BF4704"/>
    <w:rsid w:val="00BF4FFC"/>
    <w:rsid w:val="00BF5050"/>
    <w:rsid w:val="00BF50D1"/>
    <w:rsid w:val="00BF5422"/>
    <w:rsid w:val="00BF59B1"/>
    <w:rsid w:val="00BF6A78"/>
    <w:rsid w:val="00BF7695"/>
    <w:rsid w:val="00BF79B4"/>
    <w:rsid w:val="00BF7C61"/>
    <w:rsid w:val="00C00037"/>
    <w:rsid w:val="00C01427"/>
    <w:rsid w:val="00C014C7"/>
    <w:rsid w:val="00C047AB"/>
    <w:rsid w:val="00C058AF"/>
    <w:rsid w:val="00C075B6"/>
    <w:rsid w:val="00C124C1"/>
    <w:rsid w:val="00C128AE"/>
    <w:rsid w:val="00C12BA8"/>
    <w:rsid w:val="00C136D6"/>
    <w:rsid w:val="00C13902"/>
    <w:rsid w:val="00C13D5B"/>
    <w:rsid w:val="00C141D7"/>
    <w:rsid w:val="00C1711B"/>
    <w:rsid w:val="00C17AE2"/>
    <w:rsid w:val="00C17E00"/>
    <w:rsid w:val="00C20140"/>
    <w:rsid w:val="00C20F27"/>
    <w:rsid w:val="00C215CF"/>
    <w:rsid w:val="00C2244B"/>
    <w:rsid w:val="00C22711"/>
    <w:rsid w:val="00C2280A"/>
    <w:rsid w:val="00C22B0D"/>
    <w:rsid w:val="00C22BFF"/>
    <w:rsid w:val="00C23522"/>
    <w:rsid w:val="00C240C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3B57"/>
    <w:rsid w:val="00C34619"/>
    <w:rsid w:val="00C35D01"/>
    <w:rsid w:val="00C360B3"/>
    <w:rsid w:val="00C37027"/>
    <w:rsid w:val="00C37B19"/>
    <w:rsid w:val="00C413CB"/>
    <w:rsid w:val="00C42752"/>
    <w:rsid w:val="00C42973"/>
    <w:rsid w:val="00C44C69"/>
    <w:rsid w:val="00C4712A"/>
    <w:rsid w:val="00C5034F"/>
    <w:rsid w:val="00C50830"/>
    <w:rsid w:val="00C52479"/>
    <w:rsid w:val="00C5266E"/>
    <w:rsid w:val="00C52C59"/>
    <w:rsid w:val="00C5349E"/>
    <w:rsid w:val="00C539FF"/>
    <w:rsid w:val="00C544BD"/>
    <w:rsid w:val="00C54D3D"/>
    <w:rsid w:val="00C55A30"/>
    <w:rsid w:val="00C56384"/>
    <w:rsid w:val="00C60F8C"/>
    <w:rsid w:val="00C61794"/>
    <w:rsid w:val="00C62A48"/>
    <w:rsid w:val="00C62AC4"/>
    <w:rsid w:val="00C62B59"/>
    <w:rsid w:val="00C62F96"/>
    <w:rsid w:val="00C631E1"/>
    <w:rsid w:val="00C638D8"/>
    <w:rsid w:val="00C63AE7"/>
    <w:rsid w:val="00C63D26"/>
    <w:rsid w:val="00C6540A"/>
    <w:rsid w:val="00C668A1"/>
    <w:rsid w:val="00C67223"/>
    <w:rsid w:val="00C707B8"/>
    <w:rsid w:val="00C712AC"/>
    <w:rsid w:val="00C71C15"/>
    <w:rsid w:val="00C71F3D"/>
    <w:rsid w:val="00C72F53"/>
    <w:rsid w:val="00C74035"/>
    <w:rsid w:val="00C748EA"/>
    <w:rsid w:val="00C77818"/>
    <w:rsid w:val="00C8063F"/>
    <w:rsid w:val="00C81282"/>
    <w:rsid w:val="00C827B4"/>
    <w:rsid w:val="00C83214"/>
    <w:rsid w:val="00C8329F"/>
    <w:rsid w:val="00C84F8A"/>
    <w:rsid w:val="00C85BA4"/>
    <w:rsid w:val="00C8618F"/>
    <w:rsid w:val="00C8625D"/>
    <w:rsid w:val="00C90372"/>
    <w:rsid w:val="00C9041F"/>
    <w:rsid w:val="00C9166B"/>
    <w:rsid w:val="00C91A45"/>
    <w:rsid w:val="00C91FB4"/>
    <w:rsid w:val="00C92150"/>
    <w:rsid w:val="00C92328"/>
    <w:rsid w:val="00C92D42"/>
    <w:rsid w:val="00C938C2"/>
    <w:rsid w:val="00C93F8A"/>
    <w:rsid w:val="00C94EA1"/>
    <w:rsid w:val="00C9511B"/>
    <w:rsid w:val="00C95745"/>
    <w:rsid w:val="00C95902"/>
    <w:rsid w:val="00C962E3"/>
    <w:rsid w:val="00C978E2"/>
    <w:rsid w:val="00C97997"/>
    <w:rsid w:val="00CA10A2"/>
    <w:rsid w:val="00CA1D83"/>
    <w:rsid w:val="00CA25C0"/>
    <w:rsid w:val="00CA3451"/>
    <w:rsid w:val="00CA35C6"/>
    <w:rsid w:val="00CA4948"/>
    <w:rsid w:val="00CA52F9"/>
    <w:rsid w:val="00CA5368"/>
    <w:rsid w:val="00CA568B"/>
    <w:rsid w:val="00CA573A"/>
    <w:rsid w:val="00CA5C58"/>
    <w:rsid w:val="00CA613C"/>
    <w:rsid w:val="00CB19D7"/>
    <w:rsid w:val="00CB19FE"/>
    <w:rsid w:val="00CB1C3F"/>
    <w:rsid w:val="00CB2364"/>
    <w:rsid w:val="00CB304C"/>
    <w:rsid w:val="00CB3933"/>
    <w:rsid w:val="00CB53E8"/>
    <w:rsid w:val="00CB594A"/>
    <w:rsid w:val="00CB5CB2"/>
    <w:rsid w:val="00CB6979"/>
    <w:rsid w:val="00CB7DDE"/>
    <w:rsid w:val="00CC0A3D"/>
    <w:rsid w:val="00CC1585"/>
    <w:rsid w:val="00CC3C53"/>
    <w:rsid w:val="00CC3D24"/>
    <w:rsid w:val="00CC3F91"/>
    <w:rsid w:val="00CC4ACD"/>
    <w:rsid w:val="00CC4B0A"/>
    <w:rsid w:val="00CC544A"/>
    <w:rsid w:val="00CC57EA"/>
    <w:rsid w:val="00CC5954"/>
    <w:rsid w:val="00CC629B"/>
    <w:rsid w:val="00CC6C4E"/>
    <w:rsid w:val="00CD009D"/>
    <w:rsid w:val="00CD05A2"/>
    <w:rsid w:val="00CD29D4"/>
    <w:rsid w:val="00CD2B5C"/>
    <w:rsid w:val="00CD2FF3"/>
    <w:rsid w:val="00CD3323"/>
    <w:rsid w:val="00CD38F5"/>
    <w:rsid w:val="00CD437E"/>
    <w:rsid w:val="00CD5DAD"/>
    <w:rsid w:val="00CD72C5"/>
    <w:rsid w:val="00CD79A7"/>
    <w:rsid w:val="00CE0789"/>
    <w:rsid w:val="00CE0E8D"/>
    <w:rsid w:val="00CE1A03"/>
    <w:rsid w:val="00CE2346"/>
    <w:rsid w:val="00CE25B2"/>
    <w:rsid w:val="00CE2687"/>
    <w:rsid w:val="00CE3529"/>
    <w:rsid w:val="00CE35C8"/>
    <w:rsid w:val="00CE3962"/>
    <w:rsid w:val="00CE4D1A"/>
    <w:rsid w:val="00CE4E8A"/>
    <w:rsid w:val="00CE5105"/>
    <w:rsid w:val="00CE56BD"/>
    <w:rsid w:val="00CE5EC0"/>
    <w:rsid w:val="00CE6A0B"/>
    <w:rsid w:val="00CE6F9F"/>
    <w:rsid w:val="00CE781A"/>
    <w:rsid w:val="00CE7B08"/>
    <w:rsid w:val="00CE7D52"/>
    <w:rsid w:val="00CF1D74"/>
    <w:rsid w:val="00CF2BE2"/>
    <w:rsid w:val="00CF3DEB"/>
    <w:rsid w:val="00CF55F9"/>
    <w:rsid w:val="00CF7074"/>
    <w:rsid w:val="00CF7390"/>
    <w:rsid w:val="00CF7495"/>
    <w:rsid w:val="00D01CF9"/>
    <w:rsid w:val="00D0334D"/>
    <w:rsid w:val="00D0374D"/>
    <w:rsid w:val="00D06D7B"/>
    <w:rsid w:val="00D06DA5"/>
    <w:rsid w:val="00D07191"/>
    <w:rsid w:val="00D07F1D"/>
    <w:rsid w:val="00D10558"/>
    <w:rsid w:val="00D11D4D"/>
    <w:rsid w:val="00D126DC"/>
    <w:rsid w:val="00D12B03"/>
    <w:rsid w:val="00D13E70"/>
    <w:rsid w:val="00D15FCD"/>
    <w:rsid w:val="00D16C58"/>
    <w:rsid w:val="00D17019"/>
    <w:rsid w:val="00D17FC8"/>
    <w:rsid w:val="00D20B44"/>
    <w:rsid w:val="00D21168"/>
    <w:rsid w:val="00D23A67"/>
    <w:rsid w:val="00D2438C"/>
    <w:rsid w:val="00D2585A"/>
    <w:rsid w:val="00D259B0"/>
    <w:rsid w:val="00D26C3F"/>
    <w:rsid w:val="00D27026"/>
    <w:rsid w:val="00D27185"/>
    <w:rsid w:val="00D30EF8"/>
    <w:rsid w:val="00D32518"/>
    <w:rsid w:val="00D33488"/>
    <w:rsid w:val="00D33AB3"/>
    <w:rsid w:val="00D33F24"/>
    <w:rsid w:val="00D34160"/>
    <w:rsid w:val="00D346B8"/>
    <w:rsid w:val="00D34DCA"/>
    <w:rsid w:val="00D35AC8"/>
    <w:rsid w:val="00D36F87"/>
    <w:rsid w:val="00D37E4E"/>
    <w:rsid w:val="00D400A4"/>
    <w:rsid w:val="00D40DEF"/>
    <w:rsid w:val="00D417D8"/>
    <w:rsid w:val="00D41F78"/>
    <w:rsid w:val="00D42E6C"/>
    <w:rsid w:val="00D4351C"/>
    <w:rsid w:val="00D43B80"/>
    <w:rsid w:val="00D44988"/>
    <w:rsid w:val="00D45B4C"/>
    <w:rsid w:val="00D45BA4"/>
    <w:rsid w:val="00D471AF"/>
    <w:rsid w:val="00D4724F"/>
    <w:rsid w:val="00D50519"/>
    <w:rsid w:val="00D512C8"/>
    <w:rsid w:val="00D51601"/>
    <w:rsid w:val="00D51ECB"/>
    <w:rsid w:val="00D5264C"/>
    <w:rsid w:val="00D52BBC"/>
    <w:rsid w:val="00D537FE"/>
    <w:rsid w:val="00D53CC9"/>
    <w:rsid w:val="00D54A6A"/>
    <w:rsid w:val="00D54B8F"/>
    <w:rsid w:val="00D55951"/>
    <w:rsid w:val="00D559F0"/>
    <w:rsid w:val="00D57EB6"/>
    <w:rsid w:val="00D608C0"/>
    <w:rsid w:val="00D60D6D"/>
    <w:rsid w:val="00D6128C"/>
    <w:rsid w:val="00D66D8B"/>
    <w:rsid w:val="00D70849"/>
    <w:rsid w:val="00D72297"/>
    <w:rsid w:val="00D72A1C"/>
    <w:rsid w:val="00D7308F"/>
    <w:rsid w:val="00D7313E"/>
    <w:rsid w:val="00D73580"/>
    <w:rsid w:val="00D73802"/>
    <w:rsid w:val="00D73C2C"/>
    <w:rsid w:val="00D73D52"/>
    <w:rsid w:val="00D745E7"/>
    <w:rsid w:val="00D774ED"/>
    <w:rsid w:val="00D777C3"/>
    <w:rsid w:val="00D7797C"/>
    <w:rsid w:val="00D77C44"/>
    <w:rsid w:val="00D77F88"/>
    <w:rsid w:val="00D81AFA"/>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6D47"/>
    <w:rsid w:val="00D8710C"/>
    <w:rsid w:val="00D873C6"/>
    <w:rsid w:val="00D9074A"/>
    <w:rsid w:val="00D9099E"/>
    <w:rsid w:val="00D9193A"/>
    <w:rsid w:val="00D923B2"/>
    <w:rsid w:val="00D92463"/>
    <w:rsid w:val="00D93E64"/>
    <w:rsid w:val="00D93F64"/>
    <w:rsid w:val="00D94CA4"/>
    <w:rsid w:val="00D95E99"/>
    <w:rsid w:val="00D965D5"/>
    <w:rsid w:val="00D97DA2"/>
    <w:rsid w:val="00DA1A3A"/>
    <w:rsid w:val="00DA2351"/>
    <w:rsid w:val="00DA249E"/>
    <w:rsid w:val="00DA2D3D"/>
    <w:rsid w:val="00DA4C30"/>
    <w:rsid w:val="00DA7722"/>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6D"/>
    <w:rsid w:val="00DB748A"/>
    <w:rsid w:val="00DB7FDF"/>
    <w:rsid w:val="00DC1056"/>
    <w:rsid w:val="00DC1442"/>
    <w:rsid w:val="00DC21D8"/>
    <w:rsid w:val="00DC282A"/>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A18"/>
    <w:rsid w:val="00DD3044"/>
    <w:rsid w:val="00DD3985"/>
    <w:rsid w:val="00DD61E8"/>
    <w:rsid w:val="00DD62C0"/>
    <w:rsid w:val="00DD64DE"/>
    <w:rsid w:val="00DD7859"/>
    <w:rsid w:val="00DD7B41"/>
    <w:rsid w:val="00DE0784"/>
    <w:rsid w:val="00DE0A1D"/>
    <w:rsid w:val="00DE15B2"/>
    <w:rsid w:val="00DE1A9A"/>
    <w:rsid w:val="00DE3D2C"/>
    <w:rsid w:val="00DE5E82"/>
    <w:rsid w:val="00DE5FA6"/>
    <w:rsid w:val="00DE6792"/>
    <w:rsid w:val="00DE6AA1"/>
    <w:rsid w:val="00DE7AAB"/>
    <w:rsid w:val="00DE7EF7"/>
    <w:rsid w:val="00DF015B"/>
    <w:rsid w:val="00DF02EC"/>
    <w:rsid w:val="00DF10FC"/>
    <w:rsid w:val="00DF1185"/>
    <w:rsid w:val="00DF1299"/>
    <w:rsid w:val="00DF1A70"/>
    <w:rsid w:val="00DF1E5F"/>
    <w:rsid w:val="00DF23A8"/>
    <w:rsid w:val="00DF2F27"/>
    <w:rsid w:val="00DF36B6"/>
    <w:rsid w:val="00DF4296"/>
    <w:rsid w:val="00DF53F0"/>
    <w:rsid w:val="00DF5F38"/>
    <w:rsid w:val="00DF6608"/>
    <w:rsid w:val="00DF6CCC"/>
    <w:rsid w:val="00DF6D0C"/>
    <w:rsid w:val="00DF6F64"/>
    <w:rsid w:val="00DF721E"/>
    <w:rsid w:val="00DF7B8A"/>
    <w:rsid w:val="00DF7C87"/>
    <w:rsid w:val="00E009B0"/>
    <w:rsid w:val="00E00A12"/>
    <w:rsid w:val="00E00C49"/>
    <w:rsid w:val="00E01C9C"/>
    <w:rsid w:val="00E0219D"/>
    <w:rsid w:val="00E04C0F"/>
    <w:rsid w:val="00E0570B"/>
    <w:rsid w:val="00E10343"/>
    <w:rsid w:val="00E10913"/>
    <w:rsid w:val="00E10B87"/>
    <w:rsid w:val="00E121CE"/>
    <w:rsid w:val="00E1478B"/>
    <w:rsid w:val="00E14FAC"/>
    <w:rsid w:val="00E15007"/>
    <w:rsid w:val="00E16277"/>
    <w:rsid w:val="00E16EC7"/>
    <w:rsid w:val="00E219CE"/>
    <w:rsid w:val="00E24071"/>
    <w:rsid w:val="00E24EBC"/>
    <w:rsid w:val="00E2522C"/>
    <w:rsid w:val="00E2552F"/>
    <w:rsid w:val="00E2599B"/>
    <w:rsid w:val="00E2710C"/>
    <w:rsid w:val="00E27428"/>
    <w:rsid w:val="00E305B4"/>
    <w:rsid w:val="00E31AFA"/>
    <w:rsid w:val="00E31CB7"/>
    <w:rsid w:val="00E324EE"/>
    <w:rsid w:val="00E32990"/>
    <w:rsid w:val="00E34DB1"/>
    <w:rsid w:val="00E35931"/>
    <w:rsid w:val="00E359FF"/>
    <w:rsid w:val="00E36BD1"/>
    <w:rsid w:val="00E402C5"/>
    <w:rsid w:val="00E402F4"/>
    <w:rsid w:val="00E405F1"/>
    <w:rsid w:val="00E4178B"/>
    <w:rsid w:val="00E417DB"/>
    <w:rsid w:val="00E43054"/>
    <w:rsid w:val="00E43655"/>
    <w:rsid w:val="00E44440"/>
    <w:rsid w:val="00E46013"/>
    <w:rsid w:val="00E47099"/>
    <w:rsid w:val="00E47284"/>
    <w:rsid w:val="00E4730A"/>
    <w:rsid w:val="00E477C3"/>
    <w:rsid w:val="00E517A5"/>
    <w:rsid w:val="00E51E16"/>
    <w:rsid w:val="00E53730"/>
    <w:rsid w:val="00E5438D"/>
    <w:rsid w:val="00E54511"/>
    <w:rsid w:val="00E54E50"/>
    <w:rsid w:val="00E55288"/>
    <w:rsid w:val="00E57577"/>
    <w:rsid w:val="00E62043"/>
    <w:rsid w:val="00E626B9"/>
    <w:rsid w:val="00E627C9"/>
    <w:rsid w:val="00E630F3"/>
    <w:rsid w:val="00E6332F"/>
    <w:rsid w:val="00E637C9"/>
    <w:rsid w:val="00E6402D"/>
    <w:rsid w:val="00E6680A"/>
    <w:rsid w:val="00E66F0D"/>
    <w:rsid w:val="00E70615"/>
    <w:rsid w:val="00E7161E"/>
    <w:rsid w:val="00E7207B"/>
    <w:rsid w:val="00E7347A"/>
    <w:rsid w:val="00E75A47"/>
    <w:rsid w:val="00E75BB6"/>
    <w:rsid w:val="00E75D8C"/>
    <w:rsid w:val="00E777F2"/>
    <w:rsid w:val="00E802C9"/>
    <w:rsid w:val="00E80BFB"/>
    <w:rsid w:val="00E80F0A"/>
    <w:rsid w:val="00E815D4"/>
    <w:rsid w:val="00E8291B"/>
    <w:rsid w:val="00E82E70"/>
    <w:rsid w:val="00E82F92"/>
    <w:rsid w:val="00E8395F"/>
    <w:rsid w:val="00E8410F"/>
    <w:rsid w:val="00E849D7"/>
    <w:rsid w:val="00E85E41"/>
    <w:rsid w:val="00E85EA1"/>
    <w:rsid w:val="00E86703"/>
    <w:rsid w:val="00E91044"/>
    <w:rsid w:val="00E910D3"/>
    <w:rsid w:val="00E91257"/>
    <w:rsid w:val="00E92154"/>
    <w:rsid w:val="00E923CF"/>
    <w:rsid w:val="00E93685"/>
    <w:rsid w:val="00E93B65"/>
    <w:rsid w:val="00E93C8C"/>
    <w:rsid w:val="00E95111"/>
    <w:rsid w:val="00E95FDF"/>
    <w:rsid w:val="00EA14C8"/>
    <w:rsid w:val="00EA2110"/>
    <w:rsid w:val="00EA283A"/>
    <w:rsid w:val="00EA2C90"/>
    <w:rsid w:val="00EA2E07"/>
    <w:rsid w:val="00EA383B"/>
    <w:rsid w:val="00EA48F3"/>
    <w:rsid w:val="00EA60BF"/>
    <w:rsid w:val="00EA7365"/>
    <w:rsid w:val="00EA763F"/>
    <w:rsid w:val="00EA77E9"/>
    <w:rsid w:val="00EB05D0"/>
    <w:rsid w:val="00EB1151"/>
    <w:rsid w:val="00EB1D49"/>
    <w:rsid w:val="00EB23D9"/>
    <w:rsid w:val="00EB39A0"/>
    <w:rsid w:val="00EB559F"/>
    <w:rsid w:val="00EB566C"/>
    <w:rsid w:val="00EB5F3D"/>
    <w:rsid w:val="00EC1CEB"/>
    <w:rsid w:val="00EC1DC0"/>
    <w:rsid w:val="00EC1DC2"/>
    <w:rsid w:val="00EC21EC"/>
    <w:rsid w:val="00EC24B8"/>
    <w:rsid w:val="00EC268C"/>
    <w:rsid w:val="00EC3753"/>
    <w:rsid w:val="00EC4E71"/>
    <w:rsid w:val="00EC5F1C"/>
    <w:rsid w:val="00ED0365"/>
    <w:rsid w:val="00ED0865"/>
    <w:rsid w:val="00ED1C60"/>
    <w:rsid w:val="00ED29DC"/>
    <w:rsid w:val="00ED2EB9"/>
    <w:rsid w:val="00ED32D5"/>
    <w:rsid w:val="00ED3722"/>
    <w:rsid w:val="00ED3A31"/>
    <w:rsid w:val="00ED4469"/>
    <w:rsid w:val="00ED5424"/>
    <w:rsid w:val="00ED5F23"/>
    <w:rsid w:val="00ED6DC0"/>
    <w:rsid w:val="00ED7A7A"/>
    <w:rsid w:val="00EE0327"/>
    <w:rsid w:val="00EE038C"/>
    <w:rsid w:val="00EE28C5"/>
    <w:rsid w:val="00EE2F09"/>
    <w:rsid w:val="00EE47C5"/>
    <w:rsid w:val="00EE490C"/>
    <w:rsid w:val="00EE4E57"/>
    <w:rsid w:val="00EE5738"/>
    <w:rsid w:val="00EE58BD"/>
    <w:rsid w:val="00EE5E59"/>
    <w:rsid w:val="00EE6549"/>
    <w:rsid w:val="00EE73D0"/>
    <w:rsid w:val="00EE7CB0"/>
    <w:rsid w:val="00EF08A8"/>
    <w:rsid w:val="00EF167B"/>
    <w:rsid w:val="00EF41A8"/>
    <w:rsid w:val="00EF44FB"/>
    <w:rsid w:val="00EF5122"/>
    <w:rsid w:val="00EF5554"/>
    <w:rsid w:val="00EF5AD8"/>
    <w:rsid w:val="00EF6B90"/>
    <w:rsid w:val="00EF7807"/>
    <w:rsid w:val="00EF79F7"/>
    <w:rsid w:val="00F006C0"/>
    <w:rsid w:val="00F0125F"/>
    <w:rsid w:val="00F019AA"/>
    <w:rsid w:val="00F0267E"/>
    <w:rsid w:val="00F02686"/>
    <w:rsid w:val="00F030C0"/>
    <w:rsid w:val="00F03291"/>
    <w:rsid w:val="00F0459B"/>
    <w:rsid w:val="00F04E15"/>
    <w:rsid w:val="00F05DF3"/>
    <w:rsid w:val="00F0692C"/>
    <w:rsid w:val="00F069EA"/>
    <w:rsid w:val="00F070E5"/>
    <w:rsid w:val="00F07DDE"/>
    <w:rsid w:val="00F11675"/>
    <w:rsid w:val="00F12557"/>
    <w:rsid w:val="00F13599"/>
    <w:rsid w:val="00F13B28"/>
    <w:rsid w:val="00F14E01"/>
    <w:rsid w:val="00F156A0"/>
    <w:rsid w:val="00F15730"/>
    <w:rsid w:val="00F176A6"/>
    <w:rsid w:val="00F202C2"/>
    <w:rsid w:val="00F212F6"/>
    <w:rsid w:val="00F22756"/>
    <w:rsid w:val="00F23248"/>
    <w:rsid w:val="00F23890"/>
    <w:rsid w:val="00F2504D"/>
    <w:rsid w:val="00F2637F"/>
    <w:rsid w:val="00F268F7"/>
    <w:rsid w:val="00F30B83"/>
    <w:rsid w:val="00F30BDB"/>
    <w:rsid w:val="00F30CF8"/>
    <w:rsid w:val="00F31EDF"/>
    <w:rsid w:val="00F32CDE"/>
    <w:rsid w:val="00F32D4C"/>
    <w:rsid w:val="00F3327E"/>
    <w:rsid w:val="00F338C3"/>
    <w:rsid w:val="00F34B14"/>
    <w:rsid w:val="00F34F58"/>
    <w:rsid w:val="00F35DA7"/>
    <w:rsid w:val="00F36A6A"/>
    <w:rsid w:val="00F40101"/>
    <w:rsid w:val="00F404F7"/>
    <w:rsid w:val="00F40CCA"/>
    <w:rsid w:val="00F42D97"/>
    <w:rsid w:val="00F436B2"/>
    <w:rsid w:val="00F43813"/>
    <w:rsid w:val="00F43FEE"/>
    <w:rsid w:val="00F45A72"/>
    <w:rsid w:val="00F46723"/>
    <w:rsid w:val="00F4706D"/>
    <w:rsid w:val="00F476E1"/>
    <w:rsid w:val="00F47D1D"/>
    <w:rsid w:val="00F47F29"/>
    <w:rsid w:val="00F50016"/>
    <w:rsid w:val="00F50058"/>
    <w:rsid w:val="00F5118A"/>
    <w:rsid w:val="00F51A21"/>
    <w:rsid w:val="00F52614"/>
    <w:rsid w:val="00F5276E"/>
    <w:rsid w:val="00F52E9F"/>
    <w:rsid w:val="00F53304"/>
    <w:rsid w:val="00F53B81"/>
    <w:rsid w:val="00F540FE"/>
    <w:rsid w:val="00F556FF"/>
    <w:rsid w:val="00F55D12"/>
    <w:rsid w:val="00F5687F"/>
    <w:rsid w:val="00F56D3F"/>
    <w:rsid w:val="00F575C7"/>
    <w:rsid w:val="00F57FD0"/>
    <w:rsid w:val="00F60305"/>
    <w:rsid w:val="00F61B12"/>
    <w:rsid w:val="00F63264"/>
    <w:rsid w:val="00F634E4"/>
    <w:rsid w:val="00F6379E"/>
    <w:rsid w:val="00F64047"/>
    <w:rsid w:val="00F65171"/>
    <w:rsid w:val="00F6560D"/>
    <w:rsid w:val="00F65C23"/>
    <w:rsid w:val="00F67844"/>
    <w:rsid w:val="00F70799"/>
    <w:rsid w:val="00F70A8B"/>
    <w:rsid w:val="00F70B8D"/>
    <w:rsid w:val="00F71936"/>
    <w:rsid w:val="00F724FB"/>
    <w:rsid w:val="00F726B8"/>
    <w:rsid w:val="00F72A26"/>
    <w:rsid w:val="00F733C3"/>
    <w:rsid w:val="00F746A1"/>
    <w:rsid w:val="00F74820"/>
    <w:rsid w:val="00F756DD"/>
    <w:rsid w:val="00F77F4E"/>
    <w:rsid w:val="00F80047"/>
    <w:rsid w:val="00F800C7"/>
    <w:rsid w:val="00F8104D"/>
    <w:rsid w:val="00F81587"/>
    <w:rsid w:val="00F8288F"/>
    <w:rsid w:val="00F84033"/>
    <w:rsid w:val="00F84802"/>
    <w:rsid w:val="00F85B72"/>
    <w:rsid w:val="00F86540"/>
    <w:rsid w:val="00F865CE"/>
    <w:rsid w:val="00F8766F"/>
    <w:rsid w:val="00F91082"/>
    <w:rsid w:val="00F9116D"/>
    <w:rsid w:val="00F91A9A"/>
    <w:rsid w:val="00F9203B"/>
    <w:rsid w:val="00F93ABB"/>
    <w:rsid w:val="00F94D79"/>
    <w:rsid w:val="00F9658C"/>
    <w:rsid w:val="00F97A7F"/>
    <w:rsid w:val="00FA0889"/>
    <w:rsid w:val="00FA16E7"/>
    <w:rsid w:val="00FA31C7"/>
    <w:rsid w:val="00FA3E2D"/>
    <w:rsid w:val="00FA472D"/>
    <w:rsid w:val="00FB0CBF"/>
    <w:rsid w:val="00FB18F6"/>
    <w:rsid w:val="00FB2A52"/>
    <w:rsid w:val="00FB3F92"/>
    <w:rsid w:val="00FB52C7"/>
    <w:rsid w:val="00FB57DC"/>
    <w:rsid w:val="00FB6E19"/>
    <w:rsid w:val="00FB71F6"/>
    <w:rsid w:val="00FC0AF8"/>
    <w:rsid w:val="00FC1483"/>
    <w:rsid w:val="00FC1C47"/>
    <w:rsid w:val="00FC3102"/>
    <w:rsid w:val="00FC39ED"/>
    <w:rsid w:val="00FC4419"/>
    <w:rsid w:val="00FC47E2"/>
    <w:rsid w:val="00FC4AA5"/>
    <w:rsid w:val="00FC4B88"/>
    <w:rsid w:val="00FC4BB8"/>
    <w:rsid w:val="00FC5148"/>
    <w:rsid w:val="00FC623A"/>
    <w:rsid w:val="00FC6524"/>
    <w:rsid w:val="00FC75AC"/>
    <w:rsid w:val="00FD01BF"/>
    <w:rsid w:val="00FD0525"/>
    <w:rsid w:val="00FD0AB7"/>
    <w:rsid w:val="00FD297D"/>
    <w:rsid w:val="00FD2D13"/>
    <w:rsid w:val="00FD374D"/>
    <w:rsid w:val="00FD6071"/>
    <w:rsid w:val="00FD633B"/>
    <w:rsid w:val="00FE0794"/>
    <w:rsid w:val="00FE1041"/>
    <w:rsid w:val="00FE24CB"/>
    <w:rsid w:val="00FE323F"/>
    <w:rsid w:val="00FE3473"/>
    <w:rsid w:val="00FE4049"/>
    <w:rsid w:val="00FE4794"/>
    <w:rsid w:val="00FE480F"/>
    <w:rsid w:val="00FE4998"/>
    <w:rsid w:val="00FE57DE"/>
    <w:rsid w:val="00FE7A68"/>
    <w:rsid w:val="00FF0231"/>
    <w:rsid w:val="00FF1C9B"/>
    <w:rsid w:val="00FF1D49"/>
    <w:rsid w:val="00FF203B"/>
    <w:rsid w:val="00FF2562"/>
    <w:rsid w:val="00FF3A41"/>
    <w:rsid w:val="00FF3E5B"/>
    <w:rsid w:val="00FF57E4"/>
    <w:rsid w:val="00FF78E5"/>
    <w:rsid w:val="0147251E"/>
    <w:rsid w:val="014F752E"/>
    <w:rsid w:val="01693A0D"/>
    <w:rsid w:val="01910A08"/>
    <w:rsid w:val="01AF3D99"/>
    <w:rsid w:val="02006231"/>
    <w:rsid w:val="021E0695"/>
    <w:rsid w:val="02511F9D"/>
    <w:rsid w:val="028542D6"/>
    <w:rsid w:val="03010E88"/>
    <w:rsid w:val="03080759"/>
    <w:rsid w:val="0352209D"/>
    <w:rsid w:val="03737F9D"/>
    <w:rsid w:val="039A46A4"/>
    <w:rsid w:val="03A314B8"/>
    <w:rsid w:val="03D82B98"/>
    <w:rsid w:val="03F83E8B"/>
    <w:rsid w:val="042913CB"/>
    <w:rsid w:val="043164D2"/>
    <w:rsid w:val="043857E6"/>
    <w:rsid w:val="045A6B6F"/>
    <w:rsid w:val="046C12B8"/>
    <w:rsid w:val="049A4077"/>
    <w:rsid w:val="04B769D7"/>
    <w:rsid w:val="04BA2023"/>
    <w:rsid w:val="04C133B2"/>
    <w:rsid w:val="04D24F84"/>
    <w:rsid w:val="04EB5948"/>
    <w:rsid w:val="059C5421"/>
    <w:rsid w:val="05C56868"/>
    <w:rsid w:val="05E25625"/>
    <w:rsid w:val="05E679A0"/>
    <w:rsid w:val="05E76E48"/>
    <w:rsid w:val="05EA06E6"/>
    <w:rsid w:val="0600615C"/>
    <w:rsid w:val="06655288"/>
    <w:rsid w:val="06751A6B"/>
    <w:rsid w:val="06BF7A9A"/>
    <w:rsid w:val="06E86604"/>
    <w:rsid w:val="074D5BAD"/>
    <w:rsid w:val="07A121DD"/>
    <w:rsid w:val="07A50D69"/>
    <w:rsid w:val="07B13501"/>
    <w:rsid w:val="07B72767"/>
    <w:rsid w:val="07CB30B6"/>
    <w:rsid w:val="07F541BD"/>
    <w:rsid w:val="07F874F1"/>
    <w:rsid w:val="08077E72"/>
    <w:rsid w:val="08296B92"/>
    <w:rsid w:val="08675042"/>
    <w:rsid w:val="08882DD0"/>
    <w:rsid w:val="088B236B"/>
    <w:rsid w:val="09310382"/>
    <w:rsid w:val="09966C5E"/>
    <w:rsid w:val="09BC00DF"/>
    <w:rsid w:val="09C57D6A"/>
    <w:rsid w:val="09CC2AAC"/>
    <w:rsid w:val="09CF1F93"/>
    <w:rsid w:val="09D26E76"/>
    <w:rsid w:val="09E10052"/>
    <w:rsid w:val="09E57B43"/>
    <w:rsid w:val="0A1B5312"/>
    <w:rsid w:val="0A652D3E"/>
    <w:rsid w:val="0A9A56C4"/>
    <w:rsid w:val="0AA14B1F"/>
    <w:rsid w:val="0AB52DA4"/>
    <w:rsid w:val="0AC1324B"/>
    <w:rsid w:val="0AE33EF7"/>
    <w:rsid w:val="0B056820"/>
    <w:rsid w:val="0B326F2A"/>
    <w:rsid w:val="0B5B5F00"/>
    <w:rsid w:val="0B6F018C"/>
    <w:rsid w:val="0B8E2C2C"/>
    <w:rsid w:val="0BDF2787"/>
    <w:rsid w:val="0BF84E49"/>
    <w:rsid w:val="0C1E2888"/>
    <w:rsid w:val="0C324B95"/>
    <w:rsid w:val="0C3C447E"/>
    <w:rsid w:val="0C761E26"/>
    <w:rsid w:val="0C7B29E0"/>
    <w:rsid w:val="0C822900"/>
    <w:rsid w:val="0C92213C"/>
    <w:rsid w:val="0C9844C2"/>
    <w:rsid w:val="0C9C471D"/>
    <w:rsid w:val="0CC84457"/>
    <w:rsid w:val="0CD242DF"/>
    <w:rsid w:val="0D135FD2"/>
    <w:rsid w:val="0D137EAA"/>
    <w:rsid w:val="0D2E35AF"/>
    <w:rsid w:val="0D84032B"/>
    <w:rsid w:val="0DA53E76"/>
    <w:rsid w:val="0DDE5498"/>
    <w:rsid w:val="0DF4357E"/>
    <w:rsid w:val="0E56100F"/>
    <w:rsid w:val="0EA55AF2"/>
    <w:rsid w:val="0EE82EA9"/>
    <w:rsid w:val="0EEE63D8"/>
    <w:rsid w:val="0EF072A1"/>
    <w:rsid w:val="0EF3424E"/>
    <w:rsid w:val="0EF909A2"/>
    <w:rsid w:val="0F2A74C4"/>
    <w:rsid w:val="0F545A8D"/>
    <w:rsid w:val="0F5F5C67"/>
    <w:rsid w:val="0F962565"/>
    <w:rsid w:val="0FAB7138"/>
    <w:rsid w:val="0FBB36C1"/>
    <w:rsid w:val="104473AA"/>
    <w:rsid w:val="105E3691"/>
    <w:rsid w:val="106E3E49"/>
    <w:rsid w:val="108411F1"/>
    <w:rsid w:val="10A27F31"/>
    <w:rsid w:val="10AF0FDC"/>
    <w:rsid w:val="10CD30DE"/>
    <w:rsid w:val="10D21B39"/>
    <w:rsid w:val="1163097B"/>
    <w:rsid w:val="11634536"/>
    <w:rsid w:val="11717F0E"/>
    <w:rsid w:val="11892963"/>
    <w:rsid w:val="11927058"/>
    <w:rsid w:val="119B1117"/>
    <w:rsid w:val="11A173A4"/>
    <w:rsid w:val="11D66710"/>
    <w:rsid w:val="11D96B6A"/>
    <w:rsid w:val="11ED7882"/>
    <w:rsid w:val="12175D1C"/>
    <w:rsid w:val="12255C4E"/>
    <w:rsid w:val="12495CFE"/>
    <w:rsid w:val="12BE53D5"/>
    <w:rsid w:val="12D6397D"/>
    <w:rsid w:val="12DA501A"/>
    <w:rsid w:val="13136CAF"/>
    <w:rsid w:val="13282846"/>
    <w:rsid w:val="13467476"/>
    <w:rsid w:val="13474858"/>
    <w:rsid w:val="134A01C4"/>
    <w:rsid w:val="136046DE"/>
    <w:rsid w:val="136B70BF"/>
    <w:rsid w:val="13AF4F03"/>
    <w:rsid w:val="13E33FB5"/>
    <w:rsid w:val="13FA41EA"/>
    <w:rsid w:val="14585635"/>
    <w:rsid w:val="145A5893"/>
    <w:rsid w:val="14700951"/>
    <w:rsid w:val="14736E66"/>
    <w:rsid w:val="147F458F"/>
    <w:rsid w:val="149A267F"/>
    <w:rsid w:val="14B51C02"/>
    <w:rsid w:val="14D958EC"/>
    <w:rsid w:val="14EA0703"/>
    <w:rsid w:val="151B6F5F"/>
    <w:rsid w:val="1534169A"/>
    <w:rsid w:val="15595889"/>
    <w:rsid w:val="1559642E"/>
    <w:rsid w:val="156965FF"/>
    <w:rsid w:val="159515E7"/>
    <w:rsid w:val="15C03E03"/>
    <w:rsid w:val="162A25EB"/>
    <w:rsid w:val="165617D4"/>
    <w:rsid w:val="169A1CB5"/>
    <w:rsid w:val="16D55BF1"/>
    <w:rsid w:val="16FA26EF"/>
    <w:rsid w:val="16FD2A55"/>
    <w:rsid w:val="17067C1A"/>
    <w:rsid w:val="17334A86"/>
    <w:rsid w:val="17366761"/>
    <w:rsid w:val="173B5246"/>
    <w:rsid w:val="177C01F0"/>
    <w:rsid w:val="179B1E30"/>
    <w:rsid w:val="17BE3C0B"/>
    <w:rsid w:val="17CE6630"/>
    <w:rsid w:val="17F3390E"/>
    <w:rsid w:val="18241C46"/>
    <w:rsid w:val="182932F0"/>
    <w:rsid w:val="185A794E"/>
    <w:rsid w:val="188B5D59"/>
    <w:rsid w:val="18BB6F58"/>
    <w:rsid w:val="18E06179"/>
    <w:rsid w:val="191E6BCD"/>
    <w:rsid w:val="19277699"/>
    <w:rsid w:val="19397563"/>
    <w:rsid w:val="193C30DD"/>
    <w:rsid w:val="195919B3"/>
    <w:rsid w:val="196726E1"/>
    <w:rsid w:val="19726D35"/>
    <w:rsid w:val="19747EC9"/>
    <w:rsid w:val="197B4099"/>
    <w:rsid w:val="199D21E8"/>
    <w:rsid w:val="19A06872"/>
    <w:rsid w:val="19CD19A7"/>
    <w:rsid w:val="19E1631A"/>
    <w:rsid w:val="19FC5530"/>
    <w:rsid w:val="1A116315"/>
    <w:rsid w:val="1A2735AF"/>
    <w:rsid w:val="1A5B188C"/>
    <w:rsid w:val="1A630051"/>
    <w:rsid w:val="1ABA0AB0"/>
    <w:rsid w:val="1ADD4E2E"/>
    <w:rsid w:val="1AFF0AFE"/>
    <w:rsid w:val="1B4F19F8"/>
    <w:rsid w:val="1B8757E8"/>
    <w:rsid w:val="1BB71ADC"/>
    <w:rsid w:val="1BF47ED6"/>
    <w:rsid w:val="1C0849EB"/>
    <w:rsid w:val="1C0A168B"/>
    <w:rsid w:val="1C226F03"/>
    <w:rsid w:val="1C2B13C5"/>
    <w:rsid w:val="1CFF6188"/>
    <w:rsid w:val="1D1B2B05"/>
    <w:rsid w:val="1D322C47"/>
    <w:rsid w:val="1D661451"/>
    <w:rsid w:val="1DB72B29"/>
    <w:rsid w:val="1DDA4574"/>
    <w:rsid w:val="1E0B5246"/>
    <w:rsid w:val="1E186433"/>
    <w:rsid w:val="1E4A0332"/>
    <w:rsid w:val="1E7A2AF8"/>
    <w:rsid w:val="1E8976CC"/>
    <w:rsid w:val="1EA5586F"/>
    <w:rsid w:val="1EC94260"/>
    <w:rsid w:val="1ECC44FA"/>
    <w:rsid w:val="1EDD3A25"/>
    <w:rsid w:val="1F063325"/>
    <w:rsid w:val="1F506BF6"/>
    <w:rsid w:val="1F63358C"/>
    <w:rsid w:val="1F8B5981"/>
    <w:rsid w:val="1FBC5DF5"/>
    <w:rsid w:val="1FCA3917"/>
    <w:rsid w:val="1FF90588"/>
    <w:rsid w:val="1FFC0927"/>
    <w:rsid w:val="1FFE1506"/>
    <w:rsid w:val="20170100"/>
    <w:rsid w:val="204131A1"/>
    <w:rsid w:val="20564C98"/>
    <w:rsid w:val="20A57794"/>
    <w:rsid w:val="20B51BE8"/>
    <w:rsid w:val="20C3623F"/>
    <w:rsid w:val="20E51291"/>
    <w:rsid w:val="20EB4EDE"/>
    <w:rsid w:val="20F36F38"/>
    <w:rsid w:val="21010439"/>
    <w:rsid w:val="212154AC"/>
    <w:rsid w:val="215C6BD0"/>
    <w:rsid w:val="21781212"/>
    <w:rsid w:val="21B12F01"/>
    <w:rsid w:val="21B83F86"/>
    <w:rsid w:val="221178A8"/>
    <w:rsid w:val="221213CF"/>
    <w:rsid w:val="221462FC"/>
    <w:rsid w:val="2221772E"/>
    <w:rsid w:val="223030FB"/>
    <w:rsid w:val="22327A92"/>
    <w:rsid w:val="22525B39"/>
    <w:rsid w:val="22B65E5D"/>
    <w:rsid w:val="22BD1205"/>
    <w:rsid w:val="231D53A2"/>
    <w:rsid w:val="231E65FD"/>
    <w:rsid w:val="23270112"/>
    <w:rsid w:val="236D5383"/>
    <w:rsid w:val="23707E05"/>
    <w:rsid w:val="23847BDA"/>
    <w:rsid w:val="23930F8A"/>
    <w:rsid w:val="23931F66"/>
    <w:rsid w:val="23966749"/>
    <w:rsid w:val="23B7504C"/>
    <w:rsid w:val="241F37F9"/>
    <w:rsid w:val="24571307"/>
    <w:rsid w:val="247B3126"/>
    <w:rsid w:val="247B6876"/>
    <w:rsid w:val="24811302"/>
    <w:rsid w:val="24B2003E"/>
    <w:rsid w:val="24C83B11"/>
    <w:rsid w:val="24EA3E07"/>
    <w:rsid w:val="25110A2A"/>
    <w:rsid w:val="2524184E"/>
    <w:rsid w:val="25253091"/>
    <w:rsid w:val="256C0944"/>
    <w:rsid w:val="257302A1"/>
    <w:rsid w:val="25A612F0"/>
    <w:rsid w:val="26273B85"/>
    <w:rsid w:val="26446DE3"/>
    <w:rsid w:val="266210F7"/>
    <w:rsid w:val="269669E7"/>
    <w:rsid w:val="269A6433"/>
    <w:rsid w:val="26BE554B"/>
    <w:rsid w:val="26D7699F"/>
    <w:rsid w:val="27157103"/>
    <w:rsid w:val="277976C4"/>
    <w:rsid w:val="28097480"/>
    <w:rsid w:val="28505531"/>
    <w:rsid w:val="28845F20"/>
    <w:rsid w:val="288A1B89"/>
    <w:rsid w:val="28F12014"/>
    <w:rsid w:val="29072514"/>
    <w:rsid w:val="29345F99"/>
    <w:rsid w:val="29883BEF"/>
    <w:rsid w:val="298C68B0"/>
    <w:rsid w:val="29C20E3B"/>
    <w:rsid w:val="29C236B7"/>
    <w:rsid w:val="29D60DFE"/>
    <w:rsid w:val="2A155DC8"/>
    <w:rsid w:val="2A160DCD"/>
    <w:rsid w:val="2A222295"/>
    <w:rsid w:val="2A377AEF"/>
    <w:rsid w:val="2A490902"/>
    <w:rsid w:val="2A914A81"/>
    <w:rsid w:val="2AB4113F"/>
    <w:rsid w:val="2AF92266"/>
    <w:rsid w:val="2B6C604D"/>
    <w:rsid w:val="2B774624"/>
    <w:rsid w:val="2B7D1D5B"/>
    <w:rsid w:val="2BBD04C8"/>
    <w:rsid w:val="2BFF3B45"/>
    <w:rsid w:val="2C74623F"/>
    <w:rsid w:val="2C7A72BE"/>
    <w:rsid w:val="2C9A7D75"/>
    <w:rsid w:val="2CC17412"/>
    <w:rsid w:val="2CE16372"/>
    <w:rsid w:val="2CF061F0"/>
    <w:rsid w:val="2D1C6441"/>
    <w:rsid w:val="2D200D0E"/>
    <w:rsid w:val="2D5D68FB"/>
    <w:rsid w:val="2DAF4ED5"/>
    <w:rsid w:val="2E0072E4"/>
    <w:rsid w:val="2E093550"/>
    <w:rsid w:val="2E4A1CFB"/>
    <w:rsid w:val="2E4F390B"/>
    <w:rsid w:val="2E690143"/>
    <w:rsid w:val="2E7472D5"/>
    <w:rsid w:val="2E9976CE"/>
    <w:rsid w:val="2EBE64A0"/>
    <w:rsid w:val="2ECD473B"/>
    <w:rsid w:val="2EFD2812"/>
    <w:rsid w:val="2F097580"/>
    <w:rsid w:val="2F401D3C"/>
    <w:rsid w:val="2F436F36"/>
    <w:rsid w:val="2F5B24E1"/>
    <w:rsid w:val="2FA95C88"/>
    <w:rsid w:val="3041370F"/>
    <w:rsid w:val="3047388A"/>
    <w:rsid w:val="30717AD3"/>
    <w:rsid w:val="309319DA"/>
    <w:rsid w:val="30B958C3"/>
    <w:rsid w:val="310068E3"/>
    <w:rsid w:val="310F3573"/>
    <w:rsid w:val="311A3CC6"/>
    <w:rsid w:val="312100DD"/>
    <w:rsid w:val="312B50A3"/>
    <w:rsid w:val="31307046"/>
    <w:rsid w:val="3141557D"/>
    <w:rsid w:val="31572824"/>
    <w:rsid w:val="316867E0"/>
    <w:rsid w:val="31C54582"/>
    <w:rsid w:val="31D06CB2"/>
    <w:rsid w:val="32144BB9"/>
    <w:rsid w:val="32162DEF"/>
    <w:rsid w:val="323B24A6"/>
    <w:rsid w:val="32453A27"/>
    <w:rsid w:val="3263064A"/>
    <w:rsid w:val="32A43132"/>
    <w:rsid w:val="32A50A13"/>
    <w:rsid w:val="32AC0C06"/>
    <w:rsid w:val="32D830D5"/>
    <w:rsid w:val="330A24BE"/>
    <w:rsid w:val="331A5D10"/>
    <w:rsid w:val="33344EF5"/>
    <w:rsid w:val="334E7C57"/>
    <w:rsid w:val="33604AE7"/>
    <w:rsid w:val="338F229F"/>
    <w:rsid w:val="33CA6CA6"/>
    <w:rsid w:val="33FC66A1"/>
    <w:rsid w:val="34CA0C92"/>
    <w:rsid w:val="34E337E0"/>
    <w:rsid w:val="352944D8"/>
    <w:rsid w:val="3537750C"/>
    <w:rsid w:val="3537798C"/>
    <w:rsid w:val="353B0B1D"/>
    <w:rsid w:val="3550425D"/>
    <w:rsid w:val="3559679D"/>
    <w:rsid w:val="35A71476"/>
    <w:rsid w:val="35C13FC9"/>
    <w:rsid w:val="35C96403"/>
    <w:rsid w:val="35FF4289"/>
    <w:rsid w:val="360378C1"/>
    <w:rsid w:val="36140418"/>
    <w:rsid w:val="364257B6"/>
    <w:rsid w:val="364C2B74"/>
    <w:rsid w:val="367938E6"/>
    <w:rsid w:val="36820B2A"/>
    <w:rsid w:val="3749355A"/>
    <w:rsid w:val="374E1FA1"/>
    <w:rsid w:val="375A4E1C"/>
    <w:rsid w:val="376A0B9F"/>
    <w:rsid w:val="376A6847"/>
    <w:rsid w:val="377B42BF"/>
    <w:rsid w:val="37827AD3"/>
    <w:rsid w:val="379F6CD3"/>
    <w:rsid w:val="37BF7C16"/>
    <w:rsid w:val="37EA5922"/>
    <w:rsid w:val="37F45271"/>
    <w:rsid w:val="38194E02"/>
    <w:rsid w:val="38276B93"/>
    <w:rsid w:val="3842422E"/>
    <w:rsid w:val="386A46AA"/>
    <w:rsid w:val="38765E63"/>
    <w:rsid w:val="38A91CB0"/>
    <w:rsid w:val="38AC3431"/>
    <w:rsid w:val="38D278D2"/>
    <w:rsid w:val="39002C48"/>
    <w:rsid w:val="390A2617"/>
    <w:rsid w:val="39120257"/>
    <w:rsid w:val="392F2E16"/>
    <w:rsid w:val="3939074D"/>
    <w:rsid w:val="39561614"/>
    <w:rsid w:val="397B7CE1"/>
    <w:rsid w:val="39843F1B"/>
    <w:rsid w:val="39B63432"/>
    <w:rsid w:val="39E00529"/>
    <w:rsid w:val="3A0B64A7"/>
    <w:rsid w:val="3A23240F"/>
    <w:rsid w:val="3A3C4CAD"/>
    <w:rsid w:val="3A574DDA"/>
    <w:rsid w:val="3AD3075A"/>
    <w:rsid w:val="3AD67C38"/>
    <w:rsid w:val="3AEE222D"/>
    <w:rsid w:val="3AF479CD"/>
    <w:rsid w:val="3AF74C02"/>
    <w:rsid w:val="3B1F2605"/>
    <w:rsid w:val="3B8D61EA"/>
    <w:rsid w:val="3BF338AE"/>
    <w:rsid w:val="3C0059A5"/>
    <w:rsid w:val="3C134E78"/>
    <w:rsid w:val="3C8446EA"/>
    <w:rsid w:val="3C8C2BD9"/>
    <w:rsid w:val="3C9457F4"/>
    <w:rsid w:val="3C9A55ED"/>
    <w:rsid w:val="3D1C44CB"/>
    <w:rsid w:val="3D2E4D81"/>
    <w:rsid w:val="3D5F680A"/>
    <w:rsid w:val="3D8561E9"/>
    <w:rsid w:val="3DC7281A"/>
    <w:rsid w:val="3DD0408A"/>
    <w:rsid w:val="3DEC7285"/>
    <w:rsid w:val="3DF6345D"/>
    <w:rsid w:val="3E2B5515"/>
    <w:rsid w:val="3E4D4F28"/>
    <w:rsid w:val="3E56369D"/>
    <w:rsid w:val="3E973689"/>
    <w:rsid w:val="3EC05EAD"/>
    <w:rsid w:val="3ECA0ADA"/>
    <w:rsid w:val="3ED50677"/>
    <w:rsid w:val="3EE13701"/>
    <w:rsid w:val="3F1A4BB3"/>
    <w:rsid w:val="3F586868"/>
    <w:rsid w:val="3F5B702A"/>
    <w:rsid w:val="3F7212F9"/>
    <w:rsid w:val="3FDF6623"/>
    <w:rsid w:val="3FF40A19"/>
    <w:rsid w:val="40192BA6"/>
    <w:rsid w:val="407D1DB5"/>
    <w:rsid w:val="408847A8"/>
    <w:rsid w:val="40B4186A"/>
    <w:rsid w:val="40C81AA1"/>
    <w:rsid w:val="40F02833"/>
    <w:rsid w:val="4102348C"/>
    <w:rsid w:val="410444AD"/>
    <w:rsid w:val="41232FB4"/>
    <w:rsid w:val="41766EA9"/>
    <w:rsid w:val="4185309F"/>
    <w:rsid w:val="41DC7911"/>
    <w:rsid w:val="42550A18"/>
    <w:rsid w:val="425E62C1"/>
    <w:rsid w:val="42751A06"/>
    <w:rsid w:val="42983E7E"/>
    <w:rsid w:val="429D496A"/>
    <w:rsid w:val="42F205FF"/>
    <w:rsid w:val="42F473A1"/>
    <w:rsid w:val="431E31A2"/>
    <w:rsid w:val="43454BD3"/>
    <w:rsid w:val="436B696D"/>
    <w:rsid w:val="43776A66"/>
    <w:rsid w:val="43BE622F"/>
    <w:rsid w:val="43C834FC"/>
    <w:rsid w:val="43D67F21"/>
    <w:rsid w:val="441E62C0"/>
    <w:rsid w:val="4458653B"/>
    <w:rsid w:val="44B53DFD"/>
    <w:rsid w:val="44FB4520"/>
    <w:rsid w:val="451D22A5"/>
    <w:rsid w:val="452758A3"/>
    <w:rsid w:val="45325D14"/>
    <w:rsid w:val="45350C77"/>
    <w:rsid w:val="45787AD9"/>
    <w:rsid w:val="45811C7C"/>
    <w:rsid w:val="45906116"/>
    <w:rsid w:val="45C03E2F"/>
    <w:rsid w:val="45C36283"/>
    <w:rsid w:val="45D93CF8"/>
    <w:rsid w:val="46014343"/>
    <w:rsid w:val="461D64EA"/>
    <w:rsid w:val="46232FE2"/>
    <w:rsid w:val="46241300"/>
    <w:rsid w:val="464C17F0"/>
    <w:rsid w:val="465B470D"/>
    <w:rsid w:val="46783BE9"/>
    <w:rsid w:val="468B3EFB"/>
    <w:rsid w:val="46A240EA"/>
    <w:rsid w:val="46B53E1D"/>
    <w:rsid w:val="46D91331"/>
    <w:rsid w:val="46E36784"/>
    <w:rsid w:val="470A6193"/>
    <w:rsid w:val="473614B6"/>
    <w:rsid w:val="47374795"/>
    <w:rsid w:val="47385210"/>
    <w:rsid w:val="47D7401E"/>
    <w:rsid w:val="47D9768E"/>
    <w:rsid w:val="47DC4F5C"/>
    <w:rsid w:val="47F11CAA"/>
    <w:rsid w:val="47FA1954"/>
    <w:rsid w:val="47FE116F"/>
    <w:rsid w:val="485676FD"/>
    <w:rsid w:val="48684EBF"/>
    <w:rsid w:val="48743A5A"/>
    <w:rsid w:val="48756D84"/>
    <w:rsid w:val="48B40671"/>
    <w:rsid w:val="48D41EFB"/>
    <w:rsid w:val="48FB49C6"/>
    <w:rsid w:val="490746D8"/>
    <w:rsid w:val="490E5A67"/>
    <w:rsid w:val="49417959"/>
    <w:rsid w:val="49627B61"/>
    <w:rsid w:val="496E3D63"/>
    <w:rsid w:val="49712952"/>
    <w:rsid w:val="497E0E3E"/>
    <w:rsid w:val="499B5738"/>
    <w:rsid w:val="499F244D"/>
    <w:rsid w:val="49A473D7"/>
    <w:rsid w:val="49B16940"/>
    <w:rsid w:val="49DC45EE"/>
    <w:rsid w:val="4A000C95"/>
    <w:rsid w:val="4A5A6B4B"/>
    <w:rsid w:val="4A5E385D"/>
    <w:rsid w:val="4A973F3F"/>
    <w:rsid w:val="4AF96BC7"/>
    <w:rsid w:val="4B26714A"/>
    <w:rsid w:val="4B4B2FA2"/>
    <w:rsid w:val="4B4E7146"/>
    <w:rsid w:val="4B5A416B"/>
    <w:rsid w:val="4B862A85"/>
    <w:rsid w:val="4BF77BE9"/>
    <w:rsid w:val="4C5060F3"/>
    <w:rsid w:val="4C6228AF"/>
    <w:rsid w:val="4C6D049A"/>
    <w:rsid w:val="4CA8449F"/>
    <w:rsid w:val="4CEF36E2"/>
    <w:rsid w:val="4CEF4DC5"/>
    <w:rsid w:val="4CFC27BD"/>
    <w:rsid w:val="4D0F363C"/>
    <w:rsid w:val="4D1F1116"/>
    <w:rsid w:val="4D561373"/>
    <w:rsid w:val="4D79720C"/>
    <w:rsid w:val="4DA25CA9"/>
    <w:rsid w:val="4DBC0799"/>
    <w:rsid w:val="4E257655"/>
    <w:rsid w:val="4E3441C2"/>
    <w:rsid w:val="4E6948AF"/>
    <w:rsid w:val="4E8E7871"/>
    <w:rsid w:val="4E91682D"/>
    <w:rsid w:val="4E9465BD"/>
    <w:rsid w:val="4EBA7275"/>
    <w:rsid w:val="4ED019D0"/>
    <w:rsid w:val="4ED16069"/>
    <w:rsid w:val="4EDF7A50"/>
    <w:rsid w:val="4F0E0F77"/>
    <w:rsid w:val="4F372380"/>
    <w:rsid w:val="4F372FFB"/>
    <w:rsid w:val="4F496C51"/>
    <w:rsid w:val="4F766114"/>
    <w:rsid w:val="4F822D0B"/>
    <w:rsid w:val="4F8545A9"/>
    <w:rsid w:val="4FAE6A0C"/>
    <w:rsid w:val="4FFF00D5"/>
    <w:rsid w:val="501120A9"/>
    <w:rsid w:val="5025116D"/>
    <w:rsid w:val="502F5536"/>
    <w:rsid w:val="50504BB7"/>
    <w:rsid w:val="50B12FCF"/>
    <w:rsid w:val="50C869F5"/>
    <w:rsid w:val="513A4212"/>
    <w:rsid w:val="51423430"/>
    <w:rsid w:val="514942D6"/>
    <w:rsid w:val="515936F9"/>
    <w:rsid w:val="52235AA1"/>
    <w:rsid w:val="522602C5"/>
    <w:rsid w:val="52395ECD"/>
    <w:rsid w:val="52630155"/>
    <w:rsid w:val="52742C67"/>
    <w:rsid w:val="527453FE"/>
    <w:rsid w:val="527E3C5D"/>
    <w:rsid w:val="529E47B7"/>
    <w:rsid w:val="52C10D75"/>
    <w:rsid w:val="52E54374"/>
    <w:rsid w:val="52EA047F"/>
    <w:rsid w:val="52F061DD"/>
    <w:rsid w:val="53106941"/>
    <w:rsid w:val="53A20F7E"/>
    <w:rsid w:val="53A849CE"/>
    <w:rsid w:val="53AD074D"/>
    <w:rsid w:val="53C27FF8"/>
    <w:rsid w:val="53D12677"/>
    <w:rsid w:val="53EB72B9"/>
    <w:rsid w:val="53FC24E5"/>
    <w:rsid w:val="541779CD"/>
    <w:rsid w:val="54187E06"/>
    <w:rsid w:val="545B5596"/>
    <w:rsid w:val="548219A3"/>
    <w:rsid w:val="549C661D"/>
    <w:rsid w:val="549E1A80"/>
    <w:rsid w:val="54AA540E"/>
    <w:rsid w:val="54AA6712"/>
    <w:rsid w:val="54B6306A"/>
    <w:rsid w:val="54C658F4"/>
    <w:rsid w:val="54FE5C21"/>
    <w:rsid w:val="55056179"/>
    <w:rsid w:val="550C4BD7"/>
    <w:rsid w:val="554C1D56"/>
    <w:rsid w:val="55572986"/>
    <w:rsid w:val="55717AA9"/>
    <w:rsid w:val="55C062DD"/>
    <w:rsid w:val="562803B5"/>
    <w:rsid w:val="565340FA"/>
    <w:rsid w:val="56AD4960"/>
    <w:rsid w:val="56D61C4B"/>
    <w:rsid w:val="5723343E"/>
    <w:rsid w:val="572D6D10"/>
    <w:rsid w:val="5731614B"/>
    <w:rsid w:val="573D7EAB"/>
    <w:rsid w:val="577054E6"/>
    <w:rsid w:val="57760832"/>
    <w:rsid w:val="57D4431F"/>
    <w:rsid w:val="57D833C0"/>
    <w:rsid w:val="5825158A"/>
    <w:rsid w:val="58AD704A"/>
    <w:rsid w:val="58B33F35"/>
    <w:rsid w:val="596D4A2C"/>
    <w:rsid w:val="598D0C2A"/>
    <w:rsid w:val="599A1591"/>
    <w:rsid w:val="59A541C5"/>
    <w:rsid w:val="59B52281"/>
    <w:rsid w:val="59F2455A"/>
    <w:rsid w:val="59F45ADC"/>
    <w:rsid w:val="5A080CDF"/>
    <w:rsid w:val="5A2F2CC8"/>
    <w:rsid w:val="5A450C25"/>
    <w:rsid w:val="5A5F6122"/>
    <w:rsid w:val="5AB118F3"/>
    <w:rsid w:val="5ABB05D6"/>
    <w:rsid w:val="5ACC7530"/>
    <w:rsid w:val="5AD14B46"/>
    <w:rsid w:val="5ADF3244"/>
    <w:rsid w:val="5AE900E2"/>
    <w:rsid w:val="5AEB2E7B"/>
    <w:rsid w:val="5AFA67D1"/>
    <w:rsid w:val="5B2E4065"/>
    <w:rsid w:val="5B396172"/>
    <w:rsid w:val="5B4C6F62"/>
    <w:rsid w:val="5B690172"/>
    <w:rsid w:val="5B7A52B2"/>
    <w:rsid w:val="5B81671B"/>
    <w:rsid w:val="5B9A4534"/>
    <w:rsid w:val="5BA26962"/>
    <w:rsid w:val="5BD32F24"/>
    <w:rsid w:val="5BF037E6"/>
    <w:rsid w:val="5BF92507"/>
    <w:rsid w:val="5C10702D"/>
    <w:rsid w:val="5C112A3B"/>
    <w:rsid w:val="5C152601"/>
    <w:rsid w:val="5C207B33"/>
    <w:rsid w:val="5C23015E"/>
    <w:rsid w:val="5C235D21"/>
    <w:rsid w:val="5C317F92"/>
    <w:rsid w:val="5C591F03"/>
    <w:rsid w:val="5C8A1B2F"/>
    <w:rsid w:val="5CB662A0"/>
    <w:rsid w:val="5CB84210"/>
    <w:rsid w:val="5CC61D78"/>
    <w:rsid w:val="5CDA4186"/>
    <w:rsid w:val="5CF35248"/>
    <w:rsid w:val="5D1F6922"/>
    <w:rsid w:val="5D47038C"/>
    <w:rsid w:val="5D6D4FFA"/>
    <w:rsid w:val="5D7A4398"/>
    <w:rsid w:val="5D914004"/>
    <w:rsid w:val="5DEF79B1"/>
    <w:rsid w:val="5DF91193"/>
    <w:rsid w:val="5E2D6537"/>
    <w:rsid w:val="5E413FB1"/>
    <w:rsid w:val="5E9C32DA"/>
    <w:rsid w:val="5E9F008C"/>
    <w:rsid w:val="5EB86E1C"/>
    <w:rsid w:val="5EBB5D0C"/>
    <w:rsid w:val="5EC9161D"/>
    <w:rsid w:val="5F1561F9"/>
    <w:rsid w:val="5F36141C"/>
    <w:rsid w:val="5F385A23"/>
    <w:rsid w:val="5F3A53B0"/>
    <w:rsid w:val="5F561B72"/>
    <w:rsid w:val="5F9F3465"/>
    <w:rsid w:val="6017749F"/>
    <w:rsid w:val="601E438A"/>
    <w:rsid w:val="605E699D"/>
    <w:rsid w:val="606007BB"/>
    <w:rsid w:val="60684B6D"/>
    <w:rsid w:val="60736C6C"/>
    <w:rsid w:val="60840883"/>
    <w:rsid w:val="608D7581"/>
    <w:rsid w:val="60AC7F66"/>
    <w:rsid w:val="60BB08B2"/>
    <w:rsid w:val="60DB0A15"/>
    <w:rsid w:val="60E16518"/>
    <w:rsid w:val="61180520"/>
    <w:rsid w:val="61BF10D9"/>
    <w:rsid w:val="61DA3D4C"/>
    <w:rsid w:val="62053A53"/>
    <w:rsid w:val="622536FA"/>
    <w:rsid w:val="62AC22DC"/>
    <w:rsid w:val="62AE2CC6"/>
    <w:rsid w:val="62B6428F"/>
    <w:rsid w:val="637833E8"/>
    <w:rsid w:val="637C3161"/>
    <w:rsid w:val="639F4198"/>
    <w:rsid w:val="63E82BF5"/>
    <w:rsid w:val="640D6BEF"/>
    <w:rsid w:val="64140A0F"/>
    <w:rsid w:val="64236606"/>
    <w:rsid w:val="64AF64BE"/>
    <w:rsid w:val="64D974E8"/>
    <w:rsid w:val="64E45EF7"/>
    <w:rsid w:val="64EC60D4"/>
    <w:rsid w:val="651346D9"/>
    <w:rsid w:val="654A2704"/>
    <w:rsid w:val="65670581"/>
    <w:rsid w:val="656942F9"/>
    <w:rsid w:val="65C11652"/>
    <w:rsid w:val="65C43C25"/>
    <w:rsid w:val="65CF53C1"/>
    <w:rsid w:val="65DF6369"/>
    <w:rsid w:val="65EC03DB"/>
    <w:rsid w:val="66035E30"/>
    <w:rsid w:val="6691014E"/>
    <w:rsid w:val="669D2151"/>
    <w:rsid w:val="66B94F27"/>
    <w:rsid w:val="66C87CCE"/>
    <w:rsid w:val="67102742"/>
    <w:rsid w:val="677435B2"/>
    <w:rsid w:val="677B519E"/>
    <w:rsid w:val="67E33992"/>
    <w:rsid w:val="67EF75F1"/>
    <w:rsid w:val="680B47ED"/>
    <w:rsid w:val="68135840"/>
    <w:rsid w:val="68297840"/>
    <w:rsid w:val="6867722C"/>
    <w:rsid w:val="687A05CB"/>
    <w:rsid w:val="68B65AA7"/>
    <w:rsid w:val="68C31F72"/>
    <w:rsid w:val="68CB0E27"/>
    <w:rsid w:val="69124F16"/>
    <w:rsid w:val="69474951"/>
    <w:rsid w:val="694A5205"/>
    <w:rsid w:val="697F6E4E"/>
    <w:rsid w:val="69CD5C14"/>
    <w:rsid w:val="69CF0D33"/>
    <w:rsid w:val="69E9754E"/>
    <w:rsid w:val="6A344219"/>
    <w:rsid w:val="6A372754"/>
    <w:rsid w:val="6A3C435C"/>
    <w:rsid w:val="6A815C41"/>
    <w:rsid w:val="6AA10091"/>
    <w:rsid w:val="6AA302AD"/>
    <w:rsid w:val="6AF700F6"/>
    <w:rsid w:val="6B0B2DC2"/>
    <w:rsid w:val="6B1116BB"/>
    <w:rsid w:val="6B1D4517"/>
    <w:rsid w:val="6B2F0587"/>
    <w:rsid w:val="6B323C8F"/>
    <w:rsid w:val="6B3929BF"/>
    <w:rsid w:val="6B9946B3"/>
    <w:rsid w:val="6B9F73E2"/>
    <w:rsid w:val="6BB81B36"/>
    <w:rsid w:val="6C590853"/>
    <w:rsid w:val="6C5A30C7"/>
    <w:rsid w:val="6C657ECA"/>
    <w:rsid w:val="6C662189"/>
    <w:rsid w:val="6C697D82"/>
    <w:rsid w:val="6C7007C7"/>
    <w:rsid w:val="6CB7107A"/>
    <w:rsid w:val="6CC24780"/>
    <w:rsid w:val="6CD10672"/>
    <w:rsid w:val="6CD86DC4"/>
    <w:rsid w:val="6CFB4D33"/>
    <w:rsid w:val="6D0553EC"/>
    <w:rsid w:val="6D19264A"/>
    <w:rsid w:val="6D3C6797"/>
    <w:rsid w:val="6D4234EE"/>
    <w:rsid w:val="6D765805"/>
    <w:rsid w:val="6DAD31F1"/>
    <w:rsid w:val="6DAD4F9F"/>
    <w:rsid w:val="6DE76850"/>
    <w:rsid w:val="6E0332E1"/>
    <w:rsid w:val="6E192634"/>
    <w:rsid w:val="6E46680A"/>
    <w:rsid w:val="6E50697C"/>
    <w:rsid w:val="6E5863D5"/>
    <w:rsid w:val="6E5E4ED0"/>
    <w:rsid w:val="6E700447"/>
    <w:rsid w:val="6EBB65EF"/>
    <w:rsid w:val="6ED02ACD"/>
    <w:rsid w:val="6EDA5DFF"/>
    <w:rsid w:val="6F3C1C40"/>
    <w:rsid w:val="6F8F7097"/>
    <w:rsid w:val="6FB20BD4"/>
    <w:rsid w:val="6FB650F7"/>
    <w:rsid w:val="6FBA59BE"/>
    <w:rsid w:val="70296B3E"/>
    <w:rsid w:val="70430561"/>
    <w:rsid w:val="704C15F6"/>
    <w:rsid w:val="705D6DFA"/>
    <w:rsid w:val="70611204"/>
    <w:rsid w:val="70871AD7"/>
    <w:rsid w:val="708C3C73"/>
    <w:rsid w:val="708C533F"/>
    <w:rsid w:val="70BA3C5B"/>
    <w:rsid w:val="70D94A29"/>
    <w:rsid w:val="70E138DD"/>
    <w:rsid w:val="712E1B59"/>
    <w:rsid w:val="716E1595"/>
    <w:rsid w:val="7174128C"/>
    <w:rsid w:val="71950224"/>
    <w:rsid w:val="71B96477"/>
    <w:rsid w:val="71C15291"/>
    <w:rsid w:val="721750DD"/>
    <w:rsid w:val="721E38AB"/>
    <w:rsid w:val="728D73C4"/>
    <w:rsid w:val="72B41080"/>
    <w:rsid w:val="72CE7BDA"/>
    <w:rsid w:val="72D00517"/>
    <w:rsid w:val="72DD00D4"/>
    <w:rsid w:val="730524D8"/>
    <w:rsid w:val="73445350"/>
    <w:rsid w:val="736507F6"/>
    <w:rsid w:val="73677AAD"/>
    <w:rsid w:val="73965B34"/>
    <w:rsid w:val="73EA6A20"/>
    <w:rsid w:val="7451751C"/>
    <w:rsid w:val="746F45DB"/>
    <w:rsid w:val="7473679F"/>
    <w:rsid w:val="74A54C22"/>
    <w:rsid w:val="74B45395"/>
    <w:rsid w:val="74D14BF4"/>
    <w:rsid w:val="74FA2C30"/>
    <w:rsid w:val="75241FEA"/>
    <w:rsid w:val="75253E60"/>
    <w:rsid w:val="75260D08"/>
    <w:rsid w:val="754D5C4B"/>
    <w:rsid w:val="755D1755"/>
    <w:rsid w:val="755E3DA9"/>
    <w:rsid w:val="759C014B"/>
    <w:rsid w:val="75B852EB"/>
    <w:rsid w:val="7639113B"/>
    <w:rsid w:val="766340C1"/>
    <w:rsid w:val="76703C4B"/>
    <w:rsid w:val="7682521B"/>
    <w:rsid w:val="76C240A7"/>
    <w:rsid w:val="771A1CBB"/>
    <w:rsid w:val="7726501C"/>
    <w:rsid w:val="775246B7"/>
    <w:rsid w:val="775C3CBE"/>
    <w:rsid w:val="776C1AE0"/>
    <w:rsid w:val="77844FC2"/>
    <w:rsid w:val="77B30C03"/>
    <w:rsid w:val="77DF658B"/>
    <w:rsid w:val="77F4428A"/>
    <w:rsid w:val="781E059F"/>
    <w:rsid w:val="781E69D1"/>
    <w:rsid w:val="7828077E"/>
    <w:rsid w:val="783E33C3"/>
    <w:rsid w:val="783E5B94"/>
    <w:rsid w:val="788C07B6"/>
    <w:rsid w:val="78970267"/>
    <w:rsid w:val="78AC4EFA"/>
    <w:rsid w:val="78B341B0"/>
    <w:rsid w:val="78F26B58"/>
    <w:rsid w:val="796E31AB"/>
    <w:rsid w:val="79752E15"/>
    <w:rsid w:val="79775CD1"/>
    <w:rsid w:val="79782905"/>
    <w:rsid w:val="7A0E5C53"/>
    <w:rsid w:val="7A263B6B"/>
    <w:rsid w:val="7A653600"/>
    <w:rsid w:val="7AAD65DE"/>
    <w:rsid w:val="7ABB15E1"/>
    <w:rsid w:val="7ADA06AB"/>
    <w:rsid w:val="7AF46346"/>
    <w:rsid w:val="7AFA5AFF"/>
    <w:rsid w:val="7B0F5EBF"/>
    <w:rsid w:val="7B130FB9"/>
    <w:rsid w:val="7B5924F5"/>
    <w:rsid w:val="7B605096"/>
    <w:rsid w:val="7BA15101"/>
    <w:rsid w:val="7BB0282A"/>
    <w:rsid w:val="7BD007D6"/>
    <w:rsid w:val="7BD81D81"/>
    <w:rsid w:val="7BF64EDE"/>
    <w:rsid w:val="7C177570"/>
    <w:rsid w:val="7C205DEC"/>
    <w:rsid w:val="7C400C1E"/>
    <w:rsid w:val="7CA67789"/>
    <w:rsid w:val="7CC07442"/>
    <w:rsid w:val="7D1829E3"/>
    <w:rsid w:val="7D2D0A25"/>
    <w:rsid w:val="7D496493"/>
    <w:rsid w:val="7D5F3F21"/>
    <w:rsid w:val="7D822A6E"/>
    <w:rsid w:val="7DD11708"/>
    <w:rsid w:val="7DF546BF"/>
    <w:rsid w:val="7E0B665E"/>
    <w:rsid w:val="7E0C7AC0"/>
    <w:rsid w:val="7E1A3B8A"/>
    <w:rsid w:val="7E4E00D8"/>
    <w:rsid w:val="7E7202C2"/>
    <w:rsid w:val="7E727695"/>
    <w:rsid w:val="7E891110"/>
    <w:rsid w:val="7E9D09A6"/>
    <w:rsid w:val="7EB50157"/>
    <w:rsid w:val="7EBB3DB3"/>
    <w:rsid w:val="7EBD579E"/>
    <w:rsid w:val="7EC167BD"/>
    <w:rsid w:val="7ED1615C"/>
    <w:rsid w:val="7F272D9E"/>
    <w:rsid w:val="7F931C1D"/>
    <w:rsid w:val="7FB448BB"/>
    <w:rsid w:val="7FCA0371"/>
    <w:rsid w:val="7FCD1DBE"/>
    <w:rsid w:val="BCDD5F3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7"/>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36"/>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numPr>
        <w:ilvl w:val="3"/>
        <w:numId w:val="1"/>
      </w:numPr>
      <w:adjustRightInd w:val="0"/>
      <w:spacing w:before="280" w:beforeLines="0" w:after="290" w:afterLines="0" w:line="376" w:lineRule="atLeast"/>
      <w:jc w:val="left"/>
      <w:textAlignment w:val="baseline"/>
      <w:outlineLvl w:val="3"/>
    </w:pPr>
    <w:rPr>
      <w:rFonts w:ascii="Arial" w:hAnsi="Arial" w:eastAsia="黑体"/>
      <w:b/>
      <w:kern w:val="0"/>
      <w:sz w:val="28"/>
      <w:szCs w:val="20"/>
    </w:rPr>
  </w:style>
  <w:style w:type="paragraph" w:styleId="6">
    <w:name w:val="heading 5"/>
    <w:basedOn w:val="1"/>
    <w:next w:val="7"/>
    <w:link w:val="38"/>
    <w:qFormat/>
    <w:uiPriority w:val="9"/>
    <w:pPr>
      <w:keepNext/>
      <w:keepLines/>
      <w:spacing w:before="280" w:after="290" w:line="376" w:lineRule="auto"/>
      <w:outlineLvl w:val="4"/>
    </w:pPr>
    <w:rPr>
      <w:b/>
      <w:bCs/>
      <w:sz w:val="28"/>
      <w:szCs w:val="28"/>
    </w:rPr>
  </w:style>
  <w:style w:type="paragraph" w:styleId="8">
    <w:name w:val="heading 8"/>
    <w:basedOn w:val="1"/>
    <w:next w:val="1"/>
    <w:link w:val="39"/>
    <w:qFormat/>
    <w:uiPriority w:val="9"/>
    <w:pPr>
      <w:keepNext/>
      <w:keepLines/>
      <w:spacing w:before="240" w:after="64" w:line="320" w:lineRule="auto"/>
      <w:outlineLvl w:val="7"/>
    </w:pPr>
    <w:rPr>
      <w:rFonts w:ascii="等线 Light" w:hAnsi="等线 Light" w:eastAsia="等线 Light"/>
      <w:sz w:val="24"/>
    </w:rPr>
  </w:style>
  <w:style w:type="character" w:default="1" w:styleId="30">
    <w:name w:val="Default Paragraph Font"/>
    <w:unhideWhenUsed/>
    <w:qFormat/>
    <w:uiPriority w:val="1"/>
  </w:style>
  <w:style w:type="table" w:default="1" w:styleId="28">
    <w:name w:val="Normal Table"/>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9">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0">
    <w:name w:val="annotation text"/>
    <w:basedOn w:val="1"/>
    <w:link w:val="40"/>
    <w:qFormat/>
    <w:uiPriority w:val="0"/>
    <w:pPr>
      <w:jc w:val="left"/>
    </w:pPr>
  </w:style>
  <w:style w:type="paragraph" w:styleId="11">
    <w:name w:val="Body Text 3"/>
    <w:basedOn w:val="1"/>
    <w:link w:val="41"/>
    <w:unhideWhenUsed/>
    <w:qFormat/>
    <w:uiPriority w:val="99"/>
    <w:pPr>
      <w:spacing w:after="120"/>
    </w:pPr>
    <w:rPr>
      <w:sz w:val="16"/>
      <w:szCs w:val="16"/>
    </w:rPr>
  </w:style>
  <w:style w:type="paragraph" w:styleId="12">
    <w:name w:val="Body Text"/>
    <w:basedOn w:val="1"/>
    <w:link w:val="42"/>
    <w:unhideWhenUsed/>
    <w:qFormat/>
    <w:uiPriority w:val="0"/>
    <w:pPr>
      <w:spacing w:after="120"/>
    </w:pPr>
  </w:style>
  <w:style w:type="paragraph" w:styleId="13">
    <w:name w:val="Body Text Indent"/>
    <w:basedOn w:val="1"/>
    <w:link w:val="43"/>
    <w:qFormat/>
    <w:uiPriority w:val="0"/>
    <w:pPr>
      <w:ind w:firstLine="830" w:firstLineChars="352"/>
    </w:pPr>
    <w:rPr>
      <w:rFonts w:ascii="仿宋_GB2312" w:eastAsia="仿宋_GB2312"/>
      <w:kern w:val="0"/>
      <w:sz w:val="32"/>
      <w:szCs w:val="20"/>
    </w:rPr>
  </w:style>
  <w:style w:type="paragraph" w:styleId="14">
    <w:name w:val="List 2"/>
    <w:basedOn w:val="1"/>
    <w:unhideWhenUsed/>
    <w:qFormat/>
    <w:uiPriority w:val="99"/>
    <w:pPr>
      <w:ind w:left="100" w:leftChars="200" w:hanging="200" w:hangingChars="200"/>
      <w:contextualSpacing/>
    </w:pPr>
  </w:style>
  <w:style w:type="paragraph" w:styleId="15">
    <w:name w:val="toc 3"/>
    <w:basedOn w:val="1"/>
    <w:next w:val="1"/>
    <w:unhideWhenUsed/>
    <w:qFormat/>
    <w:uiPriority w:val="39"/>
    <w:pPr>
      <w:ind w:left="840" w:leftChars="400"/>
    </w:pPr>
  </w:style>
  <w:style w:type="paragraph" w:styleId="16">
    <w:name w:val="Plain Text"/>
    <w:basedOn w:val="1"/>
    <w:next w:val="5"/>
    <w:link w:val="44"/>
    <w:qFormat/>
    <w:uiPriority w:val="0"/>
    <w:rPr>
      <w:rFonts w:ascii="宋体" w:hAnsi="Courier New"/>
      <w:kern w:val="0"/>
      <w:sz w:val="20"/>
      <w:szCs w:val="21"/>
    </w:rPr>
  </w:style>
  <w:style w:type="paragraph" w:styleId="17">
    <w:name w:val="Date"/>
    <w:basedOn w:val="1"/>
    <w:next w:val="1"/>
    <w:link w:val="45"/>
    <w:unhideWhenUsed/>
    <w:qFormat/>
    <w:uiPriority w:val="99"/>
    <w:pPr>
      <w:ind w:left="100" w:leftChars="2500"/>
    </w:pPr>
  </w:style>
  <w:style w:type="paragraph" w:styleId="18">
    <w:name w:val="Balloon Text"/>
    <w:basedOn w:val="1"/>
    <w:semiHidden/>
    <w:qFormat/>
    <w:uiPriority w:val="0"/>
    <w:rPr>
      <w:sz w:val="18"/>
      <w:szCs w:val="18"/>
    </w:rPr>
  </w:style>
  <w:style w:type="paragraph" w:styleId="19">
    <w:name w:val="footer"/>
    <w:basedOn w:val="1"/>
    <w:next w:val="20"/>
    <w:link w:val="46"/>
    <w:unhideWhenUsed/>
    <w:qFormat/>
    <w:uiPriority w:val="99"/>
    <w:pPr>
      <w:tabs>
        <w:tab w:val="center" w:pos="4153"/>
        <w:tab w:val="right" w:pos="8306"/>
      </w:tabs>
      <w:snapToGrid w:val="0"/>
      <w:jc w:val="left"/>
    </w:pPr>
    <w:rPr>
      <w:kern w:val="0"/>
      <w:sz w:val="18"/>
      <w:szCs w:val="18"/>
    </w:rPr>
  </w:style>
  <w:style w:type="paragraph" w:styleId="20">
    <w:name w:val="Intense Quote"/>
    <w:next w:val="1"/>
    <w:qFormat/>
    <w:uiPriority w:val="0"/>
    <w:pPr>
      <w:wordWrap w:val="0"/>
      <w:spacing w:before="360" w:after="360"/>
      <w:ind w:left="950" w:right="950"/>
      <w:jc w:val="center"/>
    </w:pPr>
    <w:rPr>
      <w:rFonts w:ascii="Calibri" w:hAnsi="Calibri" w:eastAsia="宋体" w:cs="Times New Roman"/>
      <w:i/>
      <w:sz w:val="21"/>
      <w:lang w:val="en-US" w:eastAsia="zh-CN" w:bidi="ar-SA"/>
    </w:rPr>
  </w:style>
  <w:style w:type="paragraph" w:styleId="21">
    <w:name w:val="header"/>
    <w:basedOn w:val="1"/>
    <w:link w:val="47"/>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22">
    <w:name w:val="toc 1"/>
    <w:basedOn w:val="1"/>
    <w:next w:val="1"/>
    <w:unhideWhenUsed/>
    <w:qFormat/>
    <w:uiPriority w:val="39"/>
  </w:style>
  <w:style w:type="paragraph" w:styleId="23">
    <w:name w:val="List"/>
    <w:basedOn w:val="1"/>
    <w:unhideWhenUsed/>
    <w:qFormat/>
    <w:uiPriority w:val="99"/>
    <w:pPr>
      <w:ind w:left="200" w:hanging="200" w:hangingChars="200"/>
      <w:contextualSpacing/>
    </w:pPr>
  </w:style>
  <w:style w:type="paragraph" w:styleId="24">
    <w:name w:val="toc 2"/>
    <w:basedOn w:val="1"/>
    <w:next w:val="1"/>
    <w:unhideWhenUsed/>
    <w:qFormat/>
    <w:uiPriority w:val="39"/>
    <w:pPr>
      <w:tabs>
        <w:tab w:val="right" w:leader="dot" w:pos="8296"/>
      </w:tabs>
      <w:ind w:left="420" w:leftChars="200"/>
    </w:pPr>
  </w:style>
  <w:style w:type="paragraph" w:styleId="25">
    <w:name w:val="Normal (Web)"/>
    <w:basedOn w:val="1"/>
    <w:unhideWhenUsed/>
    <w:qFormat/>
    <w:uiPriority w:val="99"/>
    <w:pPr>
      <w:spacing w:before="0" w:beforeAutospacing="0" w:after="0" w:afterAutospacing="0"/>
      <w:ind w:left="0" w:right="0"/>
      <w:jc w:val="both"/>
    </w:pPr>
    <w:rPr>
      <w:rFonts w:hint="default" w:ascii="Calibri" w:hAnsi="Calibri" w:cs="Calibri"/>
      <w:kern w:val="0"/>
      <w:sz w:val="24"/>
      <w:szCs w:val="24"/>
      <w:lang w:val="en-US" w:eastAsia="zh-CN" w:bidi="ar"/>
    </w:rPr>
  </w:style>
  <w:style w:type="paragraph" w:styleId="26">
    <w:name w:val="Title"/>
    <w:basedOn w:val="1"/>
    <w:qFormat/>
    <w:uiPriority w:val="10"/>
    <w:pPr>
      <w:widowControl/>
      <w:overflowPunct w:val="0"/>
      <w:autoSpaceDE w:val="0"/>
      <w:autoSpaceDN w:val="0"/>
      <w:adjustRightInd w:val="0"/>
      <w:jc w:val="center"/>
      <w:textAlignment w:val="baseline"/>
    </w:pPr>
    <w:rPr>
      <w:rFonts w:ascii="Cambria" w:hAnsi="Cambria"/>
      <w:b/>
      <w:bCs/>
      <w:sz w:val="32"/>
      <w:szCs w:val="32"/>
    </w:rPr>
  </w:style>
  <w:style w:type="paragraph" w:styleId="27">
    <w:name w:val="annotation subject"/>
    <w:basedOn w:val="10"/>
    <w:next w:val="10"/>
    <w:link w:val="48"/>
    <w:qFormat/>
    <w:uiPriority w:val="99"/>
    <w:rPr>
      <w:b/>
      <w:bCs/>
    </w:rPr>
  </w:style>
  <w:style w:type="table" w:styleId="29">
    <w:name w:val="Table Grid"/>
    <w:basedOn w:val="2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1">
    <w:name w:val="Strong"/>
    <w:basedOn w:val="30"/>
    <w:qFormat/>
    <w:uiPriority w:val="22"/>
    <w:rPr>
      <w:b/>
    </w:rPr>
  </w:style>
  <w:style w:type="character" w:styleId="32">
    <w:name w:val="endnote reference"/>
    <w:unhideWhenUsed/>
    <w:qFormat/>
    <w:uiPriority w:val="99"/>
    <w:rPr>
      <w:vertAlign w:val="superscript"/>
    </w:rPr>
  </w:style>
  <w:style w:type="character" w:styleId="33">
    <w:name w:val="Hyperlink"/>
    <w:unhideWhenUsed/>
    <w:qFormat/>
    <w:uiPriority w:val="99"/>
    <w:rPr>
      <w:color w:val="0000FF"/>
      <w:u w:val="single"/>
    </w:rPr>
  </w:style>
  <w:style w:type="character" w:styleId="34">
    <w:name w:val="annotation reference"/>
    <w:qFormat/>
    <w:uiPriority w:val="99"/>
    <w:rPr>
      <w:sz w:val="21"/>
      <w:szCs w:val="21"/>
    </w:rPr>
  </w:style>
  <w:style w:type="character" w:customStyle="1" w:styleId="35">
    <w:name w:val="标题 1 Char"/>
    <w:link w:val="2"/>
    <w:qFormat/>
    <w:uiPriority w:val="9"/>
    <w:rPr>
      <w:b/>
      <w:bCs/>
      <w:kern w:val="44"/>
      <w:sz w:val="44"/>
      <w:szCs w:val="44"/>
    </w:rPr>
  </w:style>
  <w:style w:type="character" w:customStyle="1" w:styleId="36">
    <w:name w:val="标题 3 Char"/>
    <w:link w:val="4"/>
    <w:semiHidden/>
    <w:qFormat/>
    <w:uiPriority w:val="9"/>
    <w:rPr>
      <w:b/>
      <w:bCs/>
      <w:kern w:val="2"/>
      <w:sz w:val="32"/>
      <w:szCs w:val="32"/>
    </w:rPr>
  </w:style>
  <w:style w:type="character" w:customStyle="1" w:styleId="37">
    <w:name w:val="标题 2 Char1"/>
    <w:link w:val="3"/>
    <w:qFormat/>
    <w:uiPriority w:val="9"/>
    <w:rPr>
      <w:rFonts w:ascii="Cambria" w:hAnsi="Cambria" w:eastAsia="宋体" w:cs="Times New Roman"/>
      <w:b/>
      <w:bCs/>
      <w:kern w:val="2"/>
      <w:sz w:val="32"/>
      <w:szCs w:val="32"/>
    </w:rPr>
  </w:style>
  <w:style w:type="character" w:customStyle="1" w:styleId="38">
    <w:name w:val="标题 5 Char"/>
    <w:link w:val="6"/>
    <w:qFormat/>
    <w:uiPriority w:val="9"/>
    <w:rPr>
      <w:rFonts w:ascii="Times New Roman" w:hAnsi="Times New Roman"/>
      <w:b/>
      <w:bCs/>
      <w:kern w:val="2"/>
      <w:sz w:val="28"/>
      <w:szCs w:val="28"/>
    </w:rPr>
  </w:style>
  <w:style w:type="character" w:customStyle="1" w:styleId="39">
    <w:name w:val="标题 8 Char1"/>
    <w:link w:val="8"/>
    <w:semiHidden/>
    <w:qFormat/>
    <w:uiPriority w:val="9"/>
    <w:rPr>
      <w:rFonts w:ascii="等线 Light" w:hAnsi="等线 Light" w:eastAsia="等线 Light" w:cs="Times New Roman"/>
      <w:kern w:val="2"/>
      <w:sz w:val="24"/>
      <w:szCs w:val="24"/>
    </w:rPr>
  </w:style>
  <w:style w:type="character" w:customStyle="1" w:styleId="40">
    <w:name w:val="批注文字 Char1"/>
    <w:link w:val="10"/>
    <w:qFormat/>
    <w:uiPriority w:val="0"/>
    <w:rPr>
      <w:rFonts w:ascii="Times New Roman" w:hAnsi="Times New Roman"/>
      <w:kern w:val="2"/>
      <w:sz w:val="21"/>
      <w:szCs w:val="24"/>
    </w:rPr>
  </w:style>
  <w:style w:type="character" w:customStyle="1" w:styleId="41">
    <w:name w:val="正文文本 3 Char"/>
    <w:link w:val="11"/>
    <w:semiHidden/>
    <w:qFormat/>
    <w:uiPriority w:val="99"/>
    <w:rPr>
      <w:kern w:val="2"/>
      <w:sz w:val="16"/>
      <w:szCs w:val="16"/>
    </w:rPr>
  </w:style>
  <w:style w:type="character" w:customStyle="1" w:styleId="42">
    <w:name w:val="正文文本 Char1"/>
    <w:link w:val="12"/>
    <w:qFormat/>
    <w:uiPriority w:val="0"/>
    <w:rPr>
      <w:rFonts w:ascii="Times New Roman" w:hAnsi="Times New Roman"/>
      <w:kern w:val="2"/>
      <w:sz w:val="21"/>
      <w:szCs w:val="24"/>
    </w:rPr>
  </w:style>
  <w:style w:type="character" w:customStyle="1" w:styleId="43">
    <w:name w:val="正文文本缩进 Char"/>
    <w:link w:val="13"/>
    <w:qFormat/>
    <w:uiPriority w:val="0"/>
    <w:rPr>
      <w:rFonts w:ascii="仿宋_GB2312" w:hAnsi="Times New Roman" w:eastAsia="仿宋_GB2312" w:cs="Times New Roman"/>
      <w:sz w:val="32"/>
      <w:szCs w:val="20"/>
    </w:rPr>
  </w:style>
  <w:style w:type="character" w:customStyle="1" w:styleId="44">
    <w:name w:val="纯文本 Char1"/>
    <w:link w:val="16"/>
    <w:qFormat/>
    <w:uiPriority w:val="0"/>
    <w:rPr>
      <w:rFonts w:ascii="宋体" w:hAnsi="Courier New" w:eastAsia="宋体" w:cs="Courier New"/>
      <w:szCs w:val="21"/>
    </w:rPr>
  </w:style>
  <w:style w:type="character" w:customStyle="1" w:styleId="45">
    <w:name w:val="日期 Char"/>
    <w:link w:val="17"/>
    <w:semiHidden/>
    <w:qFormat/>
    <w:uiPriority w:val="99"/>
    <w:rPr>
      <w:rFonts w:ascii="Times New Roman" w:hAnsi="Times New Roman"/>
      <w:kern w:val="2"/>
      <w:sz w:val="21"/>
      <w:szCs w:val="24"/>
    </w:rPr>
  </w:style>
  <w:style w:type="character" w:customStyle="1" w:styleId="46">
    <w:name w:val="页脚 Char"/>
    <w:link w:val="19"/>
    <w:qFormat/>
    <w:uiPriority w:val="99"/>
    <w:rPr>
      <w:sz w:val="18"/>
      <w:szCs w:val="18"/>
    </w:rPr>
  </w:style>
  <w:style w:type="character" w:customStyle="1" w:styleId="47">
    <w:name w:val="页眉 Char"/>
    <w:link w:val="21"/>
    <w:qFormat/>
    <w:uiPriority w:val="0"/>
    <w:rPr>
      <w:sz w:val="18"/>
      <w:szCs w:val="18"/>
    </w:rPr>
  </w:style>
  <w:style w:type="character" w:customStyle="1" w:styleId="48">
    <w:name w:val="批注主题 Char"/>
    <w:link w:val="27"/>
    <w:qFormat/>
    <w:uiPriority w:val="99"/>
    <w:rPr>
      <w:rFonts w:ascii="Times New Roman" w:hAnsi="Times New Roman"/>
      <w:b/>
      <w:bCs/>
      <w:kern w:val="2"/>
      <w:sz w:val="21"/>
      <w:szCs w:val="24"/>
    </w:rPr>
  </w:style>
  <w:style w:type="character" w:customStyle="1" w:styleId="49">
    <w:name w:val="纯文本 字符2"/>
    <w:qFormat/>
    <w:uiPriority w:val="0"/>
    <w:rPr>
      <w:rFonts w:ascii="宋体" w:hAnsi="Courier New" w:eastAsia="宋体" w:cs="Courier New"/>
      <w:szCs w:val="21"/>
    </w:rPr>
  </w:style>
  <w:style w:type="character" w:customStyle="1" w:styleId="50">
    <w:name w:val="apple-style-span"/>
    <w:qFormat/>
    <w:uiPriority w:val="0"/>
  </w:style>
  <w:style w:type="character" w:customStyle="1" w:styleId="51">
    <w:name w:val="标题 2 Char"/>
    <w:qFormat/>
    <w:uiPriority w:val="9"/>
    <w:rPr>
      <w:rFonts w:ascii="Cambria" w:hAnsi="Cambria" w:eastAsia="宋体" w:cs="Times New Roman"/>
      <w:b/>
      <w:bCs/>
      <w:kern w:val="2"/>
      <w:sz w:val="32"/>
      <w:szCs w:val="32"/>
    </w:rPr>
  </w:style>
  <w:style w:type="character" w:customStyle="1" w:styleId="52">
    <w:name w:val="纯文本 字符"/>
    <w:qFormat/>
    <w:uiPriority w:val="0"/>
    <w:rPr>
      <w:rFonts w:ascii="宋体" w:hAnsi="Courier New" w:eastAsia="宋体" w:cs="Courier New"/>
      <w:szCs w:val="21"/>
    </w:rPr>
  </w:style>
  <w:style w:type="character" w:customStyle="1" w:styleId="53">
    <w:name w:val="纯文本 字符1"/>
    <w:qFormat/>
    <w:uiPriority w:val="0"/>
    <w:rPr>
      <w:rFonts w:ascii="宋体" w:hAnsi="Courier New"/>
    </w:rPr>
  </w:style>
  <w:style w:type="character" w:customStyle="1" w:styleId="54">
    <w:name w:val="标题 8 Char"/>
    <w:qFormat/>
    <w:uiPriority w:val="0"/>
    <w:rPr>
      <w:rFonts w:ascii="Arial" w:hAnsi="Arial" w:eastAsia="黑体"/>
      <w:kern w:val="2"/>
      <w:sz w:val="24"/>
      <w:szCs w:val="24"/>
    </w:rPr>
  </w:style>
  <w:style w:type="character" w:customStyle="1" w:styleId="55">
    <w:name w:val="纯文本 Char"/>
    <w:qFormat/>
    <w:uiPriority w:val="99"/>
    <w:rPr>
      <w:rFonts w:ascii="宋体" w:hAnsi="Courier New" w:eastAsia="宋体" w:cs="Courier New"/>
      <w:szCs w:val="21"/>
    </w:rPr>
  </w:style>
  <w:style w:type="character" w:customStyle="1" w:styleId="56">
    <w:name w:val="正文文本 Char"/>
    <w:qFormat/>
    <w:uiPriority w:val="0"/>
    <w:rPr>
      <w:rFonts w:ascii="Times New Roman" w:hAnsi="Times New Roman"/>
      <w:kern w:val="2"/>
      <w:sz w:val="21"/>
      <w:szCs w:val="24"/>
    </w:rPr>
  </w:style>
  <w:style w:type="character" w:customStyle="1" w:styleId="57">
    <w:name w:val="批注文字 字符1"/>
    <w:qFormat/>
    <w:uiPriority w:val="0"/>
    <w:rPr>
      <w:rFonts w:ascii="Times New Roman" w:hAnsi="Times New Roman"/>
      <w:kern w:val="2"/>
      <w:sz w:val="21"/>
      <w:szCs w:val="24"/>
    </w:rPr>
  </w:style>
  <w:style w:type="character" w:customStyle="1" w:styleId="58">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59">
    <w:name w:val="标题 1 字符1"/>
    <w:qFormat/>
    <w:uiPriority w:val="0"/>
    <w:rPr>
      <w:b/>
      <w:bCs/>
      <w:kern w:val="44"/>
      <w:sz w:val="44"/>
      <w:szCs w:val="44"/>
    </w:rPr>
  </w:style>
  <w:style w:type="character" w:customStyle="1" w:styleId="60">
    <w:name w:val="正文文本 字符"/>
    <w:qFormat/>
    <w:uiPriority w:val="0"/>
    <w:rPr>
      <w:rFonts w:ascii="Times New Roman" w:hAnsi="Times New Roman"/>
      <w:kern w:val="2"/>
      <w:sz w:val="21"/>
      <w:szCs w:val="24"/>
    </w:rPr>
  </w:style>
  <w:style w:type="character" w:customStyle="1" w:styleId="61">
    <w:name w:val="批注文字 字符"/>
    <w:qFormat/>
    <w:uiPriority w:val="0"/>
    <w:rPr>
      <w:rFonts w:ascii="Times New Roman" w:hAnsi="Times New Roman"/>
      <w:kern w:val="2"/>
      <w:sz w:val="21"/>
      <w:szCs w:val="24"/>
    </w:rPr>
  </w:style>
  <w:style w:type="character" w:customStyle="1" w:styleId="62">
    <w:name w:val="textcontents"/>
    <w:qFormat/>
    <w:uiPriority w:val="0"/>
  </w:style>
  <w:style w:type="character" w:customStyle="1" w:styleId="63">
    <w:name w:val="批注文字 Char"/>
    <w:qFormat/>
    <w:uiPriority w:val="99"/>
    <w:rPr>
      <w:rFonts w:ascii="Times New Roman" w:hAnsi="Times New Roman"/>
      <w:kern w:val="2"/>
      <w:sz w:val="21"/>
      <w:szCs w:val="24"/>
    </w:rPr>
  </w:style>
  <w:style w:type="paragraph" w:customStyle="1" w:styleId="64">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styleId="65">
    <w:name w:val="List Paragraph"/>
    <w:basedOn w:val="1"/>
    <w:qFormat/>
    <w:uiPriority w:val="34"/>
    <w:pPr>
      <w:ind w:firstLine="420" w:firstLineChars="200"/>
    </w:pPr>
  </w:style>
  <w:style w:type="paragraph" w:customStyle="1" w:styleId="66">
    <w:name w:val="默认段落字体 Para Char Char Char Char Char Char Char Char Char1 Char Char Char Char"/>
    <w:basedOn w:val="1"/>
    <w:qFormat/>
    <w:uiPriority w:val="0"/>
    <w:rPr>
      <w:rFonts w:ascii="Tahoma" w:hAnsi="Tahoma"/>
      <w:sz w:val="24"/>
      <w:szCs w:val="20"/>
    </w:rPr>
  </w:style>
  <w:style w:type="paragraph" w:customStyle="1" w:styleId="67">
    <w:name w:val="Table Paragraph"/>
    <w:basedOn w:val="1"/>
    <w:qFormat/>
    <w:uiPriority w:val="1"/>
    <w:pPr>
      <w:jc w:val="left"/>
    </w:pPr>
    <w:rPr>
      <w:rFonts w:ascii="Calibri" w:hAnsi="Calibri"/>
      <w:kern w:val="0"/>
      <w:sz w:val="22"/>
      <w:szCs w:val="22"/>
      <w:lang w:eastAsia="en-US"/>
    </w:rPr>
  </w:style>
  <w:style w:type="paragraph" w:customStyle="1" w:styleId="68">
    <w:name w:val="Char Char Char Char"/>
    <w:basedOn w:val="1"/>
    <w:qFormat/>
    <w:uiPriority w:val="0"/>
    <w:pPr>
      <w:widowControl/>
      <w:spacing w:after="160" w:line="240" w:lineRule="exact"/>
      <w:jc w:val="left"/>
    </w:pPr>
  </w:style>
  <w:style w:type="character" w:customStyle="1" w:styleId="69">
    <w:name w:val="未处理的提及"/>
    <w:unhideWhenUsed/>
    <w:qFormat/>
    <w:uiPriority w:val="99"/>
    <w:rPr>
      <w:color w:val="605E5C"/>
      <w:shd w:val="clear" w:color="auto" w:fill="E1DFDD"/>
    </w:rPr>
  </w:style>
  <w:style w:type="paragraph" w:customStyle="1" w:styleId="70">
    <w:name w:val="_Style 69"/>
    <w:basedOn w:val="2"/>
    <w:next w:val="1"/>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lang w:val="en-US" w:eastAsia="zh-CN"/>
    </w:rPr>
  </w:style>
  <w:style w:type="character" w:customStyle="1" w:styleId="71">
    <w:name w:val="正文2 Char Char"/>
    <w:link w:val="72"/>
    <w:qFormat/>
    <w:uiPriority w:val="0"/>
    <w:rPr>
      <w:sz w:val="24"/>
    </w:rPr>
  </w:style>
  <w:style w:type="paragraph" w:customStyle="1" w:styleId="72">
    <w:name w:val="正文2"/>
    <w:basedOn w:val="1"/>
    <w:link w:val="71"/>
    <w:qFormat/>
    <w:uiPriority w:val="0"/>
    <w:pPr>
      <w:adjustRightInd w:val="0"/>
      <w:spacing w:before="156" w:line="360" w:lineRule="auto"/>
      <w:ind w:firstLine="510" w:firstLineChars="200"/>
    </w:pPr>
    <w:rPr>
      <w:kern w:val="0"/>
      <w:sz w:val="24"/>
      <w:szCs w:val="20"/>
    </w:rPr>
  </w:style>
  <w:style w:type="paragraph" w:customStyle="1" w:styleId="73">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74">
    <w:name w:val="正文缩进1"/>
    <w:basedOn w:val="1"/>
    <w:next w:val="13"/>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75">
    <w:name w:val="Normal"/>
    <w:basedOn w:val="1"/>
    <w:qFormat/>
    <w:uiPriority w:val="0"/>
    <w:pPr>
      <w:widowControl/>
    </w:pPr>
    <w:rPr>
      <w:szCs w:val="21"/>
    </w:rPr>
  </w:style>
  <w:style w:type="paragraph" w:customStyle="1" w:styleId="76">
    <w:name w:val="纯文本1"/>
    <w:basedOn w:val="1"/>
    <w:qFormat/>
    <w:uiPriority w:val="0"/>
    <w:pPr>
      <w:suppressAutoHyphens/>
    </w:pPr>
    <w:rPr>
      <w:rFonts w:ascii="宋体" w:hAnsi="宋体" w:cs="Calibri"/>
      <w:sz w:val="20"/>
      <w:szCs w:val="20"/>
    </w:rPr>
  </w:style>
  <w:style w:type="paragraph" w:customStyle="1" w:styleId="77">
    <w:name w:val="表格文字"/>
    <w:basedOn w:val="1"/>
    <w:qFormat/>
    <w:uiPriority w:val="99"/>
    <w:pPr>
      <w:spacing w:before="25" w:after="25"/>
      <w:jc w:val="left"/>
    </w:pPr>
    <w:rPr>
      <w:bCs/>
      <w:spacing w:val="10"/>
      <w:kern w:val="0"/>
      <w:sz w:val="24"/>
    </w:rPr>
  </w:style>
  <w:style w:type="paragraph" w:customStyle="1" w:styleId="78">
    <w:name w:val="_Style 2"/>
    <w:basedOn w:val="1"/>
    <w:qFormat/>
    <w:uiPriority w:val="0"/>
    <w:pPr>
      <w:ind w:firstLine="420" w:firstLineChars="200"/>
    </w:pPr>
    <w:rPr>
      <w:szCs w:val="20"/>
    </w:rPr>
  </w:style>
  <w:style w:type="table" w:customStyle="1" w:styleId="79">
    <w:name w:val="Table Normal"/>
    <w:unhideWhenUsed/>
    <w:qFormat/>
    <w:uiPriority w:val="0"/>
    <w:rPr>
      <w:rFonts w:ascii="Arial" w:hAnsi="Arial" w:cs="Arial"/>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广西云龙招标有限公司</Company>
  <Pages>103</Pages>
  <Words>15564</Words>
  <Characters>17166</Characters>
  <Lines>2229</Lines>
  <Paragraphs>2100</Paragraphs>
  <TotalTime>22</TotalTime>
  <ScaleCrop>false</ScaleCrop>
  <LinksUpToDate>false</LinksUpToDate>
  <CharactersWithSpaces>17299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2021-08-17T12:20:00Z</dcterms:created>
  <dc:creator>唐冰</dc:creator>
  <cp:lastModifiedBy>资料</cp:lastModifiedBy>
  <cp:lastPrinted>2025-05-12T08:46:00Z</cp:lastPrinted>
  <dcterms:modified xsi:type="dcterms:W3CDTF">2025-05-12T09:17:07Z</dcterms:modified>
  <dc:title>竞争性谈判文件规范</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04D6A8A2625440F8A6B3C6E0C6633F18_13</vt:lpwstr>
  </property>
  <property fmtid="{D5CDD505-2E9C-101B-9397-08002B2CF9AE}" pid="4" name="KSOTemplateDocerSaveRecord">
    <vt:lpwstr>eyJoZGlkIjoiZTliMjZlOWUyMzY5ZjM4NmI3NTNhNDQwOGU1MDA5YzEiLCJ1c2VySWQiOiIxMjEzMTkwMDMyIn0=</vt:lpwstr>
  </property>
</Properties>
</file>