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36A82">
      <w:pPr>
        <w:pStyle w:val="13"/>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14:paraId="2AA77739">
      <w:pPr>
        <w:pStyle w:val="13"/>
        <w:jc w:val="center"/>
        <w:rPr>
          <w:rFonts w:hint="eastAsia" w:ascii="黑体" w:hAnsi="黑体" w:eastAsia="黑体" w:cs="仿宋"/>
          <w:b/>
          <w:color w:val="auto"/>
          <w:sz w:val="44"/>
          <w:szCs w:val="4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2sFDNQAAAAIAQAADwAAAAAAAAABACAAAAAiAAAAZHJzL2Rvd25yZXYueG1sUEsBAhQAFAAA&#10;AAgAh07iQBZ5gqDzAQAA5QMAAA4AAAAAAAAAAQAgAAAAIwEAAGRycy9lMm9Eb2MueG1sUEsFBgAA&#10;AAAGAAYAWQEAAIgFAAAAAA==&#10;">
                <v:fill on="f" focussize="0,0"/>
                <v:stroke weight="1pt" color="#000000" joinstyle="round"/>
                <v:imagedata o:title=""/>
                <o:lock v:ext="edit" aspectratio="f"/>
              </v:line>
            </w:pict>
          </mc:Fallback>
        </mc:AlternateContent>
      </w:r>
    </w:p>
    <w:p w14:paraId="50AEFC71">
      <w:pPr>
        <w:snapToGrid w:val="0"/>
        <w:spacing w:before="156" w:beforeLines="50" w:line="360" w:lineRule="auto"/>
        <w:jc w:val="center"/>
        <w:rPr>
          <w:rFonts w:hint="eastAsia" w:ascii="黑体" w:hAnsi="黑体" w:eastAsia="黑体"/>
          <w:color w:val="auto"/>
          <w:sz w:val="84"/>
          <w:szCs w:val="84"/>
          <w:highlight w:val="none"/>
        </w:rPr>
      </w:pPr>
    </w:p>
    <w:p w14:paraId="21BEB3CF">
      <w:pPr>
        <w:snapToGrid w:val="0"/>
        <w:spacing w:before="156" w:beforeLines="50" w:line="360" w:lineRule="auto"/>
        <w:jc w:val="center"/>
        <w:rPr>
          <w:rFonts w:hint="eastAsia"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14:paraId="7792038D">
      <w:pPr>
        <w:snapToGrid w:val="0"/>
        <w:spacing w:line="360" w:lineRule="auto"/>
        <w:rPr>
          <w:rFonts w:hint="eastAsia" w:ascii="仿宋_GB2312" w:hAnsi="宋体" w:eastAsia="仿宋_GB2312"/>
          <w:b/>
          <w:color w:val="auto"/>
          <w:sz w:val="48"/>
          <w:szCs w:val="48"/>
          <w:highlight w:val="none"/>
        </w:rPr>
      </w:pPr>
    </w:p>
    <w:p w14:paraId="7E5F37F3">
      <w:pPr>
        <w:spacing w:line="360" w:lineRule="auto"/>
        <w:ind w:firstLine="602" w:firstLineChars="200"/>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项目名称：《All-in-One精细化运营管理体系建设》第二阶段</w:t>
      </w:r>
    </w:p>
    <w:p w14:paraId="79349521">
      <w:pPr>
        <w:spacing w:line="360" w:lineRule="auto"/>
        <w:ind w:firstLine="2108" w:firstLineChars="700"/>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 xml:space="preserve">服务项目-PFMS医师费绩效管理系统 </w:t>
      </w:r>
    </w:p>
    <w:p w14:paraId="1BEC7325">
      <w:pPr>
        <w:spacing w:line="360" w:lineRule="auto"/>
        <w:ind w:firstLine="602" w:firstLineChars="200"/>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项目编号：</w:t>
      </w:r>
      <w:r>
        <w:rPr>
          <w:rFonts w:hint="eastAsia" w:ascii="宋体" w:hAnsi="宋体" w:cs="宋体"/>
          <w:b/>
          <w:bCs/>
          <w:color w:val="auto"/>
          <w:sz w:val="30"/>
          <w:szCs w:val="30"/>
          <w:highlight w:val="none"/>
          <w:lang w:eastAsia="zh-CN"/>
        </w:rPr>
        <w:t xml:space="preserve"> GXZC2024-C3-006461-KWZB</w:t>
      </w:r>
    </w:p>
    <w:p w14:paraId="00B19FF1">
      <w:pPr>
        <w:spacing w:line="360" w:lineRule="auto"/>
        <w:jc w:val="center"/>
        <w:rPr>
          <w:rFonts w:hint="eastAsia" w:ascii="宋体" w:hAnsi="宋体" w:eastAsia="宋体" w:cs="宋体"/>
          <w:b/>
          <w:bCs/>
          <w:color w:val="auto"/>
          <w:sz w:val="30"/>
          <w:szCs w:val="30"/>
          <w:highlight w:val="none"/>
          <w:lang w:eastAsia="zh-CN"/>
        </w:rPr>
      </w:pPr>
    </w:p>
    <w:p w14:paraId="74E84CA6">
      <w:pPr>
        <w:spacing w:line="360" w:lineRule="auto"/>
        <w:jc w:val="center"/>
        <w:rPr>
          <w:rFonts w:hint="eastAsia" w:ascii="宋体" w:hAnsi="宋体" w:eastAsia="宋体" w:cs="宋体"/>
          <w:b/>
          <w:bCs/>
          <w:color w:val="auto"/>
          <w:sz w:val="30"/>
          <w:szCs w:val="30"/>
          <w:highlight w:val="none"/>
          <w:lang w:eastAsia="zh-CN"/>
        </w:rPr>
      </w:pPr>
    </w:p>
    <w:p w14:paraId="799ED7C1">
      <w:pPr>
        <w:spacing w:line="360" w:lineRule="auto"/>
        <w:jc w:val="center"/>
        <w:rPr>
          <w:rFonts w:hint="eastAsia" w:ascii="宋体" w:hAnsi="宋体" w:eastAsia="宋体" w:cs="宋体"/>
          <w:b/>
          <w:bCs/>
          <w:color w:val="auto"/>
          <w:sz w:val="30"/>
          <w:szCs w:val="30"/>
          <w:highlight w:val="none"/>
          <w:lang w:eastAsia="zh-CN"/>
        </w:rPr>
      </w:pPr>
    </w:p>
    <w:p w14:paraId="37301791">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采购单位：</w:t>
      </w:r>
      <w:r>
        <w:rPr>
          <w:rFonts w:hint="eastAsia" w:ascii="宋体" w:hAnsi="宋体" w:cs="宋体"/>
          <w:b/>
          <w:bCs/>
          <w:color w:val="auto"/>
          <w:sz w:val="30"/>
          <w:szCs w:val="30"/>
          <w:highlight w:val="none"/>
          <w:lang w:eastAsia="zh-CN"/>
        </w:rPr>
        <w:t>广西医科大学第二附属医院</w:t>
      </w:r>
    </w:p>
    <w:p w14:paraId="403B0586">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采购代理机构：广西科文招标有限公司</w:t>
      </w:r>
    </w:p>
    <w:p w14:paraId="074A8070">
      <w:pPr>
        <w:spacing w:line="360" w:lineRule="auto"/>
        <w:jc w:val="center"/>
        <w:rPr>
          <w:rFonts w:hint="eastAsia" w:ascii="宋体" w:hAnsi="宋体" w:eastAsia="宋体" w:cs="宋体"/>
          <w:b/>
          <w:bCs/>
          <w:color w:val="auto"/>
          <w:sz w:val="30"/>
          <w:szCs w:val="30"/>
          <w:highlight w:val="none"/>
          <w:lang w:eastAsia="zh-CN"/>
        </w:rPr>
      </w:pPr>
    </w:p>
    <w:p w14:paraId="79F8C92E">
      <w:pPr>
        <w:spacing w:line="360" w:lineRule="auto"/>
        <w:jc w:val="center"/>
        <w:rPr>
          <w:rFonts w:hint="eastAsia" w:ascii="宋体" w:hAnsi="宋体" w:eastAsia="宋体" w:cs="宋体"/>
          <w:b/>
          <w:bCs/>
          <w:color w:val="auto"/>
          <w:sz w:val="30"/>
          <w:szCs w:val="30"/>
          <w:highlight w:val="none"/>
          <w:lang w:eastAsia="zh-CN"/>
        </w:rPr>
        <w:sectPr>
          <w:headerReference r:id="rId3" w:type="default"/>
          <w:headerReference r:id="rId4" w:type="even"/>
          <w:footerReference r:id="rId5" w:type="even"/>
          <w:pgSz w:w="11906" w:h="16838"/>
          <w:pgMar w:top="1418" w:right="1418" w:bottom="1418" w:left="1418" w:header="720" w:footer="720" w:gutter="0"/>
          <w:pgNumType w:start="0"/>
          <w:cols w:space="720" w:num="1"/>
          <w:titlePg/>
          <w:docGrid w:type="lines" w:linePitch="312" w:charSpace="0"/>
        </w:sectPr>
      </w:pPr>
      <w:r>
        <w:rPr>
          <w:rFonts w:hint="eastAsia" w:ascii="宋体" w:hAnsi="宋体" w:cs="宋体"/>
          <w:b/>
          <w:bCs/>
          <w:color w:val="auto"/>
          <w:sz w:val="30"/>
          <w:szCs w:val="30"/>
          <w:highlight w:val="none"/>
          <w:lang w:eastAsia="zh-CN"/>
        </w:rPr>
        <w:t>2025年1月</w:t>
      </w:r>
    </w:p>
    <w:p w14:paraId="062B0946">
      <w:pPr>
        <w:spacing w:line="360" w:lineRule="auto"/>
        <w:jc w:val="center"/>
        <w:rPr>
          <w:rFonts w:hint="eastAsia" w:ascii="宋体" w:hAnsi="宋体" w:cs="宋体"/>
          <w:b/>
          <w:bCs/>
          <w:color w:val="auto"/>
          <w:kern w:val="0"/>
          <w:sz w:val="32"/>
          <w:szCs w:val="32"/>
          <w:highlight w:val="none"/>
        </w:rPr>
      </w:pPr>
    </w:p>
    <w:p w14:paraId="127DB8C2">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24E92B0C">
      <w:pPr>
        <w:spacing w:line="400" w:lineRule="exact"/>
        <w:jc w:val="center"/>
        <w:rPr>
          <w:rFonts w:hint="eastAsia" w:ascii="宋体" w:hAnsi="宋体"/>
          <w:b/>
          <w:color w:val="auto"/>
          <w:sz w:val="44"/>
          <w:szCs w:val="44"/>
          <w:highlight w:val="none"/>
        </w:rPr>
      </w:pPr>
    </w:p>
    <w:p w14:paraId="25F4E5F1">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6"/>
          <w:rFonts w:ascii="宋体" w:hAnsi="宋体"/>
          <w:b/>
          <w:color w:val="auto"/>
          <w:sz w:val="24"/>
          <w:highlight w:val="none"/>
        </w:rPr>
        <w:instrText xml:space="preserve"> </w:instrText>
      </w:r>
      <w:r>
        <w:rPr>
          <w:rFonts w:ascii="宋体" w:hAnsi="宋体"/>
          <w:b/>
          <w:color w:val="auto"/>
          <w:sz w:val="24"/>
          <w:highlight w:val="none"/>
        </w:rPr>
        <w:instrText xml:space="preserve">HYPERLINK \l "_Toc74323456"</w:instrText>
      </w:r>
      <w:r>
        <w:rPr>
          <w:rStyle w:val="2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6"/>
          <w:rFonts w:hint="eastAsia" w:ascii="宋体" w:hAnsi="宋体"/>
          <w:b/>
          <w:color w:val="auto"/>
          <w:sz w:val="24"/>
          <w:highlight w:val="none"/>
        </w:rPr>
        <w:t>第一章</w:t>
      </w:r>
      <w:r>
        <w:rPr>
          <w:rStyle w:val="26"/>
          <w:rFonts w:ascii="宋体" w:hAnsi="宋体"/>
          <w:b/>
          <w:color w:val="auto"/>
          <w:sz w:val="24"/>
          <w:highlight w:val="none"/>
        </w:rPr>
        <w:t xml:space="preserve"> </w:t>
      </w:r>
      <w:r>
        <w:rPr>
          <w:rStyle w:val="26"/>
          <w:rFonts w:hint="eastAsia" w:ascii="宋体" w:hAnsi="宋体"/>
          <w:b/>
          <w:color w:val="auto"/>
          <w:sz w:val="24"/>
          <w:highlight w:val="none"/>
        </w:rPr>
        <w:t>竞争性磋商公告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1AA076CD">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6"/>
          <w:rFonts w:ascii="宋体" w:hAnsi="宋体"/>
          <w:b/>
          <w:color w:val="auto"/>
          <w:sz w:val="24"/>
          <w:highlight w:val="none"/>
        </w:rPr>
        <w:instrText xml:space="preserve"> </w:instrText>
      </w:r>
      <w:r>
        <w:rPr>
          <w:rFonts w:ascii="宋体" w:hAnsi="宋体"/>
          <w:b/>
          <w:color w:val="auto"/>
          <w:sz w:val="24"/>
          <w:highlight w:val="none"/>
        </w:rPr>
        <w:instrText xml:space="preserve">HYPERLINK \l "_Toc74323457"</w:instrText>
      </w:r>
      <w:r>
        <w:rPr>
          <w:rStyle w:val="2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6"/>
          <w:rFonts w:hint="eastAsia" w:ascii="宋体" w:hAnsi="宋体"/>
          <w:b/>
          <w:color w:val="auto"/>
          <w:sz w:val="24"/>
          <w:highlight w:val="none"/>
        </w:rPr>
        <w:t>第二章</w:t>
      </w:r>
      <w:r>
        <w:rPr>
          <w:rStyle w:val="26"/>
          <w:rFonts w:ascii="宋体" w:hAnsi="宋体"/>
          <w:b/>
          <w:color w:val="auto"/>
          <w:sz w:val="24"/>
          <w:highlight w:val="none"/>
        </w:rPr>
        <w:t xml:space="preserve"> </w:t>
      </w:r>
      <w:r>
        <w:rPr>
          <w:rStyle w:val="26"/>
          <w:rFonts w:hint="eastAsia" w:ascii="宋体" w:hAnsi="宋体"/>
          <w:b/>
          <w:color w:val="auto"/>
          <w:sz w:val="24"/>
          <w:highlight w:val="none"/>
        </w:rPr>
        <w:t>供应</w:t>
      </w:r>
      <w:bookmarkStart w:id="0" w:name="_Hlt82161237"/>
      <w:r>
        <w:rPr>
          <w:rStyle w:val="26"/>
          <w:rFonts w:hint="eastAsia" w:ascii="宋体" w:hAnsi="宋体"/>
          <w:b/>
          <w:color w:val="auto"/>
          <w:sz w:val="24"/>
          <w:highlight w:val="none"/>
        </w:rPr>
        <w:t>商</w:t>
      </w:r>
      <w:bookmarkEnd w:id="0"/>
      <w:r>
        <w:rPr>
          <w:rStyle w:val="26"/>
          <w:rFonts w:hint="eastAsia" w:ascii="宋体" w:hAnsi="宋体"/>
          <w:b/>
          <w:color w:val="auto"/>
          <w:sz w:val="24"/>
          <w:highlight w:val="none"/>
        </w:rPr>
        <w:t>须知</w:t>
      </w:r>
      <w:r>
        <w:rPr>
          <w:rFonts w:ascii="宋体" w:hAnsi="宋体"/>
          <w:b/>
          <w:color w:val="auto"/>
          <w:sz w:val="24"/>
          <w:highlight w:val="none"/>
        </w:rPr>
        <w:tab/>
      </w:r>
      <w:r>
        <w:rPr>
          <w:rFonts w:hint="eastAsia" w:ascii="宋体" w:hAnsi="宋体"/>
          <w:b/>
          <w:color w:val="auto"/>
          <w:sz w:val="24"/>
          <w:highlight w:val="none"/>
          <w:lang w:val="en-US" w:eastAsia="zh-CN"/>
        </w:rPr>
        <w:t>5</w:t>
      </w:r>
      <w:r>
        <w:rPr>
          <w:rFonts w:ascii="宋体" w:hAnsi="宋体"/>
          <w:b/>
          <w:color w:val="auto"/>
          <w:sz w:val="24"/>
          <w:highlight w:val="none"/>
        </w:rPr>
        <w:fldChar w:fldCharType="end"/>
      </w:r>
    </w:p>
    <w:p w14:paraId="0F2B748A">
      <w:pPr>
        <w:pStyle w:val="16"/>
        <w:tabs>
          <w:tab w:val="right" w:leader="dot" w:pos="8869"/>
        </w:tabs>
        <w:snapToGrid w:val="0"/>
        <w:spacing w:line="500" w:lineRule="atLeast"/>
        <w:rPr>
          <w:rFonts w:hint="eastAsia"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6"/>
          <w:rFonts w:ascii="宋体" w:hAnsi="宋体"/>
          <w:b/>
          <w:color w:val="auto"/>
          <w:sz w:val="24"/>
          <w:highlight w:val="none"/>
        </w:rPr>
        <w:instrText xml:space="preserve"> </w:instrText>
      </w:r>
      <w:r>
        <w:rPr>
          <w:rFonts w:ascii="宋体" w:hAnsi="宋体"/>
          <w:b/>
          <w:color w:val="auto"/>
          <w:sz w:val="24"/>
          <w:highlight w:val="none"/>
        </w:rPr>
        <w:instrText xml:space="preserve">HYPERLINK \l "_Toc74323458"</w:instrText>
      </w:r>
      <w:r>
        <w:rPr>
          <w:rStyle w:val="2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6"/>
          <w:rFonts w:hint="eastAsia" w:ascii="宋体" w:hAnsi="宋体"/>
          <w:b/>
          <w:color w:val="auto"/>
          <w:sz w:val="24"/>
          <w:highlight w:val="none"/>
        </w:rPr>
        <w:t>第三章</w:t>
      </w:r>
      <w:r>
        <w:rPr>
          <w:rStyle w:val="26"/>
          <w:rFonts w:ascii="宋体" w:hAnsi="宋体"/>
          <w:b/>
          <w:color w:val="auto"/>
          <w:sz w:val="24"/>
          <w:highlight w:val="none"/>
        </w:rPr>
        <w:t xml:space="preserve"> </w:t>
      </w:r>
      <w:r>
        <w:rPr>
          <w:rStyle w:val="26"/>
          <w:rFonts w:hint="eastAsia" w:ascii="宋体" w:hAnsi="宋体"/>
          <w:b/>
          <w:color w:val="auto"/>
          <w:sz w:val="24"/>
          <w:highlight w:val="none"/>
        </w:rPr>
        <w:t>采购需</w:t>
      </w:r>
      <w:bookmarkStart w:id="1" w:name="_Hlt82166940"/>
      <w:r>
        <w:rPr>
          <w:rStyle w:val="26"/>
          <w:rFonts w:hint="eastAsia" w:ascii="宋体" w:hAnsi="宋体"/>
          <w:b/>
          <w:color w:val="auto"/>
          <w:sz w:val="24"/>
          <w:highlight w:val="none"/>
        </w:rPr>
        <w:t>求</w:t>
      </w:r>
      <w:bookmarkEnd w:id="1"/>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r>
        <w:rPr>
          <w:rFonts w:hint="eastAsia" w:ascii="宋体" w:hAnsi="宋体"/>
          <w:b/>
          <w:color w:val="auto"/>
          <w:sz w:val="24"/>
          <w:highlight w:val="none"/>
          <w:lang w:val="en-US" w:eastAsia="zh-CN"/>
        </w:rPr>
        <w:t>2</w:t>
      </w:r>
    </w:p>
    <w:p w14:paraId="3B4DD5A1">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6"/>
          <w:rFonts w:ascii="宋体" w:hAnsi="宋体"/>
          <w:b/>
          <w:color w:val="auto"/>
          <w:sz w:val="24"/>
          <w:highlight w:val="none"/>
        </w:rPr>
        <w:instrText xml:space="preserve"> </w:instrText>
      </w:r>
      <w:r>
        <w:rPr>
          <w:rFonts w:ascii="宋体" w:hAnsi="宋体"/>
          <w:b/>
          <w:color w:val="auto"/>
          <w:sz w:val="24"/>
          <w:highlight w:val="none"/>
        </w:rPr>
        <w:instrText xml:space="preserve">HYPERLINK \l "_Toc74323459"</w:instrText>
      </w:r>
      <w:r>
        <w:rPr>
          <w:rStyle w:val="2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6"/>
          <w:rFonts w:hint="eastAsia" w:ascii="宋体" w:hAnsi="宋体"/>
          <w:b/>
          <w:color w:val="auto"/>
          <w:sz w:val="24"/>
          <w:highlight w:val="none"/>
        </w:rPr>
        <w:t>第四章</w:t>
      </w:r>
      <w:r>
        <w:rPr>
          <w:rStyle w:val="26"/>
          <w:rFonts w:ascii="宋体" w:hAnsi="宋体"/>
          <w:b/>
          <w:color w:val="auto"/>
          <w:sz w:val="24"/>
          <w:highlight w:val="none"/>
        </w:rPr>
        <w:t xml:space="preserve"> </w:t>
      </w:r>
      <w:r>
        <w:rPr>
          <w:rStyle w:val="26"/>
          <w:rFonts w:hint="eastAsia" w:ascii="宋体" w:hAnsi="宋体"/>
          <w:b/>
          <w:color w:val="auto"/>
          <w:sz w:val="24"/>
          <w:highlight w:val="none"/>
        </w:rPr>
        <w:t>评审程序、</w:t>
      </w:r>
      <w:bookmarkStart w:id="2" w:name="_Hlt82166000"/>
      <w:r>
        <w:rPr>
          <w:rStyle w:val="26"/>
          <w:rFonts w:hint="eastAsia" w:ascii="宋体" w:hAnsi="宋体"/>
          <w:b/>
          <w:color w:val="auto"/>
          <w:sz w:val="24"/>
          <w:highlight w:val="none"/>
        </w:rPr>
        <w:t>评</w:t>
      </w:r>
      <w:bookmarkEnd w:id="2"/>
      <w:r>
        <w:rPr>
          <w:rStyle w:val="26"/>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28</w:t>
      </w:r>
    </w:p>
    <w:p w14:paraId="158BD90A">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6"/>
          <w:rFonts w:ascii="宋体" w:hAnsi="宋体"/>
          <w:b/>
          <w:color w:val="auto"/>
          <w:sz w:val="24"/>
          <w:highlight w:val="none"/>
        </w:rPr>
        <w:instrText xml:space="preserve"> </w:instrText>
      </w:r>
      <w:r>
        <w:rPr>
          <w:rFonts w:ascii="宋体" w:hAnsi="宋体"/>
          <w:b/>
          <w:color w:val="auto"/>
          <w:sz w:val="24"/>
          <w:highlight w:val="none"/>
        </w:rPr>
        <w:instrText xml:space="preserve">HYPERLINK \l "_Toc74323460"</w:instrText>
      </w:r>
      <w:r>
        <w:rPr>
          <w:rStyle w:val="2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6"/>
          <w:rFonts w:hint="eastAsia" w:ascii="宋体" w:hAnsi="宋体"/>
          <w:b/>
          <w:color w:val="auto"/>
          <w:sz w:val="24"/>
          <w:highlight w:val="none"/>
        </w:rPr>
        <w:t>第五章</w:t>
      </w:r>
      <w:r>
        <w:rPr>
          <w:rStyle w:val="26"/>
          <w:rFonts w:ascii="宋体" w:hAnsi="宋体"/>
          <w:b/>
          <w:color w:val="auto"/>
          <w:sz w:val="24"/>
          <w:highlight w:val="none"/>
        </w:rPr>
        <w:t xml:space="preserve"> </w:t>
      </w:r>
      <w:r>
        <w:rPr>
          <w:rStyle w:val="26"/>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36</w:t>
      </w:r>
    </w:p>
    <w:p w14:paraId="325D891E">
      <w:pPr>
        <w:pStyle w:val="16"/>
        <w:tabs>
          <w:tab w:val="right" w:leader="dot" w:pos="8869"/>
        </w:tabs>
        <w:snapToGrid w:val="0"/>
        <w:spacing w:line="500" w:lineRule="atLeast"/>
        <w:rPr>
          <w:rFonts w:hint="default" w:ascii="宋体" w:hAnsi="宋体" w:eastAsia="宋体"/>
          <w:color w:val="auto"/>
          <w:sz w:val="24"/>
          <w:highlight w:val="none"/>
          <w:lang w:val="en-US" w:eastAsia="zh-CN"/>
        </w:rPr>
      </w:pPr>
      <w:r>
        <w:rPr>
          <w:rFonts w:ascii="宋体" w:hAnsi="宋体"/>
          <w:b/>
          <w:color w:val="auto"/>
          <w:sz w:val="24"/>
          <w:highlight w:val="none"/>
        </w:rPr>
        <w:fldChar w:fldCharType="begin"/>
      </w:r>
      <w:r>
        <w:rPr>
          <w:rStyle w:val="26"/>
          <w:rFonts w:ascii="宋体" w:hAnsi="宋体"/>
          <w:b/>
          <w:color w:val="auto"/>
          <w:sz w:val="24"/>
          <w:highlight w:val="none"/>
        </w:rPr>
        <w:instrText xml:space="preserve"> </w:instrText>
      </w:r>
      <w:r>
        <w:rPr>
          <w:rFonts w:ascii="宋体" w:hAnsi="宋体"/>
          <w:b/>
          <w:color w:val="auto"/>
          <w:sz w:val="24"/>
          <w:highlight w:val="none"/>
        </w:rPr>
        <w:instrText xml:space="preserve">HYPERLINK \l "_Toc74323461"</w:instrText>
      </w:r>
      <w:r>
        <w:rPr>
          <w:rStyle w:val="2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6"/>
          <w:rFonts w:hint="eastAsia" w:ascii="宋体" w:hAnsi="宋体"/>
          <w:b/>
          <w:color w:val="auto"/>
          <w:sz w:val="24"/>
          <w:highlight w:val="none"/>
        </w:rPr>
        <w:t>第六章</w:t>
      </w:r>
      <w:r>
        <w:rPr>
          <w:rStyle w:val="26"/>
          <w:rFonts w:ascii="宋体" w:hAnsi="宋体"/>
          <w:b/>
          <w:color w:val="auto"/>
          <w:sz w:val="24"/>
          <w:highlight w:val="none"/>
        </w:rPr>
        <w:t xml:space="preserve"> </w:t>
      </w:r>
      <w:r>
        <w:rPr>
          <w:rStyle w:val="26"/>
          <w:rFonts w:hint="eastAsia" w:ascii="宋体" w:hAnsi="宋体"/>
          <w:b/>
          <w:color w:val="auto"/>
          <w:sz w:val="24"/>
          <w:highlight w:val="none"/>
        </w:rPr>
        <w:t>合同主要条款格式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62</w:t>
      </w:r>
    </w:p>
    <w:p w14:paraId="2C420AE1">
      <w:pPr>
        <w:pStyle w:val="17"/>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1183711E">
      <w:pPr>
        <w:spacing w:line="400" w:lineRule="exact"/>
        <w:jc w:val="left"/>
        <w:rPr>
          <w:rFonts w:hint="eastAsia" w:ascii="宋体" w:hAnsi="宋体"/>
          <w:b/>
          <w:color w:val="auto"/>
          <w:sz w:val="32"/>
          <w:szCs w:val="32"/>
          <w:highlight w:val="none"/>
        </w:rPr>
      </w:pPr>
    </w:p>
    <w:p w14:paraId="500A2A90">
      <w:pPr>
        <w:spacing w:line="400" w:lineRule="exact"/>
        <w:jc w:val="center"/>
        <w:rPr>
          <w:rFonts w:hint="eastAsia" w:ascii="宋体" w:hAnsi="宋体"/>
          <w:b/>
          <w:color w:val="auto"/>
          <w:sz w:val="32"/>
          <w:szCs w:val="32"/>
          <w:highlight w:val="none"/>
        </w:rPr>
      </w:pPr>
    </w:p>
    <w:p w14:paraId="1000D463">
      <w:pPr>
        <w:spacing w:line="400" w:lineRule="exact"/>
        <w:jc w:val="center"/>
        <w:rPr>
          <w:rFonts w:hint="eastAsia" w:ascii="宋体" w:hAnsi="宋体"/>
          <w:b/>
          <w:color w:val="auto"/>
          <w:sz w:val="32"/>
          <w:szCs w:val="32"/>
          <w:highlight w:val="none"/>
        </w:rPr>
      </w:pPr>
    </w:p>
    <w:p w14:paraId="76642BAC">
      <w:pPr>
        <w:spacing w:line="400" w:lineRule="exact"/>
        <w:jc w:val="center"/>
        <w:rPr>
          <w:rFonts w:hint="eastAsia" w:ascii="宋体" w:hAnsi="宋体"/>
          <w:b/>
          <w:color w:val="auto"/>
          <w:sz w:val="32"/>
          <w:szCs w:val="32"/>
          <w:highlight w:val="none"/>
        </w:rPr>
      </w:pPr>
      <w:bookmarkStart w:id="147" w:name="_GoBack"/>
      <w:bookmarkEnd w:id="147"/>
    </w:p>
    <w:p w14:paraId="200EFB55">
      <w:pPr>
        <w:spacing w:line="400" w:lineRule="exact"/>
        <w:jc w:val="center"/>
        <w:rPr>
          <w:rFonts w:hint="eastAsia" w:ascii="宋体" w:hAnsi="宋体"/>
          <w:b/>
          <w:color w:val="auto"/>
          <w:sz w:val="32"/>
          <w:szCs w:val="32"/>
          <w:highlight w:val="none"/>
        </w:rPr>
      </w:pPr>
    </w:p>
    <w:p w14:paraId="4CBD3491">
      <w:pPr>
        <w:spacing w:line="400" w:lineRule="exact"/>
        <w:rPr>
          <w:rFonts w:hint="eastAsia" w:ascii="宋体" w:hAnsi="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6FE16510">
      <w:pPr>
        <w:pStyle w:val="2"/>
        <w:spacing w:line="360" w:lineRule="auto"/>
        <w:jc w:val="center"/>
        <w:rPr>
          <w:rFonts w:hint="eastAsia" w:ascii="宋体" w:hAnsi="宋体"/>
          <w:b w:val="0"/>
          <w:bCs w:val="0"/>
          <w:color w:val="auto"/>
          <w:sz w:val="32"/>
          <w:szCs w:val="32"/>
          <w:highlight w:val="none"/>
        </w:rPr>
      </w:pPr>
      <w:bookmarkStart w:id="3" w:name="_Toc74323456"/>
      <w:r>
        <w:rPr>
          <w:rFonts w:hint="eastAsia"/>
          <w:color w:val="auto"/>
          <w:highlight w:val="none"/>
        </w:rPr>
        <w:t>第一章 竞争性磋商公告</w:t>
      </w:r>
      <w:bookmarkEnd w:id="3"/>
    </w:p>
    <w:p w14:paraId="32C0418C">
      <w:pPr>
        <w:pStyle w:val="13"/>
        <w:jc w:val="center"/>
        <w:rPr>
          <w:b/>
          <w:color w:val="auto"/>
          <w:sz w:val="28"/>
          <w:szCs w:val="28"/>
          <w:highlight w:val="none"/>
        </w:rPr>
      </w:pPr>
      <w:r>
        <w:rPr>
          <w:rFonts w:hint="eastAsia"/>
          <w:b/>
          <w:color w:val="auto"/>
          <w:sz w:val="28"/>
          <w:szCs w:val="28"/>
          <w:highlight w:val="none"/>
        </w:rPr>
        <w:t>广西科文招标有限公司</w:t>
      </w:r>
    </w:p>
    <w:p w14:paraId="0CA46D9C">
      <w:pPr>
        <w:jc w:val="center"/>
        <w:rPr>
          <w:rFonts w:hint="eastAsia" w:ascii="宋体" w:hAnsi="Courier New"/>
          <w:b/>
          <w:color w:val="auto"/>
          <w:kern w:val="0"/>
          <w:sz w:val="28"/>
          <w:szCs w:val="28"/>
          <w:highlight w:val="none"/>
        </w:rPr>
      </w:pPr>
      <w:r>
        <w:rPr>
          <w:rFonts w:hint="eastAsia" w:ascii="宋体" w:hAnsi="Courier New"/>
          <w:b/>
          <w:color w:val="auto"/>
          <w:kern w:val="0"/>
          <w:sz w:val="28"/>
          <w:szCs w:val="28"/>
          <w:highlight w:val="none"/>
          <w:lang w:eastAsia="zh-CN"/>
        </w:rPr>
        <w:t>《All-in-One精细化运营管理体系建设》第二阶段服务项目-PFMS医师费绩效管理系统</w:t>
      </w:r>
      <w:r>
        <w:rPr>
          <w:rFonts w:hint="eastAsia" w:ascii="宋体" w:hAnsi="Courier New"/>
          <w:b/>
          <w:color w:val="auto"/>
          <w:kern w:val="0"/>
          <w:sz w:val="28"/>
          <w:szCs w:val="28"/>
          <w:highlight w:val="none"/>
        </w:rPr>
        <w:t>（</w:t>
      </w:r>
      <w:r>
        <w:rPr>
          <w:rFonts w:hint="eastAsia" w:ascii="宋体" w:hAnsi="Courier New"/>
          <w:b/>
          <w:color w:val="auto"/>
          <w:kern w:val="0"/>
          <w:sz w:val="28"/>
          <w:szCs w:val="28"/>
          <w:highlight w:val="none"/>
          <w:lang w:eastAsia="zh-CN"/>
        </w:rPr>
        <w:t xml:space="preserve"> GXZC2024-C3-006461-KWZB</w:t>
      </w:r>
      <w:r>
        <w:rPr>
          <w:rFonts w:hint="eastAsia" w:ascii="宋体" w:hAnsi="Courier New"/>
          <w:b/>
          <w:color w:val="auto"/>
          <w:kern w:val="0"/>
          <w:sz w:val="28"/>
          <w:szCs w:val="28"/>
          <w:highlight w:val="none"/>
        </w:rPr>
        <w:t>）竞争性磋商公告</w:t>
      </w:r>
    </w:p>
    <w:p w14:paraId="05DE8B08">
      <w:pPr>
        <w:spacing w:line="360" w:lineRule="auto"/>
        <w:jc w:val="center"/>
        <w:rPr>
          <w:rFonts w:ascii="宋体" w:hAnsi="宋体"/>
          <w:color w:val="auto"/>
          <w:szCs w:val="21"/>
          <w:highlight w:val="none"/>
        </w:rPr>
      </w:pPr>
    </w:p>
    <w:p w14:paraId="1FFEA99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6ADF13D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《All-in-One精细化运营管理体系建设》第二阶段服务项目-PFMS医师费绩效管理系统</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）获取（下载）竞争性磋商文件，并于</w:t>
      </w:r>
      <w:r>
        <w:rPr>
          <w:rFonts w:hint="eastAsia" w:ascii="宋体" w:hAnsi="宋体"/>
          <w:color w:val="auto"/>
          <w:szCs w:val="21"/>
          <w:highlight w:val="none"/>
          <w:lang w:eastAsia="zh-CN"/>
        </w:rPr>
        <w:t>2025年1月26日9时00分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4FEED9E2">
      <w:pPr>
        <w:spacing w:line="360" w:lineRule="auto"/>
        <w:ind w:firstLine="354" w:firstLineChars="147"/>
        <w:rPr>
          <w:rFonts w:hint="eastAsia" w:ascii="黑体" w:hAnsi="黑体" w:eastAsia="黑体"/>
          <w:b/>
          <w:color w:val="auto"/>
          <w:sz w:val="24"/>
          <w:highlight w:val="none"/>
        </w:rPr>
      </w:pPr>
      <w:bookmarkStart w:id="5" w:name="_Toc28359012"/>
      <w:bookmarkStart w:id="6" w:name="_Toc35393798"/>
      <w:bookmarkStart w:id="7" w:name="_Toc35393629"/>
      <w:bookmarkStart w:id="8" w:name="_Toc44229878"/>
      <w:bookmarkStart w:id="9" w:name="_Toc28359089"/>
      <w:bookmarkStart w:id="10" w:name="_Toc71365905"/>
    </w:p>
    <w:bookmarkEnd w:id="5"/>
    <w:bookmarkEnd w:id="6"/>
    <w:bookmarkEnd w:id="7"/>
    <w:bookmarkEnd w:id="8"/>
    <w:bookmarkEnd w:id="9"/>
    <w:bookmarkEnd w:id="10"/>
    <w:p w14:paraId="6ACA046A">
      <w:pPr>
        <w:spacing w:line="360" w:lineRule="auto"/>
        <w:ind w:firstLine="354" w:firstLineChars="147"/>
        <w:rPr>
          <w:rFonts w:ascii="黑体" w:hAnsi="黑体" w:eastAsia="黑体"/>
          <w:b/>
          <w:color w:val="auto"/>
          <w:sz w:val="24"/>
          <w:highlight w:val="none"/>
        </w:rPr>
      </w:pPr>
      <w:bookmarkStart w:id="11" w:name="_Hlk37429674"/>
      <w:bookmarkStart w:id="12" w:name="_Toc28359018"/>
      <w:bookmarkStart w:id="13" w:name="_Toc35393805"/>
      <w:bookmarkStart w:id="14" w:name="_Toc35393636"/>
      <w:bookmarkStart w:id="15" w:name="_Toc28359095"/>
      <w:bookmarkStart w:id="16" w:name="_Toc44229885"/>
      <w:r>
        <w:rPr>
          <w:rFonts w:hint="eastAsia" w:ascii="黑体" w:hAnsi="黑体" w:eastAsia="黑体"/>
          <w:b/>
          <w:color w:val="auto"/>
          <w:sz w:val="24"/>
          <w:highlight w:val="none"/>
        </w:rPr>
        <w:t>一、项目基本情况</w:t>
      </w:r>
    </w:p>
    <w:p w14:paraId="7130B34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 GXZC2024-C3-006461-KWZB</w:t>
      </w:r>
    </w:p>
    <w:p w14:paraId="525D1D53">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《All-in-One精细化运营管理体系建设》第二阶段服务项目-PFMS医师费绩效管理系统</w:t>
      </w:r>
    </w:p>
    <w:p w14:paraId="303082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FFDA5A4">
      <w:pPr>
        <w:spacing w:line="360" w:lineRule="auto"/>
        <w:ind w:firstLine="420" w:firstLineChars="200"/>
        <w:rPr>
          <w:rFonts w:hint="eastAsia" w:ascii="宋体" w:hAnsi="宋体"/>
          <w:color w:val="auto"/>
          <w:highlight w:val="none"/>
        </w:rPr>
      </w:pPr>
      <w:r>
        <w:rPr>
          <w:rFonts w:hint="eastAsia" w:ascii="宋体" w:hAnsi="宋体"/>
          <w:color w:val="auto"/>
          <w:highlight w:val="none"/>
        </w:rPr>
        <w:t>预算金额：</w:t>
      </w:r>
      <w:r>
        <w:rPr>
          <w:rFonts w:hint="eastAsia" w:ascii="宋体" w:hAnsi="宋体"/>
          <w:color w:val="auto"/>
          <w:highlight w:val="none"/>
          <w:lang w:val="en-US" w:eastAsia="zh-CN"/>
        </w:rPr>
        <w:t>145万元</w:t>
      </w:r>
    </w:p>
    <w:p w14:paraId="6BD3F7A9">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最高限价：</w:t>
      </w:r>
      <w:r>
        <w:rPr>
          <w:rFonts w:hint="eastAsia" w:ascii="宋体" w:hAnsi="宋体"/>
          <w:color w:val="auto"/>
          <w:highlight w:val="none"/>
          <w:lang w:val="en-US" w:eastAsia="zh-CN"/>
        </w:rPr>
        <w:t>145万元</w:t>
      </w:r>
    </w:p>
    <w:p w14:paraId="2E4B6A3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《All-in-One精细化运营管理体系建设》第二阶段服务项目-PFMS医师费绩效管理系统</w:t>
      </w:r>
      <w:r>
        <w:rPr>
          <w:rFonts w:hint="eastAsia" w:ascii="宋体" w:hAnsi="宋体"/>
          <w:color w:val="auto"/>
          <w:szCs w:val="21"/>
          <w:highlight w:val="none"/>
          <w:lang w:val="en-US" w:eastAsia="zh-CN"/>
        </w:rPr>
        <w:t>一项，具体内容详见采购文件。</w:t>
      </w:r>
    </w:p>
    <w:p w14:paraId="52504DF6">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eastAsia="zh-CN"/>
        </w:rPr>
        <w:t>履行期限：</w:t>
      </w:r>
      <w:r>
        <w:rPr>
          <w:rFonts w:hint="eastAsia" w:ascii="宋体" w:hAnsi="宋体" w:eastAsia="宋体" w:cs="宋体"/>
          <w:bCs/>
          <w:color w:val="auto"/>
          <w:sz w:val="21"/>
          <w:szCs w:val="21"/>
          <w:highlight w:val="none"/>
        </w:rPr>
        <w:t>成交供应商应在本合同签订之日起90</w:t>
      </w:r>
      <w:r>
        <w:rPr>
          <w:rFonts w:hint="eastAsia" w:ascii="宋体" w:hAnsi="宋体" w:cs="宋体"/>
          <w:bCs/>
          <w:color w:val="auto"/>
          <w:sz w:val="21"/>
          <w:szCs w:val="21"/>
          <w:highlight w:val="none"/>
          <w:lang w:val="en-US" w:eastAsia="zh-CN"/>
        </w:rPr>
        <w:t>个工作日</w:t>
      </w:r>
      <w:r>
        <w:rPr>
          <w:rFonts w:hint="eastAsia" w:ascii="宋体" w:hAnsi="宋体" w:eastAsia="宋体" w:cs="宋体"/>
          <w:bCs/>
          <w:color w:val="auto"/>
          <w:sz w:val="21"/>
          <w:szCs w:val="21"/>
          <w:highlight w:val="none"/>
        </w:rPr>
        <w:t>内完成并交付使用。</w:t>
      </w:r>
    </w:p>
    <w:p w14:paraId="646D0992">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本项目（是</w:t>
      </w:r>
      <w:r>
        <w:rPr>
          <w:rFonts w:ascii="宋体" w:hAnsi="宋体"/>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不接受</w:t>
      </w:r>
    </w:p>
    <w:p w14:paraId="1FFA365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14:paraId="576070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7906C883">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u w:val="single"/>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p>
    <w:p w14:paraId="647917BE">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s="宋体"/>
          <w:color w:val="auto"/>
          <w:sz w:val="21"/>
          <w:szCs w:val="21"/>
          <w:highlight w:val="none"/>
          <w:lang w:eastAsia="zh-CN"/>
        </w:rPr>
        <w:t>无</w:t>
      </w:r>
      <w:r>
        <w:rPr>
          <w:rFonts w:hint="eastAsia" w:ascii="宋体" w:hAnsi="宋体" w:eastAsia="宋体" w:cs="宋体"/>
          <w:color w:val="auto"/>
          <w:sz w:val="21"/>
          <w:szCs w:val="21"/>
          <w:highlight w:val="none"/>
        </w:rPr>
        <w:t>。</w:t>
      </w:r>
    </w:p>
    <w:p w14:paraId="0A04EFA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14:paraId="0ECFFD63">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eastAsia="zh-CN"/>
        </w:rPr>
        <w:t>2025年1月</w:t>
      </w:r>
      <w:r>
        <w:rPr>
          <w:rFonts w:hint="eastAsia" w:ascii="宋体" w:hAnsi="宋体" w:cs="Arial"/>
          <w:color w:val="auto"/>
          <w:highlight w:val="none"/>
          <w:lang w:val="en-US" w:eastAsia="zh-CN"/>
        </w:rPr>
        <w:t>14</w:t>
      </w:r>
      <w:r>
        <w:rPr>
          <w:rFonts w:hint="eastAsia" w:ascii="宋体" w:hAnsi="宋体" w:cs="Arial"/>
          <w:color w:val="auto"/>
          <w:highlight w:val="none"/>
          <w:lang w:eastAsia="zh-CN"/>
        </w:rPr>
        <w:t>日</w:t>
      </w:r>
      <w:r>
        <w:rPr>
          <w:rFonts w:hint="eastAsia" w:ascii="宋体" w:hAnsi="宋体" w:cs="Arial"/>
          <w:color w:val="auto"/>
          <w:szCs w:val="21"/>
          <w:highlight w:val="none"/>
        </w:rPr>
        <w:t>至</w:t>
      </w:r>
      <w:r>
        <w:rPr>
          <w:rFonts w:hint="eastAsia" w:ascii="宋体" w:hAnsi="宋体" w:cs="Arial"/>
          <w:color w:val="auto"/>
          <w:highlight w:val="none"/>
          <w:lang w:eastAsia="zh-CN"/>
        </w:rPr>
        <w:t>2025年1月</w:t>
      </w:r>
      <w:r>
        <w:rPr>
          <w:rFonts w:hint="eastAsia" w:ascii="宋体" w:hAnsi="宋体" w:cs="Arial"/>
          <w:color w:val="auto"/>
          <w:highlight w:val="none"/>
          <w:lang w:val="en-US" w:eastAsia="zh-CN"/>
        </w:rPr>
        <w:t>21</w:t>
      </w:r>
      <w:r>
        <w:rPr>
          <w:rFonts w:hint="eastAsia" w:ascii="宋体" w:hAnsi="宋体" w:cs="Arial"/>
          <w:color w:val="auto"/>
          <w:highlight w:val="none"/>
          <w:lang w:eastAsia="zh-CN"/>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r>
        <w:rPr>
          <w:rFonts w:hint="eastAsia" w:ascii="宋体" w:hAnsi="宋体" w:cs="宋体"/>
          <w:bCs/>
          <w:color w:val="auto"/>
          <w:kern w:val="0"/>
          <w:szCs w:val="21"/>
          <w:highlight w:val="none"/>
        </w:rPr>
        <w:t>。</w:t>
      </w:r>
    </w:p>
    <w:p w14:paraId="1825AED7">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cs="宋体"/>
          <w:bCs/>
          <w:color w:val="auto"/>
          <w:kern w:val="0"/>
          <w:szCs w:val="21"/>
          <w:highlight w:val="none"/>
        </w:rPr>
        <w:t>）</w:t>
      </w:r>
    </w:p>
    <w:p w14:paraId="27EA39A1">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hint="eastAsia"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cs="宋体"/>
          <w:bCs/>
          <w:color w:val="auto"/>
          <w:kern w:val="0"/>
          <w:szCs w:val="21"/>
          <w:highlight w:val="none"/>
        </w:rPr>
        <w:t>）下载竞争性磋商文件（操作路径：登录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-项目采购-获取采购文件-找到本项目-点击“申请获取采购文件”），电子响应文件制作需要基于</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获取的竞争性磋商文件编制。</w:t>
      </w:r>
    </w:p>
    <w:p w14:paraId="6FC89F2F">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p>
    <w:p w14:paraId="68C94AB5">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79806E3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olor w:val="auto"/>
          <w:szCs w:val="21"/>
          <w:highlight w:val="none"/>
        </w:rPr>
        <w:t>：</w:t>
      </w:r>
      <w:r>
        <w:rPr>
          <w:rFonts w:hint="eastAsia" w:ascii="宋体" w:hAnsi="宋体" w:cs="宋体"/>
          <w:bCs/>
          <w:color w:val="auto"/>
          <w:kern w:val="0"/>
          <w:szCs w:val="21"/>
          <w:highlight w:val="none"/>
          <w:lang w:eastAsia="zh-CN"/>
        </w:rPr>
        <w:t>2025年1月26日9时00分</w:t>
      </w:r>
      <w:r>
        <w:rPr>
          <w:rFonts w:hint="eastAsia" w:ascii="宋体" w:hAnsi="宋体" w:cs="宋体"/>
          <w:bCs/>
          <w:color w:val="auto"/>
          <w:kern w:val="0"/>
          <w:szCs w:val="21"/>
          <w:highlight w:val="none"/>
        </w:rPr>
        <w:t>（北京时间）</w:t>
      </w:r>
    </w:p>
    <w:p w14:paraId="5DC6212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2、地点：本项目为全流程电子化项目，通过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）实行在线电子响应。</w:t>
      </w:r>
    </w:p>
    <w:p w14:paraId="686D9796">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p>
    <w:p w14:paraId="506EFDA1">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1、首次响应文件开启时间：</w:t>
      </w:r>
      <w:r>
        <w:rPr>
          <w:rFonts w:hint="eastAsia" w:ascii="宋体" w:hAnsi="宋体" w:cs="宋体"/>
          <w:bCs/>
          <w:color w:val="auto"/>
          <w:kern w:val="0"/>
          <w:szCs w:val="21"/>
          <w:highlight w:val="none"/>
          <w:lang w:eastAsia="zh-CN"/>
        </w:rPr>
        <w:t>2025年1月26日9时00分</w:t>
      </w:r>
      <w:r>
        <w:rPr>
          <w:rFonts w:hint="eastAsia" w:ascii="宋体" w:hAnsi="宋体" w:cs="宋体"/>
          <w:bCs/>
          <w:color w:val="auto"/>
          <w:kern w:val="0"/>
          <w:szCs w:val="21"/>
          <w:highlight w:val="none"/>
        </w:rPr>
        <w:t>（北京时间）</w:t>
      </w:r>
    </w:p>
    <w:p w14:paraId="74763C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电子开标大厅解密、开启。</w:t>
      </w:r>
    </w:p>
    <w:p w14:paraId="5E313DFD">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p>
    <w:p w14:paraId="7563D7F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1A029F1F">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七、其他补充事宜</w:t>
      </w:r>
    </w:p>
    <w:p w14:paraId="47D65802">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磋商保证金（人民币）：</w:t>
      </w:r>
      <w:r>
        <w:rPr>
          <w:rFonts w:hint="eastAsia" w:ascii="宋体" w:hAnsi="宋体" w:cs="宋体"/>
          <w:color w:val="auto"/>
          <w:szCs w:val="21"/>
          <w:highlight w:val="none"/>
          <w:lang w:val="en-US" w:eastAsia="zh-CN" w:bidi="ar"/>
        </w:rPr>
        <w:t>14500元</w:t>
      </w:r>
      <w:r>
        <w:rPr>
          <w:rFonts w:hint="eastAsia" w:ascii="宋体" w:hAnsi="宋体" w:cs="宋体"/>
          <w:color w:val="auto"/>
          <w:szCs w:val="21"/>
          <w:highlight w:val="none"/>
          <w:lang w:bidi="ar"/>
        </w:rPr>
        <w:t>。</w:t>
      </w:r>
    </w:p>
    <w:p w14:paraId="3A151303">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5B8B156">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2518ED1">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4、网上查询地址：中国政府采购网（www.ccgp.gov.cn）、广西政府采购网（zfcg.gxzf.gov.cn）。</w:t>
      </w:r>
    </w:p>
    <w:p w14:paraId="6268F9B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5、本项目需要落实的政府采购政策：</w:t>
      </w:r>
    </w:p>
    <w:p w14:paraId="120C2523">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14:paraId="00054333">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14:paraId="741E06E9">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14:paraId="0A6D0ED8">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14:paraId="5FACDBFE">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14:paraId="211E0FD4">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（6）扶持不发达地区和少数民族地区政策</w:t>
      </w:r>
    </w:p>
    <w:p w14:paraId="6EB6F137">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6、磋商注意事项：</w:t>
      </w:r>
    </w:p>
    <w:p w14:paraId="5D6FA523">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）实行在线电子磋商采购，供应商应先安装“政采云电子交易客户端”（请自行前往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14:paraId="03E189A0">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w:t>
      </w:r>
      <w:r>
        <w:rPr>
          <w:rFonts w:hint="eastAsia" w:ascii="宋体" w:hAnsi="宋体" w:cs="宋体"/>
          <w:color w:val="auto"/>
          <w:szCs w:val="21"/>
          <w:highlight w:val="none"/>
          <w:lang w:eastAsia="zh-CN" w:bidi="ar"/>
        </w:rPr>
        <w:t>竞</w:t>
      </w:r>
      <w:r>
        <w:rPr>
          <w:rFonts w:ascii="宋体" w:hAnsi="宋体" w:cs="宋体"/>
          <w:color w:val="auto"/>
          <w:szCs w:val="21"/>
          <w:highlight w:val="none"/>
          <w:lang w:bidi="ar"/>
        </w:rPr>
        <w:t>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color w:val="auto"/>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7CB3E7A4">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6E53E8F6">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34D6429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w:t>
      </w:r>
      <w:r>
        <w:rPr>
          <w:rFonts w:hint="eastAsia" w:ascii="宋体" w:hAnsi="宋体" w:cs="宋体"/>
          <w:b/>
          <w:bCs/>
          <w:color w:val="auto"/>
          <w:szCs w:val="21"/>
          <w:highlight w:val="none"/>
          <w:lang w:eastAsia="zh-CN" w:bidi="ar"/>
        </w:rPr>
        <w:t>广西政府采购云平台</w:t>
      </w:r>
      <w:r>
        <w:rPr>
          <w:rFonts w:hint="eastAsia" w:ascii="宋体" w:hAnsi="宋体" w:cs="宋体"/>
          <w:b/>
          <w:bCs/>
          <w:color w:val="auto"/>
          <w:szCs w:val="21"/>
          <w:highlight w:val="none"/>
          <w:lang w:bidi="ar"/>
        </w:rPr>
        <w:t>将予以拒收。</w:t>
      </w:r>
    </w:p>
    <w:p w14:paraId="17A8C9ED">
      <w:pPr>
        <w:widowControl/>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szCs w:val="21"/>
          <w:highlight w:val="none"/>
          <w:lang w:bidi="ar"/>
        </w:rPr>
        <w:t>CA证书在线解密：首次响应文件开启时，须要供应商携带制作响应文件时用来加密的有效数字证书（CA认证）登录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电子开标大厅现场按规定时间对加密的响应文件进行解密，否则后果自负。</w:t>
      </w:r>
    </w:p>
    <w:p w14:paraId="4FBE9AD4">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8、供应商需要在具备有摄像头及语音功能且互联网网络状况良好的电脑登录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远程开标大厅参与本次磋商，否则后果自负。</w:t>
      </w:r>
    </w:p>
    <w:p w14:paraId="6DDE287D">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9、若对项目采购电子交易系统操作有疑问，可登录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），点击右侧咨询小采，获取采小蜜智能服务管家帮助，或拨打政采云服务热线</w:t>
      </w:r>
      <w:r>
        <w:rPr>
          <w:rFonts w:hint="eastAsia" w:ascii="宋体" w:hAnsi="宋体" w:cs="宋体"/>
          <w:color w:val="auto"/>
          <w:szCs w:val="21"/>
          <w:highlight w:val="none"/>
          <w:lang w:eastAsia="zh-CN" w:bidi="ar"/>
        </w:rPr>
        <w:t>95763</w:t>
      </w:r>
      <w:r>
        <w:rPr>
          <w:rFonts w:hint="eastAsia" w:ascii="宋体" w:hAnsi="宋体" w:cs="宋体"/>
          <w:color w:val="auto"/>
          <w:szCs w:val="21"/>
          <w:highlight w:val="none"/>
          <w:lang w:bidi="ar"/>
        </w:rPr>
        <w:t>获取热线服务帮助。</w:t>
      </w:r>
    </w:p>
    <w:bookmarkEnd w:id="11"/>
    <w:p w14:paraId="64FC62FC">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12"/>
      <w:bookmarkEnd w:id="13"/>
      <w:bookmarkEnd w:id="14"/>
      <w:bookmarkEnd w:id="15"/>
      <w:bookmarkEnd w:id="16"/>
    </w:p>
    <w:p w14:paraId="30E7DE5B">
      <w:pPr>
        <w:widowControl/>
        <w:spacing w:line="360" w:lineRule="auto"/>
        <w:ind w:firstLine="420" w:firstLineChars="200"/>
        <w:rPr>
          <w:rFonts w:hint="eastAsia" w:ascii="宋体" w:hAnsi="宋体" w:eastAsia="宋体" w:cs="宋体"/>
          <w:color w:val="auto"/>
          <w:szCs w:val="21"/>
          <w:highlight w:val="none"/>
          <w:lang w:bidi="ar"/>
        </w:rPr>
      </w:pPr>
      <w:bookmarkStart w:id="17" w:name="_Toc35393637"/>
      <w:bookmarkStart w:id="18" w:name="_Toc28359096"/>
      <w:bookmarkStart w:id="19" w:name="_Toc28359019"/>
      <w:bookmarkStart w:id="20" w:name="_Toc35393806"/>
      <w:r>
        <w:rPr>
          <w:rFonts w:hint="eastAsia" w:ascii="宋体" w:hAnsi="宋体" w:eastAsia="宋体" w:cs="宋体"/>
          <w:color w:val="auto"/>
          <w:szCs w:val="21"/>
          <w:highlight w:val="none"/>
          <w:lang w:bidi="ar"/>
        </w:rPr>
        <w:t>1.采购人信息</w:t>
      </w:r>
    </w:p>
    <w:p w14:paraId="4E33A0E4">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名  称：</w:t>
      </w:r>
      <w:r>
        <w:rPr>
          <w:rFonts w:hint="eastAsia" w:ascii="宋体" w:hAnsi="宋体" w:cs="宋体"/>
          <w:color w:val="auto"/>
          <w:szCs w:val="21"/>
          <w:highlight w:val="none"/>
          <w:lang w:eastAsia="zh-CN" w:bidi="ar"/>
        </w:rPr>
        <w:t>广西医科大学第二附属医院</w:t>
      </w:r>
    </w:p>
    <w:p w14:paraId="76A6CA01">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地  址：</w:t>
      </w:r>
      <w:r>
        <w:rPr>
          <w:rFonts w:hint="eastAsia" w:ascii="宋体" w:hAnsi="宋体" w:cs="宋体"/>
          <w:color w:val="auto"/>
          <w:szCs w:val="21"/>
          <w:highlight w:val="none"/>
          <w:lang w:eastAsia="zh-CN" w:bidi="ar"/>
        </w:rPr>
        <w:t>南宁市大学东路166号</w:t>
      </w:r>
    </w:p>
    <w:p w14:paraId="5D1CAD8F">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联系人：</w:t>
      </w:r>
      <w:r>
        <w:rPr>
          <w:rFonts w:hint="eastAsia" w:ascii="宋体" w:hAnsi="宋体" w:cs="宋体"/>
          <w:color w:val="auto"/>
          <w:szCs w:val="21"/>
          <w:highlight w:val="none"/>
          <w:lang w:eastAsia="zh-CN" w:bidi="ar"/>
        </w:rPr>
        <w:t>陆老师</w:t>
      </w:r>
    </w:p>
    <w:p w14:paraId="1EC1789C">
      <w:pPr>
        <w:widowControl/>
        <w:spacing w:line="360" w:lineRule="auto"/>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联系电话：</w:t>
      </w:r>
      <w:r>
        <w:rPr>
          <w:rFonts w:hint="eastAsia" w:ascii="宋体" w:hAnsi="宋体" w:cs="宋体"/>
          <w:color w:val="auto"/>
          <w:szCs w:val="21"/>
          <w:highlight w:val="none"/>
          <w:lang w:eastAsia="zh-CN" w:bidi="ar"/>
        </w:rPr>
        <w:t>0771-3</w:t>
      </w:r>
      <w:r>
        <w:rPr>
          <w:rFonts w:hint="eastAsia" w:ascii="宋体" w:hAnsi="宋体" w:cs="宋体"/>
          <w:color w:val="auto"/>
          <w:szCs w:val="21"/>
          <w:highlight w:val="none"/>
          <w:lang w:val="en-US" w:eastAsia="zh-CN" w:bidi="ar"/>
        </w:rPr>
        <w:t>373768</w:t>
      </w:r>
    </w:p>
    <w:p w14:paraId="616EE35F">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2.采购代理机构信息</w:t>
      </w:r>
    </w:p>
    <w:p w14:paraId="1319BB63">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  称：广西科文招标有限公司</w:t>
      </w:r>
    </w:p>
    <w:p w14:paraId="2BCD5B74">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地  址：</w:t>
      </w:r>
      <w:r>
        <w:rPr>
          <w:rFonts w:hint="eastAsia" w:ascii="宋体" w:hAnsi="宋体" w:cs="宋体"/>
          <w:color w:val="auto"/>
          <w:szCs w:val="21"/>
          <w:highlight w:val="none"/>
          <w:lang w:eastAsia="zh-CN" w:bidi="ar"/>
        </w:rPr>
        <w:t>南宁市民族大道141号中鼎万象东方大厦D区五层</w:t>
      </w:r>
    </w:p>
    <w:p w14:paraId="2362F027">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项目联系人：蒙颖</w:t>
      </w:r>
    </w:p>
    <w:p w14:paraId="1C64A5C0">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项目联系方式：0771-2023875</w:t>
      </w:r>
    </w:p>
    <w:p w14:paraId="6A7A64EE">
      <w:pPr>
        <w:spacing w:line="380" w:lineRule="exact"/>
        <w:ind w:firstLine="6195" w:firstLineChars="2950"/>
        <w:rPr>
          <w:rFonts w:hint="eastAsia" w:ascii="宋体" w:hAnsi="宋体" w:cs="Arial"/>
          <w:color w:val="auto"/>
          <w:szCs w:val="21"/>
          <w:highlight w:val="none"/>
        </w:rPr>
      </w:pPr>
    </w:p>
    <w:p w14:paraId="66EAD882">
      <w:pPr>
        <w:snapToGrid w:val="0"/>
        <w:spacing w:line="380" w:lineRule="exact"/>
        <w:ind w:left="238"/>
        <w:jc w:val="right"/>
        <w:rPr>
          <w:rFonts w:hint="eastAsia" w:ascii="宋体" w:hAnsi="宋体" w:cs="Arial"/>
          <w:color w:val="auto"/>
          <w:szCs w:val="21"/>
          <w:highlight w:val="none"/>
        </w:rPr>
      </w:pPr>
      <w:r>
        <w:rPr>
          <w:rFonts w:hint="eastAsia" w:ascii="宋体" w:hAnsi="宋体" w:cs="Arial"/>
          <w:color w:val="auto"/>
          <w:szCs w:val="21"/>
          <w:highlight w:val="none"/>
        </w:rPr>
        <w:t>广西科文招标有限公司</w:t>
      </w:r>
      <w:bookmarkEnd w:id="4"/>
      <w:bookmarkEnd w:id="17"/>
      <w:bookmarkEnd w:id="18"/>
      <w:bookmarkEnd w:id="19"/>
      <w:bookmarkEnd w:id="20"/>
    </w:p>
    <w:p w14:paraId="4ACB81BD">
      <w:pPr>
        <w:snapToGrid w:val="0"/>
        <w:spacing w:line="380" w:lineRule="exact"/>
        <w:ind w:left="238"/>
        <w:jc w:val="right"/>
        <w:rPr>
          <w:rFonts w:hint="eastAsia" w:ascii="宋体" w:hAnsi="宋体"/>
          <w:b/>
          <w:bCs/>
          <w:color w:val="auto"/>
          <w:sz w:val="32"/>
          <w:szCs w:val="32"/>
          <w:highlight w:val="none"/>
        </w:rPr>
      </w:pPr>
      <w:r>
        <w:rPr>
          <w:rFonts w:hint="eastAsia" w:ascii="宋体" w:hAnsi="宋体"/>
          <w:color w:val="auto"/>
          <w:highlight w:val="none"/>
          <w:lang w:eastAsia="zh-CN"/>
        </w:rPr>
        <w:t>2025年1月</w:t>
      </w:r>
      <w:r>
        <w:rPr>
          <w:rFonts w:hint="eastAsia" w:ascii="宋体" w:hAnsi="宋体"/>
          <w:color w:val="auto"/>
          <w:highlight w:val="none"/>
          <w:lang w:val="en-US" w:eastAsia="zh-CN"/>
        </w:rPr>
        <w:t>14</w:t>
      </w:r>
      <w:r>
        <w:rPr>
          <w:rFonts w:hint="eastAsia" w:ascii="宋体" w:hAnsi="宋体"/>
          <w:color w:val="auto"/>
          <w:highlight w:val="none"/>
          <w:lang w:eastAsia="zh-CN"/>
        </w:rPr>
        <w:t>日</w:t>
      </w:r>
      <w:r>
        <w:rPr>
          <w:rFonts w:ascii="宋体" w:hAnsi="宋体"/>
          <w:b/>
          <w:bCs/>
          <w:color w:val="auto"/>
          <w:sz w:val="32"/>
          <w:szCs w:val="32"/>
          <w:highlight w:val="none"/>
        </w:rPr>
        <w:br w:type="page"/>
      </w:r>
    </w:p>
    <w:p w14:paraId="3AE235BC">
      <w:pPr>
        <w:pStyle w:val="2"/>
        <w:jc w:val="center"/>
        <w:rPr>
          <w:rFonts w:hint="eastAsia"/>
          <w:color w:val="auto"/>
          <w:highlight w:val="none"/>
        </w:rPr>
      </w:pPr>
      <w:bookmarkStart w:id="21" w:name="_Toc74323457"/>
      <w:r>
        <w:rPr>
          <w:rFonts w:hint="eastAsia"/>
          <w:color w:val="auto"/>
          <w:highlight w:val="none"/>
        </w:rPr>
        <w:t>第二章 供应商须知</w:t>
      </w:r>
      <w:bookmarkEnd w:id="21"/>
    </w:p>
    <w:p w14:paraId="7547E7E7">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53E9B48B">
      <w:pPr>
        <w:spacing w:line="400" w:lineRule="exact"/>
        <w:jc w:val="center"/>
        <w:rPr>
          <w:rFonts w:hint="eastAsia" w:ascii="宋体" w:hAnsi="宋体"/>
          <w:b/>
          <w:color w:val="auto"/>
          <w:sz w:val="32"/>
          <w:szCs w:val="32"/>
          <w:highlight w:val="none"/>
        </w:rPr>
      </w:pPr>
    </w:p>
    <w:tbl>
      <w:tblPr>
        <w:tblStyle w:val="21"/>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2D514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4864758A">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8627" w:type="dxa"/>
            <w:noWrap w:val="0"/>
            <w:vAlign w:val="top"/>
          </w:tcPr>
          <w:p w14:paraId="046D6773">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    容</w:t>
            </w:r>
          </w:p>
        </w:tc>
      </w:tr>
      <w:tr w14:paraId="1FE8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E15DAD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627" w:type="dxa"/>
            <w:noWrap w:val="0"/>
            <w:vAlign w:val="center"/>
          </w:tcPr>
          <w:p w14:paraId="4831BF8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供应商的资格条件</w:t>
            </w:r>
            <w:r>
              <w:rPr>
                <w:rFonts w:hint="eastAsia" w:asciiTheme="minorEastAsia" w:hAnsiTheme="minorEastAsia" w:eastAsiaTheme="minorEastAsia" w:cstheme="minorEastAsia"/>
                <w:color w:val="auto"/>
                <w:sz w:val="21"/>
                <w:szCs w:val="21"/>
                <w:highlight w:val="none"/>
              </w:rPr>
              <w:t>：详见竞争性磋商公告</w:t>
            </w:r>
          </w:p>
        </w:tc>
      </w:tr>
      <w:tr w14:paraId="32A4E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6B17E4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8627" w:type="dxa"/>
            <w:noWrap w:val="0"/>
            <w:vAlign w:val="center"/>
          </w:tcPr>
          <w:p w14:paraId="38BAEEF5">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是否接受联合体竞标：详见竞争性磋商公告</w:t>
            </w:r>
            <w:r>
              <w:rPr>
                <w:rFonts w:hint="eastAsia" w:asciiTheme="minorEastAsia" w:hAnsiTheme="minorEastAsia" w:eastAsiaTheme="minorEastAsia" w:cstheme="minorEastAsia"/>
                <w:color w:val="auto"/>
                <w:sz w:val="21"/>
                <w:szCs w:val="21"/>
                <w:highlight w:val="none"/>
                <w:lang w:eastAsia="zh-CN"/>
              </w:rPr>
              <w:t>（不接受）</w:t>
            </w:r>
          </w:p>
        </w:tc>
      </w:tr>
      <w:tr w14:paraId="15FF4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9174BD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8627" w:type="dxa"/>
            <w:noWrap w:val="0"/>
            <w:vAlign w:val="center"/>
          </w:tcPr>
          <w:p w14:paraId="59AB3B9C">
            <w:pPr>
              <w:pStyle w:val="8"/>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本项目不允许分包。</w:t>
            </w:r>
          </w:p>
          <w:p w14:paraId="7DBF8B04">
            <w:pPr>
              <w:pStyle w:val="8"/>
              <w:spacing w:line="400" w:lineRule="exact"/>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分包内容：</w:t>
            </w:r>
            <w:r>
              <w:rPr>
                <w:rFonts w:hint="eastAsia" w:asciiTheme="minorEastAsia" w:hAnsiTheme="minorEastAsia" w:eastAsiaTheme="minorEastAsia" w:cstheme="minorEastAsia"/>
                <w:color w:val="auto"/>
                <w:sz w:val="21"/>
                <w:szCs w:val="21"/>
                <w:highlight w:val="none"/>
                <w:u w:val="single"/>
                <w:lang w:val="en-US" w:eastAsia="zh-CN"/>
              </w:rPr>
              <w:t>无。</w:t>
            </w:r>
          </w:p>
          <w:p w14:paraId="7A88CBE4">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分包金额或者比例：</w:t>
            </w:r>
            <w:r>
              <w:rPr>
                <w:rFonts w:hint="eastAsia" w:asciiTheme="minorEastAsia" w:hAnsiTheme="minorEastAsia" w:eastAsiaTheme="minorEastAsia" w:cstheme="minorEastAsia"/>
                <w:color w:val="auto"/>
                <w:sz w:val="21"/>
                <w:szCs w:val="21"/>
                <w:highlight w:val="none"/>
                <w:u w:val="single"/>
                <w:lang w:val="en-US" w:eastAsia="zh-CN"/>
              </w:rPr>
              <w:t>无。</w:t>
            </w:r>
          </w:p>
        </w:tc>
      </w:tr>
      <w:tr w14:paraId="55B8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1AF01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w:t>
            </w:r>
          </w:p>
        </w:tc>
        <w:tc>
          <w:tcPr>
            <w:tcW w:w="8627" w:type="dxa"/>
            <w:noWrap w:val="0"/>
            <w:vAlign w:val="center"/>
          </w:tcPr>
          <w:p w14:paraId="4941239D">
            <w:pPr>
              <w:snapToGrid w:val="0"/>
              <w:spacing w:line="360"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资格证明文件</w:t>
            </w:r>
          </w:p>
          <w:p w14:paraId="6438D78F">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auto"/>
                <w:sz w:val="21"/>
                <w:szCs w:val="21"/>
                <w:highlight w:val="none"/>
                <w:lang w:val="en-US" w:eastAsia="zh-CN"/>
              </w:rPr>
              <w:t>必须提供，否则响应文件按无效响应处理</w:t>
            </w:r>
            <w:r>
              <w:rPr>
                <w:rFonts w:hint="eastAsia" w:asciiTheme="minorEastAsia" w:hAnsiTheme="minorEastAsia" w:eastAsiaTheme="minorEastAsia" w:cstheme="minorEastAsia"/>
                <w:color w:val="auto"/>
                <w:sz w:val="21"/>
                <w:szCs w:val="21"/>
                <w:highlight w:val="none"/>
                <w:lang w:val="en-US" w:eastAsia="zh-CN"/>
              </w:rPr>
              <w:t>）</w:t>
            </w:r>
          </w:p>
          <w:p w14:paraId="10C3D84E">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2、供应商依法缴纳税收的相关材料（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630CDA8">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3、供应商依法缴纳社会保障资金的相关材料[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78D010F2">
            <w:pPr>
              <w:spacing w:line="360" w:lineRule="auto"/>
              <w:contextualSpacing/>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4、供应商财务状况报告[202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或2024年</w:t>
            </w:r>
            <w:r>
              <w:rPr>
                <w:rFonts w:hint="eastAsia" w:asciiTheme="minorEastAsia" w:hAnsiTheme="minorEastAsia" w:eastAsiaTheme="minorEastAsia" w:cstheme="minorEastAsia"/>
                <w:color w:val="auto"/>
                <w:sz w:val="21"/>
                <w:szCs w:val="21"/>
                <w:highlight w:val="none"/>
              </w:rPr>
              <w:t>财务状况报告，或者经审计的财务报告，或者银行出具的资信证明（应在有效期内，未注明有效期的视为自出具时间起一年内有效）。上述财务报表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如供应商在上述年度后成立的，提供自成立起至提交响应文件递交截止之日前所有月报或银行出具的资信证明]；</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
                <w:color w:val="auto"/>
                <w:sz w:val="21"/>
                <w:szCs w:val="21"/>
                <w:highlight w:val="none"/>
              </w:rPr>
              <w:t>除自然人外必须提供，否则响应文件按无效响应处理</w:t>
            </w:r>
            <w:r>
              <w:rPr>
                <w:rFonts w:hint="eastAsia" w:asciiTheme="minorEastAsia" w:hAnsiTheme="minorEastAsia" w:eastAsiaTheme="minorEastAsia" w:cstheme="minorEastAsia"/>
                <w:bCs/>
                <w:color w:val="auto"/>
                <w:sz w:val="21"/>
                <w:szCs w:val="21"/>
                <w:highlight w:val="none"/>
              </w:rPr>
              <w:t>）</w:t>
            </w:r>
          </w:p>
          <w:p w14:paraId="31C266D7">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5、供应商直接控股、管理关系信息表（格式后附）；（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3B3F1DA">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6、竞标声明（格式后附）；（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6C6FB70F">
            <w:pPr>
              <w:pStyle w:val="1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u w:val="single"/>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7C62EE2">
            <w:pPr>
              <w:pStyle w:val="10"/>
              <w:rPr>
                <w:rFonts w:hint="eastAsia"/>
                <w:b/>
                <w:bCs/>
                <w:color w:val="auto"/>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 w:val="21"/>
                <w:szCs w:val="21"/>
                <w:highlight w:val="none"/>
              </w:rPr>
              <w:t>除磋商文件规定必须提供以外，供应商认为需要提供的其他证明材料</w:t>
            </w:r>
            <w:r>
              <w:rPr>
                <w:rFonts w:hint="eastAsia" w:asciiTheme="minorEastAsia" w:hAnsiTheme="minorEastAsia" w:eastAsiaTheme="minorEastAsia" w:cstheme="minorEastAsia"/>
                <w:color w:val="auto"/>
                <w:sz w:val="21"/>
                <w:szCs w:val="21"/>
                <w:highlight w:val="none"/>
                <w:lang w:eastAsia="zh-CN"/>
              </w:rPr>
              <w:t>。</w:t>
            </w:r>
            <w:r>
              <w:rPr>
                <w:rFonts w:hint="eastAsia"/>
                <w:b/>
                <w:bCs/>
                <w:color w:val="auto"/>
                <w:highlight w:val="none"/>
              </w:rPr>
              <w:t>（如有请提供）</w:t>
            </w:r>
          </w:p>
          <w:p w14:paraId="1109C165">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w:t>
            </w:r>
          </w:p>
          <w:p w14:paraId="5879EB91">
            <w:pPr>
              <w:snapToGrid w:val="0"/>
              <w:spacing w:line="360" w:lineRule="auto"/>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以上标明“必须提供”的材料属于复印件的，必须加盖供应商公章，否则响应文件按无效响应处理。</w:t>
            </w:r>
          </w:p>
          <w:p w14:paraId="2103AAAB">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竞标声明必须由法定代表人在规定签章处签字并加盖供应商公章，否则响应文件按无效响应处理。</w:t>
            </w:r>
          </w:p>
          <w:p w14:paraId="59CF30CF">
            <w:pPr>
              <w:snapToGrid w:val="0"/>
              <w:spacing w:line="36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3</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供应商直接控股、管理关系信息表必须由法定代表人或者委托代理人在规定签章处签字并加盖供应商公章，否则响应文件按无效响应处理。</w:t>
            </w:r>
          </w:p>
          <w:p w14:paraId="19264B30">
            <w:pPr>
              <w:pStyle w:val="8"/>
              <w:spacing w:line="360" w:lineRule="auto"/>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4.分公司参加竞标的，应当取得总公司授权</w:t>
            </w:r>
            <w:r>
              <w:rPr>
                <w:rFonts w:hint="eastAsia" w:asciiTheme="minorEastAsia" w:hAnsiTheme="minorEastAsia" w:eastAsiaTheme="minorEastAsia" w:cstheme="minorEastAsia"/>
                <w:b/>
                <w:color w:val="auto"/>
                <w:sz w:val="21"/>
                <w:szCs w:val="21"/>
                <w:highlight w:val="none"/>
                <w:lang w:val="en-US" w:eastAsia="zh-CN"/>
              </w:rPr>
              <w:t>，否则响应文件按无效响应处理。</w:t>
            </w:r>
          </w:p>
        </w:tc>
      </w:tr>
      <w:tr w14:paraId="6C42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190367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12.1.2</w:t>
            </w:r>
          </w:p>
        </w:tc>
        <w:tc>
          <w:tcPr>
            <w:tcW w:w="8627" w:type="dxa"/>
            <w:noWrap w:val="0"/>
            <w:vAlign w:val="center"/>
          </w:tcPr>
          <w:p w14:paraId="236CE3A5">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报价商务技术文件</w:t>
            </w:r>
          </w:p>
          <w:p w14:paraId="7B5515D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1、无串通竞标行为的承诺函（格式后附）；（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3EFD5C6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2、竞标报价表</w:t>
            </w:r>
            <w:bookmarkStart w:id="22" w:name="OLE_LINK10"/>
            <w:r>
              <w:rPr>
                <w:rFonts w:hint="eastAsia" w:asciiTheme="minorEastAsia" w:hAnsiTheme="minorEastAsia" w:eastAsiaTheme="minorEastAsia" w:cstheme="minorEastAsia"/>
                <w:color w:val="auto"/>
                <w:sz w:val="21"/>
                <w:szCs w:val="21"/>
                <w:highlight w:val="none"/>
              </w:rPr>
              <w:t>（格式后附）；（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bookmarkEnd w:id="22"/>
          </w:p>
          <w:p w14:paraId="136ACFAF">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、法定代表人身份证明及法定代表人有效身份证正反面复印件（格式后附）；（</w:t>
            </w:r>
            <w:r>
              <w:rPr>
                <w:rFonts w:hint="eastAsia" w:asciiTheme="minorEastAsia" w:hAnsiTheme="minorEastAsia" w:eastAsiaTheme="minorEastAsia" w:cstheme="minorEastAsia"/>
                <w:b/>
                <w:bCs/>
                <w:color w:val="auto"/>
                <w:sz w:val="21"/>
                <w:szCs w:val="21"/>
                <w:highlight w:val="none"/>
              </w:rPr>
              <w:t>除自然人竞标外</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7480BCE9">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、授权委托书及委托代理人有效身份证正反面复印件（格式后附）；（</w:t>
            </w:r>
            <w:r>
              <w:rPr>
                <w:rFonts w:hint="eastAsia" w:asciiTheme="minorEastAsia" w:hAnsiTheme="minorEastAsia" w:eastAsiaTheme="minorEastAsia" w:cstheme="minorEastAsia"/>
                <w:b/>
                <w:color w:val="auto"/>
                <w:sz w:val="21"/>
                <w:szCs w:val="21"/>
                <w:highlight w:val="none"/>
              </w:rPr>
              <w:t>委托时必须提供，否则响应文件按无效响应处理</w:t>
            </w:r>
            <w:r>
              <w:rPr>
                <w:rFonts w:hint="eastAsia" w:asciiTheme="minorEastAsia" w:hAnsiTheme="minorEastAsia" w:eastAsiaTheme="minorEastAsia" w:cstheme="minorEastAsia"/>
                <w:color w:val="auto"/>
                <w:sz w:val="21"/>
                <w:szCs w:val="21"/>
                <w:highlight w:val="none"/>
              </w:rPr>
              <w:t>）</w:t>
            </w:r>
          </w:p>
          <w:p w14:paraId="33428CB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、磋商保证金提交凭证；（</w:t>
            </w:r>
            <w:r>
              <w:rPr>
                <w:rFonts w:hint="eastAsia" w:asciiTheme="minorEastAsia" w:hAnsiTheme="minorEastAsia" w:eastAsiaTheme="minorEastAsia" w:cstheme="minorEastAsia"/>
                <w:b/>
                <w:bCs/>
                <w:color w:val="auto"/>
                <w:sz w:val="21"/>
                <w:szCs w:val="21"/>
                <w:highlight w:val="none"/>
              </w:rPr>
              <w:t>如要求提交磋商保证金的则必须提供</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6F80AE13">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、商务要求偏离表（格式后附）；（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1A1BE14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、服务方案（格式自拟）；（</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637DD923">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、技术要求偏离表（格式后附）；（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07970BD7">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 xml:space="preserve">、项目实施人员一览表（格式自拟）； </w:t>
            </w:r>
            <w:r>
              <w:rPr>
                <w:rFonts w:hint="eastAsia"/>
                <w:b/>
                <w:bCs/>
                <w:color w:val="auto"/>
                <w:highlight w:val="none"/>
              </w:rPr>
              <w:t>（如有请提供）</w:t>
            </w:r>
          </w:p>
          <w:p w14:paraId="1F87FB18">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、对应采购需求的技术要求、商务要求提供的其他文件资料（格式自拟）；</w:t>
            </w:r>
            <w:r>
              <w:rPr>
                <w:rFonts w:hint="eastAsia"/>
                <w:b/>
                <w:bCs/>
                <w:color w:val="auto"/>
                <w:highlight w:val="none"/>
              </w:rPr>
              <w:t>（如有请提供）</w:t>
            </w:r>
          </w:p>
          <w:p w14:paraId="2D3FF37C">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、供应商认为需要提供的其他有关资料。</w:t>
            </w:r>
            <w:r>
              <w:rPr>
                <w:rFonts w:hint="eastAsia"/>
                <w:b/>
                <w:bCs/>
                <w:color w:val="auto"/>
                <w:highlight w:val="none"/>
              </w:rPr>
              <w:t>（如有请提供）</w:t>
            </w:r>
          </w:p>
          <w:p w14:paraId="5EE71F2F">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注：以上标明“必须提供”的材料属于复印件的，必须加盖供应商公章，否则响应文件按无效响应处理。</w:t>
            </w:r>
          </w:p>
        </w:tc>
      </w:tr>
      <w:tr w14:paraId="4F22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F303DF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w:t>
            </w:r>
          </w:p>
        </w:tc>
        <w:tc>
          <w:tcPr>
            <w:tcW w:w="8627" w:type="dxa"/>
            <w:noWrap w:val="0"/>
            <w:vAlign w:val="center"/>
          </w:tcPr>
          <w:p w14:paraId="4FA56DD5">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投标报价是履行合同的最终价格，即满足全部采购需求所应提供的服务的价格；包括投标服务的成本、交通（含保险）（如有）、技术服务、培训、税费等所有费用。</w:t>
            </w:r>
          </w:p>
        </w:tc>
      </w:tr>
      <w:tr w14:paraId="11B8E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A6779F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w:t>
            </w:r>
          </w:p>
        </w:tc>
        <w:tc>
          <w:tcPr>
            <w:tcW w:w="8627" w:type="dxa"/>
            <w:noWrap w:val="0"/>
            <w:vAlign w:val="center"/>
          </w:tcPr>
          <w:p w14:paraId="3C69951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竞标有效期：首次响应文件提交截止之日起60天内。</w:t>
            </w:r>
          </w:p>
        </w:tc>
      </w:tr>
      <w:tr w14:paraId="4505B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B5C991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w:t>
            </w:r>
          </w:p>
        </w:tc>
        <w:tc>
          <w:tcPr>
            <w:tcW w:w="8627" w:type="dxa"/>
            <w:noWrap w:val="0"/>
            <w:vAlign w:val="center"/>
          </w:tcPr>
          <w:p w14:paraId="6E79EB1F">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14500元</w:t>
            </w:r>
            <w:r>
              <w:rPr>
                <w:rFonts w:hint="eastAsia" w:asciiTheme="minorEastAsia" w:hAnsiTheme="minorEastAsia" w:eastAsiaTheme="minorEastAsia" w:cstheme="minorEastAsia"/>
                <w:color w:val="auto"/>
                <w:kern w:val="0"/>
                <w:sz w:val="21"/>
                <w:szCs w:val="21"/>
                <w:highlight w:val="none"/>
              </w:rPr>
              <w:t>；</w:t>
            </w:r>
          </w:p>
          <w:p w14:paraId="7FD6E6D8">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Theme="minorEastAsia" w:hAnsiTheme="minorEastAsia" w:eastAsiaTheme="minorEastAsia" w:cstheme="minorEastAsia"/>
                <w:color w:val="auto"/>
                <w:sz w:val="21"/>
                <w:szCs w:val="21"/>
                <w:highlight w:val="none"/>
              </w:rPr>
              <w:t>开户名称：广西科文招标有限公司，开户银行：广西北部湾银行南宁分行营业部，银行账号：0101012090615689</w:t>
            </w:r>
            <w:r>
              <w:rPr>
                <w:rFonts w:hint="eastAsia" w:asciiTheme="minorEastAsia" w:hAnsiTheme="minorEastAsia" w:eastAsiaTheme="minorEastAsia" w:cstheme="minorEastAsia"/>
                <w:color w:val="auto"/>
                <w:kern w:val="0"/>
                <w:sz w:val="21"/>
                <w:szCs w:val="21"/>
                <w:highlight w:val="none"/>
              </w:rPr>
              <w:t>）；采用支票、汇票、本票或者保函等方式的，在响应文件提交截止时间前，供应商必须提交支票、汇票、本票或者保函原件。否则视为无效磋商保证金。</w:t>
            </w:r>
          </w:p>
          <w:p w14:paraId="423384E4">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相关要求：</w:t>
            </w:r>
          </w:p>
          <w:p w14:paraId="3C7A2CB1">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7E25BE1E">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供应商必须在首次响应文件提交截止时间前将支票、汇票、本票或者金融、担保机构出具的保函原件提交给采购代理机构，由采购代理机构向供应商出具回执，并妥善保管。</w:t>
            </w:r>
          </w:p>
          <w:p w14:paraId="39637E1B">
            <w:pPr>
              <w:rPr>
                <w:rFonts w:hint="eastAsia" w:asciiTheme="minorEastAsia" w:hAnsiTheme="minorEastAsia" w:eastAsiaTheme="minorEastAsia" w:cstheme="minorEastAsia"/>
                <w:color w:val="auto"/>
                <w:sz w:val="21"/>
                <w:szCs w:val="21"/>
                <w:highlight w:val="none"/>
              </w:rPr>
            </w:pPr>
          </w:p>
          <w:p w14:paraId="5B208D62">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备注： </w:t>
            </w:r>
          </w:p>
          <w:p w14:paraId="7B880E1D">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1、磋商保证金在响应文件提交截止时间后提交的，或者不按规定交纳方式交纳的，或者未足额交纳的（包含保函额度不足的），视为无效磋商保证金。</w:t>
            </w:r>
          </w:p>
          <w:p w14:paraId="2152140E">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2、供应商采用现钞方式或者从个人账户（自然人竞标除外）转出的磋商保证金，视为无效磋商保证金。</w:t>
            </w:r>
          </w:p>
          <w:p w14:paraId="217F4D2A">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3、支票、汇票或者本票出现无效或者背书情形的，视为无效磋商保证金。</w:t>
            </w:r>
          </w:p>
          <w:p w14:paraId="59B0CD63">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4、保函有效期低于竞标有效期的，视为无效磋商保证金。</w:t>
            </w:r>
          </w:p>
          <w:p w14:paraId="146B7E86">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5、采用金融、担保机构出具保函的，必须为无条件保函，否则视为无效磋商保证金。</w:t>
            </w:r>
          </w:p>
        </w:tc>
      </w:tr>
      <w:tr w14:paraId="2A8B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noWrap w:val="0"/>
            <w:vAlign w:val="center"/>
          </w:tcPr>
          <w:p w14:paraId="5A919D0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w:t>
            </w:r>
          </w:p>
        </w:tc>
        <w:tc>
          <w:tcPr>
            <w:tcW w:w="8627" w:type="dxa"/>
            <w:noWrap w:val="0"/>
            <w:vAlign w:val="center"/>
          </w:tcPr>
          <w:p w14:paraId="18E9591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响应文件应按资格证明文件、报价商务技术文件分别编制，</w:t>
            </w:r>
            <w:r>
              <w:rPr>
                <w:rFonts w:hint="eastAsia" w:asciiTheme="minorEastAsia" w:hAnsiTheme="minorEastAsia" w:eastAsiaTheme="minorEastAsia" w:cstheme="minorEastAsia"/>
                <w:color w:val="auto"/>
                <w:sz w:val="21"/>
                <w:szCs w:val="21"/>
                <w:highlight w:val="none"/>
                <w:lang w:bidi="ar"/>
              </w:rPr>
              <w:t>并按</w:t>
            </w:r>
            <w:r>
              <w:rPr>
                <w:rFonts w:hint="eastAsia" w:asciiTheme="minorEastAsia" w:hAnsiTheme="minorEastAsia" w:eastAsiaTheme="minorEastAsia" w:cstheme="minorEastAsia"/>
                <w:color w:val="auto"/>
                <w:sz w:val="21"/>
                <w:szCs w:val="21"/>
                <w:highlight w:val="none"/>
                <w:lang w:eastAsia="zh-CN" w:bidi="ar"/>
              </w:rPr>
              <w:t>广西政府采购云平台</w:t>
            </w:r>
            <w:r>
              <w:rPr>
                <w:rFonts w:hint="eastAsia" w:asciiTheme="minorEastAsia" w:hAnsiTheme="minorEastAsia" w:eastAsiaTheme="minorEastAsia" w:cstheme="minorEastAsia"/>
                <w:color w:val="auto"/>
                <w:sz w:val="21"/>
                <w:szCs w:val="21"/>
                <w:highlight w:val="none"/>
                <w:lang w:bidi="ar"/>
              </w:rPr>
              <w:t>的要求编制、加密、上传。</w:t>
            </w:r>
          </w:p>
        </w:tc>
      </w:tr>
      <w:tr w14:paraId="4FED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F9FE2A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8627" w:type="dxa"/>
            <w:noWrap w:val="0"/>
            <w:vAlign w:val="center"/>
          </w:tcPr>
          <w:p w14:paraId="7164AC8C">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首次响应文件提交截止时间：详见竞争性磋商公告。</w:t>
            </w:r>
          </w:p>
          <w:p w14:paraId="52C3F2BB">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首次响应文件提交地点：详见竞争性磋商公告。</w:t>
            </w:r>
          </w:p>
        </w:tc>
      </w:tr>
      <w:tr w14:paraId="4B47B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AF954D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w:t>
            </w:r>
          </w:p>
        </w:tc>
        <w:tc>
          <w:tcPr>
            <w:tcW w:w="8627" w:type="dxa"/>
            <w:noWrap w:val="0"/>
            <w:vAlign w:val="center"/>
          </w:tcPr>
          <w:p w14:paraId="4FA13EF4">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磋商小组的人数：3人。</w:t>
            </w:r>
          </w:p>
        </w:tc>
      </w:tr>
      <w:tr w14:paraId="636ED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FCBC96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25.2</w:t>
            </w:r>
          </w:p>
        </w:tc>
        <w:tc>
          <w:tcPr>
            <w:tcW w:w="8627" w:type="dxa"/>
            <w:noWrap w:val="0"/>
            <w:vAlign w:val="center"/>
          </w:tcPr>
          <w:p w14:paraId="0F3D9B42">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采购代理机构将依托电子交易平台发起开始解密指令，</w:t>
            </w:r>
            <w:r>
              <w:rPr>
                <w:rFonts w:hint="eastAsia" w:asciiTheme="minorEastAsia" w:hAnsiTheme="minorEastAsia" w:eastAsiaTheme="minorEastAsia" w:cstheme="minorEastAsia"/>
                <w:b/>
                <w:color w:val="auto"/>
                <w:sz w:val="21"/>
                <w:szCs w:val="21"/>
                <w:highlight w:val="none"/>
              </w:rPr>
              <w:t>供应商的法定代表人或其委托代理人须携带加密时所用的CA锁按平台提示和采购文件的规定登录到</w:t>
            </w:r>
            <w:r>
              <w:rPr>
                <w:rFonts w:hint="eastAsia" w:asciiTheme="minorEastAsia" w:hAnsiTheme="minorEastAsia" w:eastAsiaTheme="minorEastAsia" w:cstheme="minorEastAsia"/>
                <w:b/>
                <w:color w:val="auto"/>
                <w:sz w:val="21"/>
                <w:szCs w:val="21"/>
                <w:highlight w:val="none"/>
                <w:lang w:eastAsia="zh-CN"/>
              </w:rPr>
              <w:t>广西政府采购云平台</w:t>
            </w:r>
            <w:r>
              <w:rPr>
                <w:rFonts w:hint="eastAsia" w:asciiTheme="minorEastAsia" w:hAnsiTheme="minorEastAsia" w:eastAsiaTheme="minorEastAsia" w:cstheme="minorEastAsia"/>
                <w:b/>
                <w:color w:val="auto"/>
                <w:sz w:val="21"/>
                <w:szCs w:val="21"/>
                <w:highlight w:val="none"/>
              </w:rPr>
              <w:t>电子开标大厅签到并在发起解密指令之时起30分钟内完成对电子响应文件在线解密。</w:t>
            </w:r>
            <w:r>
              <w:rPr>
                <w:rFonts w:hint="eastAsia" w:asciiTheme="minorEastAsia" w:hAnsiTheme="minorEastAsia" w:eastAsiaTheme="minorEastAsia" w:cstheme="minorEastAsia"/>
                <w:b/>
                <w:bCs/>
                <w:color w:val="auto"/>
                <w:sz w:val="21"/>
                <w:szCs w:val="21"/>
                <w:highlight w:val="none"/>
              </w:rPr>
              <w:t>响应文件未按时解密的，</w:t>
            </w:r>
            <w:r>
              <w:rPr>
                <w:rFonts w:hint="eastAsia" w:asciiTheme="minorEastAsia" w:hAnsiTheme="minorEastAsia" w:eastAsiaTheme="minorEastAsia" w:cstheme="minorEastAsia"/>
                <w:b/>
                <w:color w:val="auto"/>
                <w:sz w:val="21"/>
                <w:szCs w:val="21"/>
                <w:highlight w:val="none"/>
              </w:rPr>
              <w:t>视为响应</w:t>
            </w:r>
            <w:r>
              <w:rPr>
                <w:rFonts w:hint="eastAsia" w:asciiTheme="minorEastAsia" w:hAnsiTheme="minorEastAsia" w:eastAsiaTheme="minorEastAsia" w:cstheme="minorEastAsia"/>
                <w:b/>
                <w:bCs/>
                <w:color w:val="auto"/>
                <w:sz w:val="21"/>
                <w:szCs w:val="21"/>
                <w:highlight w:val="none"/>
              </w:rPr>
              <w:t>文件无效。</w:t>
            </w:r>
          </w:p>
        </w:tc>
      </w:tr>
      <w:tr w14:paraId="74D9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6" w:hRule="atLeast"/>
          <w:jc w:val="center"/>
        </w:trPr>
        <w:tc>
          <w:tcPr>
            <w:tcW w:w="992" w:type="dxa"/>
            <w:noWrap w:val="0"/>
            <w:vAlign w:val="center"/>
          </w:tcPr>
          <w:p w14:paraId="7895B96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8627" w:type="dxa"/>
            <w:noWrap w:val="0"/>
            <w:vAlign w:val="center"/>
          </w:tcPr>
          <w:p w14:paraId="16AED34B">
            <w:pPr>
              <w:pStyle w:val="8"/>
              <w:spacing w:line="320" w:lineRule="exact"/>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磋商的顺序：</w:t>
            </w:r>
            <w:r>
              <w:rPr>
                <w:rFonts w:hint="eastAsia" w:asciiTheme="minorEastAsia" w:hAnsiTheme="minorEastAsia" w:eastAsiaTheme="minorEastAsia" w:cstheme="minorEastAsia"/>
                <w:color w:val="auto"/>
                <w:sz w:val="21"/>
                <w:szCs w:val="21"/>
                <w:highlight w:val="none"/>
              </w:rPr>
              <w:t>按“</w:t>
            </w:r>
            <w:r>
              <w:rPr>
                <w:rFonts w:hint="eastAsia" w:ascii="宋体" w:hAnsi="宋体" w:cs="宋体"/>
                <w:bCs/>
                <w:color w:val="auto"/>
                <w:kern w:val="0"/>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”系统的编号顺序</w:t>
            </w:r>
            <w:r>
              <w:rPr>
                <w:rFonts w:hint="eastAsia" w:asciiTheme="minorEastAsia" w:hAnsiTheme="minorEastAsia" w:eastAsiaTheme="minorEastAsia" w:cstheme="minorEastAsia"/>
                <w:color w:val="auto"/>
                <w:sz w:val="21"/>
                <w:szCs w:val="21"/>
                <w:highlight w:val="none"/>
                <w:lang w:val="en-US" w:eastAsia="zh-CN"/>
              </w:rPr>
              <w:t>。</w:t>
            </w:r>
          </w:p>
          <w:p w14:paraId="6882E822">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符合磋商资格的供应商必须在接到磋商通知后规定时间内参加磋商，未在规定时间内参加磋商的视同放弃参加磋商权利，其响应文件按无效响应处理。</w:t>
            </w:r>
          </w:p>
          <w:p w14:paraId="7BBCDEC6">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注：参与磋商前，供应商法定代表人或者委托代理人向磋商小组出示本人有效证件原件[有效证件可以是身份证（含临时身份证明）或者护照的其中一项]。</w:t>
            </w:r>
          </w:p>
        </w:tc>
      </w:tr>
      <w:tr w14:paraId="45005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D87F20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28.1</w:t>
            </w:r>
          </w:p>
        </w:tc>
        <w:tc>
          <w:tcPr>
            <w:tcW w:w="8627" w:type="dxa"/>
            <w:noWrap w:val="0"/>
            <w:vAlign w:val="center"/>
          </w:tcPr>
          <w:p w14:paraId="5C7D47D7">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本项目收取履约保证金</w:t>
            </w:r>
          </w:p>
          <w:p w14:paraId="22394C86">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乙方在签订合同</w:t>
            </w:r>
            <w:r>
              <w:rPr>
                <w:rFonts w:hint="eastAsia" w:asciiTheme="minorEastAsia" w:hAnsiTheme="minorEastAsia" w:eastAsiaTheme="minorEastAsia" w:cstheme="minorEastAsia"/>
                <w:color w:val="auto"/>
                <w:sz w:val="21"/>
                <w:szCs w:val="21"/>
                <w:highlight w:val="none"/>
                <w:lang w:val="en-US" w:eastAsia="zh-CN"/>
              </w:rPr>
              <w:t>前</w:t>
            </w:r>
            <w:r>
              <w:rPr>
                <w:rFonts w:hint="eastAsia" w:asciiTheme="minorEastAsia" w:hAnsiTheme="minorEastAsia" w:eastAsiaTheme="minorEastAsia" w:cstheme="minorEastAsia"/>
                <w:color w:val="auto"/>
                <w:sz w:val="21"/>
                <w:szCs w:val="21"/>
                <w:highlight w:val="none"/>
              </w:rPr>
              <w:t>，按合同总金额的</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向甲方递交履约保证金（如乙方为中小企业的，则为合同总金额的2%）。如为保函、保险单，则有效期应不低于12个月。经甲方验收服务符合合同约定，项目整体验收合格一年后，甲方一次性无息退回履约保证金。</w:t>
            </w:r>
          </w:p>
          <w:p w14:paraId="711166C1">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履约保证金的递交：</w:t>
            </w:r>
          </w:p>
          <w:p w14:paraId="521472AF">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履约保证金金额：按合同总金额的</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%（如乙方为中小企业的，则为合同总金额的2%）</w:t>
            </w:r>
          </w:p>
          <w:p w14:paraId="557EA7C1">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履约保证金递交方式：银行转账、支票、汇票、本票、银行出具的保函或保险机构出具的保函、保险单。</w:t>
            </w:r>
          </w:p>
          <w:p w14:paraId="6A9A6C1C">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保证金指定账户：甲方</w:t>
            </w:r>
            <w:r>
              <w:rPr>
                <w:rFonts w:hint="eastAsia" w:asciiTheme="minorEastAsia" w:hAnsiTheme="minorEastAsia" w:eastAsiaTheme="minorEastAsia" w:cstheme="minorEastAsia"/>
                <w:color w:val="auto"/>
                <w:sz w:val="21"/>
                <w:szCs w:val="21"/>
                <w:highlight w:val="none"/>
                <w:lang w:val="en-US" w:eastAsia="zh-CN"/>
              </w:rPr>
              <w:t>账户</w:t>
            </w:r>
          </w:p>
          <w:p w14:paraId="0A7DDC6E">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开户名称：广西医科大学第二附属医院</w:t>
            </w:r>
          </w:p>
          <w:p w14:paraId="6823C105">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开户银行：建行南宁医科大支行</w:t>
            </w:r>
          </w:p>
          <w:p w14:paraId="23F90738">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银行账号：45050 1604 5600 9666 888</w:t>
            </w:r>
          </w:p>
        </w:tc>
      </w:tr>
      <w:tr w14:paraId="2050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CDC15B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29.1</w:t>
            </w:r>
          </w:p>
        </w:tc>
        <w:tc>
          <w:tcPr>
            <w:tcW w:w="8627" w:type="dxa"/>
            <w:noWrap w:val="0"/>
            <w:vAlign w:val="center"/>
          </w:tcPr>
          <w:p w14:paraId="0970D7D4">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签订合同携带的证明材料： </w:t>
            </w:r>
          </w:p>
          <w:p w14:paraId="1CD904E1">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1、委托代理人负责签订合同的，须携带授权委托书及委托代理人身份证原件等其他资格证件。</w:t>
            </w:r>
          </w:p>
          <w:p w14:paraId="32C105A6">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2、法定代表人负责签订合同的，须携带法定代表人身份证明原件及身份证原件等其他证明材料。</w:t>
            </w:r>
          </w:p>
        </w:tc>
      </w:tr>
      <w:tr w14:paraId="571E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D1833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w:t>
            </w:r>
          </w:p>
        </w:tc>
        <w:tc>
          <w:tcPr>
            <w:tcW w:w="8627" w:type="dxa"/>
            <w:noWrap w:val="0"/>
            <w:vAlign w:val="center"/>
          </w:tcPr>
          <w:p w14:paraId="33E5A717">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接收质疑函方式：以纸质书面形式。</w:t>
            </w:r>
          </w:p>
          <w:p w14:paraId="04E9FFCE">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质疑联系部门及联系方式：广西科文招标有限公司，质疑联系人：梁壮贤，联系电话：0771-2023972；项目负责人：蒙颖，联系电话：0771-2023875，通讯地址：广西南宁市民族大道141号中鼎万象东方D区五层</w:t>
            </w:r>
          </w:p>
          <w:p w14:paraId="663B17FF">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现场提交质疑办理业务时间：工作日，上午8:00-12:00；下午15:00-18:00（北京时间）</w:t>
            </w:r>
          </w:p>
        </w:tc>
      </w:tr>
      <w:tr w14:paraId="00086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6" w:hRule="atLeast"/>
          <w:jc w:val="center"/>
        </w:trPr>
        <w:tc>
          <w:tcPr>
            <w:tcW w:w="992" w:type="dxa"/>
            <w:noWrap w:val="0"/>
            <w:vAlign w:val="center"/>
          </w:tcPr>
          <w:p w14:paraId="0261DDB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w:t>
            </w:r>
          </w:p>
        </w:tc>
        <w:tc>
          <w:tcPr>
            <w:tcW w:w="8627" w:type="dxa"/>
            <w:noWrap w:val="0"/>
            <w:vAlign w:val="center"/>
          </w:tcPr>
          <w:p w14:paraId="64F13103">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1.是否收取采购代理费：</w:t>
            </w:r>
          </w:p>
          <w:p w14:paraId="450DF61D">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是    □ 否</w:t>
            </w:r>
          </w:p>
          <w:p w14:paraId="5A2D3558">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2.采购代理费支付方式：</w:t>
            </w:r>
          </w:p>
          <w:p w14:paraId="494AF0E5">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领取成交通知书前，一次性向采购代理机构支付。</w:t>
            </w:r>
          </w:p>
          <w:p w14:paraId="422C4644">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14:paraId="72297CBE">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6B715C84">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以分标（</w:t>
            </w: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成交金额）为计费额，按</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类采用差额定率累进法计算出收费基准价格，采购代理收费以（</w:t>
            </w: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收费基准价格</w:t>
            </w:r>
            <w:r>
              <w:rPr>
                <w:rFonts w:hint="eastAsia" w:ascii="宋体" w:hAnsi="宋体" w:cs="宋体"/>
                <w:color w:val="auto"/>
                <w:kern w:val="0"/>
                <w:szCs w:val="21"/>
                <w:highlight w:val="none"/>
                <w:lang w:eastAsia="zh-CN"/>
              </w:rPr>
              <w:t>下浮</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）收取。</w:t>
            </w:r>
          </w:p>
          <w:p w14:paraId="21BB8D5C">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元 。</w:t>
            </w:r>
          </w:p>
          <w:p w14:paraId="3E8E0FA6">
            <w:pPr>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Cs w:val="20"/>
                <w:highlight w:val="none"/>
              </w:rPr>
              <w:t>本项目代理服务费</w:t>
            </w:r>
            <w:r>
              <w:rPr>
                <w:rFonts w:hint="eastAsia" w:ascii="宋体" w:hAnsi="宋体" w:eastAsia="宋体" w:cs="宋体"/>
                <w:color w:val="auto"/>
                <w:szCs w:val="20"/>
                <w:highlight w:val="none"/>
                <w:lang w:val="en-US" w:eastAsia="zh-CN"/>
              </w:rPr>
              <w:t>参</w:t>
            </w:r>
            <w:r>
              <w:rPr>
                <w:rFonts w:hint="eastAsia" w:ascii="宋体" w:hAnsi="宋体" w:eastAsia="宋体" w:cs="宋体"/>
                <w:color w:val="auto"/>
                <w:szCs w:val="20"/>
                <w:highlight w:val="none"/>
              </w:rPr>
              <w:t>照《招标代理服务费管理暂行办法》 (计价格﹝2002﹞1980号)、《国家发展改革委关于降低部分建设项目收费标准规范收费行为等有关问题的通知》(发改价格﹝2011﹞534号)的规定采用差额定率累进法计算</w:t>
            </w:r>
            <w:r>
              <w:rPr>
                <w:rFonts w:hint="eastAsia" w:ascii="宋体" w:hAnsi="宋体" w:eastAsia="宋体" w:cs="宋体"/>
                <w:color w:val="auto"/>
                <w:sz w:val="21"/>
                <w:highlight w:val="none"/>
              </w:rPr>
              <w:t>。具体费率如下：</w:t>
            </w:r>
          </w:p>
          <w:p w14:paraId="16446A3B">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①采购金额在100万元以下的：</w:t>
            </w:r>
          </w:p>
          <w:p w14:paraId="32A5E955">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货物1.5％；服务1.5％；工程1.0％；</w:t>
            </w:r>
          </w:p>
          <w:p w14:paraId="1D9DAC69">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②采购金额在100-500万元之间：</w:t>
            </w:r>
          </w:p>
          <w:p w14:paraId="1E18A929">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货物1.1％；服务0.8％；工程0.7％；</w:t>
            </w:r>
          </w:p>
          <w:p w14:paraId="07F1D4CC">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③采购金额在500-1000万元之间：</w:t>
            </w:r>
          </w:p>
          <w:p w14:paraId="6C15CC7E">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货物0.8％；服务0.45％；工程0.55％；</w:t>
            </w:r>
          </w:p>
          <w:p w14:paraId="5791265F">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④采购金额在1000-5000万元之间：</w:t>
            </w:r>
          </w:p>
          <w:p w14:paraId="77974B41">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货物0.5％；服务0.25％；工程0.35％；</w:t>
            </w:r>
          </w:p>
          <w:p w14:paraId="6849134C">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1B423854">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差额定率累进法计算过程示例：</w:t>
            </w:r>
          </w:p>
          <w:p w14:paraId="5BB277EC">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例如：某</w:t>
            </w:r>
            <w:r>
              <w:rPr>
                <w:rFonts w:hint="eastAsia" w:hAnsi="宋体" w:eastAsia="宋体" w:cs="宋体"/>
                <w:color w:val="auto"/>
                <w:sz w:val="21"/>
                <w:highlight w:val="none"/>
                <w:lang w:val="en-US" w:eastAsia="zh-CN"/>
              </w:rPr>
              <w:t>服务</w:t>
            </w:r>
            <w:r>
              <w:rPr>
                <w:rFonts w:hint="eastAsia" w:ascii="宋体" w:hAnsi="宋体" w:eastAsia="宋体" w:cs="宋体"/>
                <w:color w:val="auto"/>
                <w:sz w:val="21"/>
                <w:highlight w:val="none"/>
              </w:rPr>
              <w:t>采购代理业务成交金额为300万元，采购代理服务费金额按如下计算：</w:t>
            </w:r>
          </w:p>
          <w:p w14:paraId="3A27D9CD">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100万元×1.5%＝1.5万元</w:t>
            </w:r>
          </w:p>
          <w:p w14:paraId="1D324F65">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（300－100）万元×</w:t>
            </w:r>
            <w:r>
              <w:rPr>
                <w:rFonts w:hint="eastAsia" w:ascii="宋体" w:hAnsi="宋体" w:eastAsia="宋体" w:cs="宋体"/>
                <w:color w:val="auto"/>
                <w:sz w:val="21"/>
                <w:highlight w:val="none"/>
                <w:lang w:val="en-US" w:eastAsia="zh-CN"/>
              </w:rPr>
              <w:t>0.8</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1.6</w:t>
            </w:r>
            <w:r>
              <w:rPr>
                <w:rFonts w:hint="eastAsia" w:ascii="宋体" w:hAnsi="宋体" w:eastAsia="宋体" w:cs="宋体"/>
                <w:color w:val="auto"/>
                <w:sz w:val="21"/>
                <w:highlight w:val="none"/>
              </w:rPr>
              <w:t>万元</w:t>
            </w:r>
          </w:p>
          <w:p w14:paraId="3BCA23FB">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 w:val="21"/>
                <w:highlight w:val="none"/>
              </w:rPr>
              <w:t>合计收费＝1.5＋</w:t>
            </w:r>
            <w:r>
              <w:rPr>
                <w:rFonts w:hint="eastAsia" w:ascii="宋体" w:hAnsi="宋体" w:eastAsia="宋体" w:cs="宋体"/>
                <w:color w:val="auto"/>
                <w:sz w:val="21"/>
                <w:highlight w:val="none"/>
                <w:lang w:val="en-US" w:eastAsia="zh-CN"/>
              </w:rPr>
              <w:t>1.6</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万元</w:t>
            </w:r>
          </w:p>
          <w:p w14:paraId="62A7B8D9">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4.采购代理费收取银行账户</w:t>
            </w:r>
          </w:p>
          <w:p w14:paraId="79A7FC0E">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开户名称：广西科文招标有限公司南宁三分公司</w:t>
            </w:r>
          </w:p>
          <w:p w14:paraId="3EEEAC07">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开户银行：广西北部湾银行股份有限公司南宁市云景支行</w:t>
            </w:r>
          </w:p>
          <w:p w14:paraId="27A7AD7B">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Cs w:val="21"/>
                <w:highlight w:val="none"/>
                <w:lang w:val="en-US" w:eastAsia="zh-CN"/>
              </w:rPr>
              <w:t>银行账号：805029874400001</w:t>
            </w:r>
          </w:p>
        </w:tc>
      </w:tr>
      <w:tr w14:paraId="65BD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9F87BC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8627" w:type="dxa"/>
            <w:noWrap w:val="0"/>
            <w:vAlign w:val="center"/>
          </w:tcPr>
          <w:p w14:paraId="424914E3">
            <w:pPr>
              <w:pStyle w:val="13"/>
              <w:snapToGrid w:val="0"/>
              <w:spacing w:line="360"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7C6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EF264C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33.2</w:t>
            </w:r>
          </w:p>
        </w:tc>
        <w:tc>
          <w:tcPr>
            <w:tcW w:w="8627" w:type="dxa"/>
            <w:noWrap w:val="0"/>
            <w:vAlign w:val="center"/>
          </w:tcPr>
          <w:p w14:paraId="13B7F570">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546484D9">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szCs w:val="21"/>
                <w:highlight w:val="none"/>
                <w:lang w:val="en-US" w:eastAsia="zh-CN"/>
              </w:rPr>
              <w:t>营业执照或者执业许可证等证照上的</w:t>
            </w:r>
            <w:r>
              <w:rPr>
                <w:rFonts w:hint="eastAsia" w:asciiTheme="minorEastAsia" w:hAnsiTheme="minorEastAsia" w:eastAsiaTheme="minorEastAsia" w:cstheme="minorEastAsia"/>
                <w:color w:val="auto"/>
                <w:sz w:val="21"/>
                <w:szCs w:val="21"/>
                <w:highlight w:val="none"/>
                <w:lang w:val="en-US" w:eastAsia="zh-CN"/>
              </w:rPr>
              <w:t>负责人，本磋商文件所称自然人指参与竞标的自然人本人，</w:t>
            </w:r>
            <w:r>
              <w:rPr>
                <w:rFonts w:hint="eastAsia" w:asciiTheme="minorEastAsia" w:hAnsiTheme="minorEastAsia" w:eastAsiaTheme="minorEastAsia" w:cstheme="minorEastAsia"/>
                <w:bCs/>
                <w:color w:val="auto"/>
                <w:sz w:val="21"/>
                <w:szCs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237C46FC">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3、本磋商文件中描述供应商的“签字”是指供应商的法定代表人或者委托代理人在文件规定签署处签名（含电子签名）的行为，私章、印鉴等其他形式均不能代替签字。</w:t>
            </w:r>
          </w:p>
          <w:p w14:paraId="028820CE">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4、自然人竞标的，磋商文件规定盖公章处由自然人摁手指指印。</w:t>
            </w:r>
          </w:p>
          <w:p w14:paraId="766E0BE2">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5、本磋商文件所称的“以上”“以下”“以内”“届满”，包括本数；所称的“不满”“超过”“以外”，不包括本数。</w:t>
            </w:r>
          </w:p>
        </w:tc>
      </w:tr>
    </w:tbl>
    <w:p w14:paraId="1F533FC0">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75AE182">
      <w:pPr>
        <w:spacing w:line="400" w:lineRule="exact"/>
        <w:jc w:val="center"/>
        <w:rPr>
          <w:rFonts w:hint="eastAsia" w:ascii="宋体" w:hAnsi="宋体"/>
          <w:b/>
          <w:color w:val="auto"/>
          <w:sz w:val="32"/>
          <w:szCs w:val="32"/>
          <w:highlight w:val="none"/>
        </w:rPr>
      </w:pPr>
    </w:p>
    <w:p w14:paraId="32B22013">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一、总则</w:t>
      </w:r>
    </w:p>
    <w:p w14:paraId="604C431E">
      <w:pPr>
        <w:spacing w:line="400" w:lineRule="exact"/>
        <w:rPr>
          <w:rFonts w:hint="eastAsia" w:ascii="宋体" w:hAnsi="宋体"/>
          <w:color w:val="auto"/>
          <w:szCs w:val="21"/>
          <w:highlight w:val="none"/>
        </w:rPr>
      </w:pPr>
    </w:p>
    <w:p w14:paraId="41352E0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21562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42C64C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4E68F7E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E348A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705386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50C3A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0E89834">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5BB766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79B6DFA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9A621D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BF1B47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32F60EA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597AF030">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4C09B1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A3B081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40DFE96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3A930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1AA5E3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93B0C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E64DDC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14:paraId="0301C820">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23" w:name="_Toc254970673"/>
      <w:bookmarkStart w:id="24" w:name="_Toc254970532"/>
      <w:r>
        <w:rPr>
          <w:rFonts w:hint="eastAsia" w:ascii="宋体" w:hAnsi="宋体"/>
          <w:b w:val="0"/>
          <w:color w:val="auto"/>
          <w:sz w:val="21"/>
          <w:szCs w:val="21"/>
          <w:highlight w:val="none"/>
          <w:lang w:val="en-US" w:eastAsia="zh-CN"/>
        </w:rPr>
        <w:t>5</w:t>
      </w:r>
      <w:r>
        <w:rPr>
          <w:rFonts w:hint="eastAsia" w:ascii="宋体" w:hAnsi="宋体"/>
          <w:b w:val="0"/>
          <w:color w:val="auto"/>
          <w:sz w:val="21"/>
          <w:szCs w:val="21"/>
          <w:highlight w:val="none"/>
        </w:rPr>
        <w:t>.1本项目不允许转包。</w:t>
      </w:r>
    </w:p>
    <w:p w14:paraId="1174EB0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.特别说明</w:t>
      </w:r>
      <w:bookmarkEnd w:id="23"/>
      <w:bookmarkEnd w:id="24"/>
    </w:p>
    <w:p w14:paraId="1D24D5B7">
      <w:pPr>
        <w:spacing w:line="360" w:lineRule="auto"/>
        <w:ind w:firstLine="420" w:firstLineChars="200"/>
        <w:rPr>
          <w:rFonts w:hint="eastAsia" w:ascii="宋体" w:hAnsi="宋体" w:cs="宋体"/>
          <w:color w:val="auto"/>
          <w:szCs w:val="21"/>
          <w:highlight w:val="none"/>
        </w:rPr>
      </w:pPr>
      <w:bookmarkStart w:id="25" w:name="_8.1提供相同品牌产品且通过资格审查、符合性审查的不同投标人参加同一合"/>
      <w:bookmarkEnd w:id="25"/>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1</w:t>
      </w:r>
      <w:bookmarkStart w:id="26"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26"/>
    <w:p w14:paraId="34706D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37382C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591B23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1EDB93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F28C1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EA847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B6B62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D9CD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387E0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57386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1FED55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1E690A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26450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B7F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268EF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E5A8BAC">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614D6B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77B90F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99ACF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8B71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36C2B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64125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4C31F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8501E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D9AB9F5">
      <w:pPr>
        <w:spacing w:line="360" w:lineRule="auto"/>
        <w:ind w:firstLine="420" w:firstLineChars="200"/>
        <w:rPr>
          <w:rFonts w:hint="eastAsia" w:ascii="宋体" w:hAnsi="宋体" w:cs="宋体"/>
          <w:color w:val="auto"/>
          <w:szCs w:val="21"/>
          <w:highlight w:val="none"/>
        </w:rPr>
      </w:pPr>
    </w:p>
    <w:p w14:paraId="053D8D56">
      <w:pPr>
        <w:spacing w:line="360" w:lineRule="auto"/>
        <w:ind w:left="1" w:firstLine="417" w:firstLineChars="199"/>
        <w:jc w:val="center"/>
        <w:rPr>
          <w:rFonts w:hint="eastAsia" w:ascii="宋体" w:hAnsi="宋体"/>
          <w:color w:val="auto"/>
          <w:highlight w:val="none"/>
        </w:rPr>
      </w:pPr>
      <w:bookmarkStart w:id="27" w:name="_Toc254970675"/>
      <w:bookmarkStart w:id="28" w:name="_Toc254970534"/>
    </w:p>
    <w:p w14:paraId="12120C1A">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27"/>
      <w:bookmarkEnd w:id="28"/>
    </w:p>
    <w:p w14:paraId="3349C9AE">
      <w:pPr>
        <w:spacing w:line="360" w:lineRule="auto"/>
        <w:ind w:firstLine="482" w:firstLineChars="200"/>
        <w:rPr>
          <w:rFonts w:hint="eastAsia" w:ascii="黑体" w:hAnsi="黑体" w:eastAsia="黑体" w:cs="宋体"/>
          <w:b/>
          <w:bCs/>
          <w:color w:val="auto"/>
          <w:sz w:val="24"/>
          <w:highlight w:val="none"/>
        </w:rPr>
      </w:pPr>
    </w:p>
    <w:p w14:paraId="3C00112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.磋商文件的构成</w:t>
      </w:r>
    </w:p>
    <w:p w14:paraId="5B4F931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0B3803E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18A9437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249F900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4563D85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3D956FC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309DDD0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.供应商的询问</w:t>
      </w:r>
    </w:p>
    <w:p w14:paraId="2F8E3E9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14:paraId="7240F8E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9</w:t>
      </w:r>
      <w:r>
        <w:rPr>
          <w:rFonts w:hint="eastAsia" w:ascii="黑体" w:hAnsi="黑体" w:eastAsia="黑体" w:cs="宋体"/>
          <w:b/>
          <w:bCs/>
          <w:color w:val="auto"/>
          <w:sz w:val="24"/>
          <w:highlight w:val="none"/>
        </w:rPr>
        <w:t>.磋商文件的澄清和修改</w:t>
      </w:r>
    </w:p>
    <w:p w14:paraId="1D83031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5C5E145B">
      <w:pPr>
        <w:spacing w:line="400" w:lineRule="exact"/>
        <w:ind w:firstLine="420" w:firstLineChars="200"/>
        <w:rPr>
          <w:rFonts w:hint="eastAsia" w:ascii="宋体" w:hAnsi="宋体"/>
          <w:color w:val="auto"/>
          <w:szCs w:val="21"/>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14:paraId="177D69A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14:paraId="7C9207A6">
      <w:pPr>
        <w:spacing w:line="400" w:lineRule="exact"/>
        <w:ind w:firstLine="422" w:firstLineChars="200"/>
        <w:rPr>
          <w:rFonts w:hint="eastAsia" w:ascii="宋体" w:hAnsi="宋体"/>
          <w:b/>
          <w:color w:val="auto"/>
          <w:szCs w:val="21"/>
          <w:highlight w:val="none"/>
        </w:rPr>
      </w:pPr>
      <w:r>
        <w:rPr>
          <w:rFonts w:hint="eastAsia" w:ascii="宋体" w:hAnsi="宋体" w:cs="宋体"/>
          <w:b/>
          <w:color w:val="auto"/>
          <w:highlight w:val="none"/>
          <w:lang w:val="en-US" w:eastAsia="zh-CN"/>
        </w:rPr>
        <w:t>9</w:t>
      </w:r>
      <w:r>
        <w:rPr>
          <w:rFonts w:hint="eastAsia" w:ascii="宋体" w:hAnsi="宋体" w:cs="宋体"/>
          <w:b/>
          <w:color w:val="auto"/>
          <w:highlight w:val="none"/>
        </w:rPr>
        <w:t>.4</w:t>
      </w:r>
      <w:r>
        <w:rPr>
          <w:rFonts w:hint="eastAsia" w:ascii="宋体" w:hAnsi="宋体"/>
          <w:b/>
          <w:color w:val="auto"/>
          <w:szCs w:val="21"/>
          <w:highlight w:val="none"/>
        </w:rPr>
        <w:t>响应文件未按磋商文件的澄清、修改后的内容编制的，其响应文件作无效响应处理。</w:t>
      </w:r>
    </w:p>
    <w:p w14:paraId="46B04289">
      <w:pPr>
        <w:spacing w:line="400" w:lineRule="exact"/>
        <w:ind w:firstLine="422" w:firstLineChars="200"/>
        <w:rPr>
          <w:rFonts w:hint="eastAsia" w:ascii="宋体" w:hAnsi="宋体"/>
          <w:b/>
          <w:color w:val="auto"/>
          <w:szCs w:val="21"/>
          <w:highlight w:val="none"/>
        </w:rPr>
      </w:pPr>
    </w:p>
    <w:p w14:paraId="24270042">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183E34A9">
      <w:pPr>
        <w:spacing w:line="360" w:lineRule="auto"/>
        <w:ind w:firstLine="482" w:firstLineChars="200"/>
        <w:rPr>
          <w:rFonts w:hint="eastAsia" w:ascii="黑体" w:hAnsi="黑体" w:eastAsia="黑体" w:cs="宋体"/>
          <w:b/>
          <w:bCs/>
          <w:color w:val="auto"/>
          <w:sz w:val="24"/>
          <w:highlight w:val="none"/>
        </w:rPr>
      </w:pPr>
    </w:p>
    <w:p w14:paraId="2DACDD1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.响应文件的编制原则</w:t>
      </w:r>
    </w:p>
    <w:p w14:paraId="1B7EB9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663D42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.响应文件的组成</w:t>
      </w:r>
    </w:p>
    <w:p w14:paraId="6A21B2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.1响应文件由资格证明文件、报价商务技术文件两部分组成。</w:t>
      </w:r>
    </w:p>
    <w:p w14:paraId="5DC3002F">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14:paraId="71AAF53A">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14:paraId="25F0E66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.计量单位</w:t>
      </w:r>
    </w:p>
    <w:p w14:paraId="5A8F53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6B9586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.竞标的风险</w:t>
      </w:r>
    </w:p>
    <w:p w14:paraId="43BD76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1B75AB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.竞标报价</w:t>
      </w:r>
    </w:p>
    <w:p w14:paraId="53DA6E9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.1竞标报价应按磋商文件中“竞标报价表”格式填写。</w:t>
      </w:r>
    </w:p>
    <w:p w14:paraId="3976371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.2竞标报价的内容见“供应商须知前附表”。</w:t>
      </w:r>
    </w:p>
    <w:p w14:paraId="5557D792">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.3竞标报价要求</w:t>
      </w:r>
    </w:p>
    <w:p w14:paraId="4FA1891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14:paraId="5188E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2BD0C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7E782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29" w:name="_Hlk42592874"/>
    </w:p>
    <w:bookmarkEnd w:id="29"/>
    <w:p w14:paraId="1353F6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.竞标有效期</w:t>
      </w:r>
    </w:p>
    <w:p w14:paraId="4E4E74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.1竞标有效期是指为保证采购人有足够的时间在提交响应文件后完成评审、确定成交供应商、合同签订等工作而要求供应商提交的响应文件在一定时间内保持有效的期限。</w:t>
      </w:r>
    </w:p>
    <w:p w14:paraId="615AB4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 竞标有效期应由供应商按“供应商须知前附表”规定的期限作出响应。</w:t>
      </w:r>
    </w:p>
    <w:p w14:paraId="3BC930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.3供应商的响应文件在竞标有效期内均保持有效。</w:t>
      </w:r>
    </w:p>
    <w:p w14:paraId="58139B5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.磋商保证金</w:t>
      </w:r>
    </w:p>
    <w:p w14:paraId="06350A4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.1供应商须按“供应商须知前附表”的规定提交磋商保证金。</w:t>
      </w:r>
    </w:p>
    <w:p w14:paraId="09F34E2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.2磋商保证金的退还</w:t>
      </w:r>
    </w:p>
    <w:p w14:paraId="06C1C1F7">
      <w:pPr>
        <w:spacing w:line="360" w:lineRule="auto"/>
        <w:ind w:firstLine="420" w:firstLineChars="200"/>
        <w:rPr>
          <w:rFonts w:hint="eastAsia" w:ascii="宋体" w:hAnsi="宋体" w:cs="宋体"/>
          <w:color w:val="auto"/>
          <w:szCs w:val="21"/>
          <w:highlight w:val="none"/>
        </w:rPr>
      </w:pPr>
      <w:bookmarkStart w:id="30"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4</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w:t>
      </w:r>
      <w:bookmarkEnd w:id="30"/>
      <w:r>
        <w:rPr>
          <w:rFonts w:hint="eastAsia" w:ascii="宋体" w:hAnsi="宋体" w:cs="宋体"/>
          <w:color w:val="auto"/>
          <w:szCs w:val="21"/>
          <w:highlight w:val="none"/>
        </w:rPr>
        <w:t xml:space="preserve"> </w:t>
      </w:r>
    </w:p>
    <w:p w14:paraId="6E91E36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.3磋商保证金不计息。</w:t>
      </w:r>
    </w:p>
    <w:p w14:paraId="4B1AAD1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.4供应商有下列情形之一的，磋商保证金将不予退还： </w:t>
      </w:r>
    </w:p>
    <w:p w14:paraId="34587A0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04D7E05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）供应商在响应文件中提供虚假材料的；</w:t>
      </w:r>
    </w:p>
    <w:p w14:paraId="67DD91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）除因不可抗力或者磋商文件认可的情形以外，成交供应商不与采购人签订合同的；</w:t>
      </w:r>
    </w:p>
    <w:p w14:paraId="4C2ED32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）供应商与采购人、其他供应商或者采购代理机构恶意串通的；</w:t>
      </w:r>
    </w:p>
    <w:p w14:paraId="4B85FBD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）法律法规规定的其他情形。</w:t>
      </w:r>
    </w:p>
    <w:p w14:paraId="2048D5A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.响应文件编制的要求</w:t>
      </w:r>
    </w:p>
    <w:p w14:paraId="0EFE210F">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674BD1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.2响应文件应按资格证明文件、报价商务技术文件分别编制电子文件，</w:t>
      </w:r>
      <w:r>
        <w:rPr>
          <w:rFonts w:hint="eastAsia" w:ascii="宋体" w:hAnsi="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的要求编制、加密、上传。</w:t>
      </w:r>
    </w:p>
    <w:p w14:paraId="6AEF8F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bookmarkStart w:id="31"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32" w:name="_Hlk65832569"/>
      <w:r>
        <w:rPr>
          <w:rFonts w:hint="eastAsia" w:ascii="宋体" w:hAnsi="宋体"/>
          <w:color w:val="auto"/>
          <w:szCs w:val="21"/>
          <w:highlight w:val="none"/>
        </w:rPr>
        <w:t>（具体以供应商须知前附表或响应文件格式规定为准）</w:t>
      </w:r>
      <w:bookmarkEnd w:id="31"/>
      <w:bookmarkEnd w:id="32"/>
      <w:r>
        <w:rPr>
          <w:rFonts w:hint="eastAsia" w:ascii="宋体" w:hAnsi="宋体" w:cs="宋体"/>
          <w:color w:val="auto"/>
          <w:szCs w:val="21"/>
          <w:highlight w:val="none"/>
        </w:rPr>
        <w:t>，否则其响应文件按无效响应处理。</w:t>
      </w:r>
    </w:p>
    <w:p w14:paraId="299E69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.4响应文件中标注的供应商名称应与营业执照（事业单位法人证书、执业许可证、自然人身份证）及公章一致，否则其响应文件按无效响应处理。</w:t>
      </w:r>
    </w:p>
    <w:p w14:paraId="6E860D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6746DE1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.响应文件的加密、解密</w:t>
      </w:r>
    </w:p>
    <w:p w14:paraId="7C74E0C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的要求进行加密，并在规定时间内解密，否则，由此产生的后果由供应商自行负责。</w:t>
      </w:r>
    </w:p>
    <w:p w14:paraId="2853ECC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19</w:t>
      </w:r>
      <w:r>
        <w:rPr>
          <w:rFonts w:hint="eastAsia" w:ascii="黑体" w:hAnsi="黑体" w:eastAsia="黑体" w:cs="宋体"/>
          <w:b/>
          <w:bCs/>
          <w:color w:val="auto"/>
          <w:sz w:val="24"/>
          <w:highlight w:val="none"/>
        </w:rPr>
        <w:t>.响应文件的提交</w:t>
      </w:r>
    </w:p>
    <w:p w14:paraId="63D2BE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.1供应商必须在“供应商须知前附表”规定的时间和地点提交响应文件。</w:t>
      </w:r>
    </w:p>
    <w:p w14:paraId="6598069F">
      <w:pPr>
        <w:widowControl/>
        <w:spacing w:line="360" w:lineRule="auto"/>
        <w:ind w:firstLine="420" w:firstLineChars="200"/>
        <w:rPr>
          <w:rFonts w:hint="eastAsia" w:ascii="宋体" w:hAnsi="宋体" w:cs="宋体"/>
          <w:b/>
          <w:color w:val="auto"/>
          <w:szCs w:val="21"/>
          <w:highlight w:val="none"/>
          <w:lang w:bidi="ar"/>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w:t>
      </w:r>
      <w:r>
        <w:rPr>
          <w:rFonts w:hint="eastAsia" w:ascii="宋体" w:hAnsi="宋体" w:cs="宋体"/>
          <w:color w:val="auto"/>
          <w:szCs w:val="21"/>
          <w:highlight w:val="none"/>
          <w:lang w:bidi="ar"/>
        </w:rPr>
        <w:t>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）实行在线电子竞标，供应商应先安装“政采云电子交易客户端”（请自行前往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的要求编制、加密后在首次响应文件提交截止时间前通过网络上传至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14:paraId="06015B08">
      <w:pPr>
        <w:pStyle w:val="5"/>
        <w:keepNext w:val="0"/>
        <w:keepLines w:val="0"/>
        <w:spacing w:before="0" w:after="0" w:line="360" w:lineRule="auto"/>
        <w:ind w:firstLine="420" w:firstLineChars="200"/>
        <w:jc w:val="left"/>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19</w:t>
      </w:r>
      <w:r>
        <w:rPr>
          <w:rFonts w:hint="eastAsia" w:ascii="宋体" w:hAnsi="宋体"/>
          <w:b w:val="0"/>
          <w:color w:val="auto"/>
          <w:sz w:val="21"/>
          <w:szCs w:val="21"/>
          <w:highlight w:val="none"/>
        </w:rPr>
        <w:t>.</w:t>
      </w:r>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未在规定时间内</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的要求编制、加密的电子响应文件，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将拒收。</w:t>
      </w:r>
    </w:p>
    <w:p w14:paraId="08CA84CA">
      <w:pPr>
        <w:pStyle w:val="6"/>
        <w:rPr>
          <w:rFonts w:hint="eastAsia" w:ascii="宋体" w:hAnsi="宋体" w:cs="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14:paraId="4F3596F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.首次响应文件的补充、修改与撤回</w:t>
      </w:r>
    </w:p>
    <w:p w14:paraId="09557FB9">
      <w:pPr>
        <w:spacing w:line="360" w:lineRule="auto"/>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w:t>
      </w:r>
      <w:r>
        <w:rPr>
          <w:rFonts w:hint="eastAsia" w:ascii="宋体" w:hAnsi="宋体" w:cs="宋体"/>
          <w:bCs/>
          <w:color w:val="auto"/>
          <w:szCs w:val="21"/>
          <w:highlight w:val="none"/>
          <w:lang w:val="en-US" w:eastAsia="zh-CN" w:bidi="ar"/>
        </w:rPr>
        <w:t>0</w:t>
      </w:r>
      <w:r>
        <w:rPr>
          <w:rFonts w:hint="eastAsia" w:ascii="宋体" w:hAnsi="宋体" w:cs="宋体"/>
          <w:bCs/>
          <w:color w:val="auto"/>
          <w:szCs w:val="21"/>
          <w:highlight w:val="none"/>
          <w:lang w:bidi="ar"/>
        </w:rPr>
        <w:t>.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highlight w:val="none"/>
          <w:lang w:eastAsia="zh-CN" w:bidi="ar"/>
        </w:rPr>
        <w:t>广西政府采购云平台</w:t>
      </w:r>
      <w:r>
        <w:rPr>
          <w:rFonts w:hint="eastAsia" w:ascii="宋体" w:hAnsi="宋体" w:cs="宋体"/>
          <w:bCs/>
          <w:color w:val="auto"/>
          <w:szCs w:val="21"/>
          <w:highlight w:val="none"/>
          <w:lang w:bidi="ar"/>
        </w:rPr>
        <w:t>将予以拒收。</w:t>
      </w:r>
    </w:p>
    <w:p w14:paraId="6A509610">
      <w:pPr>
        <w:spacing w:line="360" w:lineRule="auto"/>
        <w:ind w:firstLine="482" w:firstLineChars="200"/>
        <w:rPr>
          <w:rFonts w:ascii="黑体" w:hAnsi="黑体" w:eastAsia="黑体" w:cs="宋体"/>
          <w:b/>
          <w:bCs/>
          <w:color w:val="auto"/>
          <w:sz w:val="24"/>
          <w:highlight w:val="none"/>
        </w:rPr>
      </w:pPr>
      <w:bookmarkStart w:id="33" w:name="_Hlk45702405"/>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 首次响应文件的退回</w:t>
      </w:r>
    </w:p>
    <w:p w14:paraId="45A8B10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.1在首次响应文件提交截止时间提交响应文件的供应商不足3家时，</w:t>
      </w:r>
      <w:r>
        <w:rPr>
          <w:rFonts w:hint="eastAsia" w:ascii="宋体" w:hAnsi="宋体"/>
          <w:color w:val="auto"/>
          <w:szCs w:val="21"/>
          <w:highlight w:val="none"/>
        </w:rPr>
        <w:t>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的操作将电子版响应文件退回，</w:t>
      </w:r>
      <w:r>
        <w:rPr>
          <w:rFonts w:hint="eastAsia" w:ascii="宋体" w:hAnsi="宋体" w:cs="宋体"/>
          <w:color w:val="auto"/>
          <w:szCs w:val="21"/>
          <w:highlight w:val="none"/>
        </w:rPr>
        <w:t>除此之外采购人和采购代理机构对已提交的电子响应文件概不退回。</w:t>
      </w:r>
    </w:p>
    <w:p w14:paraId="6F8EF4C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 截止时间后的撤回</w:t>
      </w:r>
    </w:p>
    <w:p w14:paraId="59DBD8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.1供应商在首次响应文件提交截止时间后书面通知采购人、采购代理机构书面撤回响应文件的，将根据本须知正文1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.4的规定不予退还其磋商保证金。</w:t>
      </w:r>
    </w:p>
    <w:bookmarkEnd w:id="33"/>
    <w:p w14:paraId="0CBA57F1">
      <w:pPr>
        <w:spacing w:line="360" w:lineRule="auto"/>
        <w:rPr>
          <w:rFonts w:hint="eastAsia" w:ascii="宋体" w:hAnsi="宋体"/>
          <w:color w:val="auto"/>
          <w:szCs w:val="21"/>
          <w:highlight w:val="none"/>
        </w:rPr>
      </w:pPr>
    </w:p>
    <w:p w14:paraId="1FC008DF">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5D9CDA2B">
      <w:pPr>
        <w:spacing w:line="360" w:lineRule="auto"/>
        <w:ind w:firstLine="482" w:firstLineChars="200"/>
        <w:rPr>
          <w:rFonts w:hint="eastAsia" w:ascii="黑体" w:hAnsi="黑体" w:eastAsia="黑体" w:cs="宋体"/>
          <w:b/>
          <w:bCs/>
          <w:color w:val="auto"/>
          <w:sz w:val="24"/>
          <w:highlight w:val="none"/>
        </w:rPr>
      </w:pPr>
    </w:p>
    <w:p w14:paraId="5C654E5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.磋商小组成立</w:t>
      </w:r>
    </w:p>
    <w:p w14:paraId="65899C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C2D0A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F6A455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41CDCE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.1首次响应文件由磋商小组或者采购代理机构在“供应商须知前附表”规定的时间开启。</w:t>
      </w:r>
    </w:p>
    <w:p w14:paraId="71B40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.2电子交易活动的中止。）</w:t>
      </w:r>
    </w:p>
    <w:p w14:paraId="21D515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.3成功解密响应文件的供应商不足3家的，不得磋商。</w:t>
      </w:r>
    </w:p>
    <w:p w14:paraId="7B48F38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.评审程序、评审方法和评审标准</w:t>
      </w:r>
    </w:p>
    <w:p w14:paraId="10C6F95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39E1429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.2电子交易活动的中止。采购过程中出现以下情形，导致电子交易平台无法正常运行，或者无法保证电子交易的公平、公正和安全时，采购机构可中止电子交易活动：</w:t>
      </w:r>
    </w:p>
    <w:p w14:paraId="408CF5A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44B2AB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4F641C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C4F35A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5E5DBB3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448F8ED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.3出现以上情形，不影响采购公平、公正性的，采购代理机构可以待上述情形消除后继续组织电子交易活动；影响或可能影响采购公平、公正性的，经采购代理机构确认后，应当重新采购。</w:t>
      </w:r>
    </w:p>
    <w:p w14:paraId="34530FA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.确定成交供应商及结果公告</w:t>
      </w:r>
    </w:p>
    <w:p w14:paraId="068EAF6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93ED5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4"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34"/>
    </w:p>
    <w:p w14:paraId="594AECDE">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14:paraId="0A117DD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.签订合同</w:t>
      </w:r>
    </w:p>
    <w:p w14:paraId="30D1BF24">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14:paraId="21BE36A1">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 签订合同时间：按成交通知书规定的时间与采购人签订政府采购合同</w:t>
      </w:r>
      <w:r>
        <w:rPr>
          <w:rFonts w:hint="eastAsia" w:ascii="宋体" w:hAnsi="宋体"/>
          <w:color w:val="auto"/>
          <w:szCs w:val="21"/>
          <w:highlight w:val="none"/>
        </w:rPr>
        <w:t>（最长不能超过25</w:t>
      </w:r>
      <w:r>
        <w:rPr>
          <w:rFonts w:hint="eastAsia" w:ascii="宋体" w:hAnsi="宋体"/>
          <w:color w:val="auto"/>
          <w:szCs w:val="21"/>
          <w:highlight w:val="none"/>
          <w:lang w:eastAsia="zh-CN"/>
        </w:rPr>
        <w:t>自然</w:t>
      </w:r>
      <w:r>
        <w:rPr>
          <w:rFonts w:hint="eastAsia" w:ascii="宋体" w:hAnsi="宋体"/>
          <w:color w:val="auto"/>
          <w:szCs w:val="21"/>
          <w:highlight w:val="none"/>
        </w:rPr>
        <w:t>日）</w:t>
      </w:r>
      <w:r>
        <w:rPr>
          <w:rFonts w:hint="eastAsia" w:ascii="宋体" w:hAnsi="宋体" w:cs="宋体"/>
          <w:color w:val="auto"/>
          <w:szCs w:val="21"/>
          <w:highlight w:val="none"/>
        </w:rPr>
        <w:t>。</w:t>
      </w:r>
    </w:p>
    <w:p w14:paraId="04E63824">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0725159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28</w:t>
      </w:r>
      <w:r>
        <w:rPr>
          <w:rFonts w:hint="eastAsia" w:ascii="黑体" w:hAnsi="黑体" w:eastAsia="黑体" w:cs="宋体"/>
          <w:b/>
          <w:bCs/>
          <w:color w:val="auto"/>
          <w:sz w:val="24"/>
          <w:highlight w:val="none"/>
        </w:rPr>
        <w:t>.政府采购合同公告</w:t>
      </w:r>
    </w:p>
    <w:p w14:paraId="6E3D2E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34F3E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29</w:t>
      </w:r>
      <w:r>
        <w:rPr>
          <w:rFonts w:hint="eastAsia" w:ascii="黑体" w:hAnsi="黑体" w:eastAsia="黑体" w:cs="宋体"/>
          <w:b/>
          <w:bCs/>
          <w:color w:val="auto"/>
          <w:sz w:val="24"/>
          <w:highlight w:val="none"/>
        </w:rPr>
        <w:t>. 询问、质疑和投诉</w:t>
      </w:r>
    </w:p>
    <w:p w14:paraId="2A3A011F">
      <w:pPr>
        <w:pStyle w:val="6"/>
        <w:spacing w:line="360" w:lineRule="auto"/>
        <w:rPr>
          <w:rFonts w:hint="eastAsia" w:ascii="宋体" w:hAnsi="宋体"/>
          <w:color w:val="auto"/>
          <w:szCs w:val="21"/>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004BB12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0C5E85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5E486B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4F91F3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2DB6B7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B0A392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5CE526A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6B38F0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148AA51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513B4EB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547755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0306126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614904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65933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B79F9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315F5B2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5A8CE07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1C991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E53587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.其他内容</w:t>
      </w:r>
    </w:p>
    <w:p w14:paraId="6F5EF9F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.1代理服务费：代理服务收取标准及缴费账户详见“供应商须知前附表”。</w:t>
      </w:r>
    </w:p>
    <w:p w14:paraId="0F95D5A0">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2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134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06A650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0EB35D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3820B23E">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436593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27EF85E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67B9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E548E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389F6BA4">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732BFD7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7F180E8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E7C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B1D25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4272AA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59BA269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68329A1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211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B3691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1D57342E">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363D30C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33F00C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1972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A63DA2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324B2FC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4DB7794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619013A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E98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70D9E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317FDE9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31F2A9A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791F4E4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1FEE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7059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1E3D557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6D91A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5198D2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53F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69A518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3A2C7E0E">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12D581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75F6AF4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5937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9AC15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531688C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518D984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41407AEE">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293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B90FD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236935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5CD2AC4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3E91EF0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657A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F7489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4A21D7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29F572E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255F9EA6">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1D00898F">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4F4FE9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BE02B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2B15240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w:t>
      </w:r>
      <w:r>
        <w:rPr>
          <w:rFonts w:hint="eastAsia" w:ascii="宋体" w:hAnsi="宋体" w:cs="宋体"/>
          <w:color w:val="auto"/>
          <w:highlight w:val="none"/>
          <w:lang w:val="en-US" w:eastAsia="zh-CN"/>
        </w:rPr>
        <w:t>服务</w:t>
      </w:r>
      <w:r>
        <w:rPr>
          <w:rFonts w:hint="eastAsia" w:ascii="宋体" w:hAnsi="宋体" w:cs="宋体"/>
          <w:color w:val="auto"/>
          <w:highlight w:val="none"/>
        </w:rPr>
        <w:t>采购代理业务成交金额为300万元，采购代理服务费金额按如下计算：</w:t>
      </w:r>
    </w:p>
    <w:p w14:paraId="7FF8E68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100万元×1.5%＝1.5万元</w:t>
      </w:r>
    </w:p>
    <w:p w14:paraId="3ED50D9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（300－100）万元×</w:t>
      </w:r>
      <w:r>
        <w:rPr>
          <w:rFonts w:hint="eastAsia" w:ascii="宋体" w:hAnsi="宋体" w:cs="宋体"/>
          <w:color w:val="auto"/>
          <w:highlight w:val="none"/>
          <w:lang w:val="en-US" w:eastAsia="zh-CN"/>
        </w:rPr>
        <w:t>0.8</w:t>
      </w:r>
      <w:r>
        <w:rPr>
          <w:rFonts w:hint="eastAsia" w:ascii="宋体" w:hAnsi="宋体" w:cs="宋体"/>
          <w:color w:val="auto"/>
          <w:highlight w:val="none"/>
        </w:rPr>
        <w:t>%＝</w:t>
      </w:r>
      <w:r>
        <w:rPr>
          <w:rFonts w:hint="eastAsia" w:ascii="宋体" w:hAnsi="宋体" w:cs="宋体"/>
          <w:color w:val="auto"/>
          <w:highlight w:val="none"/>
          <w:lang w:val="en-US" w:eastAsia="zh-CN"/>
        </w:rPr>
        <w:t>1.6</w:t>
      </w:r>
      <w:r>
        <w:rPr>
          <w:rFonts w:hint="eastAsia" w:ascii="宋体" w:hAnsi="宋体" w:cs="宋体"/>
          <w:color w:val="auto"/>
          <w:highlight w:val="none"/>
        </w:rPr>
        <w:t>万元</w:t>
      </w:r>
    </w:p>
    <w:p w14:paraId="0FCE16FA">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合计收费＝1.5＋</w:t>
      </w:r>
      <w:r>
        <w:rPr>
          <w:rFonts w:hint="eastAsia" w:ascii="宋体" w:hAnsi="宋体" w:cs="宋体"/>
          <w:color w:val="auto"/>
          <w:highlight w:val="none"/>
          <w:lang w:val="en-US" w:eastAsia="zh-CN"/>
        </w:rPr>
        <w:t>1.6</w:t>
      </w:r>
      <w:r>
        <w:rPr>
          <w:rFonts w:hint="eastAsia" w:ascii="宋体" w:hAnsi="宋体" w:cs="宋体"/>
          <w:color w:val="auto"/>
          <w:highlight w:val="none"/>
        </w:rPr>
        <w:t>=3.</w:t>
      </w:r>
      <w:r>
        <w:rPr>
          <w:rFonts w:hint="eastAsia" w:ascii="宋体" w:hAnsi="宋体" w:cs="宋体"/>
          <w:color w:val="auto"/>
          <w:highlight w:val="none"/>
          <w:lang w:val="en-US" w:eastAsia="zh-CN"/>
        </w:rPr>
        <w:t>1</w:t>
      </w:r>
      <w:r>
        <w:rPr>
          <w:rFonts w:hint="eastAsia" w:ascii="宋体" w:hAnsi="宋体" w:cs="宋体"/>
          <w:color w:val="auto"/>
          <w:highlight w:val="none"/>
        </w:rPr>
        <w:t>万元</w:t>
      </w:r>
    </w:p>
    <w:p w14:paraId="3C1D8AA1">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lang w:val="en-US" w:eastAsia="zh-CN"/>
        </w:rPr>
        <w:t>0</w:t>
      </w: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14:paraId="1A809F76">
      <w:pPr>
        <w:pStyle w:val="13"/>
        <w:snapToGrid w:val="0"/>
        <w:spacing w:line="360" w:lineRule="auto"/>
        <w:ind w:firstLine="800" w:firstLineChars="400"/>
        <w:rPr>
          <w:rFonts w:hint="eastAsia" w:hAnsi="宋体"/>
          <w:color w:val="auto"/>
          <w:highlight w:val="none"/>
          <w:lang w:val="en-US" w:eastAsia="zh-CN"/>
        </w:rPr>
      </w:pPr>
      <w:r>
        <w:rPr>
          <w:rFonts w:hint="eastAsia" w:hAnsi="宋体"/>
          <w:color w:val="auto"/>
          <w:highlight w:val="none"/>
          <w:lang w:val="en-US" w:eastAsia="zh-CN"/>
        </w:rPr>
        <w:t>开户名称：广西科文招标有限公司南宁三分公司</w:t>
      </w:r>
    </w:p>
    <w:p w14:paraId="76F565ED">
      <w:pPr>
        <w:pStyle w:val="13"/>
        <w:snapToGrid w:val="0"/>
        <w:spacing w:line="360" w:lineRule="auto"/>
        <w:ind w:firstLine="800" w:firstLineChars="400"/>
        <w:rPr>
          <w:rFonts w:hint="eastAsia" w:hAnsi="宋体"/>
          <w:color w:val="auto"/>
          <w:highlight w:val="none"/>
          <w:lang w:val="en-US" w:eastAsia="zh-CN"/>
        </w:rPr>
      </w:pPr>
      <w:r>
        <w:rPr>
          <w:rFonts w:hint="eastAsia" w:hAnsi="宋体"/>
          <w:color w:val="auto"/>
          <w:highlight w:val="none"/>
          <w:lang w:val="en-US" w:eastAsia="zh-CN"/>
        </w:rPr>
        <w:t>开户银行：广西北部湾银行股份有限公司南宁市云景支行</w:t>
      </w:r>
    </w:p>
    <w:p w14:paraId="23A2D85E">
      <w:pPr>
        <w:pStyle w:val="13"/>
        <w:snapToGrid w:val="0"/>
        <w:spacing w:line="360" w:lineRule="auto"/>
        <w:ind w:firstLine="800" w:firstLineChars="400"/>
        <w:rPr>
          <w:rFonts w:hint="eastAsia" w:hAnsi="宋体"/>
          <w:color w:val="auto"/>
          <w:highlight w:val="none"/>
          <w:lang w:val="en-US" w:eastAsia="zh-CN"/>
        </w:rPr>
      </w:pPr>
      <w:r>
        <w:rPr>
          <w:rFonts w:hint="eastAsia" w:hAnsi="宋体"/>
          <w:color w:val="auto"/>
          <w:highlight w:val="none"/>
          <w:lang w:val="en-US" w:eastAsia="zh-CN"/>
        </w:rPr>
        <w:t>银行</w:t>
      </w:r>
      <w:r>
        <w:rPr>
          <w:rFonts w:hint="eastAsia" w:hAnsi="宋体"/>
          <w:color w:val="auto"/>
          <w:highlight w:val="none"/>
          <w:lang w:val="en-US" w:eastAsia="zh-Hans"/>
        </w:rPr>
        <w:t>账</w:t>
      </w:r>
      <w:r>
        <w:rPr>
          <w:rFonts w:hint="eastAsia" w:hAnsi="宋体"/>
          <w:color w:val="auto"/>
          <w:highlight w:val="none"/>
          <w:lang w:val="en-US" w:eastAsia="zh-CN"/>
        </w:rPr>
        <w:t>号：805029874400001</w:t>
      </w:r>
    </w:p>
    <w:p w14:paraId="4C1612E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1</w:t>
      </w:r>
      <w:r>
        <w:rPr>
          <w:rFonts w:ascii="黑体" w:hAnsi="黑体" w:eastAsia="黑体" w:cs="宋体"/>
          <w:b/>
          <w:bCs/>
          <w:color w:val="auto"/>
          <w:sz w:val="24"/>
          <w:highlight w:val="none"/>
        </w:rPr>
        <w:t>.需要补充的其他内容</w:t>
      </w:r>
    </w:p>
    <w:p w14:paraId="7C1C1728">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14:paraId="7582D6F4">
      <w:pPr>
        <w:pStyle w:val="1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14:paraId="4929DD72">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640D320">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4D20E50">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24B580E5">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C21C8A2">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2CDEDC3E">
      <w:pPr>
        <w:pStyle w:val="13"/>
        <w:snapToGrid w:val="0"/>
        <w:spacing w:before="120" w:after="120"/>
        <w:rPr>
          <w:rFonts w:hint="eastAsia" w:hAnsi="宋体"/>
          <w:color w:val="auto"/>
          <w:highlight w:val="none"/>
        </w:rPr>
      </w:pPr>
    </w:p>
    <w:p w14:paraId="1C0E2BFC">
      <w:pPr>
        <w:jc w:val="left"/>
        <w:rPr>
          <w:rFonts w:hint="eastAsia" w:hAnsi="宋体"/>
          <w:b/>
          <w:color w:val="auto"/>
          <w:sz w:val="32"/>
          <w:szCs w:val="32"/>
          <w:highlight w:val="none"/>
        </w:rPr>
      </w:pPr>
    </w:p>
    <w:p w14:paraId="35901B28">
      <w:pPr>
        <w:pStyle w:val="2"/>
        <w:spacing w:line="360" w:lineRule="auto"/>
        <w:jc w:val="center"/>
        <w:rPr>
          <w:rFonts w:hint="eastAsia"/>
          <w:color w:val="auto"/>
          <w:highlight w:val="none"/>
        </w:rPr>
      </w:pPr>
      <w:r>
        <w:rPr>
          <w:color w:val="auto"/>
          <w:highlight w:val="none"/>
        </w:rPr>
        <w:br w:type="page"/>
      </w:r>
      <w:r>
        <w:rPr>
          <w:rFonts w:hint="eastAsia"/>
          <w:color w:val="auto"/>
          <w:highlight w:val="none"/>
        </w:rPr>
        <w:t>第三章 采购需求</w:t>
      </w:r>
    </w:p>
    <w:p w14:paraId="712629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 w:val="32"/>
          <w:szCs w:val="32"/>
          <w:highlight w:val="none"/>
        </w:rPr>
      </w:pPr>
    </w:p>
    <w:p w14:paraId="60BEDE7D">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说明：</w:t>
      </w:r>
    </w:p>
    <w:p w14:paraId="3DA5FD39">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highlight w:val="none"/>
        </w:rPr>
        <w:t>中</w:t>
      </w:r>
      <w:r>
        <w:rPr>
          <w:rFonts w:hint="eastAsia" w:hAnsi="宋体"/>
          <w:b/>
          <w:bCs/>
          <w:color w:val="auto"/>
          <w:highlight w:val="none"/>
        </w:rPr>
        <w:t>的技术要求。</w:t>
      </w:r>
    </w:p>
    <w:p w14:paraId="294CD605">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2、</w:t>
      </w:r>
      <w:r>
        <w:rPr>
          <w:rFonts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highlight w:val="none"/>
        </w:rPr>
        <w:t>中如有货物产品，且货物</w:t>
      </w:r>
      <w:r>
        <w:rPr>
          <w:rFonts w:hAnsi="宋体"/>
          <w:b/>
          <w:bCs/>
          <w:color w:val="auto"/>
          <w:highlight w:val="none"/>
        </w:rPr>
        <w:t>产品属于节能产品政府采购品目清单内标注“★”的（详见本章后附的节能产品政府采购品目清单），供应商的竞标货物必须使用政府强制采购的节能产品，否则响应文件作无效响应处理。</w:t>
      </w:r>
    </w:p>
    <w:p w14:paraId="5DBB6088">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3、如供应商竞标产品存在侵犯他人的知识产权或者专利成果行为的，由供应商自行承担相应法律责任。</w:t>
      </w:r>
    </w:p>
    <w:p w14:paraId="3BB4F04D">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4、“实质性要求”是指竞争性磋商文件中已经指明不满足则响应无效的条款，或者不能负偏离的条款，或者采购需求中带“▲”的条款。</w:t>
      </w:r>
    </w:p>
    <w:p w14:paraId="4A7E5313">
      <w:pPr>
        <w:spacing w:line="360" w:lineRule="exact"/>
        <w:ind w:left="-10" w:leftChars="-5" w:right="2" w:rightChars="1" w:firstLine="422" w:firstLineChars="200"/>
        <w:rPr>
          <w:rFonts w:hint="eastAsia" w:hAnsi="宋体"/>
          <w:b/>
          <w:bCs/>
          <w:color w:val="auto"/>
          <w:highlight w:val="none"/>
          <w:lang w:val="en-US" w:eastAsia="zh-CN"/>
        </w:rPr>
      </w:pPr>
      <w:r>
        <w:rPr>
          <w:rFonts w:hint="eastAsia" w:hAnsi="宋体"/>
          <w:b/>
          <w:bCs/>
          <w:color w:val="auto"/>
          <w:highlight w:val="none"/>
          <w:lang w:val="en-US" w:eastAsia="zh-CN"/>
        </w:rPr>
        <w:t>5、中小企业划分标准所属行业名称（行业名称及划分见本章附件2）：</w:t>
      </w:r>
      <w:r>
        <w:rPr>
          <w:rFonts w:hint="eastAsia" w:ascii="宋体" w:hAnsi="宋体" w:eastAsia="宋体" w:cs="宋体"/>
          <w:b/>
          <w:bCs/>
          <w:color w:val="auto"/>
          <w:kern w:val="0"/>
          <w:szCs w:val="21"/>
          <w:highlight w:val="none"/>
        </w:rPr>
        <w:t>软件和信息技术服务业</w:t>
      </w:r>
      <w:r>
        <w:rPr>
          <w:rFonts w:hint="eastAsia" w:hAnsi="宋体"/>
          <w:b/>
          <w:bCs/>
          <w:color w:val="auto"/>
          <w:highlight w:val="none"/>
          <w:lang w:val="en-US" w:eastAsia="zh-CN"/>
        </w:rPr>
        <w:t>。</w:t>
      </w:r>
    </w:p>
    <w:p w14:paraId="1E153E82">
      <w:pPr>
        <w:spacing w:line="360" w:lineRule="exact"/>
        <w:ind w:left="-10" w:leftChars="-5" w:right="2" w:rightChars="1" w:firstLine="422" w:firstLineChars="200"/>
        <w:rPr>
          <w:rFonts w:hint="default" w:hAnsi="宋体"/>
          <w:b/>
          <w:bCs/>
          <w:color w:val="auto"/>
          <w:highlight w:val="none"/>
          <w:lang w:val="en-US" w:eastAsia="zh-CN"/>
        </w:rPr>
      </w:pPr>
      <w:r>
        <w:rPr>
          <w:rFonts w:hint="eastAsia" w:hAnsi="宋体"/>
          <w:b/>
          <w:bCs/>
          <w:color w:val="auto"/>
          <w:highlight w:val="none"/>
          <w:lang w:val="en-US" w:eastAsia="zh-CN"/>
        </w:rPr>
        <w:t>6、非实质性要求条款的负偏离</w:t>
      </w:r>
      <w:r>
        <w:rPr>
          <w:rFonts w:hint="eastAsia" w:hAnsi="宋体"/>
          <w:b/>
          <w:bCs/>
          <w:color w:val="auto"/>
          <w:highlight w:val="none"/>
        </w:rPr>
        <w:t>不能</w:t>
      </w:r>
      <w:r>
        <w:rPr>
          <w:rFonts w:hint="eastAsia" w:hAnsi="宋体"/>
          <w:b/>
          <w:bCs/>
          <w:color w:val="auto"/>
          <w:highlight w:val="none"/>
          <w:lang w:val="en-US" w:eastAsia="zh-CN"/>
        </w:rPr>
        <w:t>超过3项，否则竞标无效。</w:t>
      </w:r>
    </w:p>
    <w:tbl>
      <w:tblPr>
        <w:tblStyle w:val="21"/>
        <w:tblpPr w:leftFromText="180" w:rightFromText="180" w:vertAnchor="text" w:horzAnchor="page" w:tblpX="946" w:tblpY="794"/>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420"/>
        <w:gridCol w:w="300"/>
        <w:gridCol w:w="965"/>
        <w:gridCol w:w="692"/>
        <w:gridCol w:w="7427"/>
      </w:tblGrid>
      <w:tr w14:paraId="6BF9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05" w:type="dxa"/>
            <w:gridSpan w:val="6"/>
            <w:noWrap w:val="0"/>
            <w:vAlign w:val="center"/>
          </w:tcPr>
          <w:p w14:paraId="40294015">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需求一览表</w:t>
            </w:r>
          </w:p>
        </w:tc>
      </w:tr>
      <w:tr w14:paraId="349A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gridSpan w:val="3"/>
            <w:noWrap w:val="0"/>
            <w:vAlign w:val="center"/>
          </w:tcPr>
          <w:p w14:paraId="74238FE9">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9084" w:type="dxa"/>
            <w:gridSpan w:val="3"/>
            <w:noWrap w:val="0"/>
            <w:vAlign w:val="center"/>
          </w:tcPr>
          <w:p w14:paraId="64A37EB6">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无</w:t>
            </w:r>
            <w:r>
              <w:rPr>
                <w:rFonts w:hint="eastAsia" w:ascii="宋体" w:hAnsi="宋体" w:eastAsia="宋体" w:cs="宋体"/>
                <w:b/>
                <w:bCs/>
                <w:color w:val="auto"/>
                <w:sz w:val="21"/>
                <w:szCs w:val="21"/>
                <w:highlight w:val="none"/>
              </w:rPr>
              <w:t>分标</w:t>
            </w:r>
          </w:p>
        </w:tc>
      </w:tr>
      <w:tr w14:paraId="7A6C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dxa"/>
            <w:vMerge w:val="restart"/>
            <w:noWrap w:val="0"/>
            <w:vAlign w:val="top"/>
          </w:tcPr>
          <w:p w14:paraId="1A6D5315">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采购清单及技术参数</w:t>
            </w:r>
          </w:p>
        </w:tc>
        <w:tc>
          <w:tcPr>
            <w:tcW w:w="420" w:type="dxa"/>
            <w:noWrap w:val="0"/>
            <w:vAlign w:val="center"/>
          </w:tcPr>
          <w:p w14:paraId="28853195">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265" w:type="dxa"/>
            <w:gridSpan w:val="2"/>
            <w:noWrap w:val="0"/>
            <w:vAlign w:val="center"/>
          </w:tcPr>
          <w:p w14:paraId="5FFCA97E">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p>
        </w:tc>
        <w:tc>
          <w:tcPr>
            <w:tcW w:w="692" w:type="dxa"/>
            <w:noWrap w:val="0"/>
            <w:vAlign w:val="center"/>
          </w:tcPr>
          <w:p w14:paraId="5B0EB749">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427" w:type="dxa"/>
            <w:noWrap w:val="0"/>
            <w:vAlign w:val="center"/>
          </w:tcPr>
          <w:p w14:paraId="5966D634">
            <w:pPr>
              <w:jc w:val="center"/>
              <w:rPr>
                <w:rFonts w:hint="eastAsia" w:ascii="宋体" w:hAnsi="宋体" w:cs="Times New Roman"/>
                <w:color w:val="auto"/>
                <w:kern w:val="2"/>
                <w:sz w:val="24"/>
                <w:szCs w:val="24"/>
                <w:highlight w:val="none"/>
                <w:lang w:val="en-US" w:eastAsia="zh-CN" w:bidi="ar-SA"/>
              </w:rPr>
            </w:pPr>
            <w:r>
              <w:rPr>
                <w:rFonts w:hint="eastAsia" w:ascii="宋体" w:hAnsi="宋体" w:eastAsia="宋体" w:cs="宋体"/>
                <w:color w:val="auto"/>
                <w:sz w:val="21"/>
                <w:szCs w:val="21"/>
                <w:highlight w:val="none"/>
              </w:rPr>
              <w:t>技术参数要求</w:t>
            </w:r>
          </w:p>
        </w:tc>
      </w:tr>
      <w:tr w14:paraId="5E5D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01" w:type="dxa"/>
            <w:vMerge w:val="continue"/>
            <w:noWrap w:val="0"/>
            <w:vAlign w:val="center"/>
          </w:tcPr>
          <w:p w14:paraId="18D97C58">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p>
        </w:tc>
        <w:tc>
          <w:tcPr>
            <w:tcW w:w="420" w:type="dxa"/>
            <w:noWrap w:val="0"/>
            <w:vAlign w:val="center"/>
          </w:tcPr>
          <w:p w14:paraId="1D990D7A">
            <w:pPr>
              <w:widowControl/>
              <w:jc w:val="center"/>
              <w:textAlignment w:val="top"/>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1265" w:type="dxa"/>
            <w:gridSpan w:val="2"/>
            <w:noWrap w:val="0"/>
            <w:vAlign w:val="center"/>
          </w:tcPr>
          <w:p w14:paraId="2E01D592">
            <w:pPr>
              <w:widowControl/>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《All-in-One精细化运营管理体系建设》第二阶段服务项目-PFMS医师费绩效管理系统</w:t>
            </w:r>
          </w:p>
        </w:tc>
        <w:tc>
          <w:tcPr>
            <w:tcW w:w="692" w:type="dxa"/>
            <w:noWrap w:val="0"/>
            <w:vAlign w:val="center"/>
          </w:tcPr>
          <w:p w14:paraId="42FB39A7">
            <w:pPr>
              <w:keepNext w:val="0"/>
              <w:keepLines w:val="0"/>
              <w:pageBreakBefore w:val="0"/>
              <w:kinsoku/>
              <w:overflowPunct/>
              <w:autoSpaceDE/>
              <w:autoSpaceDN/>
              <w:bidi w:val="0"/>
              <w:snapToGrid w:val="0"/>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1项</w:t>
            </w:r>
          </w:p>
        </w:tc>
        <w:tc>
          <w:tcPr>
            <w:tcW w:w="7427" w:type="dxa"/>
            <w:noWrap w:val="0"/>
            <w:vAlign w:val="center"/>
          </w:tcPr>
          <w:p w14:paraId="3E33226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一、</w:t>
            </w:r>
            <w:r>
              <w:rPr>
                <w:rFonts w:hint="default" w:ascii="宋体" w:hAnsi="宋体" w:cs="宋体"/>
                <w:b/>
                <w:bCs/>
                <w:color w:val="auto"/>
                <w:kern w:val="0"/>
                <w:sz w:val="21"/>
                <w:szCs w:val="21"/>
                <w:highlight w:val="none"/>
                <w:lang w:val="en-US" w:eastAsia="zh-CN"/>
              </w:rPr>
              <w:t>采购目的</w:t>
            </w:r>
          </w:p>
          <w:p w14:paraId="18CEADD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根据自治区卫生健康委 自治区财政厅 自治区中医药局公立医院高质量发展示范项目《All-in-One精细化运营管理体系建设》要求，本项目系统建设必须满足第二阶段PF医师费个人工作量绩效管理辅导/咨询后的建设工作内容与成果，并应用</w:t>
            </w:r>
            <w:r>
              <w:rPr>
                <w:rFonts w:hint="eastAsia" w:ascii="宋体" w:hAnsi="宋体" w:cs="宋体"/>
                <w:strike w:val="0"/>
                <w:color w:val="auto"/>
                <w:kern w:val="0"/>
                <w:sz w:val="21"/>
                <w:szCs w:val="21"/>
                <w:highlight w:val="none"/>
                <w:lang w:val="en-US" w:eastAsia="zh-CN"/>
              </w:rPr>
              <w:t>医院</w:t>
            </w:r>
            <w:r>
              <w:rPr>
                <w:rFonts w:hint="default" w:ascii="宋体" w:hAnsi="宋体" w:cs="宋体"/>
                <w:color w:val="auto"/>
                <w:kern w:val="0"/>
                <w:sz w:val="21"/>
                <w:szCs w:val="21"/>
                <w:highlight w:val="none"/>
                <w:lang w:val="en-US" w:eastAsia="zh-CN"/>
              </w:rPr>
              <w:t>绩效管理系统中的数据，达成医院PF医师费个人工作量绩效管理体系建设应用的预期成效。详细需求说明如下。</w:t>
            </w:r>
          </w:p>
          <w:p w14:paraId="43738C5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b/>
                <w:bCs/>
                <w:color w:val="auto"/>
                <w:kern w:val="0"/>
                <w:sz w:val="21"/>
                <w:szCs w:val="21"/>
                <w:highlight w:val="none"/>
                <w:lang w:val="en-US" w:eastAsia="zh-CN"/>
              </w:rPr>
            </w:pPr>
            <w:r>
              <w:rPr>
                <w:rFonts w:hint="default" w:ascii="宋体" w:hAnsi="宋体" w:cs="宋体"/>
                <w:b/>
                <w:bCs/>
                <w:color w:val="auto"/>
                <w:kern w:val="0"/>
                <w:sz w:val="21"/>
                <w:szCs w:val="21"/>
                <w:highlight w:val="none"/>
                <w:lang w:val="en-US" w:eastAsia="zh-CN"/>
              </w:rPr>
              <w:t>二</w:t>
            </w:r>
            <w:r>
              <w:rPr>
                <w:rFonts w:hint="eastAsia" w:ascii="宋体" w:hAnsi="宋体" w:cs="宋体"/>
                <w:b/>
                <w:bCs/>
                <w:color w:val="auto"/>
                <w:kern w:val="0"/>
                <w:sz w:val="21"/>
                <w:szCs w:val="21"/>
                <w:highlight w:val="none"/>
                <w:lang w:val="en-US" w:eastAsia="zh-CN"/>
              </w:rPr>
              <w:t>、</w:t>
            </w:r>
            <w:r>
              <w:rPr>
                <w:rFonts w:hint="default" w:ascii="宋体" w:hAnsi="宋体" w:cs="宋体"/>
                <w:b/>
                <w:bCs/>
                <w:color w:val="auto"/>
                <w:kern w:val="0"/>
                <w:sz w:val="21"/>
                <w:szCs w:val="21"/>
                <w:highlight w:val="none"/>
                <w:lang w:val="en-US" w:eastAsia="zh-CN"/>
              </w:rPr>
              <w:t>采购内容与要求</w:t>
            </w:r>
          </w:p>
          <w:p w14:paraId="18A6841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（一）基本设定</w:t>
            </w:r>
          </w:p>
          <w:p w14:paraId="521A9F6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eastAsia" w:hAnsi="宋体"/>
                <w:b/>
                <w:bCs/>
                <w:color w:val="auto"/>
                <w:highlight w:val="none"/>
              </w:rPr>
              <w:t>▲</w:t>
            </w:r>
            <w:r>
              <w:rPr>
                <w:rFonts w:hint="default" w:ascii="宋体" w:hAnsi="宋体" w:cs="宋体"/>
                <w:color w:val="auto"/>
                <w:kern w:val="0"/>
                <w:sz w:val="21"/>
                <w:szCs w:val="21"/>
                <w:highlight w:val="none"/>
                <w:lang w:val="en-US" w:eastAsia="zh-CN"/>
              </w:rPr>
              <w:t>1.系统可协助医院管理者根据国家相关规范，基于包括医师费在内的应用方法进行科学化、结构化的绩效奖金一次分配计算。在避免绩效奖金直接与收入挂钩的前提下，使用岗位年资、科室贡献与个人工作量，进行考核与二次分配的科学化计算。</w:t>
            </w:r>
            <w:r>
              <w:rPr>
                <w:rFonts w:hint="eastAsia" w:ascii="宋体" w:hAnsi="宋体" w:cs="宋体"/>
                <w:color w:val="auto"/>
                <w:kern w:val="0"/>
                <w:sz w:val="21"/>
                <w:szCs w:val="21"/>
                <w:highlight w:val="none"/>
                <w:lang w:val="en-US" w:eastAsia="zh-CN"/>
              </w:rPr>
              <w:t>要求提供</w:t>
            </w:r>
            <w:r>
              <w:rPr>
                <w:rFonts w:hint="default" w:ascii="宋体" w:hAnsi="宋体" w:cs="宋体"/>
                <w:color w:val="auto"/>
                <w:kern w:val="0"/>
                <w:sz w:val="21"/>
                <w:szCs w:val="21"/>
                <w:highlight w:val="none"/>
                <w:lang w:val="en-US" w:eastAsia="zh-CN"/>
              </w:rPr>
              <w:t>PF医师费个人工作量</w:t>
            </w:r>
            <w:r>
              <w:rPr>
                <w:rFonts w:hint="eastAsia" w:ascii="宋体" w:hAnsi="宋体" w:cs="宋体"/>
                <w:color w:val="auto"/>
                <w:kern w:val="0"/>
                <w:sz w:val="21"/>
                <w:szCs w:val="21"/>
                <w:highlight w:val="none"/>
                <w:lang w:val="en-US" w:eastAsia="zh-CN"/>
              </w:rPr>
              <w:t>结合医院</w:t>
            </w:r>
            <w:r>
              <w:rPr>
                <w:rFonts w:hint="default" w:ascii="宋体" w:hAnsi="宋体" w:cs="宋体"/>
                <w:color w:val="auto"/>
                <w:kern w:val="0"/>
                <w:sz w:val="21"/>
                <w:szCs w:val="21"/>
                <w:highlight w:val="none"/>
                <w:lang w:val="en-US" w:eastAsia="zh-CN"/>
              </w:rPr>
              <w:t>绩效管理</w:t>
            </w:r>
            <w:r>
              <w:rPr>
                <w:rFonts w:hint="eastAsia" w:ascii="宋体" w:hAnsi="宋体" w:cs="宋体"/>
                <w:color w:val="auto"/>
                <w:kern w:val="0"/>
                <w:sz w:val="21"/>
                <w:szCs w:val="21"/>
                <w:highlight w:val="none"/>
                <w:lang w:val="en-US" w:eastAsia="zh-CN"/>
              </w:rPr>
              <w:t>核算个人绩效薪酬的实施方案，该方案内容必须与采购项目相匹配。</w:t>
            </w:r>
          </w:p>
          <w:p w14:paraId="686F91AE">
            <w:pPr>
              <w:widowControl/>
              <w:numPr>
                <w:ilvl w:val="0"/>
                <w:numId w:val="0"/>
              </w:numPr>
              <w:adjustRightInd w:val="0"/>
              <w:snapToGrid w:val="0"/>
              <w:spacing w:line="360" w:lineRule="exact"/>
              <w:jc w:val="left"/>
              <w:rPr>
                <w:rFonts w:ascii="宋体" w:hAnsi="宋体" w:cs="宋体"/>
                <w:color w:val="auto"/>
                <w:kern w:val="0"/>
                <w:szCs w:val="21"/>
                <w:highlight w:val="none"/>
              </w:rPr>
            </w:pPr>
            <w:r>
              <w:rPr>
                <w:rFonts w:ascii="宋体" w:hAnsi="宋体" w:eastAsia="宋体" w:cs="宋体"/>
                <w:color w:val="auto"/>
                <w:kern w:val="0"/>
                <w:sz w:val="21"/>
                <w:szCs w:val="21"/>
                <w:highlight w:val="none"/>
                <w:lang w:val="en-US" w:eastAsia="zh-CN" w:bidi="ar-SA"/>
              </w:rPr>
              <w:t>2.</w:t>
            </w:r>
            <w:r>
              <w:rPr>
                <w:rFonts w:ascii="宋体" w:hAnsi="宋体" w:cs="宋体"/>
                <w:color w:val="auto"/>
                <w:kern w:val="0"/>
                <w:szCs w:val="21"/>
                <w:highlight w:val="none"/>
              </w:rPr>
              <w:t>系统要能够支持临床、护理、医技、职能科室等4种类型，并根据各类型的性质提供不同的</w:t>
            </w:r>
            <w:r>
              <w:rPr>
                <w:rFonts w:hint="eastAsia" w:ascii="宋体" w:hAnsi="宋体" w:cs="宋体"/>
                <w:color w:val="auto"/>
                <w:kern w:val="0"/>
                <w:szCs w:val="21"/>
                <w:highlight w:val="none"/>
              </w:rPr>
              <w:t>绩效薪酬</w:t>
            </w:r>
            <w:r>
              <w:rPr>
                <w:rFonts w:ascii="宋体" w:hAnsi="宋体" w:cs="宋体"/>
                <w:color w:val="auto"/>
                <w:kern w:val="0"/>
                <w:szCs w:val="21"/>
                <w:highlight w:val="none"/>
              </w:rPr>
              <w:t>计算方法</w:t>
            </w:r>
            <w:r>
              <w:rPr>
                <w:rFonts w:hint="eastAsia" w:ascii="宋体" w:hAnsi="宋体" w:cs="宋体"/>
                <w:color w:val="auto"/>
                <w:kern w:val="0"/>
                <w:szCs w:val="21"/>
                <w:highlight w:val="none"/>
              </w:rPr>
              <w:t>，按照医院讨论后确定的规则自动</w:t>
            </w:r>
            <w:r>
              <w:rPr>
                <w:rFonts w:ascii="宋体" w:hAnsi="宋体" w:cs="宋体"/>
                <w:color w:val="auto"/>
                <w:kern w:val="0"/>
                <w:szCs w:val="21"/>
                <w:highlight w:val="none"/>
              </w:rPr>
              <w:t>进行一次分配的</w:t>
            </w:r>
            <w:r>
              <w:rPr>
                <w:rFonts w:hint="eastAsia" w:ascii="宋体" w:hAnsi="宋体" w:cs="宋体"/>
                <w:color w:val="auto"/>
                <w:kern w:val="0"/>
                <w:szCs w:val="21"/>
                <w:highlight w:val="none"/>
              </w:rPr>
              <w:t>绩效薪酬</w:t>
            </w:r>
            <w:r>
              <w:rPr>
                <w:rFonts w:ascii="宋体" w:hAnsi="宋体" w:cs="宋体"/>
                <w:color w:val="auto"/>
                <w:kern w:val="0"/>
                <w:szCs w:val="21"/>
                <w:highlight w:val="none"/>
              </w:rPr>
              <w:t>计算。</w:t>
            </w:r>
          </w:p>
          <w:p w14:paraId="4519988A">
            <w:pPr>
              <w:widowControl/>
              <w:numPr>
                <w:ilvl w:val="0"/>
                <w:numId w:val="0"/>
              </w:numPr>
              <w:adjustRightInd w:val="0"/>
              <w:snapToGrid w:val="0"/>
              <w:spacing w:line="360" w:lineRule="exact"/>
              <w:jc w:val="left"/>
              <w:rPr>
                <w:rFonts w:ascii="宋体" w:hAnsi="宋体" w:cs="宋体"/>
                <w:color w:val="auto"/>
                <w:kern w:val="0"/>
                <w:szCs w:val="21"/>
                <w:highlight w:val="none"/>
              </w:rPr>
            </w:pPr>
            <w:r>
              <w:rPr>
                <w:rFonts w:ascii="宋体" w:hAnsi="宋体" w:eastAsia="宋体" w:cs="宋体"/>
                <w:color w:val="auto"/>
                <w:kern w:val="0"/>
                <w:sz w:val="21"/>
                <w:szCs w:val="21"/>
                <w:highlight w:val="none"/>
                <w:lang w:val="en-US" w:eastAsia="zh-CN" w:bidi="ar-SA"/>
              </w:rPr>
              <w:t>3.</w:t>
            </w:r>
            <w:r>
              <w:rPr>
                <w:rFonts w:hint="eastAsia" w:ascii="宋体" w:hAnsi="宋体" w:cs="宋体"/>
                <w:color w:val="auto"/>
                <w:kern w:val="0"/>
                <w:szCs w:val="21"/>
                <w:highlight w:val="none"/>
              </w:rPr>
              <w:t>在项目实施期间，培训医院绩效管理部门人员掌握包括医师费工作量点数在内的绩效薪酬的测算方法并掌握系统操作。</w:t>
            </w:r>
          </w:p>
          <w:p w14:paraId="2A928CF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（二）重分配前数据</w:t>
            </w:r>
          </w:p>
          <w:p w14:paraId="549D4C6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1.年资积分查询：支持在选择年月、团队和科室后，呈现当月的人员年资积分信息，包含当月岗位、原始年资积分、出勤天数、当月重分配使用年资积分。</w:t>
            </w:r>
          </w:p>
          <w:p w14:paraId="1BBD77C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2.工作组别输入：支持在选择年月、团队和科室后，呈现当月科室人员清单，并能指派每个人员的组长，与是否为主任或当月总医师选项。</w:t>
            </w:r>
          </w:p>
          <w:p w14:paraId="65B42A5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3.工作量查询：支持在选择年月、团队和科室后，呈现当月科室人员清单以及人员分别在门诊、住院、手术的工作量，并针对进入重分配与不进入重分配的工作量有所区分。</w:t>
            </w:r>
          </w:p>
          <w:p w14:paraId="5EDF9CB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4.评估结果输入：支持在选择年月、团队和科室后，呈现当月科室人员清单，并可填写人员的评估结果。评估结果可设置起讫日期，填写完毕后能计算全科每人当月的科内积分。</w:t>
            </w:r>
          </w:p>
          <w:p w14:paraId="479F5A5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5.补贴津贴输入：支持在选择年月、补助类别后，输入每人在不同补助类别中得到的补助金额。支持单笔输入、或者批量导入。</w:t>
            </w:r>
          </w:p>
          <w:p w14:paraId="60540A6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（三）重分配计算</w:t>
            </w:r>
          </w:p>
          <w:p w14:paraId="7B6B5C1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重分配点数计算：支持在选择年月、团队和科室后，呈现当月科室人员清单与对应的年资积分、工作量积分、科内积分、不进入重分配点数、与个人点数计算的结果。支持使用者调整工作量点数，和调整进入重分配计算的人员。</w:t>
            </w:r>
            <w:r>
              <w:rPr>
                <w:rFonts w:hint="eastAsia" w:ascii="宋体" w:hAnsi="宋体" w:cs="宋体"/>
                <w:color w:val="auto"/>
                <w:kern w:val="0"/>
                <w:sz w:val="21"/>
                <w:szCs w:val="21"/>
                <w:highlight w:val="none"/>
                <w:lang w:val="en-US" w:eastAsia="zh-CN"/>
              </w:rPr>
              <w:t>要求提供该功能系统截图。</w:t>
            </w:r>
          </w:p>
          <w:p w14:paraId="78392B9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2.重分配计算：支持在选择年月、团队和科室后，并且完成重分配点数后，呈现当月科室人员的总点数，并允许使用者选择合适的补充机制。支持输入重分配总金额，自动计算每人的</w:t>
            </w:r>
            <w:r>
              <w:rPr>
                <w:rFonts w:hint="eastAsia" w:ascii="宋体" w:hAnsi="宋体" w:cs="宋体"/>
                <w:strike w:val="0"/>
                <w:color w:val="auto"/>
                <w:kern w:val="0"/>
                <w:sz w:val="21"/>
                <w:szCs w:val="21"/>
                <w:highlight w:val="none"/>
                <w:lang w:val="en-US" w:eastAsia="zh-CN"/>
              </w:rPr>
              <w:t>绩效薪酬</w:t>
            </w:r>
            <w:r>
              <w:rPr>
                <w:rFonts w:hint="default" w:ascii="宋体" w:hAnsi="宋体" w:cs="宋体"/>
                <w:color w:val="auto"/>
                <w:kern w:val="0"/>
                <w:sz w:val="21"/>
                <w:szCs w:val="21"/>
                <w:highlight w:val="none"/>
                <w:lang w:val="en-US" w:eastAsia="zh-CN"/>
              </w:rPr>
              <w:t>金额。</w:t>
            </w:r>
          </w:p>
          <w:p w14:paraId="28752F8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3.个人总</w:t>
            </w:r>
            <w:r>
              <w:rPr>
                <w:rFonts w:hint="eastAsia" w:ascii="宋体" w:hAnsi="宋体" w:cs="宋体"/>
                <w:color w:val="auto"/>
                <w:kern w:val="0"/>
                <w:sz w:val="21"/>
                <w:szCs w:val="21"/>
                <w:highlight w:val="none"/>
                <w:lang w:val="en-US" w:eastAsia="zh-CN"/>
              </w:rPr>
              <w:t>绩效薪酬</w:t>
            </w:r>
            <w:r>
              <w:rPr>
                <w:rFonts w:hint="default" w:ascii="宋体" w:hAnsi="宋体" w:cs="宋体"/>
                <w:color w:val="auto"/>
                <w:kern w:val="0"/>
                <w:sz w:val="21"/>
                <w:szCs w:val="21"/>
                <w:highlight w:val="none"/>
                <w:lang w:val="en-US" w:eastAsia="zh-CN"/>
              </w:rPr>
              <w:t>计算：支持在选择年月、团队和科室后，呈现当月科室人员的总劳务费金额，包含重分配劳务费、补贴津贴或奖惩金额。</w:t>
            </w:r>
          </w:p>
          <w:p w14:paraId="2AC025D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（四）收费项目管理</w:t>
            </w:r>
          </w:p>
          <w:p w14:paraId="2F26539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1.收费项目分类设置：支持新增、维护、删除收费项目分类。支持编辑修改分类编号名称，并支持将收费项目加入到分类里，或从分类中移除。</w:t>
            </w:r>
          </w:p>
          <w:p w14:paraId="1FF5DC3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折算比例设置：支持利用分类名称旁的按钮展开分类内的收费项目清单，快速查看预设折算比例。支持根据不同条件（诊别、时段、科室）设置执行与分摊折算比例。可独立设置各收费项目的参数比例，或者承接分类的设定。可根据诊别、时段、科室设定不同的折算比例，并可设置多笔规则，之后从多笔规则中选择预设规则。</w:t>
            </w:r>
          </w:p>
          <w:p w14:paraId="74908E6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3.折算强制归属：支持将收费项目分类或单一收费项目强制指定给特定执行与分摊科室。可独立设置各收费项目的参数比例，或者承接分类的设定。</w:t>
            </w:r>
          </w:p>
          <w:p w14:paraId="3E869E7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4.特殊分摊比例设置：支持设置科室之间在执行分摊协作模式的特定规则，作为工作量计算的优先条件。支持选为对应的执行和分摊科室组合，并可设定折算比例。</w:t>
            </w:r>
            <w:r>
              <w:rPr>
                <w:rFonts w:hint="eastAsia" w:ascii="宋体" w:hAnsi="宋体" w:cs="宋体"/>
                <w:color w:val="auto"/>
                <w:kern w:val="0"/>
                <w:sz w:val="21"/>
                <w:szCs w:val="21"/>
                <w:highlight w:val="none"/>
                <w:lang w:val="en-US" w:eastAsia="zh-CN"/>
              </w:rPr>
              <w:t>要求提供该功能系统截图。</w:t>
            </w:r>
          </w:p>
          <w:p w14:paraId="551EB77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5.手术折算设置：支持根据手术等级或者结合手术等级与手术时段作为设置折算比例的依据。支持主刀医师与助刀医师的分摊比例设置。</w:t>
            </w:r>
          </w:p>
          <w:p w14:paraId="07C0ECA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（五）岗位职称管理</w:t>
            </w:r>
          </w:p>
          <w:p w14:paraId="1986659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1.岗位职称设置：支持新增或编辑各岗位对应的职称、代码和职称系数，作为年资积分模型的依据。支持与医院信息系统的职称基本档进行对应串联。</w:t>
            </w:r>
          </w:p>
          <w:p w14:paraId="3BE5401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2.年资积分模型设置：支持设置各岗位职称的年资积分。支持设定各岗位的封顶年资积分，设定每个年资的对应积分。当有新的积分规则时，可在不影响前期计算的前提下，进行新规则的设定。</w:t>
            </w:r>
          </w:p>
          <w:p w14:paraId="147485D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（六）人员管理</w:t>
            </w:r>
          </w:p>
          <w:p w14:paraId="2A469B23">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重分配人员管理：支持新增删除人员编号，维护人员相关信息（岗位类型、职称、原始科室、重分配科室等）。支持记录每个人的科室和职称转换的历程，并标注起讫时间。当一人有多个职称时，可选定以哪个职称为计算年资积分的依据。支持与医院信息系统的HIS账号基本档进行对应串联。支持批量设置职称功能。</w:t>
            </w:r>
          </w:p>
          <w:p w14:paraId="3195BD1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2.重分配科室批量调整：支持批量更新人员每月所在的重分配科室。</w:t>
            </w:r>
          </w:p>
          <w:p w14:paraId="31E72B2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3.考勤管理：支持批量更新人员每月的考勤状态，可设置工作天数与请假天数。</w:t>
            </w:r>
          </w:p>
          <w:p w14:paraId="35884F5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（七）评估表管理：支持在选择团队和科室后，对科室评估表进行版本控制，允许新增、编辑、改版、停用评估表。支持设定每版评估表的使用起讫日期，新评估表不影响前期已计算的数据。</w:t>
            </w:r>
          </w:p>
          <w:p w14:paraId="6B23DDC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（八）科室管理</w:t>
            </w:r>
          </w:p>
          <w:p w14:paraId="59EEE78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1.科室定义：支持科室的新增、修改、删除。支持设置科室代码、科室名称、所属团队、科室性质。支持与医院信息系统中的科室基本档进行对应串联。</w:t>
            </w:r>
          </w:p>
          <w:p w14:paraId="2F3A653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2.科室设置：支持在选择团队后，针对各科室进行重分配计算参数的设置，包含科室系数、年资、科内、工作量积分的重分配比例、医师组别分摊比例、总医师点数比例、封顶倍数比例。</w:t>
            </w:r>
          </w:p>
          <w:p w14:paraId="586E651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（九）报表管理：支持导出一次分配相关数据的报表，包含科室总点数、科室系数的数据，作为一次分配的计算参考。</w:t>
            </w:r>
          </w:p>
          <w:p w14:paraId="7C31E2E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（十）权限管理</w:t>
            </w:r>
          </w:p>
          <w:p w14:paraId="7AFB8EF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1.账号管理：支持新增、修改、删除系统使用者账号。支持设定账号权限、对应科室、与停用状态。</w:t>
            </w:r>
          </w:p>
          <w:p w14:paraId="720A2A2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2.密码管理：支持使用者自行更换密码。</w:t>
            </w:r>
          </w:p>
          <w:p w14:paraId="228C84F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（十一）报价需包含实现上述技术参数的所需接口费用。</w:t>
            </w:r>
          </w:p>
          <w:p w14:paraId="6039787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（十二）该系统要建立在医院现有信息管理平台上。</w:t>
            </w:r>
          </w:p>
          <w:p w14:paraId="4B74117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（十三）医院开放现有信息管理平台接口，该系统需从医院现有管理平台或医院数据集成平台获取所需数据。</w:t>
            </w:r>
          </w:p>
          <w:p w14:paraId="1CCCF74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四）系统安全支持：具有系统安全的机制，系统用户密码须加密(使用SHA256、ASE256等安全加密算法)保存，具有密码强度检测和提醒修改为强密码功能，具备系统操作日志记录功能（记录用户登入登出、账号的增删改及账号权限增删改等重要操作）。</w:t>
            </w:r>
          </w:p>
          <w:p w14:paraId="5629207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（十五）具有完善的用户管理功能，对访问人数不设限制，在权限功能方面可实现权限分级。</w:t>
            </w:r>
          </w:p>
          <w:p w14:paraId="1989708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（十六）免费维保服务期限：3年。免费维保服务至少包括以下内容：</w:t>
            </w:r>
          </w:p>
          <w:p w14:paraId="1E9C26B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1.对软件使用中发现的系统BUG修复更新；</w:t>
            </w:r>
          </w:p>
          <w:p w14:paraId="23A0C4E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2.对软件使用过程中，系统异常访问排查处理；</w:t>
            </w:r>
          </w:p>
          <w:p w14:paraId="5913017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3.按甲方经营调整需求，经协商讨论后，提供系统配置调整；</w:t>
            </w:r>
          </w:p>
          <w:p w14:paraId="63DBDA9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4.应急问题，第一时间提供应急方案，降低影响。</w:t>
            </w:r>
          </w:p>
          <w:p w14:paraId="653EB9A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5.在免费维保服务期内，对新增的医师技术操作项目提供绩效工作量核算数据并更新至系统中。</w:t>
            </w:r>
          </w:p>
          <w:p w14:paraId="075FBD7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（十七）免费维保服务期限</w:t>
            </w:r>
            <w:r>
              <w:rPr>
                <w:rFonts w:hint="eastAsia" w:ascii="宋体" w:hAnsi="宋体" w:cs="宋体"/>
                <w:color w:val="auto"/>
                <w:kern w:val="0"/>
                <w:sz w:val="21"/>
                <w:szCs w:val="21"/>
                <w:highlight w:val="none"/>
                <w:lang w:val="en-US" w:eastAsia="zh-CN"/>
              </w:rPr>
              <w:t>3年过后的</w:t>
            </w:r>
            <w:r>
              <w:rPr>
                <w:rFonts w:hint="default" w:ascii="宋体" w:hAnsi="宋体" w:cs="宋体"/>
                <w:color w:val="auto"/>
                <w:kern w:val="0"/>
                <w:sz w:val="21"/>
                <w:szCs w:val="21"/>
                <w:highlight w:val="none"/>
                <w:lang w:val="en-US" w:eastAsia="zh-CN"/>
              </w:rPr>
              <w:t>后续维保费用限定：每年收取维保费用金额不超过本期系统采购费用的8%（后续有新增模块或服务要求的除外）。</w:t>
            </w:r>
          </w:p>
          <w:p w14:paraId="6A1C5EA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十八</w:t>
            </w:r>
            <w:r>
              <w:rPr>
                <w:rFonts w:hint="eastAsia" w:ascii="宋体" w:hAnsi="宋体" w:cs="宋体"/>
                <w:color w:val="auto"/>
                <w:kern w:val="0"/>
                <w:szCs w:val="21"/>
                <w:highlight w:val="none"/>
                <w:lang w:eastAsia="zh-CN"/>
              </w:rPr>
              <w:t>）在维保期内（包括免费维保期和付费维保期），</w:t>
            </w:r>
            <w:r>
              <w:rPr>
                <w:rFonts w:hint="eastAsia" w:ascii="宋体" w:hAnsi="宋体" w:eastAsia="宋体" w:cs="宋体"/>
                <w:bCs/>
                <w:color w:val="auto"/>
                <w:sz w:val="21"/>
                <w:szCs w:val="21"/>
                <w:highlight w:val="none"/>
              </w:rPr>
              <w:t>供应商</w:t>
            </w:r>
            <w:r>
              <w:rPr>
                <w:rFonts w:hint="eastAsia" w:ascii="宋体" w:hAnsi="宋体" w:cs="宋体"/>
                <w:color w:val="auto"/>
                <w:kern w:val="0"/>
                <w:szCs w:val="21"/>
                <w:highlight w:val="none"/>
                <w:lang w:eastAsia="zh-CN"/>
              </w:rPr>
              <w:t>应对</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lang w:eastAsia="zh-CN"/>
              </w:rPr>
              <w:t>网络信息安全工程师所发现的应用系统及操作系统相关安全漏洞提供修复支持服务。</w:t>
            </w:r>
          </w:p>
        </w:tc>
      </w:tr>
      <w:tr w14:paraId="2039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dxa"/>
            <w:noWrap w:val="0"/>
            <w:vAlign w:val="top"/>
          </w:tcPr>
          <w:p w14:paraId="62E5F3E4">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804" w:type="dxa"/>
            <w:gridSpan w:val="5"/>
            <w:noWrap w:val="0"/>
            <w:vAlign w:val="center"/>
          </w:tcPr>
          <w:p w14:paraId="4D34313C">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一、合同签订期：自</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rPr>
              <w:t>25</w:t>
            </w:r>
            <w:r>
              <w:rPr>
                <w:rFonts w:hint="eastAsia" w:ascii="宋体" w:hAnsi="宋体" w:eastAsia="宋体" w:cs="宋体"/>
                <w:color w:val="auto"/>
                <w:sz w:val="21"/>
                <w:szCs w:val="21"/>
                <w:highlight w:val="none"/>
              </w:rPr>
              <w:t>日内。</w:t>
            </w:r>
          </w:p>
          <w:p w14:paraId="3C522A5E">
            <w:pPr>
              <w:widowControl/>
              <w:shd w:val="clear" w:color="auto" w:fill="FFFFFF"/>
              <w:snapToGrid w:val="0"/>
              <w:spacing w:line="360" w:lineRule="exact"/>
              <w:ind w:firstLine="0" w:firstLineChars="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val="en-US" w:eastAsia="zh-CN"/>
              </w:rPr>
              <w:t>交付</w:t>
            </w:r>
            <w:r>
              <w:rPr>
                <w:rFonts w:hint="eastAsia" w:ascii="宋体" w:hAnsi="宋体" w:eastAsia="宋体" w:cs="宋体"/>
                <w:color w:val="auto"/>
                <w:sz w:val="21"/>
                <w:szCs w:val="21"/>
                <w:highlight w:val="none"/>
                <w:lang w:eastAsia="zh-CN"/>
              </w:rPr>
              <w:t>时间</w:t>
            </w:r>
            <w:r>
              <w:rPr>
                <w:rFonts w:hint="eastAsia" w:ascii="宋体" w:hAnsi="宋体" w:eastAsia="宋体" w:cs="宋体"/>
                <w:bCs/>
                <w:color w:val="auto"/>
                <w:sz w:val="21"/>
                <w:szCs w:val="21"/>
                <w:highlight w:val="none"/>
              </w:rPr>
              <w:t>：成交供应商应在本合同签订之日起90</w:t>
            </w:r>
            <w:r>
              <w:rPr>
                <w:rFonts w:hint="eastAsia" w:ascii="宋体" w:hAnsi="宋体" w:cs="宋体"/>
                <w:bCs/>
                <w:color w:val="auto"/>
                <w:sz w:val="21"/>
                <w:szCs w:val="21"/>
                <w:highlight w:val="none"/>
                <w:lang w:val="en-US" w:eastAsia="zh-CN"/>
              </w:rPr>
              <w:t>个工作日内</w:t>
            </w:r>
            <w:r>
              <w:rPr>
                <w:rFonts w:hint="eastAsia" w:ascii="宋体" w:hAnsi="宋体" w:eastAsia="宋体" w:cs="宋体"/>
                <w:bCs/>
                <w:color w:val="auto"/>
                <w:sz w:val="21"/>
                <w:szCs w:val="21"/>
                <w:highlight w:val="none"/>
              </w:rPr>
              <w:t>完成并交付使用。成交供应商交付服务成果前应对交付内容作出全面检查和对验收文件进行整理，并列出清单，作为采购方验收和使用的技术条件依据，检验的结果应交采购方。采购方应当在服务成果提交并安装、测试、检验、试运行完后30个工作日内进行验收。采购方逾期50个工作日不验收的，采购方应书面通知供货商不予验收的原因。验收合格后由双方签署验收单，在验收过程中发现成交供应商有违约问题，成交供应商须承担违约责任，采购方可暂缓资金结算，待违约问题解决后，方可办理资金结算事宜。采购方对验收有异议的，在验收后5个工作日内以书面形式向成交供应商提出，成交供应商应自收到采购方书面异议后10日内及时予以解决。</w:t>
            </w:r>
          </w:p>
          <w:p w14:paraId="0FCB4CC6">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eastAsia="宋体" w:cs="宋体"/>
                <w:bCs/>
                <w:color w:val="auto"/>
                <w:sz w:val="21"/>
                <w:szCs w:val="21"/>
                <w:highlight w:val="none"/>
                <w:u w:val="single"/>
                <w:lang w:val="en-US" w:eastAsia="zh-CN"/>
              </w:rPr>
              <w:t>广西</w:t>
            </w:r>
            <w:r>
              <w:rPr>
                <w:rFonts w:hint="eastAsia" w:ascii="宋体" w:hAnsi="宋体" w:eastAsia="宋体" w:cs="宋体"/>
                <w:bCs/>
                <w:color w:val="auto"/>
                <w:sz w:val="21"/>
                <w:szCs w:val="21"/>
                <w:highlight w:val="none"/>
                <w:u w:val="single"/>
              </w:rPr>
              <w:t>南宁市</w:t>
            </w:r>
            <w:r>
              <w:rPr>
                <w:rFonts w:hint="eastAsia" w:ascii="宋体" w:hAnsi="宋体" w:eastAsia="宋体" w:cs="宋体"/>
                <w:bCs/>
                <w:color w:val="auto"/>
                <w:sz w:val="21"/>
                <w:szCs w:val="21"/>
                <w:highlight w:val="none"/>
                <w:u w:val="single"/>
                <w:lang w:eastAsia="zh-CN"/>
              </w:rPr>
              <w:t>广西医科大学第二附属医院</w:t>
            </w:r>
            <w:r>
              <w:rPr>
                <w:rFonts w:hint="eastAsia" w:ascii="宋体" w:hAnsi="宋体" w:eastAsia="宋体" w:cs="宋体"/>
                <w:bCs/>
                <w:color w:val="auto"/>
                <w:sz w:val="21"/>
                <w:szCs w:val="21"/>
                <w:highlight w:val="none"/>
                <w:u w:val="single"/>
              </w:rPr>
              <w:t>（采购人指定地点）</w:t>
            </w:r>
          </w:p>
          <w:p w14:paraId="30395A49">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color w:val="auto"/>
                <w:sz w:val="21"/>
                <w:szCs w:val="21"/>
                <w:highlight w:val="none"/>
              </w:rPr>
              <w:t>验收标准、规范：</w:t>
            </w:r>
          </w:p>
          <w:p w14:paraId="2417AED4">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、当项目完成后，由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向采购单位提出项目竣工测试申请，并于验收前向采购单位提供一切有关技术文件、资料、图纸和相关记录等竣工材料，并在竣工前</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通知采购单位及有关部门准备验收。拟竣工项目的实施总体功能、性能符合采购单位认可的技术设计方案及合同规定的，予以验收，并作出验收结果报告。供需双方签署项目终验验收证书，并自正式交付使用之日起，整体项目才视为接受，并开始计算</w:t>
            </w:r>
            <w:r>
              <w:rPr>
                <w:rFonts w:hint="default" w:ascii="宋体" w:hAnsi="宋体" w:cs="宋体"/>
                <w:color w:val="auto"/>
                <w:kern w:val="0"/>
                <w:sz w:val="21"/>
                <w:szCs w:val="21"/>
                <w:highlight w:val="none"/>
                <w:lang w:val="en-US" w:eastAsia="zh-CN"/>
              </w:rPr>
              <w:t>免费维保服务期限</w:t>
            </w:r>
            <w:r>
              <w:rPr>
                <w:rFonts w:hint="eastAsia" w:ascii="宋体" w:hAnsi="宋体" w:eastAsia="宋体" w:cs="宋体"/>
                <w:color w:val="auto"/>
                <w:sz w:val="21"/>
                <w:szCs w:val="21"/>
                <w:highlight w:val="none"/>
              </w:rPr>
              <w:t>。</w:t>
            </w:r>
          </w:p>
          <w:p w14:paraId="68056959">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、验收标准</w:t>
            </w:r>
          </w:p>
          <w:p w14:paraId="11807F89">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中标人投标文件</w:t>
            </w:r>
            <w:r>
              <w:rPr>
                <w:rFonts w:hint="eastAsia" w:ascii="宋体" w:hAnsi="宋体" w:eastAsia="宋体" w:cs="宋体"/>
                <w:color w:val="auto"/>
                <w:sz w:val="21"/>
                <w:szCs w:val="21"/>
                <w:highlight w:val="none"/>
              </w:rPr>
              <w:t>中的“技术要求偏离表”，逐条验收；</w:t>
            </w:r>
          </w:p>
          <w:p w14:paraId="76D37BBF">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中标人投标文件</w:t>
            </w:r>
            <w:r>
              <w:rPr>
                <w:rFonts w:hint="eastAsia" w:ascii="宋体" w:hAnsi="宋体" w:eastAsia="宋体" w:cs="宋体"/>
                <w:color w:val="auto"/>
                <w:sz w:val="21"/>
                <w:szCs w:val="21"/>
                <w:highlight w:val="none"/>
              </w:rPr>
              <w:t>中的“商务条款偏离表”，逐条验收；</w:t>
            </w:r>
          </w:p>
          <w:p w14:paraId="762A52DF">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中标人投标文件</w:t>
            </w:r>
            <w:r>
              <w:rPr>
                <w:rFonts w:hint="eastAsia" w:ascii="宋体" w:hAnsi="宋体" w:eastAsia="宋体" w:cs="宋体"/>
                <w:color w:val="auto"/>
                <w:sz w:val="21"/>
                <w:szCs w:val="21"/>
                <w:highlight w:val="none"/>
              </w:rPr>
              <w:t>中其他技术、服务、商务性的说明、承诺事项，逐条验收。</w:t>
            </w:r>
          </w:p>
          <w:p w14:paraId="29E5C94C">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4）国家相关法律、法规、标准和规范等。</w:t>
            </w:r>
          </w:p>
          <w:p w14:paraId="3217ABA8">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（5）执行《关于印发广西壮族自治区政府采购项目履约验收管理办法的通知》（桂财采〔2015〕22号），采用文中《广西壮族自治区政府采购项目合同验收书》格式文本等规范。</w:t>
            </w:r>
          </w:p>
          <w:p w14:paraId="75914183">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服务要求：</w:t>
            </w:r>
          </w:p>
          <w:p w14:paraId="506919DA">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w:t>
            </w:r>
            <w:r>
              <w:rPr>
                <w:rFonts w:hint="default" w:ascii="宋体" w:hAnsi="宋体" w:cs="宋体"/>
                <w:color w:val="auto"/>
                <w:kern w:val="0"/>
                <w:sz w:val="21"/>
                <w:szCs w:val="21"/>
                <w:highlight w:val="none"/>
                <w:lang w:val="en-US" w:eastAsia="zh-CN"/>
              </w:rPr>
              <w:t>免费维保服务期限</w:t>
            </w:r>
            <w:r>
              <w:rPr>
                <w:rFonts w:hint="eastAsia" w:ascii="宋体" w:hAnsi="宋体" w:eastAsia="宋体" w:cs="宋体"/>
                <w:color w:val="auto"/>
                <w:sz w:val="21"/>
                <w:szCs w:val="21"/>
                <w:highlight w:val="none"/>
                <w:u w:val="none"/>
                <w:lang w:eastAsia="zh-CN"/>
              </w:rPr>
              <w:t>：从最终验收合格之日起计算</w:t>
            </w:r>
            <w:r>
              <w:rPr>
                <w:rFonts w:hint="default" w:ascii="宋体" w:hAnsi="宋体" w:cs="宋体"/>
                <w:color w:val="auto"/>
                <w:kern w:val="0"/>
                <w:sz w:val="21"/>
                <w:szCs w:val="21"/>
                <w:highlight w:val="none"/>
                <w:u w:val="none"/>
                <w:lang w:val="en-US" w:eastAsia="zh-CN"/>
              </w:rPr>
              <w:t>免费维保服务期限</w:t>
            </w:r>
            <w:r>
              <w:rPr>
                <w:rFonts w:hint="eastAsia" w:ascii="宋体" w:hAnsi="宋体" w:eastAsia="宋体" w:cs="宋体"/>
                <w:color w:val="auto"/>
                <w:sz w:val="21"/>
                <w:szCs w:val="21"/>
                <w:highlight w:val="none"/>
                <w:u w:val="none"/>
                <w:lang w:eastAsia="zh-CN"/>
              </w:rPr>
              <w:t>不少于</w:t>
            </w:r>
            <w:r>
              <w:rPr>
                <w:rFonts w:hint="eastAsia" w:ascii="宋体" w:hAnsi="宋体" w:eastAsia="宋体" w:cs="宋体"/>
                <w:color w:val="auto"/>
                <w:sz w:val="21"/>
                <w:szCs w:val="21"/>
                <w:highlight w:val="none"/>
                <w:u w:val="none"/>
                <w:lang w:val="en-US" w:eastAsia="zh-CN"/>
              </w:rPr>
              <w:t>三</w:t>
            </w:r>
            <w:r>
              <w:rPr>
                <w:rFonts w:hint="eastAsia" w:ascii="宋体" w:hAnsi="宋体" w:eastAsia="宋体" w:cs="宋体"/>
                <w:color w:val="auto"/>
                <w:sz w:val="21"/>
                <w:szCs w:val="21"/>
                <w:highlight w:val="none"/>
                <w:u w:val="none"/>
                <w:lang w:eastAsia="zh-CN"/>
              </w:rPr>
              <w:t>年（含</w:t>
            </w:r>
            <w:r>
              <w:rPr>
                <w:rFonts w:hint="eastAsia" w:ascii="宋体" w:hAnsi="宋体" w:eastAsia="宋体" w:cs="宋体"/>
                <w:color w:val="auto"/>
                <w:sz w:val="21"/>
                <w:szCs w:val="21"/>
                <w:highlight w:val="none"/>
                <w:u w:val="none"/>
                <w:lang w:val="en-US" w:eastAsia="zh-CN"/>
              </w:rPr>
              <w:t>三</w:t>
            </w:r>
            <w:r>
              <w:rPr>
                <w:rFonts w:hint="eastAsia" w:ascii="宋体" w:hAnsi="宋体" w:eastAsia="宋体" w:cs="宋体"/>
                <w:color w:val="auto"/>
                <w:sz w:val="21"/>
                <w:szCs w:val="21"/>
                <w:highlight w:val="none"/>
                <w:u w:val="none"/>
                <w:lang w:eastAsia="zh-CN"/>
              </w:rPr>
              <w:t>年）。</w:t>
            </w:r>
          </w:p>
          <w:p w14:paraId="41270993">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2、响应时间：</w:t>
            </w:r>
            <w:r>
              <w:rPr>
                <w:rFonts w:hint="default" w:ascii="宋体" w:hAnsi="宋体" w:cs="宋体"/>
                <w:color w:val="auto"/>
                <w:kern w:val="0"/>
                <w:sz w:val="21"/>
                <w:szCs w:val="21"/>
                <w:highlight w:val="none"/>
                <w:u w:val="none"/>
                <w:lang w:val="en-US" w:eastAsia="zh-CN"/>
              </w:rPr>
              <w:t>免费维保服务期限</w:t>
            </w:r>
            <w:r>
              <w:rPr>
                <w:rFonts w:hint="eastAsia" w:ascii="宋体" w:hAnsi="宋体" w:eastAsia="宋体" w:cs="宋体"/>
                <w:color w:val="auto"/>
                <w:sz w:val="21"/>
                <w:szCs w:val="21"/>
                <w:highlight w:val="none"/>
                <w:u w:val="none"/>
              </w:rPr>
              <w:t>内</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软件</w:t>
            </w:r>
            <w:r>
              <w:rPr>
                <w:rFonts w:hint="eastAsia" w:ascii="宋体" w:hAnsi="宋体" w:eastAsia="宋体" w:cs="宋体"/>
                <w:color w:val="auto"/>
                <w:sz w:val="21"/>
                <w:szCs w:val="21"/>
                <w:highlight w:val="none"/>
                <w:u w:val="none"/>
              </w:rPr>
              <w:t>发生故障时接到通知后2小时内响应，24小时内到达现场</w:t>
            </w:r>
            <w:r>
              <w:rPr>
                <w:rFonts w:hint="eastAsia" w:ascii="宋体" w:hAnsi="宋体" w:eastAsia="宋体" w:cs="宋体"/>
                <w:color w:val="auto"/>
                <w:sz w:val="21"/>
                <w:szCs w:val="21"/>
                <w:highlight w:val="none"/>
                <w:u w:val="none"/>
                <w:lang w:eastAsia="zh-CN"/>
              </w:rPr>
              <w:t>处理</w:t>
            </w:r>
            <w:r>
              <w:rPr>
                <w:rFonts w:hint="eastAsia" w:ascii="宋体" w:hAnsi="宋体" w:eastAsia="宋体" w:cs="宋体"/>
                <w:color w:val="auto"/>
                <w:sz w:val="21"/>
                <w:szCs w:val="21"/>
                <w:highlight w:val="none"/>
                <w:u w:val="none"/>
              </w:rPr>
              <w:t>，48小时</w:t>
            </w:r>
            <w:r>
              <w:rPr>
                <w:rFonts w:hint="eastAsia" w:ascii="宋体" w:hAnsi="宋体" w:eastAsia="宋体" w:cs="宋体"/>
                <w:color w:val="auto"/>
                <w:sz w:val="21"/>
                <w:szCs w:val="21"/>
                <w:highlight w:val="none"/>
                <w:u w:val="none"/>
                <w:lang w:val="en-US" w:eastAsia="zh-CN"/>
              </w:rPr>
              <w:t>内</w:t>
            </w:r>
            <w:r>
              <w:rPr>
                <w:rFonts w:hint="eastAsia" w:ascii="宋体" w:hAnsi="宋体" w:eastAsia="宋体" w:cs="宋体"/>
                <w:color w:val="auto"/>
                <w:sz w:val="21"/>
                <w:szCs w:val="21"/>
                <w:highlight w:val="none"/>
                <w:u w:val="none"/>
              </w:rPr>
              <w:t>解决问题</w:t>
            </w:r>
            <w:r>
              <w:rPr>
                <w:rFonts w:hint="eastAsia" w:ascii="宋体" w:hAnsi="宋体" w:cs="宋体"/>
                <w:color w:val="auto"/>
                <w:sz w:val="21"/>
                <w:szCs w:val="21"/>
                <w:highlight w:val="none"/>
                <w:u w:val="none"/>
                <w:lang w:eastAsia="zh-CN"/>
              </w:rPr>
              <w:t>；</w:t>
            </w:r>
            <w:r>
              <w:rPr>
                <w:rFonts w:hint="default" w:ascii="宋体" w:hAnsi="宋体" w:cs="宋体"/>
                <w:color w:val="auto"/>
                <w:kern w:val="0"/>
                <w:sz w:val="21"/>
                <w:szCs w:val="21"/>
                <w:highlight w:val="none"/>
                <w:u w:val="none"/>
                <w:lang w:val="en-US" w:eastAsia="zh-CN"/>
              </w:rPr>
              <w:t>免费维保服务期限</w:t>
            </w:r>
            <w:r>
              <w:rPr>
                <w:rFonts w:hint="eastAsia" w:ascii="宋体" w:hAnsi="宋体" w:eastAsia="宋体" w:cs="宋体"/>
                <w:color w:val="auto"/>
                <w:sz w:val="21"/>
                <w:szCs w:val="21"/>
                <w:highlight w:val="none"/>
                <w:u w:val="none"/>
              </w:rPr>
              <w:t>满后，按照</w:t>
            </w:r>
            <w:r>
              <w:rPr>
                <w:rFonts w:hint="default" w:ascii="宋体" w:hAnsi="宋体" w:cs="宋体"/>
                <w:color w:val="auto"/>
                <w:kern w:val="0"/>
                <w:sz w:val="21"/>
                <w:szCs w:val="21"/>
                <w:highlight w:val="none"/>
                <w:u w:val="none"/>
                <w:lang w:val="en-US" w:eastAsia="zh-CN"/>
              </w:rPr>
              <w:t>免费维保服务期限</w:t>
            </w:r>
            <w:r>
              <w:rPr>
                <w:rFonts w:hint="eastAsia" w:ascii="宋体" w:hAnsi="宋体" w:eastAsia="宋体" w:cs="宋体"/>
                <w:color w:val="auto"/>
                <w:sz w:val="21"/>
                <w:szCs w:val="21"/>
                <w:highlight w:val="none"/>
                <w:u w:val="none"/>
              </w:rPr>
              <w:t>内售后服务内容及标准继续提供</w:t>
            </w:r>
            <w:r>
              <w:rPr>
                <w:rFonts w:hint="eastAsia" w:ascii="宋体" w:hAnsi="宋体" w:eastAsia="宋体" w:cs="宋体"/>
                <w:color w:val="auto"/>
                <w:sz w:val="21"/>
                <w:szCs w:val="21"/>
                <w:highlight w:val="none"/>
                <w:u w:val="none"/>
                <w:lang w:eastAsia="zh-CN"/>
              </w:rPr>
              <w:t>维保</w:t>
            </w:r>
            <w:r>
              <w:rPr>
                <w:rFonts w:hint="eastAsia" w:ascii="宋体" w:hAnsi="宋体" w:eastAsia="宋体" w:cs="宋体"/>
                <w:color w:val="auto"/>
                <w:sz w:val="21"/>
                <w:szCs w:val="21"/>
                <w:highlight w:val="none"/>
                <w:u w:val="none"/>
              </w:rPr>
              <w:t>服务，直至采购人确认更换维保单位。不能因</w:t>
            </w:r>
            <w:r>
              <w:rPr>
                <w:rFonts w:hint="eastAsia" w:ascii="宋体" w:hAnsi="宋体" w:eastAsia="宋体" w:cs="宋体"/>
                <w:color w:val="auto"/>
                <w:sz w:val="21"/>
                <w:szCs w:val="21"/>
                <w:highlight w:val="none"/>
                <w:u w:val="none"/>
                <w:lang w:eastAsia="zh-CN"/>
              </w:rPr>
              <w:t>维保期</w:t>
            </w:r>
            <w:r>
              <w:rPr>
                <w:rFonts w:hint="eastAsia" w:ascii="宋体" w:hAnsi="宋体" w:eastAsia="宋体" w:cs="宋体"/>
                <w:color w:val="auto"/>
                <w:sz w:val="21"/>
                <w:szCs w:val="21"/>
                <w:highlight w:val="none"/>
                <w:u w:val="none"/>
              </w:rPr>
              <w:t>满而出现缓修、拒修等情况，维修所产生费用由</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和采购人另行结算。</w:t>
            </w:r>
            <w:r>
              <w:rPr>
                <w:rFonts w:hint="default" w:ascii="宋体" w:hAnsi="宋体" w:cs="宋体"/>
                <w:color w:val="auto"/>
                <w:kern w:val="0"/>
                <w:sz w:val="21"/>
                <w:szCs w:val="21"/>
                <w:highlight w:val="none"/>
                <w:u w:val="none"/>
                <w:lang w:val="en-US" w:eastAsia="zh-CN"/>
              </w:rPr>
              <w:t>后续</w:t>
            </w:r>
            <w:r>
              <w:rPr>
                <w:rFonts w:hint="eastAsia" w:ascii="宋体" w:hAnsi="宋体" w:cs="宋体"/>
                <w:color w:val="auto"/>
                <w:kern w:val="0"/>
                <w:sz w:val="21"/>
                <w:szCs w:val="21"/>
                <w:highlight w:val="none"/>
                <w:u w:val="none"/>
                <w:lang w:val="en-US" w:eastAsia="zh-CN"/>
              </w:rPr>
              <w:t>（免费维保期结束后）</w:t>
            </w:r>
            <w:r>
              <w:rPr>
                <w:rFonts w:hint="eastAsia" w:ascii="宋体" w:hAnsi="宋体" w:eastAsia="宋体" w:cs="宋体"/>
                <w:color w:val="auto"/>
                <w:sz w:val="21"/>
                <w:szCs w:val="21"/>
                <w:highlight w:val="none"/>
                <w:u w:val="none"/>
              </w:rPr>
              <w:t>维保金额每年不得超过</w:t>
            </w:r>
            <w:r>
              <w:rPr>
                <w:rFonts w:hint="eastAsia" w:ascii="宋体" w:hAnsi="宋体" w:eastAsia="宋体" w:cs="宋体"/>
                <w:color w:val="auto"/>
                <w:sz w:val="21"/>
                <w:szCs w:val="21"/>
                <w:highlight w:val="none"/>
                <w:u w:val="none"/>
                <w:lang w:val="en-US" w:eastAsia="zh-CN"/>
              </w:rPr>
              <w:t>软件中标金额</w:t>
            </w:r>
            <w:r>
              <w:rPr>
                <w:rFonts w:hint="eastAsia" w:ascii="宋体" w:hAnsi="宋体" w:eastAsia="宋体" w:cs="宋体"/>
                <w:color w:val="auto"/>
                <w:sz w:val="21"/>
                <w:szCs w:val="21"/>
                <w:highlight w:val="none"/>
                <w:u w:val="none"/>
              </w:rPr>
              <w:t>的</w:t>
            </w:r>
            <w:r>
              <w:rPr>
                <w:rFonts w:hint="eastAsia" w:ascii="宋体" w:hAnsi="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%，维保成本超过该数额的一概由</w:t>
            </w:r>
            <w:r>
              <w:rPr>
                <w:rFonts w:hint="eastAsia" w:ascii="宋体" w:hAnsi="宋体" w:eastAsia="宋体" w:cs="宋体"/>
                <w:color w:val="auto"/>
                <w:sz w:val="21"/>
                <w:szCs w:val="21"/>
                <w:highlight w:val="none"/>
                <w:u w:val="none"/>
                <w:lang w:val="en-US" w:eastAsia="zh-CN"/>
              </w:rPr>
              <w:t>中标人</w:t>
            </w:r>
            <w:r>
              <w:rPr>
                <w:rFonts w:hint="eastAsia" w:ascii="宋体" w:hAnsi="宋体" w:eastAsia="宋体" w:cs="宋体"/>
                <w:color w:val="auto"/>
                <w:sz w:val="21"/>
                <w:szCs w:val="21"/>
                <w:highlight w:val="none"/>
                <w:u w:val="none"/>
              </w:rPr>
              <w:t>自行承担，项目质保维护期满后</w:t>
            </w:r>
            <w:r>
              <w:rPr>
                <w:rFonts w:hint="eastAsia" w:ascii="宋体" w:hAnsi="宋体" w:eastAsia="宋体" w:cs="宋体"/>
                <w:color w:val="auto"/>
                <w:sz w:val="21"/>
                <w:szCs w:val="21"/>
                <w:highlight w:val="none"/>
                <w:u w:val="none"/>
                <w:lang w:eastAsia="zh-CN"/>
              </w:rPr>
              <w:t>可</w:t>
            </w:r>
            <w:r>
              <w:rPr>
                <w:rFonts w:hint="eastAsia" w:ascii="宋体" w:hAnsi="宋体" w:eastAsia="宋体" w:cs="宋体"/>
                <w:color w:val="auto"/>
                <w:sz w:val="21"/>
                <w:szCs w:val="21"/>
                <w:highlight w:val="none"/>
                <w:u w:val="none"/>
              </w:rPr>
              <w:t>签订维护和售后服务合同，具体事项以实际谈判为准。</w:t>
            </w:r>
          </w:p>
          <w:p w14:paraId="39649182">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3、售后服务技术人员要求：</w:t>
            </w:r>
            <w:r>
              <w:rPr>
                <w:rFonts w:hint="eastAsia" w:ascii="宋体" w:hAnsi="宋体" w:eastAsia="宋体" w:cs="宋体"/>
                <w:color w:val="auto"/>
                <w:sz w:val="21"/>
                <w:szCs w:val="21"/>
                <w:highlight w:val="none"/>
                <w:u w:val="single"/>
                <w:lang w:val="en-US" w:eastAsia="zh-CN"/>
              </w:rPr>
              <w:t>专职人员。</w:t>
            </w:r>
          </w:p>
          <w:p w14:paraId="06DB6A55">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w:t>
            </w:r>
          </w:p>
          <w:p w14:paraId="59C562BC">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调试及运行：1）</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负责全部</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的安装、调试、试运行，</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的安装、调试费用应包括在投标总价中。交付的</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应符合技术规格要求；2）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应在收到业主通知后一星期内，派出有经验的技术人员进行</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安装调试；3）</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应在一个月内完成安装调试工作，如因</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原因造成延期，所造成的费用由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14:paraId="447B739D">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4.2为采购人提供专业化技术培训：</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安装调试合格后3至6个月内，应安排有经验的技术人员到现场进行技术答疑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装机使用培训≥2天，跟进强化培训：1天，维修</w:t>
            </w:r>
            <w:r>
              <w:rPr>
                <w:rFonts w:hint="eastAsia" w:ascii="宋体" w:hAnsi="宋体" w:eastAsia="宋体" w:cs="宋体"/>
                <w:color w:val="auto"/>
                <w:sz w:val="21"/>
                <w:szCs w:val="21"/>
                <w:highlight w:val="none"/>
                <w:lang w:eastAsia="zh-CN"/>
              </w:rPr>
              <w:t>维护</w:t>
            </w:r>
            <w:r>
              <w:rPr>
                <w:rFonts w:hint="eastAsia" w:ascii="宋体" w:hAnsi="宋体" w:eastAsia="宋体" w:cs="宋体"/>
                <w:color w:val="auto"/>
                <w:sz w:val="21"/>
                <w:szCs w:val="21"/>
                <w:highlight w:val="none"/>
              </w:rPr>
              <w:t>培训：1天。培训人数不少于2人。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中提供完善的技术培训方案，保证使用人员正常操作</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的各种功能。</w:t>
            </w:r>
          </w:p>
          <w:p w14:paraId="7319A488">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国内应设有</w:t>
            </w:r>
            <w:r>
              <w:rPr>
                <w:rFonts w:hint="eastAsia" w:ascii="宋体" w:hAnsi="宋体" w:eastAsia="宋体" w:cs="宋体"/>
                <w:color w:val="auto"/>
                <w:sz w:val="21"/>
                <w:szCs w:val="21"/>
                <w:highlight w:val="none"/>
                <w:lang w:eastAsia="zh-CN"/>
              </w:rPr>
              <w:t>维护</w:t>
            </w:r>
            <w:r>
              <w:rPr>
                <w:rFonts w:hint="eastAsia" w:ascii="宋体" w:hAnsi="宋体" w:eastAsia="宋体" w:cs="宋体"/>
                <w:color w:val="auto"/>
                <w:sz w:val="21"/>
                <w:szCs w:val="21"/>
                <w:highlight w:val="none"/>
              </w:rPr>
              <w:t>中心，能提供快捷、周到、规范的服务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国内设有服务电话。</w:t>
            </w:r>
          </w:p>
          <w:p w14:paraId="38AF4CB6">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以上款项中，如在</w:t>
            </w:r>
            <w:r>
              <w:rPr>
                <w:rFonts w:hint="eastAsia" w:ascii="宋体" w:hAnsi="宋体" w:eastAsia="宋体" w:cs="宋体"/>
                <w:strike w:val="0"/>
                <w:dstrike w:val="0"/>
                <w:color w:val="auto"/>
                <w:sz w:val="21"/>
                <w:szCs w:val="21"/>
                <w:highlight w:val="none"/>
                <w:u w:val="none"/>
                <w:lang w:val="en-US" w:eastAsia="zh-CN"/>
              </w:rPr>
              <w:t>本项目</w:t>
            </w:r>
            <w:r>
              <w:rPr>
                <w:rFonts w:hint="eastAsia" w:ascii="宋体" w:hAnsi="宋体" w:eastAsia="宋体" w:cs="宋体"/>
                <w:color w:val="auto"/>
                <w:sz w:val="21"/>
                <w:szCs w:val="21"/>
                <w:highlight w:val="none"/>
              </w:rPr>
              <w:t>“货物参数”有专项要求的，从其规定。</w:t>
            </w:r>
          </w:p>
          <w:p w14:paraId="2C13E600">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4.5知识产权：</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需提供软件的报告、资料、文件等内容及服务成果，采购单位享有充分、完整和排他的著作权和知识产权。未经采购单位书面许可，供应商不得向任何第三方提供上述报告、资料、文件、用户信息等内容及服务成果。即使向履行有关的人员提供，也应注意保密并限于履行合同的必需范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供应商应严格遵守相关的知识产权及软件版权保护的法律、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"http://www.chinalawedu.com/falvfagui/" \o "法规"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法规</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；并在项目所规定的范围内使用本信息系统，任何供应商用于未经授权的商业目的的复制行为所造成的违约或侵权责任由供应商</w:t>
            </w:r>
            <w:r>
              <w:rPr>
                <w:rFonts w:hint="eastAsia" w:ascii="宋体" w:hAnsi="宋体" w:eastAsia="宋体" w:cs="宋体"/>
                <w:color w:val="auto"/>
                <w:sz w:val="21"/>
                <w:szCs w:val="21"/>
                <w:highlight w:val="none"/>
                <w:lang w:val="en-US" w:eastAsia="zh-CN"/>
              </w:rPr>
              <w:t>承担</w:t>
            </w:r>
            <w:r>
              <w:rPr>
                <w:rFonts w:hint="eastAsia" w:ascii="宋体" w:hAnsi="宋体" w:eastAsia="宋体" w:cs="宋体"/>
                <w:color w:val="auto"/>
                <w:sz w:val="21"/>
                <w:szCs w:val="21"/>
                <w:highlight w:val="none"/>
              </w:rPr>
              <w:t>。</w:t>
            </w:r>
          </w:p>
          <w:p w14:paraId="2E35D657">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开放接口供其他系统同步数据，及与其他系统接口个性化开发。费用应包含在报价中。</w:t>
            </w:r>
          </w:p>
          <w:p w14:paraId="7CD13F62">
            <w:pPr>
              <w:keepNext w:val="0"/>
              <w:keepLines w:val="0"/>
              <w:pageBreakBefore w:val="0"/>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w:t>
            </w:r>
            <w:r>
              <w:rPr>
                <w:rFonts w:hint="eastAsia" w:ascii="宋体" w:hAnsi="宋体" w:eastAsia="宋体" w:cs="宋体"/>
                <w:color w:val="auto"/>
                <w:sz w:val="21"/>
                <w:szCs w:val="21"/>
                <w:highlight w:val="none"/>
              </w:rPr>
              <w:t>按照医院相关要求出具年度维护保养、检测校准、年度</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运行评估报告书，配合医院相关责任人完成资产云管家平台相关工作。</w:t>
            </w:r>
          </w:p>
          <w:p w14:paraId="3B935AD7">
            <w:pPr>
              <w:keepNext w:val="0"/>
              <w:keepLines w:val="0"/>
              <w:pageBreakBefore w:val="0"/>
              <w:kinsoku/>
              <w:wordWrap w:val="0"/>
              <w:overflowPunct/>
              <w:topLinePunct/>
              <w:autoSpaceDE/>
              <w:autoSpaceDN/>
              <w:bidi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项目实施过程中的安全生产要求</w:t>
            </w:r>
          </w:p>
          <w:p w14:paraId="67D40842">
            <w:pPr>
              <w:keepNext w:val="0"/>
              <w:keepLines w:val="0"/>
              <w:pageBreakBefore w:val="0"/>
              <w:kinsoku/>
              <w:wordWrap w:val="0"/>
              <w:overflowPunct/>
              <w:topLinePunct/>
              <w:autoSpaceDE/>
              <w:autoSpaceDN/>
              <w:bidi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遵守国家关于安全生产有关管理规定，严格按安全标准组织项目实施，并随时接受招标人安全检查人员实施的监督检查，采取必要的安全防护措施，消除事故隐患。由于中标人安全措施不力造成事故的责任和因此发生的费用，由中标人负责。</w:t>
            </w:r>
          </w:p>
          <w:p w14:paraId="4AED46AC">
            <w:pPr>
              <w:keepNext w:val="0"/>
              <w:keepLines w:val="0"/>
              <w:pageBreakBefore w:val="0"/>
              <w:kinsoku/>
              <w:wordWrap w:val="0"/>
              <w:overflowPunct/>
              <w:topLinePunct/>
              <w:autoSpaceDE/>
              <w:autoSpaceDN/>
              <w:bidi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（2）中标人应对己方实施人员进行安全教育，并对他们的安全负责。</w:t>
            </w:r>
          </w:p>
          <w:p w14:paraId="6544DBFC">
            <w:pPr>
              <w:keepNext w:val="0"/>
              <w:keepLines w:val="0"/>
              <w:pageBreakBefore w:val="0"/>
              <w:kinsoku/>
              <w:wordWrap w:val="0"/>
              <w:overflowPunct/>
              <w:topLinePunct/>
              <w:autoSpaceDE/>
              <w:autoSpaceDN/>
              <w:bidi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（3）采购人提供中标人实施人员的生产用水、用电、项目实施用临时办公场地等。</w:t>
            </w:r>
          </w:p>
          <w:p w14:paraId="31AE2284">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六、报价要求</w:t>
            </w:r>
            <w:r>
              <w:rPr>
                <w:rFonts w:hint="eastAsia" w:ascii="宋体" w:hAnsi="宋体" w:eastAsia="宋体" w:cs="宋体"/>
                <w:color w:val="auto"/>
                <w:sz w:val="21"/>
                <w:szCs w:val="21"/>
                <w:highlight w:val="none"/>
                <w:lang w:eastAsia="zh-CN"/>
              </w:rPr>
              <w:t>：</w:t>
            </w:r>
          </w:p>
          <w:p w14:paraId="1FBE405B">
            <w:pPr>
              <w:keepNext w:val="0"/>
              <w:keepLines w:val="0"/>
              <w:pageBreakBefore w:val="0"/>
              <w:kinsoku/>
              <w:wordWrap w:val="0"/>
              <w:overflowPunct/>
              <w:topLinePunct/>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bookmarkStart w:id="35" w:name="OLE_LINK11"/>
            <w:r>
              <w:rPr>
                <w:rFonts w:hint="eastAsia" w:ascii="宋体" w:hAnsi="宋体" w:eastAsia="宋体" w:cs="宋体"/>
                <w:color w:val="auto"/>
                <w:sz w:val="21"/>
                <w:szCs w:val="21"/>
                <w:highlight w:val="none"/>
                <w:lang w:eastAsia="zh-CN"/>
              </w:rPr>
              <w:t>投标报价是履行合同的最终价格，即满足全部采购需求所应提供的服务的价格；包括投标服务的成本、交通（含保险）（如有）、技术服务、培训、税费等所有费用。</w:t>
            </w:r>
            <w:bookmarkEnd w:id="35"/>
          </w:p>
          <w:p w14:paraId="1697EE5E">
            <w:pPr>
              <w:keepNext w:val="0"/>
              <w:keepLines w:val="0"/>
              <w:pageBreakBefore w:val="0"/>
              <w:kinsoku/>
              <w:overflow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、付款方式：</w:t>
            </w:r>
          </w:p>
          <w:p w14:paraId="1E63C259">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bookmarkStart w:id="36" w:name="OLE_LINK12"/>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1、第一期：合同生效以及具备实施条件后10个工作日内甲方向乙方支付合同</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u w:val="none"/>
                <w:lang w:val="en-US" w:eastAsia="zh-CN"/>
              </w:rPr>
              <w:t>的30</w:t>
            </w:r>
            <w:r>
              <w:rPr>
                <w:rFonts w:hint="eastAsia" w:ascii="宋体" w:hAnsi="宋体" w:eastAsia="宋体" w:cs="宋体"/>
                <w:color w:val="auto"/>
                <w:sz w:val="21"/>
                <w:szCs w:val="21"/>
                <w:highlight w:val="none"/>
              </w:rPr>
              <w:t>% 做为预付款；</w:t>
            </w:r>
          </w:p>
          <w:p w14:paraId="24819D31">
            <w:pPr>
              <w:keepNext w:val="0"/>
              <w:keepLines w:val="0"/>
              <w:pageBreakBefore w:val="0"/>
              <w:kinsoku/>
              <w:wordWrap w:val="0"/>
              <w:overflowPunct/>
              <w:topLinePunct/>
              <w:autoSpaceDE/>
              <w:autoSpaceDN/>
              <w:bidi w:val="0"/>
              <w:adjustRightInd/>
              <w:snapToGrid w:val="0"/>
              <w:spacing w:line="3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第二期：</w:t>
            </w:r>
            <w:r>
              <w:rPr>
                <w:rFonts w:hint="eastAsia" w:ascii="宋体" w:hAnsi="宋体" w:eastAsia="宋体" w:cs="宋体"/>
                <w:color w:val="auto"/>
                <w:sz w:val="21"/>
                <w:szCs w:val="21"/>
                <w:highlight w:val="none"/>
                <w:lang w:val="en-US" w:eastAsia="zh-CN"/>
              </w:rPr>
              <w:t>系统搭建完成后</w:t>
            </w:r>
            <w:r>
              <w:rPr>
                <w:rFonts w:hint="eastAsia" w:ascii="宋体" w:hAnsi="宋体" w:eastAsia="宋体" w:cs="宋体"/>
                <w:color w:val="auto"/>
                <w:sz w:val="21"/>
                <w:szCs w:val="21"/>
                <w:highlight w:val="none"/>
              </w:rPr>
              <w:t>10个工作日内甲方向乙方</w:t>
            </w:r>
            <w:r>
              <w:rPr>
                <w:rFonts w:hint="eastAsia" w:ascii="宋体" w:hAnsi="宋体" w:eastAsia="宋体" w:cs="宋体"/>
                <w:color w:val="auto"/>
                <w:sz w:val="21"/>
                <w:szCs w:val="21"/>
                <w:highlight w:val="none"/>
                <w:lang w:val="en-US" w:eastAsia="zh-CN"/>
              </w:rPr>
              <w:t>支付合同金额的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p>
          <w:p w14:paraId="0D8E2954">
            <w:pPr>
              <w:keepNext w:val="0"/>
              <w:keepLines w:val="0"/>
              <w:pageBreakBefore w:val="0"/>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第三期：</w:t>
            </w:r>
            <w:r>
              <w:rPr>
                <w:rFonts w:hint="eastAsia" w:ascii="宋体" w:hAnsi="宋体" w:eastAsia="宋体" w:cs="宋体"/>
                <w:color w:val="auto"/>
                <w:sz w:val="21"/>
                <w:szCs w:val="21"/>
                <w:highlight w:val="none"/>
              </w:rPr>
              <w:t>全部服务完成并验收合格后，乙方开具全额增值税发票给甲方，甲方支付至总合同金额的</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14:paraId="49849FB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2、如未按国家要求开具增值税发票，一旦发现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提供虚假发票，除须向采购人补开合法发票外，须赔偿采购人发票票面金额一倍的违约金，且采购人有权终止合同，供应商不得提出异议，因终止合同而产生的一切损失均由供应商承担</w:t>
            </w:r>
            <w:r>
              <w:rPr>
                <w:rFonts w:hint="eastAsia" w:ascii="宋体" w:hAnsi="宋体" w:eastAsia="宋体" w:cs="宋体"/>
                <w:color w:val="auto"/>
                <w:sz w:val="21"/>
                <w:szCs w:val="21"/>
                <w:highlight w:val="none"/>
                <w:lang w:eastAsia="zh-CN"/>
              </w:rPr>
              <w:t>。</w:t>
            </w:r>
            <w:bookmarkEnd w:id="36"/>
          </w:p>
        </w:tc>
      </w:tr>
    </w:tbl>
    <w:p w14:paraId="497ABD11">
      <w:pPr>
        <w:spacing w:line="360" w:lineRule="auto"/>
        <w:jc w:val="left"/>
        <w:rPr>
          <w:rFonts w:ascii="宋体" w:hAnsi="宋体" w:cs="Arial"/>
          <w:bCs/>
          <w:color w:val="auto"/>
          <w:szCs w:val="21"/>
          <w:highlight w:val="none"/>
          <w:u w:val="single"/>
        </w:rPr>
      </w:pPr>
    </w:p>
    <w:p w14:paraId="12B52841">
      <w:pPr>
        <w:rPr>
          <w:rFonts w:hint="eastAsia"/>
          <w:color w:val="auto"/>
          <w:highlight w:val="none"/>
        </w:rPr>
      </w:pPr>
      <w:bookmarkStart w:id="37" w:name="_Toc74323459"/>
    </w:p>
    <w:p w14:paraId="1F68F691">
      <w:pPr>
        <w:spacing w:before="0" w:after="0" w:line="240" w:lineRule="auto"/>
        <w:jc w:val="center"/>
        <w:rPr>
          <w:rFonts w:hint="eastAsia"/>
          <w:color w:val="auto"/>
          <w:highlight w:val="none"/>
        </w:rPr>
      </w:pPr>
      <w:r>
        <w:rPr>
          <w:rFonts w:hint="eastAsia"/>
          <w:color w:val="auto"/>
          <w:highlight w:val="none"/>
        </w:rPr>
        <w:br w:type="page"/>
      </w:r>
    </w:p>
    <w:p w14:paraId="5EB2891A">
      <w:pPr>
        <w:pStyle w:val="2"/>
        <w:spacing w:before="0" w:after="0" w:line="240" w:lineRule="auto"/>
        <w:jc w:val="center"/>
        <w:rPr>
          <w:rFonts w:hint="eastAsia"/>
          <w:color w:val="auto"/>
          <w:highlight w:val="none"/>
        </w:rPr>
      </w:pPr>
      <w:r>
        <w:rPr>
          <w:rFonts w:hint="eastAsia"/>
          <w:color w:val="auto"/>
          <w:highlight w:val="none"/>
        </w:rPr>
        <w:t>第四章  评审程序、评审方法和评审标准</w:t>
      </w:r>
      <w:bookmarkEnd w:id="37"/>
    </w:p>
    <w:p w14:paraId="0B59DD09">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7B19ECE5">
      <w:pPr>
        <w:spacing w:line="360" w:lineRule="auto"/>
        <w:ind w:firstLine="482" w:firstLineChars="200"/>
        <w:rPr>
          <w:rFonts w:hint="eastAsia" w:ascii="黑体" w:hAnsi="黑体" w:eastAsia="黑体" w:cs="宋体"/>
          <w:b/>
          <w:bCs/>
          <w:color w:val="auto"/>
          <w:sz w:val="24"/>
          <w:highlight w:val="none"/>
        </w:rPr>
      </w:pPr>
    </w:p>
    <w:p w14:paraId="7476BA9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080A862A">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15593F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Fonts w:cs="宋体"/>
          <w:color w:val="auto"/>
          <w:highlight w:val="none"/>
        </w:rPr>
        <w:t>www.ccgp.gov.cn</w:t>
      </w:r>
      <w:r>
        <w:rPr>
          <w:rFonts w:ascii="宋体" w:hAnsi="宋体" w:cs="宋体"/>
          <w:color w:val="auto"/>
          <w:szCs w:val="21"/>
          <w:highlight w:val="none"/>
        </w:rPr>
        <w:fldChar w:fldCharType="end"/>
      </w:r>
      <w:r>
        <w:rPr>
          <w:rFonts w:ascii="宋体" w:hAnsi="宋体" w:cs="宋体"/>
          <w:color w:val="auto"/>
          <w:szCs w:val="21"/>
          <w:highlight w:val="none"/>
        </w:rPr>
        <w:t>）</w:t>
      </w:r>
    </w:p>
    <w:p w14:paraId="3A40A60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14:paraId="3CD1FBB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3CD67F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D87265">
      <w:pPr>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BD4865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2A4D72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69C9F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37A986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36287B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D77AA4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5731A21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35D2D60F">
      <w:pPr>
        <w:spacing w:line="360" w:lineRule="auto"/>
        <w:ind w:firstLine="420" w:firstLineChars="200"/>
        <w:rPr>
          <w:rFonts w:hint="eastAsia" w:ascii="宋体" w:hAnsi="宋体" w:cs="宋体"/>
          <w:color w:val="auto"/>
          <w:szCs w:val="21"/>
          <w:highlight w:val="none"/>
        </w:rPr>
      </w:pPr>
      <w:bookmarkStart w:id="38"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38"/>
    <w:p w14:paraId="5F93475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717466">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w:t>
      </w:r>
      <w:r>
        <w:rPr>
          <w:rFonts w:hint="eastAsia" w:ascii="宋体" w:hAnsi="宋体" w:cs="宋体"/>
          <w:color w:val="auto"/>
          <w:szCs w:val="21"/>
          <w:highlight w:val="none"/>
          <w:lang w:eastAsia="zh-CN"/>
        </w:rPr>
        <w:t>并</w:t>
      </w:r>
      <w:r>
        <w:rPr>
          <w:rFonts w:hint="eastAsia" w:ascii="宋体" w:hAnsi="宋体" w:cs="宋体"/>
          <w:color w:val="auto"/>
          <w:szCs w:val="21"/>
          <w:highlight w:val="none"/>
        </w:rPr>
        <w:t>加盖供应商公章</w:t>
      </w:r>
      <w:r>
        <w:rPr>
          <w:rFonts w:hint="eastAsia" w:ascii="宋体" w:hAnsi="宋体" w:cs="宋体"/>
          <w:color w:val="auto"/>
          <w:spacing w:val="-6"/>
          <w:szCs w:val="21"/>
          <w:highlight w:val="none"/>
        </w:rPr>
        <w:t>。供应商为自然人的，必须由本人签字并附</w:t>
      </w:r>
      <w:r>
        <w:rPr>
          <w:rFonts w:hint="eastAsia" w:ascii="宋体" w:hAnsi="宋体" w:cs="宋体"/>
          <w:color w:val="auto"/>
          <w:spacing w:val="-6"/>
          <w:szCs w:val="21"/>
          <w:highlight w:val="none"/>
          <w:lang w:eastAsia="zh-CN"/>
        </w:rPr>
        <w:t>其</w:t>
      </w:r>
      <w:r>
        <w:rPr>
          <w:rFonts w:hint="eastAsia" w:ascii="宋体" w:hAnsi="宋体" w:cs="宋体"/>
          <w:color w:val="auto"/>
          <w:spacing w:val="-6"/>
          <w:szCs w:val="21"/>
          <w:highlight w:val="none"/>
        </w:rPr>
        <w:t>身份证明。</w:t>
      </w:r>
    </w:p>
    <w:p w14:paraId="3BE6F8F2">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0759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14B0F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5A9D0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D9E83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9A96F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4305D0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B6EF0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2C34F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4044BD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DD460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09AB81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75C694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14A95A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590F6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333BB7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112CB5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55E4EB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5383B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3D71EDB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1）技术要求中标“▲”的条款发生负偏离或允许负偏离的条款数超过“供应商须知前附表”规定项数的；</w:t>
      </w:r>
    </w:p>
    <w:p w14:paraId="08382E1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0F3ECA4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39"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39"/>
    </w:p>
    <w:p w14:paraId="7743BAC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4A34FD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14:paraId="71F87D5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5654FF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63F48E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B0ADA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7DE5DB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27413F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52E163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40" w:name="_Hlk42596405"/>
      <w:r>
        <w:rPr>
          <w:rFonts w:hint="eastAsia" w:ascii="宋体" w:hAnsi="宋体" w:cs="宋体"/>
          <w:color w:val="auto"/>
          <w:szCs w:val="21"/>
          <w:highlight w:val="none"/>
        </w:rPr>
        <w:t xml:space="preserve"> </w:t>
      </w:r>
      <w:bookmarkEnd w:id="40"/>
    </w:p>
    <w:p w14:paraId="0F74BC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340D22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1843D26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204702B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6A7902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w:t>
      </w:r>
      <w:r>
        <w:rPr>
          <w:rFonts w:hint="eastAsia" w:ascii="宋体" w:hAnsi="宋体" w:cs="宋体"/>
          <w:color w:val="auto"/>
          <w:szCs w:val="21"/>
          <w:highlight w:val="none"/>
          <w:lang w:eastAsia="zh-CN"/>
        </w:rPr>
        <w:t>在</w:t>
      </w:r>
      <w:r>
        <w:rPr>
          <w:rFonts w:hint="eastAsia" w:ascii="宋体" w:hAnsi="宋体" w:cs="宋体"/>
          <w:color w:val="auto"/>
          <w:szCs w:val="21"/>
          <w:highlight w:val="none"/>
        </w:rPr>
        <w:t>规定时间内参加磋商，未在规定时间内参加磋商的视同放弃参加磋商权利，其响应文件按无效响应处理。</w:t>
      </w:r>
    </w:p>
    <w:p w14:paraId="0827409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722375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2216459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4E8EADA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36939FC4">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4571DFB">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3A45EC7">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21920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2BFAA3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1AFD022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lang w:val="en-US" w:eastAsia="zh-CN"/>
        </w:rPr>
        <w:t>7</w:t>
      </w:r>
      <w:r>
        <w:rPr>
          <w:color w:val="auto"/>
          <w:highlight w:val="none"/>
        </w:rPr>
        <w:t>条情形的，</w:t>
      </w:r>
      <w:r>
        <w:rPr>
          <w:rFonts w:hint="eastAsia" w:ascii="宋体" w:hAnsi="宋体" w:cs="宋体"/>
          <w:color w:val="auto"/>
          <w:szCs w:val="21"/>
          <w:highlight w:val="none"/>
        </w:rPr>
        <w:t>提交最后报价的供应商可以为2家。</w:t>
      </w:r>
    </w:p>
    <w:p w14:paraId="0496C18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0160066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26C7BE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409C290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434CCA2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115849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31B464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14:paraId="075022A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289D50D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0BA0AB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9A83D8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82265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593C7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16956E3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4D79AE13">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2ACD64A8">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B9B40F">
      <w:pPr>
        <w:rPr>
          <w:rFonts w:ascii="宋体" w:hAnsi="宋体"/>
          <w:b/>
          <w:color w:val="auto"/>
          <w:sz w:val="32"/>
          <w:szCs w:val="32"/>
          <w:highlight w:val="none"/>
        </w:rPr>
      </w:pPr>
      <w:r>
        <w:rPr>
          <w:rFonts w:ascii="宋体" w:hAnsi="宋体"/>
          <w:b/>
          <w:color w:val="auto"/>
          <w:sz w:val="32"/>
          <w:szCs w:val="32"/>
          <w:highlight w:val="none"/>
        </w:rPr>
        <w:br w:type="page"/>
      </w:r>
    </w:p>
    <w:p w14:paraId="1636C68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tbl>
      <w:tblPr>
        <w:tblStyle w:val="21"/>
        <w:tblpPr w:leftFromText="180" w:rightFromText="180" w:vertAnchor="text" w:horzAnchor="page" w:tblpX="1301" w:tblpY="919"/>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03"/>
        <w:gridCol w:w="785"/>
        <w:gridCol w:w="1918"/>
        <w:gridCol w:w="5350"/>
      </w:tblGrid>
      <w:tr w14:paraId="5821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noWrap w:val="0"/>
            <w:vAlign w:val="center"/>
          </w:tcPr>
          <w:p w14:paraId="388ADE92">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03" w:type="dxa"/>
            <w:noWrap w:val="0"/>
            <w:vAlign w:val="center"/>
          </w:tcPr>
          <w:p w14:paraId="37ADFFBD">
            <w:pPr>
              <w:adjustRightInd w:val="0"/>
              <w:spacing w:line="41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785" w:type="dxa"/>
            <w:noWrap w:val="0"/>
            <w:vAlign w:val="center"/>
          </w:tcPr>
          <w:p w14:paraId="77D7A30A">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268" w:type="dxa"/>
            <w:gridSpan w:val="2"/>
            <w:noWrap w:val="0"/>
            <w:vAlign w:val="center"/>
          </w:tcPr>
          <w:p w14:paraId="0595C274">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02B7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noWrap w:val="0"/>
            <w:vAlign w:val="center"/>
          </w:tcPr>
          <w:p w14:paraId="41728AD3">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003" w:type="dxa"/>
            <w:noWrap w:val="0"/>
            <w:vAlign w:val="center"/>
          </w:tcPr>
          <w:p w14:paraId="34CDA03E">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w:t>
            </w:r>
          </w:p>
        </w:tc>
        <w:tc>
          <w:tcPr>
            <w:tcW w:w="785" w:type="dxa"/>
            <w:noWrap w:val="0"/>
            <w:vAlign w:val="center"/>
          </w:tcPr>
          <w:p w14:paraId="3D6260ED">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tc>
        <w:tc>
          <w:tcPr>
            <w:tcW w:w="7268" w:type="dxa"/>
            <w:gridSpan w:val="2"/>
            <w:noWrap w:val="0"/>
            <w:vAlign w:val="center"/>
          </w:tcPr>
          <w:p w14:paraId="1C9E07A2">
            <w:pPr>
              <w:pStyle w:val="13"/>
              <w:spacing w:line="360" w:lineRule="exact"/>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一、政府采购政策扣除</w:t>
            </w:r>
          </w:p>
          <w:p w14:paraId="5E00BDD4">
            <w:pPr>
              <w:pStyle w:val="13"/>
              <w:spacing w:line="360" w:lineRule="exact"/>
              <w:ind w:firstLine="420" w:firstLineChars="200"/>
              <w:rPr>
                <w:rFonts w:hint="eastAsia" w:ascii="宋体" w:hAnsi="宋体" w:eastAsia="宋体" w:cs="宋体"/>
                <w:bCs/>
                <w:color w:val="auto"/>
                <w:kern w:val="2"/>
                <w:sz w:val="21"/>
                <w:szCs w:val="21"/>
                <w:highlight w:val="none"/>
                <w:lang w:val="en-US" w:eastAsia="zh-CN"/>
              </w:rPr>
            </w:pPr>
            <w:r>
              <w:rPr>
                <w:rFonts w:hint="eastAsia" w:hAnsi="宋体" w:cs="宋体"/>
                <w:bCs/>
                <w:color w:val="auto"/>
                <w:kern w:val="2"/>
                <w:sz w:val="21"/>
                <w:highlight w:val="none"/>
              </w:rPr>
              <w:t>1.本项目为专门面向中小企业采购的项目，按照《政府采购促进中小企业发展管理办法》（财库〔2020〕46号）的规定，对供应商最后报价不再执行价格评审优惠的扶持政策。</w:t>
            </w:r>
          </w:p>
          <w:p w14:paraId="7DE0716E">
            <w:pPr>
              <w:pStyle w:val="13"/>
              <w:spacing w:line="360" w:lineRule="exact"/>
              <w:ind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2.评审报价为供应商的最后报价，评审报价只是作为评审时使用。最终成交供应商的成交金额等于最后报价（如有修正，以确认修正后的最后报价为准）。</w:t>
            </w:r>
          </w:p>
          <w:p w14:paraId="40CD7E70">
            <w:pPr>
              <w:pStyle w:val="13"/>
              <w:spacing w:line="360" w:lineRule="exact"/>
              <w:ind w:firstLine="420" w:firstLineChars="200"/>
              <w:rPr>
                <w:rFonts w:hint="eastAsia" w:ascii="宋体" w:hAnsi="宋体" w:eastAsia="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4B3BD43">
            <w:pPr>
              <w:pStyle w:val="13"/>
              <w:spacing w:line="360" w:lineRule="exact"/>
              <w:ind w:firstLine="420" w:firstLineChars="200"/>
              <w:outlineLvl w:val="0"/>
              <w:rPr>
                <w:rFonts w:hint="eastAsia" w:ascii="宋体" w:hAnsi="宋体" w:eastAsia="宋体" w:cs="宋体"/>
                <w:color w:val="auto"/>
                <w:sz w:val="21"/>
                <w:szCs w:val="21"/>
                <w:highlight w:val="none"/>
                <w:lang w:val="en-US" w:eastAsia="zh-CN"/>
              </w:rPr>
            </w:pPr>
            <w:r>
              <w:rPr>
                <w:rFonts w:hint="eastAsia"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en-US" w:eastAsia="zh-CN"/>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EE93F55">
            <w:pPr>
              <w:pStyle w:val="13"/>
              <w:spacing w:line="360" w:lineRule="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报价</w:t>
            </w:r>
            <w:r>
              <w:rPr>
                <w:rFonts w:hint="eastAsia" w:ascii="宋体" w:hAnsi="宋体" w:eastAsia="宋体" w:cs="宋体"/>
                <w:b/>
                <w:color w:val="auto"/>
                <w:sz w:val="21"/>
                <w:szCs w:val="21"/>
                <w:highlight w:val="none"/>
                <w:lang w:val="en-US" w:eastAsia="zh-CN"/>
              </w:rPr>
              <w:t>分（满分</w:t>
            </w:r>
            <w:r>
              <w:rPr>
                <w:rFonts w:hint="eastAsia" w:hAnsi="宋体" w:cs="宋体"/>
                <w:b/>
                <w:color w:val="auto"/>
                <w:sz w:val="21"/>
                <w:szCs w:val="21"/>
                <w:highlight w:val="none"/>
                <w:lang w:val="en-US" w:eastAsia="zh-CN"/>
              </w:rPr>
              <w:t>15</w:t>
            </w:r>
            <w:r>
              <w:rPr>
                <w:rFonts w:hint="eastAsia" w:ascii="宋体" w:hAnsi="宋体" w:eastAsia="宋体" w:cs="宋体"/>
                <w:b/>
                <w:color w:val="auto"/>
                <w:sz w:val="21"/>
                <w:szCs w:val="21"/>
                <w:highlight w:val="none"/>
                <w:lang w:val="en-US" w:eastAsia="zh-CN"/>
              </w:rPr>
              <w:t>分）</w:t>
            </w:r>
          </w:p>
          <w:p w14:paraId="06833323">
            <w:pPr>
              <w:pStyle w:val="13"/>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报价分采用低价优先法计算，满足磋商文件要求且评标价最低的有效供应商的评标价为评标基准价，其报价分为满分。</w:t>
            </w:r>
          </w:p>
          <w:p w14:paraId="66FB71CF">
            <w:pPr>
              <w:pStyle w:val="13"/>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2、其他供应商的价格分统一按照下列公式计算：</w:t>
            </w:r>
          </w:p>
          <w:p w14:paraId="5624F100">
            <w:pPr>
              <w:pStyle w:val="13"/>
              <w:spacing w:line="360" w:lineRule="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某有效供应商的报价分=（评标基准价／某有效供应商评标价）×</w:t>
            </w:r>
            <w:r>
              <w:rPr>
                <w:rFonts w:hint="eastAsia"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p>
        </w:tc>
      </w:tr>
      <w:tr w14:paraId="61DE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noWrap w:val="0"/>
            <w:vAlign w:val="center"/>
          </w:tcPr>
          <w:p w14:paraId="19D8A7E3">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003" w:type="dxa"/>
            <w:vMerge w:val="restart"/>
            <w:noWrap w:val="0"/>
            <w:vAlign w:val="center"/>
          </w:tcPr>
          <w:p w14:paraId="63C5728D">
            <w:pPr>
              <w:adjustRightInd w:val="0"/>
              <w:spacing w:line="360" w:lineRule="auto"/>
              <w:jc w:val="center"/>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技术</w:t>
            </w:r>
            <w:r>
              <w:rPr>
                <w:rFonts w:hint="eastAsia" w:ascii="宋体" w:hAnsi="宋体" w:cs="宋体"/>
                <w:b/>
                <w:color w:val="auto"/>
                <w:sz w:val="21"/>
                <w:szCs w:val="21"/>
                <w:highlight w:val="none"/>
                <w:lang w:val="en-US" w:eastAsia="zh-CN"/>
              </w:rPr>
              <w:t>水平评分</w:t>
            </w:r>
          </w:p>
        </w:tc>
        <w:tc>
          <w:tcPr>
            <w:tcW w:w="785" w:type="dxa"/>
            <w:vMerge w:val="restart"/>
            <w:noWrap w:val="0"/>
            <w:vAlign w:val="center"/>
          </w:tcPr>
          <w:p w14:paraId="6BA9E310">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81</w:t>
            </w:r>
            <w:r>
              <w:rPr>
                <w:rFonts w:hint="eastAsia" w:ascii="宋体" w:hAnsi="宋体" w:eastAsia="宋体" w:cs="宋体"/>
                <w:b/>
                <w:color w:val="auto"/>
                <w:sz w:val="21"/>
                <w:szCs w:val="21"/>
                <w:highlight w:val="none"/>
              </w:rPr>
              <w:t>分</w:t>
            </w:r>
          </w:p>
        </w:tc>
        <w:tc>
          <w:tcPr>
            <w:tcW w:w="1918" w:type="dxa"/>
            <w:noWrap w:val="0"/>
            <w:vAlign w:val="center"/>
          </w:tcPr>
          <w:p w14:paraId="736DE4C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技术要求响应情况</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50" w:type="dxa"/>
            <w:noWrap w:val="0"/>
            <w:vAlign w:val="center"/>
          </w:tcPr>
          <w:p w14:paraId="65EB2579">
            <w:pPr>
              <w:keepNext w:val="0"/>
              <w:keepLines w:val="0"/>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投标技术参数完全满足</w:t>
            </w:r>
            <w:r>
              <w:rPr>
                <w:rFonts w:hint="eastAsia" w:ascii="宋体" w:hAnsi="宋体" w:cs="宋体"/>
                <w:bCs/>
                <w:color w:val="auto"/>
                <w:kern w:val="0"/>
                <w:sz w:val="21"/>
                <w:szCs w:val="21"/>
                <w:highlight w:val="none"/>
                <w:lang w:val="en-US" w:eastAsia="zh-CN" w:bidi="ar-SA"/>
              </w:rPr>
              <w:t>采购</w:t>
            </w:r>
            <w:r>
              <w:rPr>
                <w:rFonts w:hint="eastAsia" w:ascii="宋体" w:hAnsi="宋体" w:eastAsia="宋体" w:cs="宋体"/>
                <w:bCs/>
                <w:color w:val="auto"/>
                <w:kern w:val="0"/>
                <w:sz w:val="21"/>
                <w:szCs w:val="21"/>
                <w:highlight w:val="none"/>
                <w:lang w:val="en-US" w:eastAsia="zh-CN" w:bidi="ar-SA"/>
              </w:rPr>
              <w:t>文件要求的得</w:t>
            </w:r>
            <w:r>
              <w:rPr>
                <w:rFonts w:hint="eastAsia" w:hAnsi="宋体" w:eastAsia="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分，非实质性条款有负偏离的每一项扣</w:t>
            </w:r>
            <w:r>
              <w:rPr>
                <w:rFonts w:hint="eastAsia"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分，漏项的每一项扣</w:t>
            </w:r>
            <w:r>
              <w:rPr>
                <w:rFonts w:hint="eastAsia"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分，最多扣完本项分值。</w:t>
            </w:r>
          </w:p>
        </w:tc>
      </w:tr>
      <w:tr w14:paraId="21C6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noWrap w:val="0"/>
            <w:vAlign w:val="center"/>
          </w:tcPr>
          <w:p w14:paraId="7FE35216">
            <w:pPr>
              <w:adjustRightIn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003" w:type="dxa"/>
            <w:vMerge w:val="continue"/>
            <w:noWrap w:val="0"/>
            <w:vAlign w:val="center"/>
          </w:tcPr>
          <w:p w14:paraId="2BF47825">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p>
        </w:tc>
        <w:tc>
          <w:tcPr>
            <w:tcW w:w="785" w:type="dxa"/>
            <w:vMerge w:val="continue"/>
            <w:noWrap w:val="0"/>
            <w:vAlign w:val="center"/>
          </w:tcPr>
          <w:p w14:paraId="4B520B60">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p>
        </w:tc>
        <w:tc>
          <w:tcPr>
            <w:tcW w:w="1918" w:type="dxa"/>
            <w:noWrap w:val="0"/>
            <w:vAlign w:val="center"/>
          </w:tcPr>
          <w:p w14:paraId="32C0DBBA">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服务方案（3</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w:t>
            </w:r>
          </w:p>
        </w:tc>
        <w:tc>
          <w:tcPr>
            <w:tcW w:w="5350" w:type="dxa"/>
            <w:noWrap w:val="0"/>
            <w:vAlign w:val="center"/>
          </w:tcPr>
          <w:p w14:paraId="58E6F190">
            <w:pPr>
              <w:pStyle w:val="13"/>
              <w:keepNext w:val="0"/>
              <w:keepLines w:val="0"/>
              <w:pageBreakBefore w:val="0"/>
              <w:widowControl w:val="0"/>
              <w:kinsoku/>
              <w:wordWrap/>
              <w:overflowPunct/>
              <w:topLinePunct w:val="0"/>
              <w:autoSpaceDE/>
              <w:autoSpaceDN/>
              <w:bidi w:val="0"/>
              <w:snapToGrid w:val="0"/>
              <w:spacing w:line="360" w:lineRule="exact"/>
              <w:ind w:firstLine="0" w:firstLineChars="0"/>
              <w:jc w:val="left"/>
              <w:rPr>
                <w:rFonts w:hint="eastAsia" w:ascii="宋体" w:hAnsi="宋体" w:eastAsia="宋体" w:cs="宋体"/>
                <w:color w:val="auto"/>
                <w:kern w:val="2"/>
                <w:sz w:val="21"/>
                <w:szCs w:val="20"/>
                <w:highlight w:val="none"/>
                <w:lang w:val="en-US" w:eastAsia="zh-CN" w:bidi="ar-SA"/>
              </w:rPr>
            </w:pPr>
            <w:r>
              <w:rPr>
                <w:rFonts w:hint="eastAsia"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根据供应商提供的针对本项目的服务质量及售后保障方案（含服务标准设计、服务保障措施、紧急情况保障、售后服务内容及响应时间说明、售后人员安排、技术支持、回访方案等），方案描述</w:t>
            </w:r>
            <w:r>
              <w:rPr>
                <w:rFonts w:hint="eastAsia" w:ascii="宋体" w:hAnsi="宋体" w:eastAsia="宋体" w:cs="宋体"/>
                <w:color w:val="auto"/>
                <w:kern w:val="2"/>
                <w:sz w:val="21"/>
                <w:szCs w:val="20"/>
                <w:highlight w:val="none"/>
                <w:lang w:val="en-US" w:eastAsia="zh-CN" w:bidi="ar-SA"/>
              </w:rPr>
              <w:t>的全面性、准确性和合理性进行评定打分。</w:t>
            </w:r>
          </w:p>
          <w:p w14:paraId="0D719959">
            <w:pPr>
              <w:pStyle w:val="13"/>
              <w:keepNext w:val="0"/>
              <w:keepLines w:val="0"/>
              <w:pageBreakBefore w:val="0"/>
              <w:widowControl w:val="0"/>
              <w:kinsoku/>
              <w:wordWrap/>
              <w:overflowPunct/>
              <w:topLinePunct w:val="0"/>
              <w:autoSpaceDE/>
              <w:autoSpaceDN/>
              <w:bidi w:val="0"/>
              <w:snapToGrid w:val="0"/>
              <w:spacing w:line="360" w:lineRule="exact"/>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hAnsi="宋体" w:eastAsia="宋体" w:cs="宋体"/>
                <w:bCs/>
                <w:color w:val="auto"/>
                <w:kern w:val="0"/>
                <w:sz w:val="21"/>
                <w:szCs w:val="21"/>
                <w:highlight w:val="none"/>
                <w:lang w:val="en-US" w:eastAsia="zh-CN" w:bidi="ar-SA"/>
              </w:rPr>
              <w:t>一档</w:t>
            </w:r>
            <w:r>
              <w:rPr>
                <w:rFonts w:hint="eastAsia" w:ascii="宋体" w:hAnsi="宋体" w:eastAsia="宋体" w:cs="宋体"/>
                <w:bCs/>
                <w:color w:val="auto"/>
                <w:kern w:val="0"/>
                <w:sz w:val="21"/>
                <w:szCs w:val="21"/>
                <w:highlight w:val="none"/>
                <w:lang w:val="en-US" w:eastAsia="zh-CN" w:bidi="ar-SA"/>
              </w:rPr>
              <w:t>（</w:t>
            </w:r>
            <w:r>
              <w:rPr>
                <w:rFonts w:hint="eastAsia"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分）：供应商针对本项目的服务质量及售后保障方案，方案描述基本清晰，基本可实施，基本符合医院管理导向。</w:t>
            </w:r>
          </w:p>
          <w:p w14:paraId="5CBF4819">
            <w:pPr>
              <w:pStyle w:val="13"/>
              <w:keepNext w:val="0"/>
              <w:keepLines w:val="0"/>
              <w:pageBreakBefore w:val="0"/>
              <w:widowControl w:val="0"/>
              <w:kinsoku/>
              <w:wordWrap/>
              <w:overflowPunct/>
              <w:topLinePunct w:val="0"/>
              <w:autoSpaceDE/>
              <w:autoSpaceDN/>
              <w:bidi w:val="0"/>
              <w:snapToGrid w:val="0"/>
              <w:spacing w:line="360" w:lineRule="exact"/>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hAnsi="宋体" w:eastAsia="宋体" w:cs="宋体"/>
                <w:bCs/>
                <w:color w:val="auto"/>
                <w:kern w:val="0"/>
                <w:sz w:val="21"/>
                <w:szCs w:val="21"/>
                <w:highlight w:val="none"/>
                <w:lang w:val="en-US" w:eastAsia="zh-CN" w:bidi="ar-SA"/>
              </w:rPr>
              <w:t>二档</w:t>
            </w:r>
            <w:r>
              <w:rPr>
                <w:rFonts w:hint="eastAsia" w:ascii="宋体" w:hAnsi="宋体" w:eastAsia="宋体" w:cs="宋体"/>
                <w:bCs/>
                <w:color w:val="auto"/>
                <w:kern w:val="0"/>
                <w:sz w:val="21"/>
                <w:szCs w:val="21"/>
                <w:highlight w:val="none"/>
                <w:lang w:val="en-US" w:eastAsia="zh-CN" w:bidi="ar-SA"/>
              </w:rPr>
              <w:t>（1</w:t>
            </w:r>
            <w:r>
              <w:rPr>
                <w:rFonts w:hint="eastAsia"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分）：供应商针对本项目的服务质量及售后保障方案，方案描述比较清晰，比较详细，可实施性比较强，比较符合医院管理导向。</w:t>
            </w:r>
          </w:p>
          <w:p w14:paraId="1F118EFB">
            <w:pPr>
              <w:pStyle w:val="13"/>
              <w:keepNext w:val="0"/>
              <w:keepLines w:val="0"/>
              <w:pageBreakBefore w:val="0"/>
              <w:widowControl w:val="0"/>
              <w:kinsoku/>
              <w:wordWrap/>
              <w:overflowPunct/>
              <w:topLinePunct w:val="0"/>
              <w:autoSpaceDE/>
              <w:autoSpaceDN/>
              <w:bidi w:val="0"/>
              <w:snapToGrid w:val="0"/>
              <w:spacing w:line="360" w:lineRule="exact"/>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hAnsi="宋体" w:eastAsia="宋体" w:cs="宋体"/>
                <w:bCs/>
                <w:color w:val="auto"/>
                <w:kern w:val="0"/>
                <w:sz w:val="21"/>
                <w:szCs w:val="21"/>
                <w:highlight w:val="none"/>
                <w:lang w:val="en-US" w:eastAsia="zh-CN" w:bidi="ar-SA"/>
              </w:rPr>
              <w:t>三档</w:t>
            </w:r>
            <w:r>
              <w:rPr>
                <w:rFonts w:hint="eastAsia" w:ascii="宋体" w:hAnsi="宋体" w:eastAsia="宋体" w:cs="宋体"/>
                <w:bCs/>
                <w:color w:val="auto"/>
                <w:kern w:val="0"/>
                <w:sz w:val="21"/>
                <w:szCs w:val="21"/>
                <w:highlight w:val="none"/>
                <w:lang w:val="en-US" w:eastAsia="zh-CN" w:bidi="ar-SA"/>
              </w:rPr>
              <w:t>（</w:t>
            </w:r>
            <w:r>
              <w:rPr>
                <w:rFonts w:hint="eastAsia" w:hAnsi="宋体" w:cs="宋体"/>
                <w:bCs/>
                <w:color w:val="auto"/>
                <w:kern w:val="0"/>
                <w:sz w:val="21"/>
                <w:szCs w:val="21"/>
                <w:highlight w:val="none"/>
                <w:lang w:val="en-US" w:eastAsia="zh-CN" w:bidi="ar-SA"/>
              </w:rPr>
              <w:t>19</w:t>
            </w:r>
            <w:r>
              <w:rPr>
                <w:rFonts w:hint="eastAsia" w:ascii="宋体" w:hAnsi="宋体" w:eastAsia="宋体" w:cs="宋体"/>
                <w:bCs/>
                <w:color w:val="auto"/>
                <w:kern w:val="0"/>
                <w:sz w:val="21"/>
                <w:szCs w:val="21"/>
                <w:highlight w:val="none"/>
                <w:lang w:val="en-US" w:eastAsia="zh-CN" w:bidi="ar-SA"/>
              </w:rPr>
              <w:t>分）：供应商针对本项目的服务质量及售后保障方案，方案描述清晰，全面详细，可实施性强，对项目组织的合理性、实施步骤、实施计划完全符合医院管理导向。</w:t>
            </w:r>
          </w:p>
          <w:p w14:paraId="2DE06B52">
            <w:pPr>
              <w:pStyle w:val="13"/>
              <w:keepNext w:val="0"/>
              <w:keepLines w:val="0"/>
              <w:pageBreakBefore w:val="0"/>
              <w:widowControl w:val="0"/>
              <w:numPr>
                <w:ilvl w:val="0"/>
                <w:numId w:val="0"/>
              </w:numPr>
              <w:kinsoku/>
              <w:wordWrap/>
              <w:overflowPunct/>
              <w:topLinePunct w:val="0"/>
              <w:autoSpaceDE/>
              <w:autoSpaceDN/>
              <w:bidi w:val="0"/>
              <w:snapToGrid w:val="0"/>
              <w:spacing w:line="360" w:lineRule="exact"/>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w:t>
            </w:r>
            <w:r>
              <w:rPr>
                <w:rFonts w:hint="eastAsia" w:hAnsi="宋体" w:eastAsia="宋体" w:cs="宋体"/>
                <w:bCs/>
                <w:color w:val="auto"/>
                <w:kern w:val="0"/>
                <w:sz w:val="21"/>
                <w:szCs w:val="21"/>
                <w:highlight w:val="none"/>
                <w:lang w:val="en-US" w:eastAsia="zh-CN" w:bidi="ar-SA"/>
              </w:rPr>
              <w:t>根据</w:t>
            </w:r>
            <w:r>
              <w:rPr>
                <w:rFonts w:hint="eastAsia" w:ascii="宋体" w:hAnsi="宋体" w:eastAsia="宋体" w:cs="宋体"/>
                <w:bCs/>
                <w:color w:val="auto"/>
                <w:kern w:val="0"/>
                <w:sz w:val="21"/>
                <w:szCs w:val="21"/>
                <w:highlight w:val="none"/>
                <w:lang w:val="en-US" w:eastAsia="zh-CN" w:bidi="ar-SA"/>
              </w:rPr>
              <w:t>供应商</w:t>
            </w:r>
            <w:r>
              <w:rPr>
                <w:rFonts w:hint="eastAsia" w:hAnsi="宋体" w:eastAsia="宋体" w:cs="宋体"/>
                <w:bCs/>
                <w:color w:val="auto"/>
                <w:kern w:val="0"/>
                <w:sz w:val="21"/>
                <w:szCs w:val="21"/>
                <w:highlight w:val="none"/>
                <w:lang w:val="en-US" w:eastAsia="zh-CN" w:bidi="ar-SA"/>
              </w:rPr>
              <w:t>对各种医院管理标准的熟悉程度，对医疗行业评审认证标准评审标准、医院评审标准、ISO900</w:t>
            </w:r>
            <w:r>
              <w:rPr>
                <w:rFonts w:hint="eastAsia" w:hAnsi="宋体" w:cs="宋体"/>
                <w:bCs/>
                <w:color w:val="auto"/>
                <w:kern w:val="0"/>
                <w:sz w:val="21"/>
                <w:szCs w:val="21"/>
                <w:highlight w:val="none"/>
                <w:lang w:val="en-US" w:eastAsia="zh-CN" w:bidi="ar-SA"/>
              </w:rPr>
              <w:t>1</w:t>
            </w:r>
            <w:r>
              <w:rPr>
                <w:rFonts w:hint="eastAsia" w:hAnsi="宋体" w:eastAsia="宋体" w:cs="宋体"/>
                <w:bCs/>
                <w:color w:val="auto"/>
                <w:kern w:val="0"/>
                <w:sz w:val="21"/>
                <w:szCs w:val="21"/>
                <w:highlight w:val="none"/>
                <w:lang w:val="en-US" w:eastAsia="zh-CN" w:bidi="ar-SA"/>
              </w:rPr>
              <w:t>质量管理体系之间的关系和异同进行说明</w:t>
            </w:r>
            <w:r>
              <w:rPr>
                <w:rFonts w:hint="eastAsia" w:ascii="宋体" w:hAnsi="宋体" w:eastAsia="宋体" w:cs="宋体"/>
                <w:bCs/>
                <w:color w:val="auto"/>
                <w:kern w:val="0"/>
                <w:sz w:val="21"/>
                <w:szCs w:val="21"/>
                <w:highlight w:val="none"/>
                <w:lang w:val="en-US" w:eastAsia="zh-CN" w:bidi="ar-SA"/>
              </w:rPr>
              <w:t>。</w:t>
            </w:r>
          </w:p>
          <w:p w14:paraId="548FA07E">
            <w:pPr>
              <w:pStyle w:val="13"/>
              <w:keepNext w:val="0"/>
              <w:keepLines w:val="0"/>
              <w:pageBreakBefore w:val="0"/>
              <w:widowControl w:val="0"/>
              <w:numPr>
                <w:ilvl w:val="0"/>
                <w:numId w:val="0"/>
              </w:numPr>
              <w:kinsoku/>
              <w:wordWrap/>
              <w:overflowPunct/>
              <w:topLinePunct w:val="0"/>
              <w:autoSpaceDE/>
              <w:autoSpaceDN/>
              <w:bidi w:val="0"/>
              <w:snapToGrid w:val="0"/>
              <w:spacing w:line="360" w:lineRule="exact"/>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hAnsi="宋体" w:eastAsia="宋体" w:cs="宋体"/>
                <w:bCs/>
                <w:color w:val="auto"/>
                <w:kern w:val="0"/>
                <w:sz w:val="21"/>
                <w:szCs w:val="21"/>
                <w:highlight w:val="none"/>
                <w:lang w:val="en-US" w:eastAsia="zh-CN" w:bidi="ar-SA"/>
              </w:rPr>
              <w:t>一档</w:t>
            </w:r>
            <w:r>
              <w:rPr>
                <w:rFonts w:hint="eastAsia" w:ascii="宋体" w:hAnsi="宋体" w:eastAsia="宋体" w:cs="宋体"/>
                <w:bCs/>
                <w:color w:val="auto"/>
                <w:kern w:val="0"/>
                <w:sz w:val="21"/>
                <w:szCs w:val="21"/>
                <w:highlight w:val="none"/>
                <w:lang w:val="en-US" w:eastAsia="zh-CN" w:bidi="ar-SA"/>
              </w:rPr>
              <w:t>（</w:t>
            </w:r>
            <w:r>
              <w:rPr>
                <w:rFonts w:hint="eastAsia" w:hAnsi="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分）：供应商针对上述相关医院管理标准的了解基本清晰，提供了简单的解读情况说明。</w:t>
            </w:r>
          </w:p>
          <w:p w14:paraId="12FCF27C">
            <w:pPr>
              <w:pStyle w:val="13"/>
              <w:keepNext w:val="0"/>
              <w:keepLines w:val="0"/>
              <w:pageBreakBefore w:val="0"/>
              <w:widowControl w:val="0"/>
              <w:kinsoku/>
              <w:wordWrap/>
              <w:overflowPunct/>
              <w:topLinePunct w:val="0"/>
              <w:autoSpaceDE/>
              <w:autoSpaceDN/>
              <w:bidi w:val="0"/>
              <w:snapToGrid w:val="0"/>
              <w:spacing w:line="360" w:lineRule="exact"/>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hAnsi="宋体" w:eastAsia="宋体" w:cs="宋体"/>
                <w:bCs/>
                <w:color w:val="auto"/>
                <w:kern w:val="0"/>
                <w:sz w:val="21"/>
                <w:szCs w:val="21"/>
                <w:highlight w:val="none"/>
                <w:lang w:val="en-US" w:eastAsia="zh-CN" w:bidi="ar-SA"/>
              </w:rPr>
              <w:t>二档</w:t>
            </w:r>
            <w:r>
              <w:rPr>
                <w:rFonts w:hint="eastAsia" w:ascii="宋体" w:hAnsi="宋体" w:eastAsia="宋体" w:cs="宋体"/>
                <w:bCs/>
                <w:color w:val="auto"/>
                <w:kern w:val="0"/>
                <w:sz w:val="21"/>
                <w:szCs w:val="21"/>
                <w:highlight w:val="none"/>
                <w:lang w:val="en-US" w:eastAsia="zh-CN" w:bidi="ar-SA"/>
              </w:rPr>
              <w:t>（</w:t>
            </w:r>
            <w:r>
              <w:rPr>
                <w:rFonts w:hint="eastAsia"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分）：供应商针对上述相关医院管理标准的了解比较清晰，提供了比较详细的解读情况说明。</w:t>
            </w:r>
          </w:p>
          <w:p w14:paraId="336B5C1C">
            <w:pPr>
              <w:pStyle w:val="13"/>
              <w:keepNext w:val="0"/>
              <w:keepLines w:val="0"/>
              <w:pageBreakBefore w:val="0"/>
              <w:widowControl w:val="0"/>
              <w:kinsoku/>
              <w:wordWrap/>
              <w:overflowPunct/>
              <w:topLinePunct w:val="0"/>
              <w:autoSpaceDE/>
              <w:autoSpaceDN/>
              <w:bidi w:val="0"/>
              <w:snapToGrid w:val="0"/>
              <w:spacing w:line="360" w:lineRule="exact"/>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hAnsi="宋体" w:eastAsia="宋体" w:cs="宋体"/>
                <w:bCs/>
                <w:color w:val="auto"/>
                <w:kern w:val="0"/>
                <w:sz w:val="21"/>
                <w:szCs w:val="21"/>
                <w:highlight w:val="none"/>
                <w:lang w:val="en-US" w:eastAsia="zh-CN" w:bidi="ar-SA"/>
              </w:rPr>
              <w:t>三档</w:t>
            </w:r>
            <w:r>
              <w:rPr>
                <w:rFonts w:hint="eastAsia" w:ascii="宋体" w:hAnsi="宋体" w:eastAsia="宋体" w:cs="宋体"/>
                <w:bCs/>
                <w:color w:val="auto"/>
                <w:kern w:val="0"/>
                <w:sz w:val="21"/>
                <w:szCs w:val="21"/>
                <w:highlight w:val="none"/>
                <w:lang w:val="en-US" w:eastAsia="zh-CN" w:bidi="ar-SA"/>
              </w:rPr>
              <w:t>（</w:t>
            </w:r>
            <w:r>
              <w:rPr>
                <w:rFonts w:hint="eastAsia" w:hAnsi="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分）：供应商针对上述相关医院管理标准的了解清晰透彻，提供了全面详细、有针对性的解读情况说明。</w:t>
            </w:r>
          </w:p>
          <w:p w14:paraId="6DA3A83D">
            <w:pPr>
              <w:pStyle w:val="13"/>
              <w:keepNext w:val="0"/>
              <w:keepLines w:val="0"/>
              <w:pageBreakBefore w:val="0"/>
              <w:widowControl w:val="0"/>
              <w:numPr>
                <w:ilvl w:val="0"/>
                <w:numId w:val="0"/>
              </w:numPr>
              <w:kinsoku/>
              <w:wordWrap/>
              <w:overflowPunct/>
              <w:topLinePunct w:val="0"/>
              <w:autoSpaceDE/>
              <w:autoSpaceDN/>
              <w:bidi w:val="0"/>
              <w:snapToGrid w:val="0"/>
              <w:spacing w:line="360" w:lineRule="exact"/>
              <w:ind w:firstLine="0" w:firstLineChars="0"/>
              <w:jc w:val="left"/>
              <w:rPr>
                <w:color w:val="auto"/>
                <w:highlight w:val="none"/>
              </w:rPr>
            </w:pPr>
            <w:r>
              <w:rPr>
                <w:rFonts w:ascii="宋体" w:hAnsi="Courier New"/>
                <w:color w:val="auto"/>
                <w:kern w:val="0"/>
                <w:sz w:val="20"/>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投标人的医院管理专家团队具有丰富的辅导医院精细化管理设计和制作管理文件的经验，提供一份参考的文件总览表设计样式，根据提供的参考文件总览表设计样式的优劣进行评分。</w:t>
            </w:r>
          </w:p>
          <w:p w14:paraId="3C197541">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）：提供简单的</w:t>
            </w:r>
            <w:r>
              <w:rPr>
                <w:rFonts w:hint="eastAsia" w:ascii="宋体" w:hAnsi="宋体" w:eastAsia="宋体" w:cs="宋体"/>
                <w:bCs/>
                <w:color w:val="auto"/>
                <w:kern w:val="0"/>
                <w:sz w:val="21"/>
                <w:szCs w:val="21"/>
                <w:highlight w:val="none"/>
                <w:lang w:val="en-US" w:eastAsia="zh-CN" w:bidi="ar-SA"/>
              </w:rPr>
              <w:t>总览表设计样式</w:t>
            </w:r>
            <w:r>
              <w:rPr>
                <w:rFonts w:hint="eastAsia" w:ascii="宋体" w:hAnsi="宋体" w:eastAsia="宋体" w:cs="宋体"/>
                <w:color w:val="auto"/>
                <w:sz w:val="21"/>
                <w:szCs w:val="21"/>
                <w:highlight w:val="none"/>
                <w:lang w:eastAsia="zh-CN"/>
              </w:rPr>
              <w:t>；</w:t>
            </w:r>
          </w:p>
          <w:p w14:paraId="514E7FAE">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）：提供较详细的</w:t>
            </w:r>
            <w:r>
              <w:rPr>
                <w:rFonts w:hint="eastAsia" w:ascii="宋体" w:hAnsi="宋体" w:eastAsia="宋体" w:cs="宋体"/>
                <w:bCs/>
                <w:color w:val="auto"/>
                <w:kern w:val="0"/>
                <w:sz w:val="21"/>
                <w:szCs w:val="21"/>
                <w:highlight w:val="none"/>
                <w:lang w:val="en-US" w:eastAsia="zh-CN" w:bidi="ar-SA"/>
              </w:rPr>
              <w:t>总览表设计样式</w:t>
            </w:r>
            <w:r>
              <w:rPr>
                <w:rFonts w:hint="eastAsia" w:ascii="宋体" w:hAnsi="宋体" w:eastAsia="宋体" w:cs="宋体"/>
                <w:color w:val="auto"/>
                <w:sz w:val="21"/>
                <w:szCs w:val="21"/>
                <w:highlight w:val="none"/>
                <w:lang w:eastAsia="zh-CN"/>
              </w:rPr>
              <w:t>，设计文件符合医院的需求。</w:t>
            </w:r>
          </w:p>
          <w:p w14:paraId="1EBCF350">
            <w:pPr>
              <w:pStyle w:val="13"/>
              <w:keepNext w:val="0"/>
              <w:keepLines w:val="0"/>
              <w:pageBreakBefore w:val="0"/>
              <w:widowControl w:val="0"/>
              <w:numPr>
                <w:ilvl w:val="0"/>
                <w:numId w:val="0"/>
              </w:numPr>
              <w:kinsoku/>
              <w:wordWrap/>
              <w:overflowPunct/>
              <w:topLinePunct w:val="0"/>
              <w:autoSpaceDE/>
              <w:autoSpaceDN/>
              <w:bidi w:val="0"/>
              <w:snapToGrid w:val="0"/>
              <w:spacing w:line="36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三档（</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）：提供详细、全面的总览表设计样式，设计文件内容与本项目采购需求内容相符，合理、可行性强。</w:t>
            </w:r>
          </w:p>
        </w:tc>
      </w:tr>
      <w:tr w14:paraId="688F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noWrap w:val="0"/>
            <w:vAlign w:val="center"/>
          </w:tcPr>
          <w:p w14:paraId="3840EFAC">
            <w:pPr>
              <w:adjustRightInd w:val="0"/>
              <w:spacing w:line="360" w:lineRule="auto"/>
              <w:jc w:val="center"/>
              <w:textAlignment w:val="baseline"/>
              <w:rPr>
                <w:rFonts w:hint="eastAsia" w:ascii="宋体" w:hAnsi="宋体" w:cs="宋体"/>
                <w:b/>
                <w:color w:val="auto"/>
                <w:sz w:val="21"/>
                <w:szCs w:val="21"/>
                <w:highlight w:val="none"/>
                <w:lang w:val="en-US" w:eastAsia="zh-CN"/>
              </w:rPr>
            </w:pPr>
          </w:p>
        </w:tc>
        <w:tc>
          <w:tcPr>
            <w:tcW w:w="1003" w:type="dxa"/>
            <w:vMerge w:val="continue"/>
            <w:noWrap w:val="0"/>
            <w:vAlign w:val="center"/>
          </w:tcPr>
          <w:p w14:paraId="70A96537">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p>
        </w:tc>
        <w:tc>
          <w:tcPr>
            <w:tcW w:w="785" w:type="dxa"/>
            <w:vMerge w:val="continue"/>
            <w:noWrap w:val="0"/>
            <w:vAlign w:val="center"/>
          </w:tcPr>
          <w:p w14:paraId="2BFFFA54">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p>
        </w:tc>
        <w:tc>
          <w:tcPr>
            <w:tcW w:w="1918" w:type="dxa"/>
            <w:noWrap w:val="0"/>
            <w:vAlign w:val="center"/>
          </w:tcPr>
          <w:p w14:paraId="234FE9B5">
            <w:pPr>
              <w:keepNext w:val="0"/>
              <w:keepLines w:val="0"/>
              <w:pageBreakBefore w:val="0"/>
              <w:kinsoku/>
              <w:wordWrap/>
              <w:overflowPunct/>
              <w:topLinePunct w:val="0"/>
              <w:autoSpaceDE/>
              <w:autoSpaceDN/>
              <w:bidi w:val="0"/>
              <w:snapToGrid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highlight w:val="none"/>
              </w:rPr>
              <w:t>存在的问题及建议</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2</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w:t>
            </w:r>
            <w:r>
              <w:rPr>
                <w:rFonts w:hint="eastAsia" w:ascii="宋体" w:hAnsi="宋体" w:eastAsia="宋体" w:cs="宋体"/>
                <w:bCs/>
                <w:color w:val="auto"/>
                <w:highlight w:val="none"/>
                <w:lang w:eastAsia="zh-CN"/>
              </w:rPr>
              <w:t>）</w:t>
            </w:r>
          </w:p>
        </w:tc>
        <w:tc>
          <w:tcPr>
            <w:tcW w:w="5350" w:type="dxa"/>
            <w:noWrap w:val="0"/>
            <w:vAlign w:val="center"/>
          </w:tcPr>
          <w:p w14:paraId="60CD101F">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根据供应商对</w:t>
            </w:r>
            <w:r>
              <w:rPr>
                <w:rFonts w:hint="eastAsia" w:ascii="宋体" w:hAnsi="宋体" w:cs="宋体"/>
                <w:color w:val="auto"/>
                <w:kern w:val="2"/>
                <w:sz w:val="21"/>
                <w:szCs w:val="20"/>
                <w:highlight w:val="none"/>
                <w:lang w:val="en-US" w:eastAsia="zh-CN" w:bidi="ar-SA"/>
              </w:rPr>
              <w:t>本项目采购</w:t>
            </w:r>
            <w:r>
              <w:rPr>
                <w:rFonts w:hint="eastAsia" w:ascii="宋体" w:hAnsi="宋体" w:eastAsia="宋体" w:cs="宋体"/>
                <w:color w:val="auto"/>
                <w:kern w:val="2"/>
                <w:sz w:val="21"/>
                <w:szCs w:val="20"/>
                <w:highlight w:val="none"/>
                <w:lang w:val="en-US" w:eastAsia="zh-CN" w:bidi="ar-SA"/>
              </w:rPr>
              <w:t>需求的理解，在技术方案中详述</w:t>
            </w:r>
            <w:r>
              <w:rPr>
                <w:rFonts w:hint="eastAsia" w:ascii="宋体" w:hAnsi="宋体" w:cs="宋体"/>
                <w:color w:val="auto"/>
                <w:kern w:val="2"/>
                <w:sz w:val="21"/>
                <w:szCs w:val="20"/>
                <w:highlight w:val="none"/>
                <w:lang w:val="en-US" w:eastAsia="zh-CN" w:bidi="ar-SA"/>
              </w:rPr>
              <w:t>相关管理</w:t>
            </w:r>
            <w:r>
              <w:rPr>
                <w:rFonts w:hint="eastAsia" w:ascii="宋体" w:hAnsi="宋体" w:eastAsia="宋体" w:cs="宋体"/>
                <w:color w:val="auto"/>
                <w:kern w:val="2"/>
                <w:sz w:val="21"/>
                <w:szCs w:val="20"/>
                <w:highlight w:val="none"/>
                <w:lang w:val="en-US" w:eastAsia="zh-CN" w:bidi="ar-SA"/>
              </w:rPr>
              <w:t>存在的问题和建议解决方案，根据描述的全面性、准确性和合理性进行评定打分。</w:t>
            </w:r>
          </w:p>
          <w:p w14:paraId="2FA813C2">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一档（</w:t>
            </w:r>
            <w:r>
              <w:rPr>
                <w:rFonts w:hint="eastAsia" w:ascii="宋体" w:hAnsi="宋体" w:cs="宋体"/>
                <w:color w:val="auto"/>
                <w:kern w:val="2"/>
                <w:sz w:val="21"/>
                <w:szCs w:val="20"/>
                <w:highlight w:val="none"/>
                <w:lang w:val="en-US" w:eastAsia="zh-CN" w:bidi="ar-SA"/>
              </w:rPr>
              <w:t>4</w:t>
            </w:r>
            <w:r>
              <w:rPr>
                <w:rFonts w:hint="eastAsia" w:ascii="宋体" w:hAnsi="宋体" w:eastAsia="宋体" w:cs="宋体"/>
                <w:color w:val="auto"/>
                <w:kern w:val="2"/>
                <w:sz w:val="21"/>
                <w:szCs w:val="20"/>
                <w:highlight w:val="none"/>
                <w:lang w:val="en-US" w:eastAsia="zh-CN" w:bidi="ar-SA"/>
              </w:rPr>
              <w:t>分）：方案过于简单而缺乏可行性论据，</w:t>
            </w:r>
            <w:r>
              <w:rPr>
                <w:rFonts w:hint="eastAsia" w:ascii="宋体" w:hAnsi="宋体" w:cs="宋体"/>
                <w:color w:val="auto"/>
                <w:kern w:val="2"/>
                <w:sz w:val="21"/>
                <w:szCs w:val="20"/>
                <w:highlight w:val="none"/>
                <w:lang w:val="en-US" w:eastAsia="zh-CN" w:bidi="ar-SA"/>
              </w:rPr>
              <w:t>基本</w:t>
            </w:r>
            <w:r>
              <w:rPr>
                <w:rFonts w:hint="eastAsia" w:ascii="宋体" w:hAnsi="宋体" w:eastAsia="宋体" w:cs="宋体"/>
                <w:color w:val="auto"/>
                <w:kern w:val="2"/>
                <w:sz w:val="21"/>
                <w:szCs w:val="20"/>
                <w:highlight w:val="none"/>
                <w:lang w:val="en-US" w:eastAsia="zh-CN" w:bidi="ar-SA"/>
              </w:rPr>
              <w:t>满足项目需求。</w:t>
            </w:r>
          </w:p>
          <w:p w14:paraId="348E7A1B">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二档（</w:t>
            </w:r>
            <w:r>
              <w:rPr>
                <w:rFonts w:hint="eastAsia" w:ascii="宋体" w:hAnsi="宋体" w:cs="宋体"/>
                <w:color w:val="auto"/>
                <w:kern w:val="2"/>
                <w:sz w:val="21"/>
                <w:szCs w:val="20"/>
                <w:highlight w:val="none"/>
                <w:lang w:val="en-US" w:eastAsia="zh-CN" w:bidi="ar-SA"/>
              </w:rPr>
              <w:t>11</w:t>
            </w:r>
            <w:r>
              <w:rPr>
                <w:rFonts w:hint="eastAsia" w:ascii="宋体" w:hAnsi="宋体" w:eastAsia="宋体" w:cs="宋体"/>
                <w:color w:val="auto"/>
                <w:kern w:val="2"/>
                <w:sz w:val="21"/>
                <w:szCs w:val="20"/>
                <w:highlight w:val="none"/>
                <w:lang w:val="en-US" w:eastAsia="zh-CN" w:bidi="ar-SA"/>
              </w:rPr>
              <w:t>分）：具有明确的建议解决方案，满足采购文件基本实施要求，项目管理组织机构满足基本管理效率效果要求。</w:t>
            </w:r>
          </w:p>
          <w:p w14:paraId="08FE39EC">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三档（</w:t>
            </w:r>
            <w:r>
              <w:rPr>
                <w:rFonts w:hint="eastAsia" w:ascii="宋体" w:hAnsi="宋体" w:cs="宋体"/>
                <w:color w:val="auto"/>
                <w:kern w:val="2"/>
                <w:sz w:val="21"/>
                <w:szCs w:val="20"/>
                <w:highlight w:val="none"/>
                <w:lang w:val="en-US" w:eastAsia="zh-CN" w:bidi="ar-SA"/>
              </w:rPr>
              <w:t>18</w:t>
            </w:r>
            <w:r>
              <w:rPr>
                <w:rFonts w:hint="eastAsia" w:ascii="宋体" w:hAnsi="宋体" w:eastAsia="宋体" w:cs="宋体"/>
                <w:color w:val="auto"/>
                <w:kern w:val="2"/>
                <w:sz w:val="21"/>
                <w:szCs w:val="20"/>
                <w:highlight w:val="none"/>
                <w:lang w:val="en-US" w:eastAsia="zh-CN" w:bidi="ar-SA"/>
              </w:rPr>
              <w:t>分）：在满足二档基础上，建议解决方案完整清晰，能够较好地满足采购单位的使用要求，项目实施计划完整可行，项目管理组织机构及人员职能清晰，驻场人员配置合理。</w:t>
            </w:r>
          </w:p>
          <w:p w14:paraId="405BA235">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0"/>
                <w:highlight w:val="none"/>
                <w:lang w:val="en-US" w:eastAsia="zh-CN" w:bidi="ar-SA"/>
              </w:rPr>
              <w:t>四档（2</w:t>
            </w:r>
            <w:r>
              <w:rPr>
                <w:rFonts w:hint="eastAsia" w:ascii="宋体" w:hAnsi="宋体" w:cs="宋体"/>
                <w:color w:val="auto"/>
                <w:kern w:val="2"/>
                <w:sz w:val="21"/>
                <w:szCs w:val="20"/>
                <w:highlight w:val="none"/>
                <w:lang w:val="en-US" w:eastAsia="zh-CN" w:bidi="ar-SA"/>
              </w:rPr>
              <w:t>5</w:t>
            </w:r>
            <w:r>
              <w:rPr>
                <w:rFonts w:hint="eastAsia" w:ascii="宋体" w:hAnsi="宋体" w:eastAsia="宋体" w:cs="宋体"/>
                <w:color w:val="auto"/>
                <w:kern w:val="2"/>
                <w:sz w:val="21"/>
                <w:szCs w:val="20"/>
                <w:highlight w:val="none"/>
                <w:lang w:val="en-US" w:eastAsia="zh-CN" w:bidi="ar-SA"/>
              </w:rPr>
              <w:t>分）：在三档基础上，建议解决方案完整、清晰、表述简练而明确，完全满足采购单位的实际使用要求且具备利于项目目标实现的针对性、可实施性充分，项目实施计划完整明晰，有完善、详细的各项管控措施，项目管理组织机构及人员职能清晰可控，驻场人员的配置能够保证保质、保量地完成采购单位需求，应对突发状况的服务响应能力有充分保障，且落地实施的保障性能在投标文件体现充分；整体方案的落地具备充分保障性。</w:t>
            </w:r>
          </w:p>
        </w:tc>
      </w:tr>
      <w:tr w14:paraId="0D55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noWrap w:val="0"/>
            <w:vAlign w:val="center"/>
          </w:tcPr>
          <w:p w14:paraId="324F3A77">
            <w:pPr>
              <w:adjustRightInd w:val="0"/>
              <w:spacing w:line="360" w:lineRule="auto"/>
              <w:jc w:val="center"/>
              <w:textAlignment w:val="baseline"/>
              <w:rPr>
                <w:rFonts w:hint="eastAsia" w:ascii="宋体" w:hAnsi="宋体" w:cs="宋体"/>
                <w:b/>
                <w:color w:val="auto"/>
                <w:sz w:val="21"/>
                <w:szCs w:val="21"/>
                <w:highlight w:val="none"/>
                <w:lang w:val="en-US" w:eastAsia="zh-CN"/>
              </w:rPr>
            </w:pPr>
          </w:p>
        </w:tc>
        <w:tc>
          <w:tcPr>
            <w:tcW w:w="1003" w:type="dxa"/>
            <w:vMerge w:val="continue"/>
            <w:noWrap w:val="0"/>
            <w:vAlign w:val="center"/>
          </w:tcPr>
          <w:p w14:paraId="0474C418">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p>
        </w:tc>
        <w:tc>
          <w:tcPr>
            <w:tcW w:w="785" w:type="dxa"/>
            <w:vMerge w:val="continue"/>
            <w:noWrap w:val="0"/>
            <w:vAlign w:val="center"/>
          </w:tcPr>
          <w:p w14:paraId="1DDAC4D0">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p>
        </w:tc>
        <w:tc>
          <w:tcPr>
            <w:tcW w:w="1918" w:type="dxa"/>
            <w:noWrap w:val="0"/>
            <w:vAlign w:val="center"/>
          </w:tcPr>
          <w:p w14:paraId="68ACAB72">
            <w:pPr>
              <w:keepNext w:val="0"/>
              <w:keepLines w:val="0"/>
              <w:pageBreakBefore w:val="0"/>
              <w:kinsoku/>
              <w:wordWrap/>
              <w:overflowPunct/>
              <w:topLinePunct w:val="0"/>
              <w:autoSpaceDE/>
              <w:autoSpaceDN/>
              <w:bidi w:val="0"/>
              <w:snapToGrid w:val="0"/>
              <w:spacing w:line="240" w:lineRule="auto"/>
              <w:jc w:val="center"/>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highlight w:val="none"/>
              </w:rPr>
              <w:t>服务保证措施（</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分）</w:t>
            </w:r>
          </w:p>
        </w:tc>
        <w:tc>
          <w:tcPr>
            <w:tcW w:w="5350" w:type="dxa"/>
            <w:noWrap w:val="0"/>
            <w:vAlign w:val="center"/>
          </w:tcPr>
          <w:p w14:paraId="50595900">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kern w:val="2"/>
                <w:sz w:val="21"/>
                <w:szCs w:val="20"/>
                <w:highlight w:val="none"/>
                <w:lang w:val="en-US" w:eastAsia="zh-CN" w:bidi="ar-SA"/>
              </w:rPr>
              <w:t>供应商</w:t>
            </w:r>
            <w:r>
              <w:rPr>
                <w:rFonts w:hint="eastAsia" w:ascii="宋体" w:hAnsi="宋体" w:eastAsia="宋体" w:cs="宋体"/>
                <w:color w:val="auto"/>
                <w:sz w:val="21"/>
                <w:szCs w:val="21"/>
                <w:highlight w:val="none"/>
              </w:rPr>
              <w:t>提供的质量保证措施、风险管理措施等进行综合</w:t>
            </w:r>
            <w:r>
              <w:rPr>
                <w:rFonts w:hint="eastAsia" w:ascii="宋体" w:hAnsi="宋体" w:eastAsia="宋体" w:cs="宋体"/>
                <w:color w:val="auto"/>
                <w:sz w:val="21"/>
                <w:szCs w:val="21"/>
                <w:highlight w:val="none"/>
                <w:lang w:eastAsia="zh-CN"/>
              </w:rPr>
              <w:t>评定，</w:t>
            </w:r>
            <w:r>
              <w:rPr>
                <w:rFonts w:hint="eastAsia" w:ascii="宋体" w:hAnsi="宋体" w:eastAsia="宋体" w:cs="宋体"/>
                <w:bCs/>
                <w:color w:val="auto"/>
                <w:kern w:val="0"/>
                <w:sz w:val="21"/>
                <w:szCs w:val="21"/>
                <w:highlight w:val="none"/>
                <w:lang w:val="en-US" w:eastAsia="zh-CN" w:bidi="ar-SA"/>
              </w:rPr>
              <w:t>未提供不得分。</w:t>
            </w:r>
          </w:p>
          <w:p w14:paraId="5A5502AD">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）：提供简单的</w:t>
            </w:r>
            <w:r>
              <w:rPr>
                <w:rFonts w:hint="eastAsia" w:ascii="宋体" w:hAnsi="宋体" w:eastAsia="宋体" w:cs="宋体"/>
                <w:color w:val="auto"/>
                <w:sz w:val="21"/>
                <w:szCs w:val="21"/>
                <w:highlight w:val="none"/>
              </w:rPr>
              <w:t>质量保证措施、风险管理措施</w:t>
            </w:r>
            <w:r>
              <w:rPr>
                <w:rFonts w:hint="eastAsia" w:ascii="宋体" w:hAnsi="宋体" w:eastAsia="宋体" w:cs="宋体"/>
                <w:color w:val="auto"/>
                <w:sz w:val="21"/>
                <w:szCs w:val="21"/>
                <w:highlight w:val="none"/>
                <w:lang w:eastAsia="zh-CN"/>
              </w:rPr>
              <w:t>；</w:t>
            </w:r>
          </w:p>
          <w:p w14:paraId="5355BCE8">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）：提供较详细的</w:t>
            </w:r>
            <w:r>
              <w:rPr>
                <w:rFonts w:hint="eastAsia" w:ascii="宋体" w:hAnsi="宋体" w:eastAsia="宋体" w:cs="宋体"/>
                <w:color w:val="auto"/>
                <w:sz w:val="21"/>
                <w:szCs w:val="21"/>
                <w:highlight w:val="none"/>
              </w:rPr>
              <w:t>质量保证措施、风险管理措施</w:t>
            </w:r>
            <w:r>
              <w:rPr>
                <w:rFonts w:hint="eastAsia" w:ascii="宋体" w:hAnsi="宋体" w:eastAsia="宋体" w:cs="宋体"/>
                <w:color w:val="auto"/>
                <w:sz w:val="21"/>
                <w:szCs w:val="21"/>
                <w:highlight w:val="none"/>
                <w:lang w:eastAsia="zh-CN"/>
              </w:rPr>
              <w:t>，针对本项目的需求内容作出相应的措施。</w:t>
            </w:r>
          </w:p>
          <w:p w14:paraId="151045D6">
            <w:pPr>
              <w:keepNext w:val="0"/>
              <w:keepLines w:val="0"/>
              <w:pageBreakBefore w:val="0"/>
              <w:widowControl w:val="0"/>
              <w:kinsoku/>
              <w:wordWrap/>
              <w:overflowPunct/>
              <w:topLinePunct w:val="0"/>
              <w:autoSpaceDE/>
              <w:autoSpaceDN/>
              <w:bidi w:val="0"/>
              <w:adjustRightInd w:val="0"/>
              <w:snapToGrid w:val="0"/>
              <w:spacing w:line="300" w:lineRule="auto"/>
              <w:jc w:val="left"/>
              <w:rPr>
                <w:rFonts w:hint="eastAsia" w:cs="Calibri"/>
                <w:color w:val="auto"/>
                <w:sz w:val="32"/>
                <w:szCs w:val="32"/>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highlight w:val="none"/>
              </w:rPr>
              <w:t>服务保证措施严格按照科学、规范的程序进行，做到处理</w:t>
            </w:r>
            <w:r>
              <w:rPr>
                <w:rFonts w:hint="eastAsia" w:ascii="宋体" w:hAnsi="宋体" w:eastAsia="宋体" w:cs="宋体"/>
                <w:bCs/>
                <w:color w:val="auto"/>
                <w:highlight w:val="none"/>
                <w:lang w:eastAsia="zh-CN"/>
              </w:rPr>
              <w:t>事务</w:t>
            </w:r>
            <w:r>
              <w:rPr>
                <w:rFonts w:hint="eastAsia" w:ascii="宋体" w:hAnsi="宋体" w:eastAsia="宋体" w:cs="宋体"/>
                <w:bCs/>
                <w:color w:val="auto"/>
                <w:highlight w:val="none"/>
              </w:rPr>
              <w:t>程序化、规范化、高效化、优质化、档案化</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rPr>
              <w:t>风险管理措施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风险预警、风险评价、风险防范和风险应对</w:t>
            </w:r>
            <w:r>
              <w:rPr>
                <w:rFonts w:hint="eastAsia" w:ascii="宋体" w:hAnsi="宋体" w:eastAsia="宋体" w:cs="宋体"/>
                <w:color w:val="auto"/>
                <w:sz w:val="21"/>
                <w:szCs w:val="21"/>
                <w:highlight w:val="none"/>
                <w:lang w:eastAsia="zh-CN"/>
              </w:rPr>
              <w:t>详细全面，针对性强</w:t>
            </w:r>
            <w:r>
              <w:rPr>
                <w:rFonts w:hint="eastAsia" w:ascii="宋体" w:hAnsi="宋体" w:eastAsia="宋体" w:cs="宋体"/>
                <w:bCs/>
                <w:color w:val="auto"/>
                <w:highlight w:val="none"/>
              </w:rPr>
              <w:t>。</w:t>
            </w:r>
          </w:p>
        </w:tc>
      </w:tr>
      <w:tr w14:paraId="43F5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noWrap w:val="0"/>
            <w:vAlign w:val="center"/>
          </w:tcPr>
          <w:p w14:paraId="62456E09">
            <w:pPr>
              <w:adjustRightInd w:val="0"/>
              <w:spacing w:line="360" w:lineRule="auto"/>
              <w:jc w:val="center"/>
              <w:textAlignment w:val="baseline"/>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3</w:t>
            </w:r>
          </w:p>
        </w:tc>
        <w:tc>
          <w:tcPr>
            <w:tcW w:w="1003" w:type="dxa"/>
            <w:vMerge w:val="restart"/>
            <w:noWrap w:val="0"/>
            <w:vAlign w:val="center"/>
          </w:tcPr>
          <w:p w14:paraId="78CA7589">
            <w:pPr>
              <w:adjustRightInd w:val="0"/>
              <w:spacing w:line="360" w:lineRule="auto"/>
              <w:jc w:val="center"/>
              <w:textAlignment w:val="baseline"/>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信誉业绩</w:t>
            </w:r>
            <w:r>
              <w:rPr>
                <w:rFonts w:hint="default" w:ascii="宋体" w:hAnsi="宋体" w:eastAsia="宋体" w:cs="宋体"/>
                <w:b/>
                <w:color w:val="auto"/>
                <w:sz w:val="21"/>
                <w:szCs w:val="21"/>
                <w:highlight w:val="none"/>
                <w:lang w:val="en-US" w:eastAsia="zh-CN"/>
              </w:rPr>
              <w:t>分</w:t>
            </w:r>
          </w:p>
        </w:tc>
        <w:tc>
          <w:tcPr>
            <w:tcW w:w="785" w:type="dxa"/>
            <w:vMerge w:val="restart"/>
            <w:noWrap w:val="0"/>
            <w:vAlign w:val="center"/>
          </w:tcPr>
          <w:p w14:paraId="4B26BA60">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分</w:t>
            </w:r>
          </w:p>
        </w:tc>
        <w:tc>
          <w:tcPr>
            <w:tcW w:w="1918" w:type="dxa"/>
            <w:noWrap w:val="0"/>
            <w:vAlign w:val="center"/>
          </w:tcPr>
          <w:p w14:paraId="350F0FB0">
            <w:pPr>
              <w:adjustRightInd w:val="0"/>
              <w:snapToGrid w:val="0"/>
              <w:spacing w:line="240" w:lineRule="auto"/>
              <w:jc w:val="center"/>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highlight w:val="none"/>
                <w:lang w:eastAsia="zh-CN"/>
              </w:rPr>
              <w:t>业绩分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50" w:type="dxa"/>
            <w:noWrap w:val="0"/>
            <w:vAlign w:val="center"/>
          </w:tcPr>
          <w:p w14:paraId="3F7FD6F6">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自202</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年1月1日至本项目公告发布之日，</w:t>
            </w:r>
            <w:r>
              <w:rPr>
                <w:rFonts w:hint="eastAsia" w:ascii="宋体" w:hAnsi="宋体" w:cs="宋体"/>
                <w:color w:val="auto"/>
                <w:kern w:val="2"/>
                <w:sz w:val="21"/>
                <w:szCs w:val="21"/>
                <w:highlight w:val="none"/>
                <w:lang w:val="en-US" w:eastAsia="zh-CN" w:bidi="ar-SA"/>
              </w:rPr>
              <w:t>竞</w:t>
            </w:r>
            <w:r>
              <w:rPr>
                <w:rFonts w:hint="eastAsia" w:ascii="宋体" w:hAnsi="宋体" w:eastAsia="宋体" w:cs="宋体"/>
                <w:color w:val="auto"/>
                <w:kern w:val="2"/>
                <w:sz w:val="21"/>
                <w:szCs w:val="21"/>
                <w:highlight w:val="none"/>
                <w:lang w:val="en-US" w:eastAsia="zh-CN" w:bidi="ar-SA"/>
              </w:rPr>
              <w:t>标人完成的同类业绩，每提供一个业绩得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分；须提供合同</w:t>
            </w:r>
            <w:r>
              <w:rPr>
                <w:rFonts w:hint="eastAsia" w:ascii="宋体" w:hAnsi="宋体" w:cs="宋体"/>
                <w:color w:val="auto"/>
                <w:kern w:val="2"/>
                <w:sz w:val="21"/>
                <w:szCs w:val="21"/>
                <w:highlight w:val="none"/>
                <w:lang w:val="en-US" w:eastAsia="zh-CN" w:bidi="ar-SA"/>
              </w:rPr>
              <w:t>扫描</w:t>
            </w:r>
            <w:r>
              <w:rPr>
                <w:rFonts w:hint="eastAsia" w:ascii="宋体" w:hAnsi="宋体" w:eastAsia="宋体" w:cs="宋体"/>
                <w:color w:val="auto"/>
                <w:kern w:val="2"/>
                <w:sz w:val="21"/>
                <w:szCs w:val="21"/>
                <w:highlight w:val="none"/>
                <w:lang w:val="en-US" w:eastAsia="zh-CN" w:bidi="ar-SA"/>
              </w:rPr>
              <w:t>件，否则不得分，同一项目不累计得分，同类项目时间以合同签署时间为准。</w:t>
            </w:r>
          </w:p>
        </w:tc>
      </w:tr>
      <w:tr w14:paraId="4502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noWrap w:val="0"/>
            <w:vAlign w:val="center"/>
          </w:tcPr>
          <w:p w14:paraId="1F08F195">
            <w:pPr>
              <w:adjustRightInd w:val="0"/>
              <w:spacing w:line="360" w:lineRule="auto"/>
              <w:jc w:val="center"/>
              <w:textAlignment w:val="baseline"/>
              <w:rPr>
                <w:rFonts w:hint="eastAsia" w:ascii="宋体" w:hAnsi="宋体" w:cs="宋体"/>
                <w:b/>
                <w:color w:val="auto"/>
                <w:kern w:val="2"/>
                <w:sz w:val="21"/>
                <w:szCs w:val="21"/>
                <w:highlight w:val="none"/>
                <w:lang w:val="en-US" w:eastAsia="zh-CN" w:bidi="ar-SA"/>
              </w:rPr>
            </w:pPr>
          </w:p>
        </w:tc>
        <w:tc>
          <w:tcPr>
            <w:tcW w:w="1003" w:type="dxa"/>
            <w:vMerge w:val="continue"/>
            <w:noWrap w:val="0"/>
            <w:vAlign w:val="center"/>
          </w:tcPr>
          <w:p w14:paraId="48882659">
            <w:pPr>
              <w:adjustRightInd w:val="0"/>
              <w:spacing w:line="360" w:lineRule="auto"/>
              <w:jc w:val="center"/>
              <w:textAlignment w:val="baseline"/>
              <w:rPr>
                <w:rFonts w:hint="eastAsia" w:ascii="宋体" w:hAnsi="宋体" w:cs="宋体"/>
                <w:b/>
                <w:color w:val="auto"/>
                <w:sz w:val="21"/>
                <w:szCs w:val="21"/>
                <w:highlight w:val="none"/>
                <w:lang w:val="en-US" w:eastAsia="zh-CN"/>
              </w:rPr>
            </w:pPr>
          </w:p>
        </w:tc>
        <w:tc>
          <w:tcPr>
            <w:tcW w:w="785" w:type="dxa"/>
            <w:vMerge w:val="continue"/>
            <w:noWrap w:val="0"/>
            <w:vAlign w:val="center"/>
          </w:tcPr>
          <w:p w14:paraId="46317AD0">
            <w:pPr>
              <w:adjustRightInd w:val="0"/>
              <w:spacing w:line="360" w:lineRule="auto"/>
              <w:jc w:val="center"/>
              <w:textAlignment w:val="baseline"/>
              <w:rPr>
                <w:rFonts w:hint="eastAsia" w:ascii="宋体" w:hAnsi="宋体" w:cs="宋体"/>
                <w:b/>
                <w:color w:val="auto"/>
                <w:sz w:val="21"/>
                <w:szCs w:val="21"/>
                <w:highlight w:val="none"/>
                <w:lang w:val="en-US" w:eastAsia="zh-CN"/>
              </w:rPr>
            </w:pPr>
          </w:p>
        </w:tc>
        <w:tc>
          <w:tcPr>
            <w:tcW w:w="1918" w:type="dxa"/>
            <w:noWrap w:val="0"/>
            <w:vAlign w:val="center"/>
          </w:tcPr>
          <w:p w14:paraId="1EEF991F">
            <w:pPr>
              <w:adjustRightInd w:val="0"/>
              <w:snapToGrid w:val="0"/>
              <w:spacing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企业实力（2分）</w:t>
            </w:r>
          </w:p>
        </w:tc>
        <w:tc>
          <w:tcPr>
            <w:tcW w:w="5350" w:type="dxa"/>
            <w:noWrap w:val="0"/>
            <w:vAlign w:val="center"/>
          </w:tcPr>
          <w:p w14:paraId="3BAC0733">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根据供应商能提供授权医疗相关计算机软件著作权登记证书和软件产品证书的情况进行评分，每提供一份证书得1分，满分2分。须提供证书</w:t>
            </w:r>
            <w:r>
              <w:rPr>
                <w:rFonts w:hint="eastAsia" w:ascii="宋体" w:hAnsi="宋体" w:cs="宋体"/>
                <w:color w:val="auto"/>
                <w:kern w:val="2"/>
                <w:sz w:val="21"/>
                <w:szCs w:val="21"/>
                <w:highlight w:val="none"/>
                <w:lang w:val="en-US" w:eastAsia="zh-CN" w:bidi="ar-SA"/>
              </w:rPr>
              <w:t>扫描</w:t>
            </w:r>
            <w:r>
              <w:rPr>
                <w:rFonts w:hint="eastAsia" w:ascii="宋体" w:hAnsi="宋体" w:eastAsia="宋体" w:cs="宋体"/>
                <w:color w:val="auto"/>
                <w:kern w:val="2"/>
                <w:sz w:val="21"/>
                <w:szCs w:val="21"/>
                <w:highlight w:val="none"/>
                <w:lang w:val="en-US" w:eastAsia="zh-CN" w:bidi="ar-SA"/>
              </w:rPr>
              <w:t>件，否则不得分。</w:t>
            </w:r>
          </w:p>
        </w:tc>
      </w:tr>
      <w:tr w14:paraId="0B52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5"/>
            <w:noWrap w:val="0"/>
            <w:vAlign w:val="center"/>
          </w:tcPr>
          <w:p w14:paraId="44F2774E">
            <w:pPr>
              <w:pStyle w:val="13"/>
              <w:spacing w:line="360" w:lineRule="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总得分=1+2+3。</w:t>
            </w:r>
          </w:p>
        </w:tc>
      </w:tr>
    </w:tbl>
    <w:p w14:paraId="695578D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4C60A13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7.由磋商小组根据综合评分情况，按照评审得分由高到低顺序推荐3名</w:t>
      </w:r>
      <w:r>
        <w:rPr>
          <w:rFonts w:hint="eastAsia" w:ascii="宋体" w:hAnsi="宋体" w:eastAsia="宋体" w:cs="Times New Roman"/>
          <w:bCs/>
          <w:color w:val="auto"/>
          <w:szCs w:val="21"/>
          <w:highlight w:val="none"/>
          <w:lang w:val="en-US" w:eastAsia="zh-CN"/>
        </w:rPr>
        <w:t>及</w:t>
      </w:r>
      <w:r>
        <w:rPr>
          <w:rFonts w:hint="eastAsia" w:ascii="宋体" w:hAnsi="宋体" w:eastAsia="宋体" w:cs="Times New Roman"/>
          <w:bCs/>
          <w:color w:val="auto"/>
          <w:szCs w:val="21"/>
          <w:highlight w:val="none"/>
        </w:rPr>
        <w:t>以上成交候选供应商，并编写评审报告。符合本章第3.</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4.3条情形的，可以推荐2家成交候选供应商。评审得分相同的，按照最后报价（不计算价格折扣）由低到高的顺序推荐。评审得分且最后报价（不计算价格折扣）相同的，按照技术指标优劣顺序推荐（按综合评分中</w:t>
      </w:r>
      <w:r>
        <w:rPr>
          <w:rFonts w:hint="eastAsia" w:ascii="宋体" w:hAnsi="宋体" w:eastAsia="宋体" w:cs="Times New Roman"/>
          <w:bCs/>
          <w:color w:val="auto"/>
          <w:sz w:val="21"/>
          <w:szCs w:val="21"/>
          <w:highlight w:val="none"/>
        </w:rPr>
        <w:t>服务需求指标响应程度分</w:t>
      </w:r>
      <w:r>
        <w:rPr>
          <w:rFonts w:hint="eastAsia" w:ascii="宋体" w:hAnsi="宋体" w:eastAsia="宋体" w:cs="Times New Roman"/>
          <w:bCs/>
          <w:color w:val="auto"/>
          <w:sz w:val="21"/>
          <w:szCs w:val="21"/>
          <w:highlight w:val="none"/>
          <w:lang w:eastAsia="zh-CN"/>
        </w:rPr>
        <w:t>、技术方案设计分、实施（组织）方案分</w:t>
      </w:r>
      <w:r>
        <w:rPr>
          <w:rFonts w:hint="eastAsia" w:ascii="宋体" w:hAnsi="宋体" w:eastAsia="宋体" w:cs="Times New Roman"/>
          <w:bCs/>
          <w:color w:val="auto"/>
          <w:szCs w:val="21"/>
          <w:highlight w:val="none"/>
        </w:rPr>
        <w:t>得分高低依次确定）。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5EED37F5">
      <w:pPr>
        <w:rPr>
          <w:rFonts w:hint="eastAsia"/>
          <w:color w:val="auto"/>
          <w:highlight w:val="none"/>
        </w:rPr>
      </w:pPr>
      <w:bookmarkStart w:id="41" w:name="_Toc74323460"/>
      <w:r>
        <w:rPr>
          <w:rFonts w:hint="eastAsia"/>
          <w:color w:val="auto"/>
          <w:highlight w:val="none"/>
        </w:rPr>
        <w:br w:type="page"/>
      </w:r>
    </w:p>
    <w:p w14:paraId="3C55B990">
      <w:pPr>
        <w:rPr>
          <w:rFonts w:hint="eastAsia"/>
          <w:color w:val="auto"/>
          <w:highlight w:val="none"/>
        </w:rPr>
      </w:pPr>
    </w:p>
    <w:p w14:paraId="3AD982E2">
      <w:pPr>
        <w:pStyle w:val="2"/>
        <w:jc w:val="center"/>
        <w:rPr>
          <w:rFonts w:hint="eastAsia"/>
          <w:color w:val="auto"/>
          <w:highlight w:val="none"/>
        </w:rPr>
      </w:pPr>
    </w:p>
    <w:p w14:paraId="025052FF">
      <w:pPr>
        <w:pStyle w:val="2"/>
        <w:jc w:val="center"/>
        <w:rPr>
          <w:rFonts w:hint="eastAsia"/>
          <w:color w:val="auto"/>
          <w:highlight w:val="none"/>
        </w:rPr>
      </w:pPr>
    </w:p>
    <w:p w14:paraId="1DB52140">
      <w:pPr>
        <w:pStyle w:val="2"/>
        <w:jc w:val="center"/>
        <w:rPr>
          <w:rFonts w:hint="eastAsia"/>
          <w:color w:val="auto"/>
          <w:highlight w:val="none"/>
        </w:rPr>
      </w:pPr>
    </w:p>
    <w:p w14:paraId="0ABBBB09">
      <w:pPr>
        <w:pStyle w:val="2"/>
        <w:jc w:val="center"/>
        <w:rPr>
          <w:rFonts w:hint="eastAsia"/>
          <w:color w:val="auto"/>
          <w:highlight w:val="none"/>
        </w:rPr>
      </w:pPr>
      <w:r>
        <w:rPr>
          <w:rFonts w:hint="eastAsia"/>
          <w:color w:val="auto"/>
          <w:highlight w:val="none"/>
        </w:rPr>
        <w:t>第五章 响应文件格式</w:t>
      </w:r>
      <w:bookmarkEnd w:id="41"/>
    </w:p>
    <w:p w14:paraId="60ECD17D">
      <w:pPr>
        <w:spacing w:line="240" w:lineRule="atLeast"/>
        <w:rPr>
          <w:rFonts w:hint="eastAsia" w:ascii="宋体" w:hAnsi="宋体"/>
          <w:b/>
          <w:color w:val="auto"/>
          <w:sz w:val="32"/>
          <w:szCs w:val="32"/>
          <w:highlight w:val="none"/>
        </w:rPr>
      </w:pPr>
    </w:p>
    <w:p w14:paraId="4FB39D72">
      <w:pPr>
        <w:spacing w:line="240" w:lineRule="atLeast"/>
        <w:rPr>
          <w:rFonts w:hint="eastAsia" w:ascii="宋体" w:hAnsi="宋体"/>
          <w:b/>
          <w:color w:val="auto"/>
          <w:sz w:val="32"/>
          <w:szCs w:val="32"/>
          <w:highlight w:val="none"/>
        </w:rPr>
      </w:pPr>
    </w:p>
    <w:p w14:paraId="28AC8374">
      <w:pPr>
        <w:spacing w:line="240" w:lineRule="atLeast"/>
        <w:rPr>
          <w:rFonts w:hint="eastAsia" w:ascii="宋体" w:hAnsi="宋体"/>
          <w:b/>
          <w:color w:val="auto"/>
          <w:sz w:val="32"/>
          <w:szCs w:val="32"/>
          <w:highlight w:val="none"/>
        </w:rPr>
      </w:pPr>
    </w:p>
    <w:p w14:paraId="252756B9">
      <w:pPr>
        <w:spacing w:line="240" w:lineRule="atLeast"/>
        <w:rPr>
          <w:rFonts w:hint="eastAsia" w:ascii="宋体" w:hAnsi="宋体"/>
          <w:b/>
          <w:color w:val="auto"/>
          <w:sz w:val="32"/>
          <w:szCs w:val="32"/>
          <w:highlight w:val="none"/>
        </w:rPr>
      </w:pPr>
    </w:p>
    <w:p w14:paraId="6CF401C6">
      <w:pPr>
        <w:spacing w:line="240" w:lineRule="atLeast"/>
        <w:rPr>
          <w:rFonts w:hint="eastAsia" w:ascii="宋体" w:hAnsi="宋体"/>
          <w:b/>
          <w:color w:val="auto"/>
          <w:sz w:val="32"/>
          <w:szCs w:val="32"/>
          <w:highlight w:val="none"/>
        </w:rPr>
      </w:pPr>
    </w:p>
    <w:p w14:paraId="3CB609BD">
      <w:pPr>
        <w:spacing w:line="240" w:lineRule="atLeast"/>
        <w:rPr>
          <w:rFonts w:hint="eastAsia" w:ascii="宋体" w:hAnsi="宋体"/>
          <w:b/>
          <w:color w:val="auto"/>
          <w:sz w:val="32"/>
          <w:szCs w:val="32"/>
          <w:highlight w:val="none"/>
        </w:rPr>
      </w:pPr>
    </w:p>
    <w:p w14:paraId="6D9A81F5">
      <w:pPr>
        <w:spacing w:line="240" w:lineRule="atLeast"/>
        <w:rPr>
          <w:rFonts w:hint="eastAsia" w:ascii="宋体" w:hAnsi="宋体"/>
          <w:b/>
          <w:color w:val="auto"/>
          <w:sz w:val="32"/>
          <w:szCs w:val="32"/>
          <w:highlight w:val="none"/>
        </w:rPr>
      </w:pPr>
    </w:p>
    <w:p w14:paraId="6B6B413D">
      <w:pPr>
        <w:spacing w:line="240" w:lineRule="atLeast"/>
        <w:rPr>
          <w:rFonts w:hint="eastAsia" w:ascii="宋体" w:hAnsi="宋体"/>
          <w:b/>
          <w:color w:val="auto"/>
          <w:sz w:val="32"/>
          <w:szCs w:val="32"/>
          <w:highlight w:val="none"/>
        </w:rPr>
      </w:pPr>
    </w:p>
    <w:p w14:paraId="5BC39573">
      <w:pPr>
        <w:spacing w:line="240" w:lineRule="atLeast"/>
        <w:rPr>
          <w:rFonts w:hint="eastAsia" w:ascii="宋体" w:hAnsi="宋体"/>
          <w:b/>
          <w:color w:val="auto"/>
          <w:sz w:val="32"/>
          <w:szCs w:val="32"/>
          <w:highlight w:val="none"/>
        </w:rPr>
      </w:pPr>
    </w:p>
    <w:p w14:paraId="4278B564">
      <w:pPr>
        <w:spacing w:line="240" w:lineRule="atLeast"/>
        <w:rPr>
          <w:rFonts w:hint="eastAsia" w:ascii="仿宋_GB2312" w:hAnsi="仿宋_GB2312" w:eastAsia="仿宋_GB2312" w:cs="仿宋_GB2312"/>
          <w:bCs/>
          <w:color w:val="auto"/>
          <w:sz w:val="32"/>
          <w:szCs w:val="32"/>
          <w:highlight w:val="none"/>
        </w:rPr>
      </w:pPr>
    </w:p>
    <w:p w14:paraId="14341235">
      <w:pPr>
        <w:rPr>
          <w:rFonts w:hint="eastAsia"/>
          <w:b/>
          <w:color w:val="auto"/>
          <w:sz w:val="32"/>
          <w:szCs w:val="32"/>
          <w:highlight w:val="none"/>
        </w:rPr>
      </w:pPr>
      <w:bookmarkStart w:id="42" w:name="_Toc31723070"/>
      <w:bookmarkStart w:id="43" w:name="_Toc44229899"/>
      <w:bookmarkStart w:id="44" w:name="_Toc71365925"/>
      <w:bookmarkStart w:id="45" w:name="_Toc35611516"/>
      <w:bookmarkStart w:id="46" w:name="_Toc31728084"/>
      <w:bookmarkStart w:id="47" w:name="_Toc35611438"/>
    </w:p>
    <w:p w14:paraId="3CD7AB56">
      <w:pPr>
        <w:rPr>
          <w:rFonts w:hint="eastAsia"/>
          <w:b/>
          <w:color w:val="auto"/>
          <w:sz w:val="32"/>
          <w:szCs w:val="32"/>
          <w:highlight w:val="none"/>
        </w:rPr>
      </w:pPr>
    </w:p>
    <w:p w14:paraId="2880C86F">
      <w:pPr>
        <w:rPr>
          <w:rFonts w:hint="eastAsia"/>
          <w:b/>
          <w:color w:val="auto"/>
          <w:sz w:val="32"/>
          <w:szCs w:val="32"/>
          <w:highlight w:val="none"/>
        </w:rPr>
      </w:pPr>
      <w:r>
        <w:rPr>
          <w:rFonts w:hint="eastAsia"/>
          <w:b/>
          <w:color w:val="auto"/>
          <w:sz w:val="32"/>
          <w:szCs w:val="32"/>
          <w:highlight w:val="none"/>
        </w:rPr>
        <w:br w:type="page"/>
      </w:r>
    </w:p>
    <w:p w14:paraId="4EE72F2C">
      <w:pPr>
        <w:rPr>
          <w:rFonts w:hint="eastAsia"/>
          <w:b/>
          <w:color w:val="auto"/>
          <w:sz w:val="32"/>
          <w:szCs w:val="32"/>
          <w:highlight w:val="none"/>
        </w:rPr>
      </w:pPr>
      <w:r>
        <w:rPr>
          <w:rFonts w:hint="eastAsia"/>
          <w:b/>
          <w:color w:val="auto"/>
          <w:sz w:val="32"/>
          <w:szCs w:val="32"/>
          <w:highlight w:val="none"/>
        </w:rPr>
        <w:t>一、资格证明文件格式</w:t>
      </w:r>
      <w:bookmarkEnd w:id="42"/>
      <w:bookmarkEnd w:id="43"/>
      <w:bookmarkEnd w:id="44"/>
      <w:bookmarkEnd w:id="45"/>
      <w:bookmarkEnd w:id="46"/>
      <w:bookmarkEnd w:id="47"/>
    </w:p>
    <w:p w14:paraId="05784C4A">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0A85D76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36B40F8">
      <w:pPr>
        <w:snapToGrid w:val="0"/>
        <w:spacing w:before="156" w:beforeLines="50" w:after="50"/>
        <w:rPr>
          <w:rFonts w:hint="eastAsia" w:ascii="宋体" w:hAnsi="宋体"/>
          <w:color w:val="auto"/>
          <w:sz w:val="24"/>
          <w:szCs w:val="20"/>
          <w:highlight w:val="none"/>
        </w:rPr>
      </w:pPr>
    </w:p>
    <w:p w14:paraId="0F112918">
      <w:pPr>
        <w:snapToGrid w:val="0"/>
        <w:spacing w:before="156" w:beforeLines="50" w:after="50"/>
        <w:jc w:val="center"/>
        <w:rPr>
          <w:rFonts w:hint="eastAsia"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2C1E8624">
      <w:pPr>
        <w:snapToGrid w:val="0"/>
        <w:spacing w:before="156" w:beforeLines="50" w:after="50"/>
        <w:jc w:val="center"/>
        <w:rPr>
          <w:rFonts w:hint="eastAsia" w:ascii="仿宋" w:hAnsi="仿宋" w:eastAsia="仿宋" w:cs="仿宋"/>
          <w:bCs/>
          <w:color w:val="auto"/>
          <w:sz w:val="44"/>
          <w:szCs w:val="44"/>
          <w:highlight w:val="none"/>
        </w:rPr>
      </w:pPr>
    </w:p>
    <w:p w14:paraId="672F36C4">
      <w:pPr>
        <w:snapToGrid w:val="0"/>
        <w:spacing w:before="156" w:beforeLines="50" w:after="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  格  证  明  文  件</w:t>
      </w:r>
    </w:p>
    <w:p w14:paraId="1B10912D">
      <w:pPr>
        <w:snapToGrid w:val="0"/>
        <w:spacing w:before="156" w:beforeLines="50" w:after="50"/>
        <w:rPr>
          <w:rFonts w:hint="eastAsia" w:ascii="宋体" w:hAnsi="宋体"/>
          <w:bCs/>
          <w:color w:val="auto"/>
          <w:sz w:val="24"/>
          <w:szCs w:val="20"/>
          <w:highlight w:val="none"/>
        </w:rPr>
      </w:pPr>
    </w:p>
    <w:p w14:paraId="31540D66">
      <w:pPr>
        <w:snapToGrid w:val="0"/>
        <w:spacing w:before="156" w:beforeLines="50" w:after="50"/>
        <w:rPr>
          <w:rFonts w:hint="eastAsia" w:ascii="宋体" w:hAnsi="宋体"/>
          <w:bCs/>
          <w:color w:val="auto"/>
          <w:sz w:val="24"/>
          <w:szCs w:val="20"/>
          <w:highlight w:val="none"/>
        </w:rPr>
      </w:pPr>
    </w:p>
    <w:p w14:paraId="2246A2DC">
      <w:pPr>
        <w:snapToGrid w:val="0"/>
        <w:spacing w:before="156" w:beforeLines="50" w:after="50"/>
        <w:rPr>
          <w:rFonts w:hint="eastAsia" w:ascii="宋体" w:hAnsi="宋体"/>
          <w:bCs/>
          <w:color w:val="auto"/>
          <w:sz w:val="24"/>
          <w:szCs w:val="20"/>
          <w:highlight w:val="none"/>
        </w:rPr>
      </w:pPr>
    </w:p>
    <w:p w14:paraId="3A57EDB2">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7C983FB">
      <w:pPr>
        <w:snapToGrid w:val="0"/>
        <w:spacing w:before="156" w:beforeLines="50" w:after="50"/>
        <w:ind w:firstLine="720" w:firstLineChars="225"/>
        <w:rPr>
          <w:rFonts w:hint="eastAsia" w:ascii="宋体" w:hAnsi="宋体" w:cs="仿宋_GB2312"/>
          <w:bCs/>
          <w:color w:val="auto"/>
          <w:sz w:val="32"/>
          <w:szCs w:val="32"/>
          <w:highlight w:val="none"/>
        </w:rPr>
      </w:pPr>
    </w:p>
    <w:p w14:paraId="55EB1DF2">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024F7EC">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463AD3F">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730F8D13">
      <w:pPr>
        <w:snapToGrid w:val="0"/>
        <w:spacing w:before="156" w:beforeLines="50" w:after="50"/>
        <w:ind w:firstLine="720" w:firstLineChars="225"/>
        <w:rPr>
          <w:rFonts w:hint="eastAsia" w:ascii="宋体" w:hAnsi="宋体" w:cs="仿宋_GB2312"/>
          <w:bCs/>
          <w:color w:val="auto"/>
          <w:sz w:val="32"/>
          <w:szCs w:val="32"/>
          <w:highlight w:val="none"/>
        </w:rPr>
      </w:pPr>
    </w:p>
    <w:p w14:paraId="2AD3ECA3">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B1DBB30">
      <w:pPr>
        <w:pStyle w:val="6"/>
        <w:snapToGrid w:val="0"/>
        <w:spacing w:before="50" w:after="50"/>
        <w:ind w:firstLine="720" w:firstLineChars="225"/>
        <w:rPr>
          <w:rFonts w:hint="eastAsia" w:ascii="宋体" w:hAnsi="宋体" w:cs="仿宋_GB2312"/>
          <w:bCs/>
          <w:color w:val="auto"/>
          <w:sz w:val="32"/>
          <w:szCs w:val="32"/>
          <w:highlight w:val="none"/>
        </w:rPr>
      </w:pPr>
    </w:p>
    <w:p w14:paraId="1C9592FA">
      <w:pPr>
        <w:pStyle w:val="6"/>
        <w:snapToGrid w:val="0"/>
        <w:spacing w:before="50" w:after="50"/>
        <w:ind w:firstLine="720" w:firstLineChars="225"/>
        <w:rPr>
          <w:rFonts w:hint="eastAsia" w:ascii="宋体" w:hAnsi="宋体" w:cs="仿宋_GB2312"/>
          <w:bCs/>
          <w:color w:val="auto"/>
          <w:sz w:val="32"/>
          <w:szCs w:val="32"/>
          <w:highlight w:val="none"/>
        </w:rPr>
      </w:pPr>
    </w:p>
    <w:p w14:paraId="427EA3C8">
      <w:pPr>
        <w:pStyle w:val="6"/>
        <w:snapToGrid w:val="0"/>
        <w:spacing w:before="50" w:after="50"/>
        <w:ind w:firstLine="1280" w:firstLineChars="400"/>
        <w:rPr>
          <w:rFonts w:hint="eastAsia" w:ascii="宋体" w:hAnsi="宋体" w:cs="仿宋_GB2312"/>
          <w:bCs/>
          <w:color w:val="auto"/>
          <w:sz w:val="32"/>
          <w:szCs w:val="32"/>
          <w:highlight w:val="none"/>
        </w:rPr>
      </w:pPr>
    </w:p>
    <w:p w14:paraId="24E6AF4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E18BBB1">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EF66BEB">
      <w:pPr>
        <w:snapToGrid w:val="0"/>
        <w:spacing w:line="360" w:lineRule="auto"/>
        <w:rPr>
          <w:rFonts w:hint="eastAsia" w:asciiTheme="minorEastAsia" w:hAnsiTheme="minorEastAsia" w:eastAsiaTheme="minorEastAsia" w:cstheme="minorEastAsia"/>
          <w:color w:val="auto"/>
          <w:sz w:val="21"/>
          <w:szCs w:val="21"/>
          <w:highlight w:val="none"/>
          <w:lang w:val="en-US" w:eastAsia="zh-CN"/>
        </w:rPr>
      </w:pPr>
    </w:p>
    <w:p w14:paraId="4022190D">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color w:val="auto"/>
          <w:kern w:val="0"/>
          <w:sz w:val="24"/>
          <w:szCs w:val="24"/>
          <w:highlight w:val="none"/>
        </w:rPr>
        <w:t>……………………………………………………………………………………（页码）</w:t>
      </w:r>
    </w:p>
    <w:p w14:paraId="03949FD0">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2、供应商依法缴纳税收的相关材料</w:t>
      </w:r>
      <w:r>
        <w:rPr>
          <w:rFonts w:hint="eastAsia" w:ascii="宋体" w:hAnsi="宋体" w:eastAsia="宋体" w:cs="宋体"/>
          <w:color w:val="auto"/>
          <w:kern w:val="0"/>
          <w:sz w:val="24"/>
          <w:szCs w:val="24"/>
          <w:highlight w:val="none"/>
        </w:rPr>
        <w:t>………………………………………………（页码）</w:t>
      </w:r>
    </w:p>
    <w:p w14:paraId="329DEED9">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3、供应商依法缴纳社会保障资金的相关材料</w:t>
      </w:r>
      <w:r>
        <w:rPr>
          <w:rFonts w:hint="eastAsia" w:ascii="宋体" w:hAnsi="宋体" w:eastAsia="宋体" w:cs="宋体"/>
          <w:color w:val="auto"/>
          <w:kern w:val="0"/>
          <w:sz w:val="24"/>
          <w:szCs w:val="24"/>
          <w:highlight w:val="none"/>
        </w:rPr>
        <w:t>……………………………………（页码）</w:t>
      </w:r>
    </w:p>
    <w:p w14:paraId="63F98941">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4、供应商财务状况报告</w:t>
      </w:r>
      <w:r>
        <w:rPr>
          <w:rFonts w:hint="eastAsia" w:ascii="宋体" w:hAnsi="宋体" w:eastAsia="宋体" w:cs="宋体"/>
          <w:color w:val="auto"/>
          <w:kern w:val="0"/>
          <w:sz w:val="24"/>
          <w:szCs w:val="24"/>
          <w:highlight w:val="none"/>
        </w:rPr>
        <w:t>……………………………………………………………（页码）</w:t>
      </w:r>
    </w:p>
    <w:p w14:paraId="75FE303E">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5、供应商直接控股、管理关系信息表</w:t>
      </w:r>
      <w:r>
        <w:rPr>
          <w:rFonts w:hint="eastAsia" w:ascii="宋体" w:hAnsi="宋体" w:eastAsia="宋体" w:cs="宋体"/>
          <w:color w:val="auto"/>
          <w:kern w:val="0"/>
          <w:sz w:val="24"/>
          <w:szCs w:val="24"/>
          <w:highlight w:val="none"/>
        </w:rPr>
        <w:t>……………………………………………（页码）</w:t>
      </w:r>
    </w:p>
    <w:p w14:paraId="38C0BE7E">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6、竞标声明</w:t>
      </w:r>
      <w:r>
        <w:rPr>
          <w:rFonts w:hint="eastAsia" w:ascii="宋体" w:hAnsi="宋体" w:eastAsia="宋体" w:cs="宋体"/>
          <w:color w:val="auto"/>
          <w:kern w:val="0"/>
          <w:sz w:val="24"/>
          <w:szCs w:val="24"/>
          <w:highlight w:val="none"/>
        </w:rPr>
        <w:t>…………………………………………………………………………（页码）</w:t>
      </w:r>
    </w:p>
    <w:p w14:paraId="39C9C593">
      <w:pPr>
        <w:pStyle w:val="10"/>
        <w:rPr>
          <w:rFonts w:hint="eastAsia" w:eastAsia="宋体"/>
          <w:color w:val="auto"/>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highlight w:val="none"/>
        </w:rPr>
        <w:t>中小企业声明函</w:t>
      </w:r>
      <w:r>
        <w:rPr>
          <w:rFonts w:hint="eastAsia" w:ascii="宋体" w:hAnsi="宋体" w:eastAsia="宋体" w:cs="宋体"/>
          <w:color w:val="auto"/>
          <w:kern w:val="0"/>
          <w:sz w:val="24"/>
          <w:szCs w:val="24"/>
          <w:highlight w:val="none"/>
        </w:rPr>
        <w:t>…………………………………………………………（页码）</w:t>
      </w:r>
    </w:p>
    <w:p w14:paraId="3F64D1ED">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、除磋商文件规定必须提供以外，供应商认为需要提供的其他证明材料</w:t>
      </w:r>
      <w:r>
        <w:rPr>
          <w:rFonts w:hint="eastAsia" w:ascii="宋体" w:hAnsi="宋体" w:eastAsia="宋体" w:cs="宋体"/>
          <w:color w:val="auto"/>
          <w:kern w:val="0"/>
          <w:sz w:val="24"/>
          <w:szCs w:val="24"/>
          <w:highlight w:val="none"/>
        </w:rPr>
        <w:t>……………………………………………（页码）</w:t>
      </w:r>
    </w:p>
    <w:p w14:paraId="12336043">
      <w:pPr>
        <w:pStyle w:val="10"/>
        <w:rPr>
          <w:rFonts w:hint="eastAsia"/>
          <w:b/>
          <w:bCs/>
          <w:color w:val="auto"/>
          <w:highlight w:val="none"/>
        </w:rPr>
      </w:pPr>
    </w:p>
    <w:p w14:paraId="477ACF75">
      <w:pPr>
        <w:spacing w:line="360" w:lineRule="auto"/>
        <w:rPr>
          <w:rFonts w:hint="eastAsia" w:ascii="宋体" w:hAnsi="宋体" w:eastAsia="宋体" w:cs="宋体"/>
          <w:b/>
          <w:bCs/>
          <w:color w:val="auto"/>
          <w:sz w:val="24"/>
          <w:highlight w:val="none"/>
        </w:rPr>
      </w:pPr>
    </w:p>
    <w:p w14:paraId="46C8092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83139A6">
      <w:pPr>
        <w:snapToGrid w:val="0"/>
        <w:spacing w:before="156" w:beforeLines="50" w:after="50" w:line="360" w:lineRule="auto"/>
        <w:ind w:firstLine="645"/>
        <w:rPr>
          <w:rFonts w:ascii="宋体" w:hAnsi="宋体"/>
          <w:color w:val="auto"/>
          <w:sz w:val="32"/>
          <w:szCs w:val="32"/>
          <w:highlight w:val="none"/>
        </w:rPr>
      </w:pPr>
    </w:p>
    <w:p w14:paraId="4021E495">
      <w:pPr>
        <w:snapToGrid w:val="0"/>
        <w:spacing w:before="156" w:beforeLines="50" w:after="50"/>
        <w:rPr>
          <w:rFonts w:hint="eastAsia" w:ascii="宋体" w:hAnsi="宋体"/>
          <w:color w:val="auto"/>
          <w:szCs w:val="21"/>
          <w:highlight w:val="none"/>
        </w:rPr>
      </w:pPr>
      <w:r>
        <w:rPr>
          <w:rFonts w:ascii="宋体" w:hAnsi="宋体"/>
          <w:color w:val="auto"/>
          <w:sz w:val="24"/>
          <w:szCs w:val="20"/>
          <w:highlight w:val="none"/>
        </w:rPr>
        <w:t xml:space="preserve"> </w:t>
      </w:r>
    </w:p>
    <w:p w14:paraId="1C66A527">
      <w:pPr>
        <w:spacing w:line="300" w:lineRule="auto"/>
        <w:rPr>
          <w:rFonts w:hint="eastAsia" w:ascii="宋体" w:hAnsi="宋体"/>
          <w:color w:val="auto"/>
          <w:szCs w:val="21"/>
          <w:highlight w:val="none"/>
        </w:rPr>
      </w:pPr>
    </w:p>
    <w:p w14:paraId="113A6144">
      <w:pPr>
        <w:spacing w:line="300" w:lineRule="auto"/>
        <w:rPr>
          <w:rFonts w:hint="eastAsia" w:ascii="宋体" w:hAnsi="宋体"/>
          <w:color w:val="auto"/>
          <w:szCs w:val="21"/>
          <w:highlight w:val="none"/>
        </w:rPr>
      </w:pPr>
    </w:p>
    <w:p w14:paraId="3B702AEA">
      <w:pPr>
        <w:spacing w:line="300" w:lineRule="auto"/>
        <w:rPr>
          <w:rFonts w:hint="eastAsia" w:ascii="宋体" w:hAnsi="宋体"/>
          <w:color w:val="auto"/>
          <w:szCs w:val="21"/>
          <w:highlight w:val="none"/>
        </w:rPr>
      </w:pPr>
    </w:p>
    <w:p w14:paraId="2CF685C5">
      <w:pPr>
        <w:spacing w:line="300" w:lineRule="auto"/>
        <w:rPr>
          <w:rFonts w:hint="eastAsia" w:ascii="宋体" w:hAnsi="宋体"/>
          <w:color w:val="auto"/>
          <w:szCs w:val="21"/>
          <w:highlight w:val="none"/>
        </w:rPr>
      </w:pPr>
    </w:p>
    <w:p w14:paraId="1D493E18">
      <w:pPr>
        <w:spacing w:line="300" w:lineRule="auto"/>
        <w:rPr>
          <w:rFonts w:hint="eastAsia" w:ascii="宋体" w:hAnsi="宋体"/>
          <w:color w:val="auto"/>
          <w:szCs w:val="21"/>
          <w:highlight w:val="none"/>
        </w:rPr>
      </w:pPr>
    </w:p>
    <w:p w14:paraId="75EBB441">
      <w:pPr>
        <w:spacing w:line="300" w:lineRule="auto"/>
        <w:rPr>
          <w:rFonts w:hint="eastAsia" w:ascii="宋体" w:hAnsi="宋体"/>
          <w:color w:val="auto"/>
          <w:szCs w:val="21"/>
          <w:highlight w:val="none"/>
        </w:rPr>
      </w:pPr>
    </w:p>
    <w:p w14:paraId="726011CA">
      <w:pPr>
        <w:spacing w:line="300" w:lineRule="auto"/>
        <w:rPr>
          <w:rFonts w:hint="eastAsia" w:ascii="宋体" w:hAnsi="宋体"/>
          <w:color w:val="auto"/>
          <w:szCs w:val="21"/>
          <w:highlight w:val="none"/>
        </w:rPr>
      </w:pPr>
    </w:p>
    <w:p w14:paraId="20D8381D">
      <w:pPr>
        <w:spacing w:line="300" w:lineRule="auto"/>
        <w:rPr>
          <w:rFonts w:hint="eastAsia" w:ascii="宋体" w:hAnsi="宋体"/>
          <w:color w:val="auto"/>
          <w:szCs w:val="21"/>
          <w:highlight w:val="none"/>
        </w:rPr>
      </w:pPr>
    </w:p>
    <w:p w14:paraId="759ADAC1">
      <w:pPr>
        <w:spacing w:line="300" w:lineRule="auto"/>
        <w:rPr>
          <w:rFonts w:hint="eastAsia" w:ascii="宋体" w:hAnsi="宋体"/>
          <w:color w:val="auto"/>
          <w:szCs w:val="21"/>
          <w:highlight w:val="none"/>
        </w:rPr>
      </w:pPr>
    </w:p>
    <w:p w14:paraId="25BF54E9">
      <w:pPr>
        <w:spacing w:line="300" w:lineRule="auto"/>
        <w:rPr>
          <w:rFonts w:hint="eastAsia" w:ascii="宋体" w:hAnsi="宋体"/>
          <w:color w:val="auto"/>
          <w:szCs w:val="21"/>
          <w:highlight w:val="none"/>
        </w:rPr>
      </w:pPr>
    </w:p>
    <w:p w14:paraId="7BAC8CBA">
      <w:pPr>
        <w:spacing w:line="300" w:lineRule="auto"/>
        <w:rPr>
          <w:rFonts w:hint="eastAsia" w:ascii="宋体" w:hAnsi="宋体"/>
          <w:color w:val="auto"/>
          <w:szCs w:val="21"/>
          <w:highlight w:val="none"/>
        </w:rPr>
      </w:pPr>
    </w:p>
    <w:p w14:paraId="76D38E37">
      <w:pPr>
        <w:numPr>
          <w:ilvl w:val="0"/>
          <w:numId w:val="0"/>
        </w:numPr>
        <w:spacing w:line="320" w:lineRule="exact"/>
        <w:ind w:left="160" w:leftChars="0" w:firstLine="0" w:firstLineChars="0"/>
        <w:jc w:val="left"/>
        <w:rPr>
          <w:rFonts w:hint="eastAsia" w:ascii="宋体" w:hAnsi="宋体"/>
          <w:b/>
          <w:color w:val="auto"/>
          <w:sz w:val="32"/>
          <w:szCs w:val="32"/>
          <w:highlight w:val="none"/>
          <w:lang w:val="en-US" w:eastAsia="zh-CN"/>
        </w:rPr>
      </w:pPr>
      <w:r>
        <w:rPr>
          <w:rFonts w:hint="eastAsia" w:ascii="宋体" w:hAnsi="宋体" w:eastAsia="宋体" w:cs="Times New Roman"/>
          <w:b/>
          <w:color w:val="auto"/>
          <w:kern w:val="2"/>
          <w:sz w:val="32"/>
          <w:szCs w:val="32"/>
          <w:highlight w:val="none"/>
          <w:lang w:val="en-US" w:eastAsia="zh-CN" w:bidi="ar-SA"/>
        </w:rPr>
        <w:t>1、</w:t>
      </w:r>
      <w:r>
        <w:rPr>
          <w:rFonts w:hint="eastAsia" w:ascii="宋体" w:hAnsi="宋体"/>
          <w:b/>
          <w:color w:val="auto"/>
          <w:sz w:val="32"/>
          <w:szCs w:val="32"/>
          <w:highlight w:val="none"/>
          <w:lang w:val="en-US" w:eastAsia="zh-CN"/>
        </w:rPr>
        <w:t>供应商为法人或者其他组织的，证明文件为其营业执照复印件（如营业执照或者事业单位法人证书或者执业许可证等）；供应商为自然人的，证明文件为其身份证复印件。</w:t>
      </w:r>
    </w:p>
    <w:p w14:paraId="5FC5EE2D">
      <w:pPr>
        <w:numPr>
          <w:ilvl w:val="0"/>
          <w:numId w:val="0"/>
        </w:numPr>
        <w:spacing w:line="320" w:lineRule="exact"/>
        <w:ind w:left="160" w:leftChars="0"/>
        <w:jc w:val="left"/>
        <w:rPr>
          <w:rFonts w:hint="eastAsia" w:ascii="宋体" w:hAnsi="宋体"/>
          <w:b/>
          <w:color w:val="auto"/>
          <w:sz w:val="32"/>
          <w:szCs w:val="32"/>
          <w:highlight w:val="none"/>
        </w:rPr>
      </w:pPr>
    </w:p>
    <w:p w14:paraId="2A1C5D03">
      <w:pPr>
        <w:spacing w:line="360" w:lineRule="auto"/>
        <w:ind w:firstLine="602" w:firstLineChars="200"/>
        <w:rPr>
          <w:rFonts w:hint="eastAsia" w:ascii="宋体" w:hAnsi="宋体" w:eastAsia="宋体" w:cs="宋体"/>
          <w:b/>
          <w:color w:val="auto"/>
          <w:kern w:val="0"/>
          <w:sz w:val="30"/>
          <w:szCs w:val="30"/>
          <w:highlight w:val="none"/>
        </w:rPr>
      </w:pPr>
    </w:p>
    <w:p w14:paraId="678A25F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EEA3ED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436066F">
      <w:pPr>
        <w:numPr>
          <w:ilvl w:val="0"/>
          <w:numId w:val="0"/>
        </w:numPr>
        <w:spacing w:line="320" w:lineRule="exact"/>
        <w:ind w:left="160" w:leftChars="0"/>
        <w:jc w:val="left"/>
        <w:rPr>
          <w:rFonts w:hint="eastAsia" w:ascii="宋体" w:hAnsi="宋体"/>
          <w:b/>
          <w:color w:val="auto"/>
          <w:sz w:val="32"/>
          <w:szCs w:val="32"/>
          <w:highlight w:val="none"/>
        </w:rPr>
      </w:pPr>
    </w:p>
    <w:p w14:paraId="7A231ACF">
      <w:pPr>
        <w:numPr>
          <w:ilvl w:val="0"/>
          <w:numId w:val="0"/>
        </w:numPr>
        <w:spacing w:line="320" w:lineRule="exact"/>
        <w:ind w:left="160" w:leftChars="0"/>
        <w:jc w:val="left"/>
        <w:rPr>
          <w:rFonts w:hint="eastAsia" w:ascii="宋体" w:hAnsi="宋体"/>
          <w:b/>
          <w:color w:val="auto"/>
          <w:sz w:val="32"/>
          <w:szCs w:val="32"/>
          <w:highlight w:val="none"/>
        </w:rPr>
      </w:pPr>
    </w:p>
    <w:p w14:paraId="17E4F712">
      <w:pPr>
        <w:numPr>
          <w:ilvl w:val="0"/>
          <w:numId w:val="0"/>
        </w:numPr>
        <w:spacing w:line="320" w:lineRule="exact"/>
        <w:ind w:left="160" w:leftChars="0"/>
        <w:jc w:val="left"/>
        <w:rPr>
          <w:rFonts w:hint="eastAsia" w:ascii="宋体" w:hAnsi="宋体"/>
          <w:b/>
          <w:color w:val="auto"/>
          <w:sz w:val="32"/>
          <w:szCs w:val="32"/>
          <w:highlight w:val="none"/>
        </w:rPr>
      </w:pPr>
      <w:r>
        <w:rPr>
          <w:rFonts w:hint="eastAsia" w:ascii="宋体" w:hAnsi="宋体"/>
          <w:b/>
          <w:color w:val="auto"/>
          <w:sz w:val="32"/>
          <w:szCs w:val="32"/>
          <w:highlight w:val="none"/>
        </w:rPr>
        <w:t>2、供应商依法缴纳税收的相关材料</w:t>
      </w:r>
    </w:p>
    <w:p w14:paraId="5D18ACD9">
      <w:pPr>
        <w:pStyle w:val="10"/>
        <w:rPr>
          <w:rFonts w:hint="eastAsia"/>
          <w:color w:val="auto"/>
          <w:highlight w:val="none"/>
        </w:rPr>
      </w:pPr>
    </w:p>
    <w:p w14:paraId="7FE84B4A">
      <w:pPr>
        <w:spacing w:line="360" w:lineRule="auto"/>
        <w:ind w:firstLine="602" w:firstLineChars="200"/>
        <w:rPr>
          <w:rFonts w:hint="eastAsia" w:ascii="宋体" w:hAnsi="宋体" w:eastAsia="宋体" w:cs="宋体"/>
          <w:b/>
          <w:color w:val="auto"/>
          <w:kern w:val="0"/>
          <w:sz w:val="30"/>
          <w:szCs w:val="30"/>
          <w:highlight w:val="none"/>
        </w:rPr>
      </w:pPr>
    </w:p>
    <w:p w14:paraId="797F252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2EC65B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5E84ED9">
      <w:pPr>
        <w:rPr>
          <w:rFonts w:hint="eastAsia"/>
          <w:color w:val="auto"/>
          <w:highlight w:val="none"/>
        </w:rPr>
      </w:pPr>
    </w:p>
    <w:p w14:paraId="6BE2C965">
      <w:pPr>
        <w:rPr>
          <w:rFonts w:hint="eastAsia"/>
          <w:color w:val="auto"/>
          <w:highlight w:val="none"/>
        </w:rPr>
      </w:pPr>
    </w:p>
    <w:p w14:paraId="4B1609D5">
      <w:pPr>
        <w:pStyle w:val="10"/>
        <w:rPr>
          <w:rFonts w:hint="eastAsia"/>
          <w:color w:val="auto"/>
          <w:highlight w:val="none"/>
        </w:rPr>
      </w:pPr>
    </w:p>
    <w:p w14:paraId="7D5284C7">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供应商依法缴纳社会保障资金的相关材料</w:t>
      </w:r>
    </w:p>
    <w:p w14:paraId="23E9DD91">
      <w:pPr>
        <w:numPr>
          <w:ilvl w:val="0"/>
          <w:numId w:val="0"/>
        </w:numPr>
        <w:spacing w:line="320" w:lineRule="exact"/>
        <w:jc w:val="left"/>
        <w:rPr>
          <w:rFonts w:hint="eastAsia" w:ascii="宋体" w:hAnsi="宋体"/>
          <w:b/>
          <w:color w:val="auto"/>
          <w:sz w:val="32"/>
          <w:szCs w:val="32"/>
          <w:highlight w:val="none"/>
        </w:rPr>
      </w:pPr>
    </w:p>
    <w:p w14:paraId="21B167BE">
      <w:pPr>
        <w:numPr>
          <w:ilvl w:val="0"/>
          <w:numId w:val="0"/>
        </w:numPr>
        <w:spacing w:line="320" w:lineRule="exact"/>
        <w:jc w:val="left"/>
        <w:rPr>
          <w:rFonts w:hint="eastAsia" w:ascii="宋体" w:hAnsi="宋体"/>
          <w:b/>
          <w:color w:val="auto"/>
          <w:sz w:val="32"/>
          <w:szCs w:val="32"/>
          <w:highlight w:val="none"/>
        </w:rPr>
      </w:pPr>
    </w:p>
    <w:p w14:paraId="5A8EF90E">
      <w:pPr>
        <w:spacing w:line="360" w:lineRule="auto"/>
        <w:ind w:firstLine="602" w:firstLineChars="200"/>
        <w:rPr>
          <w:rFonts w:hint="eastAsia" w:ascii="宋体" w:hAnsi="宋体" w:eastAsia="宋体" w:cs="宋体"/>
          <w:b/>
          <w:color w:val="auto"/>
          <w:kern w:val="0"/>
          <w:sz w:val="30"/>
          <w:szCs w:val="30"/>
          <w:highlight w:val="none"/>
        </w:rPr>
      </w:pPr>
    </w:p>
    <w:p w14:paraId="7AF38BD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A201AD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77C972D">
      <w:pPr>
        <w:pStyle w:val="10"/>
        <w:rPr>
          <w:rFonts w:hint="eastAsia"/>
          <w:color w:val="auto"/>
          <w:highlight w:val="none"/>
        </w:rPr>
      </w:pPr>
    </w:p>
    <w:p w14:paraId="459BC5C8">
      <w:pPr>
        <w:numPr>
          <w:ilvl w:val="0"/>
          <w:numId w:val="0"/>
        </w:numPr>
        <w:spacing w:line="320" w:lineRule="exact"/>
        <w:jc w:val="left"/>
        <w:rPr>
          <w:rFonts w:hint="eastAsia" w:ascii="宋体" w:hAnsi="宋体"/>
          <w:b/>
          <w:color w:val="auto"/>
          <w:sz w:val="32"/>
          <w:szCs w:val="32"/>
          <w:highlight w:val="none"/>
        </w:rPr>
      </w:pPr>
    </w:p>
    <w:p w14:paraId="4D24C544">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4、供应商财务状况报告</w:t>
      </w:r>
    </w:p>
    <w:p w14:paraId="78F7DEBA">
      <w:pPr>
        <w:pStyle w:val="10"/>
        <w:rPr>
          <w:rFonts w:hint="eastAsia"/>
          <w:color w:val="auto"/>
          <w:highlight w:val="none"/>
        </w:rPr>
      </w:pPr>
    </w:p>
    <w:p w14:paraId="1F9E61C0">
      <w:pPr>
        <w:spacing w:line="360" w:lineRule="auto"/>
        <w:ind w:firstLine="602" w:firstLineChars="200"/>
        <w:rPr>
          <w:rFonts w:hint="eastAsia" w:ascii="宋体" w:hAnsi="宋体" w:eastAsia="宋体" w:cs="宋体"/>
          <w:b/>
          <w:color w:val="auto"/>
          <w:kern w:val="0"/>
          <w:sz w:val="30"/>
          <w:szCs w:val="30"/>
          <w:highlight w:val="none"/>
        </w:rPr>
      </w:pPr>
    </w:p>
    <w:p w14:paraId="67639C9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1AE586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5B1E0E5">
      <w:pPr>
        <w:rPr>
          <w:rFonts w:hint="eastAsia"/>
          <w:color w:val="auto"/>
          <w:highlight w:val="none"/>
        </w:rPr>
      </w:pPr>
    </w:p>
    <w:p w14:paraId="08401EE3">
      <w:pPr>
        <w:rPr>
          <w:rFonts w:hint="eastAsia"/>
          <w:color w:val="auto"/>
          <w:highlight w:val="none"/>
        </w:rPr>
      </w:pPr>
    </w:p>
    <w:p w14:paraId="606E7332">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14:paraId="38B14971">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766DE13A">
      <w:p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5、供应商直接控股、管理关系信息表</w:t>
      </w:r>
    </w:p>
    <w:p w14:paraId="60F3E119">
      <w:pPr>
        <w:snapToGrid w:val="0"/>
        <w:spacing w:before="156" w:beforeLines="50" w:after="50" w:line="360" w:lineRule="auto"/>
        <w:jc w:val="center"/>
        <w:rPr>
          <w:rFonts w:hint="eastAsia" w:ascii="宋体" w:hAnsi="宋体"/>
          <w:b/>
          <w:color w:val="auto"/>
          <w:sz w:val="24"/>
          <w:highlight w:val="none"/>
        </w:rPr>
      </w:pPr>
    </w:p>
    <w:p w14:paraId="6A3AD29F">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A661599">
      <w:pPr>
        <w:spacing w:line="360" w:lineRule="auto"/>
        <w:contextualSpacing/>
        <w:jc w:val="center"/>
        <w:rPr>
          <w:rFonts w:hint="eastAsia" w:ascii="宋体" w:hAnsi="宋体"/>
          <w:b/>
          <w:color w:val="auto"/>
          <w:sz w:val="24"/>
          <w:highlight w:val="none"/>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C9D072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EE4C5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4F50F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C6E3E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4C7A7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39167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3EAA0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16CA9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30FAB9">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79E29E">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565B25">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C60CAD">
            <w:pPr>
              <w:widowControl/>
              <w:spacing w:line="360" w:lineRule="auto"/>
              <w:contextualSpacing/>
              <w:jc w:val="center"/>
              <w:rPr>
                <w:rFonts w:hint="eastAsia" w:ascii="宋体" w:hAnsi="宋体" w:cs="宋体"/>
                <w:color w:val="auto"/>
                <w:kern w:val="0"/>
                <w:sz w:val="24"/>
                <w:highlight w:val="none"/>
              </w:rPr>
            </w:pPr>
          </w:p>
        </w:tc>
      </w:tr>
      <w:tr w14:paraId="7990D3C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900DB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771541">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A5BDEA">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A910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C02B40">
            <w:pPr>
              <w:widowControl/>
              <w:spacing w:line="360" w:lineRule="auto"/>
              <w:contextualSpacing/>
              <w:jc w:val="center"/>
              <w:rPr>
                <w:rFonts w:hint="eastAsia" w:ascii="宋体" w:hAnsi="宋体" w:cs="宋体"/>
                <w:color w:val="auto"/>
                <w:kern w:val="0"/>
                <w:sz w:val="24"/>
                <w:highlight w:val="none"/>
              </w:rPr>
            </w:pPr>
          </w:p>
        </w:tc>
      </w:tr>
      <w:tr w14:paraId="3022F7D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91CAC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2ED5A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01F1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E9CAC8">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5BBD3">
            <w:pPr>
              <w:widowControl/>
              <w:spacing w:line="360" w:lineRule="auto"/>
              <w:contextualSpacing/>
              <w:jc w:val="center"/>
              <w:rPr>
                <w:rFonts w:hint="eastAsia" w:ascii="宋体" w:hAnsi="宋体" w:cs="宋体"/>
                <w:color w:val="auto"/>
                <w:kern w:val="0"/>
                <w:sz w:val="24"/>
                <w:highlight w:val="none"/>
              </w:rPr>
            </w:pPr>
          </w:p>
        </w:tc>
      </w:tr>
      <w:tr w14:paraId="4741824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59CBD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7A0E1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AF328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0ABDFC">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DCB50C">
            <w:pPr>
              <w:widowControl/>
              <w:spacing w:line="360" w:lineRule="auto"/>
              <w:contextualSpacing/>
              <w:jc w:val="center"/>
              <w:rPr>
                <w:rFonts w:hint="eastAsia" w:ascii="宋体" w:hAnsi="宋体" w:cs="宋体"/>
                <w:color w:val="auto"/>
                <w:kern w:val="0"/>
                <w:sz w:val="24"/>
                <w:highlight w:val="none"/>
              </w:rPr>
            </w:pPr>
          </w:p>
        </w:tc>
      </w:tr>
    </w:tbl>
    <w:p w14:paraId="13AB0641">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5105961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A7EF397">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A61CB64">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35F9688">
      <w:pPr>
        <w:snapToGrid w:val="0"/>
        <w:spacing w:line="360" w:lineRule="auto"/>
        <w:jc w:val="left"/>
        <w:rPr>
          <w:rFonts w:hint="eastAsia" w:ascii="宋体" w:hAnsi="宋体" w:cs="宋体"/>
          <w:color w:val="auto"/>
          <w:sz w:val="24"/>
          <w:highlight w:val="none"/>
        </w:rPr>
      </w:pPr>
    </w:p>
    <w:p w14:paraId="6004D55C">
      <w:pPr>
        <w:snapToGrid w:val="0"/>
        <w:spacing w:line="360" w:lineRule="auto"/>
        <w:jc w:val="left"/>
        <w:rPr>
          <w:rFonts w:hint="eastAsia" w:ascii="宋体" w:hAnsi="宋体" w:cs="宋体"/>
          <w:color w:val="auto"/>
          <w:sz w:val="24"/>
          <w:highlight w:val="none"/>
        </w:rPr>
      </w:pPr>
    </w:p>
    <w:p w14:paraId="58A58C87">
      <w:pPr>
        <w:snapToGrid w:val="0"/>
        <w:spacing w:line="360" w:lineRule="auto"/>
        <w:jc w:val="left"/>
        <w:rPr>
          <w:rFonts w:hint="eastAsia" w:ascii="宋体" w:hAnsi="宋体" w:cs="宋体"/>
          <w:color w:val="auto"/>
          <w:sz w:val="24"/>
          <w:highlight w:val="none"/>
        </w:rPr>
      </w:pPr>
    </w:p>
    <w:p w14:paraId="0C50D764">
      <w:pPr>
        <w:snapToGrid w:val="0"/>
        <w:spacing w:before="156" w:beforeLines="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36DB97F1">
      <w:pPr>
        <w:snapToGrid w:val="0"/>
        <w:spacing w:before="156" w:beforeLines="50" w:after="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B0FDCCA">
      <w:pPr>
        <w:snapToGrid w:val="0"/>
        <w:spacing w:before="156"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3F2BB56D">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3AA7EA1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51FB6DB9">
      <w:pPr>
        <w:snapToGrid w:val="0"/>
        <w:spacing w:line="360" w:lineRule="auto"/>
        <w:jc w:val="center"/>
        <w:rPr>
          <w:rFonts w:hint="eastAsia" w:ascii="宋体" w:hAnsi="宋体"/>
          <w:b/>
          <w:color w:val="auto"/>
          <w:sz w:val="24"/>
          <w:highlight w:val="none"/>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48F98A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FC747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A4B1D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7F62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276E5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7E5509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0FF16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F01A82">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C3332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D6728D">
            <w:pPr>
              <w:widowControl/>
              <w:spacing w:line="360" w:lineRule="auto"/>
              <w:contextualSpacing/>
              <w:jc w:val="center"/>
              <w:rPr>
                <w:rFonts w:ascii="宋体" w:hAnsi="宋体" w:cs="宋体"/>
                <w:color w:val="auto"/>
                <w:kern w:val="0"/>
                <w:sz w:val="24"/>
                <w:highlight w:val="none"/>
              </w:rPr>
            </w:pPr>
          </w:p>
        </w:tc>
      </w:tr>
      <w:tr w14:paraId="3E81E06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910EB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2FFFF">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5B0C0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91E9A4">
            <w:pPr>
              <w:widowControl/>
              <w:spacing w:line="360" w:lineRule="auto"/>
              <w:contextualSpacing/>
              <w:jc w:val="center"/>
              <w:rPr>
                <w:rFonts w:ascii="宋体" w:hAnsi="宋体" w:cs="宋体"/>
                <w:color w:val="auto"/>
                <w:kern w:val="0"/>
                <w:sz w:val="24"/>
                <w:highlight w:val="none"/>
              </w:rPr>
            </w:pPr>
          </w:p>
        </w:tc>
      </w:tr>
      <w:tr w14:paraId="1749BD6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F0AE0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310FC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9AB1A8">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63037">
            <w:pPr>
              <w:widowControl/>
              <w:spacing w:line="360" w:lineRule="auto"/>
              <w:contextualSpacing/>
              <w:jc w:val="center"/>
              <w:rPr>
                <w:rFonts w:ascii="宋体" w:hAnsi="宋体" w:cs="宋体"/>
                <w:color w:val="auto"/>
                <w:kern w:val="0"/>
                <w:sz w:val="24"/>
                <w:highlight w:val="none"/>
              </w:rPr>
            </w:pPr>
          </w:p>
        </w:tc>
      </w:tr>
      <w:tr w14:paraId="38DAAD0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3437B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AC11F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28F9F0">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98A43E">
            <w:pPr>
              <w:widowControl/>
              <w:spacing w:line="360" w:lineRule="auto"/>
              <w:contextualSpacing/>
              <w:jc w:val="center"/>
              <w:rPr>
                <w:rFonts w:ascii="宋体" w:hAnsi="宋体" w:cs="宋体"/>
                <w:color w:val="auto"/>
                <w:kern w:val="0"/>
                <w:sz w:val="24"/>
                <w:highlight w:val="none"/>
              </w:rPr>
            </w:pPr>
          </w:p>
        </w:tc>
      </w:tr>
    </w:tbl>
    <w:p w14:paraId="1FBAE7C3">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3C19C688">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BBF342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966224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51DA670E">
      <w:pPr>
        <w:spacing w:line="360" w:lineRule="auto"/>
        <w:contextualSpacing/>
        <w:jc w:val="left"/>
        <w:rPr>
          <w:rFonts w:hint="eastAsia" w:ascii="宋体" w:hAnsi="宋体"/>
          <w:color w:val="auto"/>
          <w:sz w:val="24"/>
          <w:highlight w:val="none"/>
        </w:rPr>
      </w:pPr>
    </w:p>
    <w:p w14:paraId="7CD402DC">
      <w:pPr>
        <w:spacing w:line="360" w:lineRule="auto"/>
        <w:contextualSpacing/>
        <w:jc w:val="left"/>
        <w:rPr>
          <w:rFonts w:hint="eastAsia" w:ascii="宋体" w:hAnsi="宋体"/>
          <w:color w:val="auto"/>
          <w:sz w:val="24"/>
          <w:highlight w:val="none"/>
        </w:rPr>
      </w:pPr>
    </w:p>
    <w:p w14:paraId="456A58DD">
      <w:pPr>
        <w:spacing w:line="360" w:lineRule="auto"/>
        <w:contextualSpacing/>
        <w:jc w:val="left"/>
        <w:rPr>
          <w:rFonts w:hint="eastAsia"/>
          <w:color w:val="auto"/>
          <w:sz w:val="24"/>
          <w:highlight w:val="none"/>
        </w:rPr>
      </w:pPr>
    </w:p>
    <w:p w14:paraId="5317E508">
      <w:pPr>
        <w:spacing w:line="360" w:lineRule="auto"/>
        <w:contextualSpacing/>
        <w:jc w:val="left"/>
        <w:rPr>
          <w:rFonts w:hint="eastAsia"/>
          <w:color w:val="auto"/>
          <w:sz w:val="24"/>
          <w:highlight w:val="none"/>
        </w:rPr>
      </w:pPr>
    </w:p>
    <w:p w14:paraId="778D6B4F">
      <w:pPr>
        <w:spacing w:line="360" w:lineRule="auto"/>
        <w:contextualSpacing/>
        <w:jc w:val="left"/>
        <w:rPr>
          <w:rFonts w:hint="eastAsia"/>
          <w:color w:val="auto"/>
          <w:sz w:val="24"/>
          <w:highlight w:val="none"/>
        </w:rPr>
      </w:pPr>
    </w:p>
    <w:p w14:paraId="41FFEDE0">
      <w:pPr>
        <w:spacing w:line="360" w:lineRule="auto"/>
        <w:contextualSpacing/>
        <w:jc w:val="left"/>
        <w:rPr>
          <w:rFonts w:hint="eastAsia" w:ascii="宋体" w:hAnsi="宋体"/>
          <w:color w:val="auto"/>
          <w:sz w:val="24"/>
          <w:highlight w:val="none"/>
        </w:rPr>
      </w:pPr>
    </w:p>
    <w:p w14:paraId="598CC011">
      <w:pPr>
        <w:spacing w:line="360" w:lineRule="auto"/>
        <w:ind w:right="480" w:firstLine="3360" w:firstLineChars="1400"/>
        <w:contextualSpacing/>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422AFBE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35C81B">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0E6D16C3">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lang w:val="en-US" w:eastAsia="zh-CN"/>
        </w:rPr>
        <w:t>6、</w:t>
      </w:r>
      <w:r>
        <w:rPr>
          <w:rFonts w:hint="eastAsia" w:ascii="宋体" w:hAnsi="宋体"/>
          <w:b/>
          <w:color w:val="auto"/>
          <w:sz w:val="32"/>
          <w:szCs w:val="32"/>
          <w:highlight w:val="none"/>
        </w:rPr>
        <w:t>竞标声明</w:t>
      </w:r>
    </w:p>
    <w:p w14:paraId="214F1559">
      <w:pPr>
        <w:spacing w:line="320" w:lineRule="exact"/>
        <w:jc w:val="center"/>
        <w:rPr>
          <w:rFonts w:hint="eastAsia" w:ascii="宋体" w:hAnsi="宋体"/>
          <w:color w:val="auto"/>
          <w:sz w:val="24"/>
          <w:szCs w:val="20"/>
          <w:highlight w:val="none"/>
        </w:rPr>
      </w:pPr>
    </w:p>
    <w:p w14:paraId="6D09A90F">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61E14A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96F7E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568A52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76094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107FC3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12E1C5A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B469E9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9F55D5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6A8157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8D62F5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5B271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3040F3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D6303C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264CB4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17E613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932566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181CAC8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8BDD1C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345AC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E17617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53B89A6">
      <w:pPr>
        <w:pStyle w:val="1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FE42C24">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24A813F">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6FB962AF">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954F046">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1FB1FED3">
      <w:pPr>
        <w:pStyle w:val="12"/>
        <w:tabs>
          <w:tab w:val="left" w:pos="939"/>
        </w:tabs>
        <w:spacing w:line="360" w:lineRule="auto"/>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14:paraId="3FA73978">
      <w:pPr>
        <w:pStyle w:val="12"/>
        <w:tabs>
          <w:tab w:val="left" w:pos="939"/>
        </w:tabs>
        <w:spacing w:line="360" w:lineRule="auto"/>
        <w:ind w:left="0" w:leftChars="0" w:firstLine="480" w:firstLineChars="200"/>
        <w:rPr>
          <w:rFonts w:hint="eastAsia" w:ascii="宋体" w:hAnsi="宋体" w:cs="宋体"/>
          <w:color w:val="auto"/>
          <w:sz w:val="24"/>
          <w:highlight w:val="none"/>
        </w:rPr>
      </w:pPr>
    </w:p>
    <w:p w14:paraId="303CE653">
      <w:pPr>
        <w:spacing w:line="360" w:lineRule="auto"/>
        <w:ind w:firstLine="4320" w:firstLineChars="1800"/>
        <w:contextualSpacing/>
        <w:rPr>
          <w:rFonts w:hint="eastAsia"/>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14:paraId="5BDBC4F6">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w:t>
      </w:r>
      <w:r>
        <w:rPr>
          <w:rFonts w:hint="eastAsia" w:ascii="宋体" w:hAnsi="宋体" w:eastAsia="宋体" w:cs="宋体"/>
          <w:color w:val="auto"/>
          <w:sz w:val="24"/>
          <w:szCs w:val="24"/>
          <w:highlight w:val="none"/>
        </w:rPr>
        <w:t>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7ABA9A8F">
      <w:pPr>
        <w:spacing w:line="360" w:lineRule="auto"/>
        <w:ind w:right="480" w:firstLine="240" w:firstLineChars="1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44B6281E">
      <w:pPr>
        <w:pStyle w:val="6"/>
        <w:overflowPunct w:val="0"/>
        <w:spacing w:line="520" w:lineRule="exact"/>
        <w:ind w:right="480" w:firstLine="321" w:firstLineChars="100"/>
        <w:contextualSpacing/>
        <w:jc w:val="center"/>
        <w:rPr>
          <w:rFonts w:ascii="宋体" w:hAnsi="宋体"/>
          <w:b/>
          <w:bCs/>
          <w:color w:val="auto"/>
          <w:sz w:val="32"/>
          <w:szCs w:val="32"/>
          <w:highlight w:val="none"/>
        </w:rPr>
      </w:pPr>
    </w:p>
    <w:p w14:paraId="12021E99">
      <w:pPr>
        <w:snapToGrid w:val="0"/>
        <w:spacing w:before="156" w:beforeLines="50" w:after="50" w:line="360" w:lineRule="auto"/>
        <w:ind w:right="480"/>
        <w:rPr>
          <w:rFonts w:ascii="宋体" w:hAnsi="宋体"/>
          <w:b/>
          <w:bCs/>
          <w:color w:val="auto"/>
          <w:sz w:val="32"/>
          <w:szCs w:val="32"/>
          <w:highlight w:val="none"/>
        </w:rPr>
      </w:pPr>
    </w:p>
    <w:p w14:paraId="3849FDED">
      <w:pPr>
        <w:snapToGrid w:val="0"/>
        <w:spacing w:before="156" w:beforeLines="50" w:after="50" w:line="360" w:lineRule="auto"/>
        <w:ind w:right="480"/>
        <w:rPr>
          <w:rFonts w:ascii="宋体" w:hAnsi="宋体"/>
          <w:b/>
          <w:bCs/>
          <w:color w:val="auto"/>
          <w:sz w:val="32"/>
          <w:szCs w:val="32"/>
          <w:highlight w:val="none"/>
        </w:rPr>
      </w:pPr>
    </w:p>
    <w:p w14:paraId="0D0C0FA2">
      <w:pPr>
        <w:snapToGrid w:val="0"/>
        <w:spacing w:before="156" w:beforeLines="50" w:after="50" w:line="360" w:lineRule="auto"/>
        <w:ind w:right="480"/>
        <w:rPr>
          <w:rFonts w:ascii="宋体" w:hAnsi="宋体"/>
          <w:b/>
          <w:bCs/>
          <w:color w:val="auto"/>
          <w:sz w:val="32"/>
          <w:szCs w:val="32"/>
          <w:highlight w:val="none"/>
        </w:rPr>
      </w:pPr>
    </w:p>
    <w:p w14:paraId="79AEB5A5">
      <w:pPr>
        <w:numPr>
          <w:ilvl w:val="-1"/>
          <w:numId w:val="0"/>
        </w:numPr>
        <w:spacing w:line="240" w:lineRule="auto"/>
        <w:jc w:val="left"/>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br w:type="page"/>
      </w:r>
    </w:p>
    <w:p w14:paraId="72A88A42">
      <w:pPr>
        <w:jc w:val="center"/>
        <w:rPr>
          <w:rFonts w:hint="eastAsia" w:ascii="仿宋" w:hAnsi="仿宋" w:eastAsia="仿宋" w:cs="仿宋"/>
          <w:color w:val="auto"/>
          <w:sz w:val="44"/>
          <w:szCs w:val="44"/>
          <w:highlight w:val="none"/>
        </w:rPr>
      </w:pPr>
      <w:r>
        <w:rPr>
          <w:rFonts w:hint="eastAsia" w:ascii="仿宋" w:hAnsi="仿宋" w:eastAsia="仿宋" w:cs="仿宋"/>
          <w:b w:val="0"/>
          <w:color w:val="auto"/>
          <w:kern w:val="2"/>
          <w:sz w:val="44"/>
          <w:szCs w:val="44"/>
          <w:highlight w:val="none"/>
          <w:lang w:val="en-US" w:eastAsia="zh-CN" w:bidi="ar-SA"/>
        </w:rPr>
        <w:t>7、</w:t>
      </w:r>
      <w:r>
        <w:rPr>
          <w:rFonts w:hint="eastAsia" w:ascii="仿宋" w:hAnsi="仿宋" w:eastAsia="仿宋" w:cs="仿宋"/>
          <w:color w:val="auto"/>
          <w:sz w:val="44"/>
          <w:szCs w:val="44"/>
          <w:highlight w:val="none"/>
        </w:rPr>
        <w:t>中小企业声明函（服务）</w:t>
      </w:r>
    </w:p>
    <w:p w14:paraId="0F30A8E0">
      <w:pPr>
        <w:spacing w:before="2" w:line="500" w:lineRule="exact"/>
        <w:ind w:firstLine="708" w:firstLineChars="294"/>
        <w:rPr>
          <w:rFonts w:ascii="宋体" w:hAnsi="宋体" w:eastAsia="宋体" w:cs="宋体"/>
          <w:b/>
          <w:bCs/>
          <w:color w:val="auto"/>
          <w:sz w:val="24"/>
          <w:highlight w:val="none"/>
        </w:rPr>
      </w:pPr>
    </w:p>
    <w:p w14:paraId="33960ECE">
      <w:pPr>
        <w:widowControl w:val="0"/>
        <w:spacing w:after="120" w:line="500" w:lineRule="exact"/>
        <w:ind w:right="142" w:firstLine="705" w:firstLineChars="294"/>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本公司（联合体）郑重声明，根据《政府采购促进中小企业发展管理办法》（财库﹝2020﹞46号）的规定，本公司（联合体）参加</w:t>
      </w:r>
      <w:r>
        <w:rPr>
          <w:rFonts w:ascii="宋体" w:hAnsi="宋体" w:eastAsia="宋体" w:cs="Times New Roman"/>
          <w:color w:val="auto"/>
          <w:kern w:val="2"/>
          <w:sz w:val="24"/>
          <w:szCs w:val="24"/>
          <w:highlight w:val="none"/>
          <w:u w:val="single"/>
          <w:lang w:val="en-US" w:eastAsia="zh-CN" w:bidi="ar-SA"/>
        </w:rPr>
        <w:t>（单位名称）</w:t>
      </w:r>
      <w:r>
        <w:rPr>
          <w:rFonts w:ascii="宋体" w:hAnsi="宋体" w:eastAsia="宋体" w:cs="Times New Roman"/>
          <w:color w:val="auto"/>
          <w:kern w:val="2"/>
          <w:sz w:val="24"/>
          <w:szCs w:val="24"/>
          <w:highlight w:val="none"/>
          <w:lang w:val="en-US" w:eastAsia="zh-CN" w:bidi="ar-SA"/>
        </w:rPr>
        <w:t>的</w:t>
      </w:r>
      <w:r>
        <w:rPr>
          <w:rFonts w:ascii="宋体" w:hAnsi="宋体" w:eastAsia="宋体" w:cs="Times New Roman"/>
          <w:color w:val="auto"/>
          <w:kern w:val="2"/>
          <w:sz w:val="24"/>
          <w:szCs w:val="24"/>
          <w:highlight w:val="none"/>
          <w:u w:val="single"/>
          <w:lang w:val="en-US" w:eastAsia="zh-CN" w:bidi="ar-SA"/>
        </w:rPr>
        <w:t>（项目名称）</w:t>
      </w:r>
      <w:r>
        <w:rPr>
          <w:rFonts w:ascii="宋体" w:hAnsi="宋体" w:eastAsia="宋体" w:cs="Times New Roman"/>
          <w:color w:val="auto"/>
          <w:kern w:val="2"/>
          <w:sz w:val="24"/>
          <w:szCs w:val="24"/>
          <w:highlight w:val="none"/>
          <w:lang w:val="en-US" w:eastAsia="zh-CN" w:bidi="ar-SA"/>
        </w:rPr>
        <w:t>采购活动，</w:t>
      </w:r>
      <w:r>
        <w:rPr>
          <w:rFonts w:hint="eastAsia" w:ascii="宋体" w:hAnsi="宋体" w:eastAsia="宋体" w:cs="Times New Roman"/>
          <w:color w:val="auto"/>
          <w:kern w:val="2"/>
          <w:sz w:val="24"/>
          <w:szCs w:val="24"/>
          <w:highlight w:val="none"/>
          <w:lang w:val="en-US" w:eastAsia="zh-CN" w:bidi="ar-SA"/>
        </w:rPr>
        <w:t>服务全部由符合政策要求的中小企业承接。相关企业（含联合体中的中小企业、签订分包意向协议的中小企业）的具体情况如下：</w:t>
      </w:r>
    </w:p>
    <w:p w14:paraId="3D4F3006">
      <w:pPr>
        <w:tabs>
          <w:tab w:val="left" w:pos="1384"/>
          <w:tab w:val="left" w:pos="4562"/>
          <w:tab w:val="left" w:pos="6803"/>
        </w:tabs>
        <w:spacing w:before="13" w:line="500" w:lineRule="exact"/>
        <w:ind w:right="142" w:firstLine="772" w:firstLineChars="322"/>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ascii="宋体" w:hAnsi="宋体" w:eastAsia="宋体" w:cs="Times New Roman"/>
          <w:color w:val="auto"/>
          <w:sz w:val="24"/>
          <w:highlight w:val="none"/>
          <w:u w:val="single"/>
        </w:rPr>
        <w:t>（标的名称）</w:t>
      </w:r>
      <w:r>
        <w:rPr>
          <w:rFonts w:ascii="宋体" w:hAnsi="宋体" w:eastAsia="宋体" w:cs="Times New Roman"/>
          <w:color w:val="auto"/>
          <w:sz w:val="24"/>
          <w:highlight w:val="none"/>
        </w:rPr>
        <w:t>，属于</w:t>
      </w:r>
      <w:r>
        <w:rPr>
          <w:rFonts w:ascii="宋体" w:hAnsi="宋体" w:eastAsia="宋体" w:cs="Times New Roman"/>
          <w:color w:val="auto"/>
          <w:sz w:val="24"/>
          <w:highlight w:val="none"/>
          <w:u w:val="single"/>
        </w:rPr>
        <w:t>（采购文件中明确的所属</w:t>
      </w:r>
      <w:r>
        <w:rPr>
          <w:rFonts w:hint="eastAsia" w:ascii="宋体" w:hAnsi="宋体" w:eastAsia="宋体" w:cs="Times New Roman"/>
          <w:color w:val="auto"/>
          <w:sz w:val="24"/>
          <w:highlight w:val="none"/>
          <w:u w:val="single"/>
        </w:rPr>
        <w:t>行</w:t>
      </w:r>
      <w:r>
        <w:rPr>
          <w:rFonts w:ascii="宋体" w:hAnsi="宋体" w:eastAsia="宋体" w:cs="Times New Roman"/>
          <w:color w:val="auto"/>
          <w:sz w:val="24"/>
          <w:highlight w:val="none"/>
          <w:u w:val="single"/>
        </w:rPr>
        <w:t>业）</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承接企业为</w:t>
      </w:r>
      <w:r>
        <w:rPr>
          <w:rFonts w:hint="eastAsia" w:ascii="宋体" w:hAnsi="宋体" w:eastAsia="宋体" w:cs="Times New Roman"/>
          <w:color w:val="auto"/>
          <w:sz w:val="24"/>
          <w:highlight w:val="none"/>
          <w:u w:val="single"/>
        </w:rPr>
        <w:t>（企业名称）</w:t>
      </w:r>
      <w:r>
        <w:rPr>
          <w:rFonts w:hint="eastAsia" w:ascii="宋体" w:hAnsi="宋体" w:eastAsia="宋体" w:cs="Times New Roman"/>
          <w:color w:val="auto"/>
          <w:sz w:val="24"/>
          <w:highlight w:val="none"/>
        </w:rPr>
        <w:t>，从业人员</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人，营业收入为</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万元，资产总额为</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万元</w:t>
      </w:r>
      <w:r>
        <w:rPr>
          <w:rFonts w:ascii="宋体" w:hAnsi="宋体" w:eastAsia="宋体" w:cs="Times New Roman"/>
          <w:color w:val="auto"/>
          <w:sz w:val="24"/>
          <w:highlight w:val="none"/>
        </w:rPr>
        <w:t>，属于</w:t>
      </w:r>
      <w:r>
        <w:rPr>
          <w:rFonts w:ascii="宋体" w:hAnsi="宋体" w:eastAsia="宋体" w:cs="Times New Roman"/>
          <w:color w:val="auto"/>
          <w:sz w:val="24"/>
          <w:highlight w:val="none"/>
          <w:u w:val="single"/>
        </w:rPr>
        <w:t>（</w:t>
      </w:r>
      <w:r>
        <w:rPr>
          <w:rFonts w:hint="eastAsia" w:ascii="宋体" w:hAnsi="宋体" w:eastAsia="宋体" w:cs="Times New Roman"/>
          <w:color w:val="auto"/>
          <w:sz w:val="24"/>
          <w:highlight w:val="none"/>
          <w:u w:val="single"/>
        </w:rPr>
        <w:t>小型企业、微型企业）</w:t>
      </w:r>
      <w:r>
        <w:rPr>
          <w:rFonts w:hint="eastAsia" w:ascii="宋体" w:hAnsi="宋体" w:eastAsia="宋体" w:cs="Times New Roman"/>
          <w:color w:val="auto"/>
          <w:sz w:val="24"/>
          <w:highlight w:val="none"/>
        </w:rPr>
        <w:t>；</w:t>
      </w:r>
    </w:p>
    <w:p w14:paraId="381677FA">
      <w:pPr>
        <w:tabs>
          <w:tab w:val="left" w:pos="1065"/>
          <w:tab w:val="left" w:pos="4262"/>
          <w:tab w:val="left" w:pos="6477"/>
        </w:tabs>
        <w:spacing w:before="20" w:line="500" w:lineRule="exact"/>
        <w:ind w:right="84" w:firstLine="772" w:firstLineChars="322"/>
        <w:rPr>
          <w:rFonts w:ascii="宋体" w:hAnsi="宋体" w:eastAsia="宋体" w:cs="Times New Roman"/>
          <w:color w:val="auto"/>
          <w:sz w:val="24"/>
          <w:highlight w:val="none"/>
          <w:u w:val="single"/>
        </w:rPr>
      </w:pPr>
      <w:r>
        <w:rPr>
          <w:rFonts w:ascii="宋体" w:hAnsi="宋体" w:eastAsia="宋体" w:cs="Times New Roman"/>
          <w:color w:val="auto"/>
          <w:sz w:val="24"/>
          <w:highlight w:val="none"/>
        </w:rPr>
        <w:t>2.</w:t>
      </w:r>
      <w:r>
        <w:rPr>
          <w:rFonts w:ascii="宋体" w:hAnsi="宋体" w:eastAsia="宋体" w:cs="Times New Roman"/>
          <w:color w:val="auto"/>
          <w:sz w:val="24"/>
          <w:highlight w:val="none"/>
          <w:u w:val="single"/>
        </w:rPr>
        <w:t>（标的名称）</w:t>
      </w:r>
      <w:r>
        <w:rPr>
          <w:rFonts w:ascii="宋体" w:hAnsi="宋体" w:eastAsia="宋体" w:cs="Times New Roman"/>
          <w:color w:val="auto"/>
          <w:sz w:val="24"/>
          <w:highlight w:val="none"/>
        </w:rPr>
        <w:t>，属于</w:t>
      </w:r>
      <w:r>
        <w:rPr>
          <w:rFonts w:ascii="宋体" w:hAnsi="宋体" w:eastAsia="宋体" w:cs="Times New Roman"/>
          <w:color w:val="auto"/>
          <w:sz w:val="24"/>
          <w:highlight w:val="none"/>
          <w:u w:val="single"/>
        </w:rPr>
        <w:t>（采购文件中明确的所属</w:t>
      </w:r>
      <w:r>
        <w:rPr>
          <w:rFonts w:hint="eastAsia" w:ascii="宋体" w:hAnsi="宋体" w:eastAsia="宋体" w:cs="Times New Roman"/>
          <w:color w:val="auto"/>
          <w:sz w:val="24"/>
          <w:highlight w:val="none"/>
          <w:u w:val="single"/>
        </w:rPr>
        <w:t>行业</w:t>
      </w:r>
      <w:r>
        <w:rPr>
          <w:rFonts w:ascii="宋体" w:hAnsi="宋体" w:eastAsia="宋体" w:cs="Times New Roman"/>
          <w:color w:val="auto"/>
          <w:sz w:val="24"/>
          <w:highlight w:val="none"/>
          <w:u w:val="single"/>
        </w:rPr>
        <w:t>）</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承接企业为</w:t>
      </w:r>
      <w:r>
        <w:rPr>
          <w:rFonts w:hint="eastAsia" w:ascii="宋体" w:hAnsi="宋体" w:eastAsia="宋体" w:cs="Times New Roman"/>
          <w:color w:val="auto"/>
          <w:sz w:val="24"/>
          <w:highlight w:val="none"/>
          <w:u w:val="single"/>
        </w:rPr>
        <w:t>（企业名称）</w:t>
      </w:r>
      <w:r>
        <w:rPr>
          <w:rFonts w:hint="eastAsia" w:ascii="宋体" w:hAnsi="宋体" w:eastAsia="宋体" w:cs="Times New Roman"/>
          <w:color w:val="auto"/>
          <w:sz w:val="24"/>
          <w:highlight w:val="none"/>
        </w:rPr>
        <w:t>，从业人员</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人，营业收入为</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万元，资产总额为</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万元</w:t>
      </w:r>
      <w:r>
        <w:rPr>
          <w:rFonts w:ascii="宋体" w:hAnsi="宋体" w:eastAsia="宋体" w:cs="Times New Roman"/>
          <w:color w:val="auto"/>
          <w:sz w:val="24"/>
          <w:highlight w:val="none"/>
        </w:rPr>
        <w:t>，属于</w:t>
      </w:r>
      <w:r>
        <w:rPr>
          <w:rFonts w:ascii="宋体" w:hAnsi="宋体" w:eastAsia="宋体" w:cs="Times New Roman"/>
          <w:color w:val="auto"/>
          <w:sz w:val="24"/>
          <w:highlight w:val="none"/>
          <w:u w:val="single"/>
        </w:rPr>
        <w:t>（</w:t>
      </w:r>
      <w:r>
        <w:rPr>
          <w:rFonts w:hint="eastAsia" w:ascii="宋体" w:hAnsi="宋体" w:eastAsia="宋体" w:cs="Times New Roman"/>
          <w:color w:val="auto"/>
          <w:sz w:val="24"/>
          <w:highlight w:val="none"/>
          <w:u w:val="single"/>
        </w:rPr>
        <w:t>小型企业、微型企业）</w:t>
      </w:r>
      <w:r>
        <w:rPr>
          <w:rFonts w:hint="eastAsia" w:ascii="宋体" w:hAnsi="宋体" w:eastAsia="宋体" w:cs="Times New Roman"/>
          <w:color w:val="auto"/>
          <w:sz w:val="24"/>
          <w:highlight w:val="none"/>
        </w:rPr>
        <w:t>；</w:t>
      </w:r>
    </w:p>
    <w:p w14:paraId="3A04F00D">
      <w:pPr>
        <w:widowControl w:val="0"/>
        <w:spacing w:before="34" w:after="120" w:line="500" w:lineRule="exact"/>
        <w:ind w:right="142" w:firstLine="705" w:firstLineChars="294"/>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 xml:space="preserve">…… </w:t>
      </w:r>
    </w:p>
    <w:p w14:paraId="242AD08C">
      <w:pPr>
        <w:widowControl w:val="0"/>
        <w:spacing w:before="34" w:after="120" w:line="500" w:lineRule="exact"/>
        <w:ind w:right="142" w:firstLine="705" w:firstLineChars="294"/>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以上企业，不属于大</w:t>
      </w:r>
      <w:r>
        <w:rPr>
          <w:rFonts w:hint="eastAsia" w:ascii="宋体" w:hAnsi="宋体" w:eastAsia="宋体" w:cs="Times New Roman"/>
          <w:color w:val="auto"/>
          <w:kern w:val="2"/>
          <w:sz w:val="24"/>
          <w:szCs w:val="24"/>
          <w:highlight w:val="none"/>
          <w:lang w:val="en-US" w:eastAsia="zh-CN" w:bidi="ar-SA"/>
        </w:rPr>
        <w:t>中</w:t>
      </w:r>
      <w:r>
        <w:rPr>
          <w:rFonts w:ascii="宋体" w:hAnsi="宋体" w:eastAsia="宋体" w:cs="Times New Roman"/>
          <w:color w:val="auto"/>
          <w:kern w:val="2"/>
          <w:sz w:val="24"/>
          <w:szCs w:val="24"/>
          <w:highlight w:val="none"/>
          <w:lang w:val="en-US" w:eastAsia="zh-CN" w:bidi="ar-SA"/>
        </w:rPr>
        <w:t>企业的分支机构，不存在控股股东为大企业的情形，也不存在与大企业的负责人为同一人的情形。</w:t>
      </w:r>
    </w:p>
    <w:p w14:paraId="09BF0ACC">
      <w:pPr>
        <w:widowControl w:val="0"/>
        <w:spacing w:before="25" w:after="120" w:line="500" w:lineRule="exact"/>
        <w:ind w:right="142" w:firstLine="705" w:firstLineChars="294"/>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本企业对上述声明内容的真实性负责。如有虚假，将依法承担相应责任。</w:t>
      </w:r>
    </w:p>
    <w:p w14:paraId="03770D24">
      <w:pPr>
        <w:widowControl w:val="0"/>
        <w:spacing w:before="56" w:after="120" w:line="500" w:lineRule="exact"/>
        <w:ind w:right="1808" w:firstLine="705" w:firstLineChars="294"/>
        <w:jc w:val="both"/>
        <w:rPr>
          <w:rFonts w:hint="eastAsia" w:ascii="宋体" w:hAnsi="宋体" w:eastAsia="宋体" w:cs="Times New Roman"/>
          <w:color w:val="auto"/>
          <w:kern w:val="2"/>
          <w:sz w:val="24"/>
          <w:szCs w:val="24"/>
          <w:highlight w:val="none"/>
          <w:lang w:val="en-US" w:eastAsia="zh-CN" w:bidi="ar-SA"/>
        </w:rPr>
      </w:pPr>
    </w:p>
    <w:p w14:paraId="278B7283">
      <w:pPr>
        <w:widowControl w:val="0"/>
        <w:spacing w:before="56" w:after="120" w:line="500" w:lineRule="exact"/>
        <w:ind w:right="650" w:firstLine="5625" w:firstLineChars="2344"/>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 xml:space="preserve">企业名称（章）： </w:t>
      </w:r>
    </w:p>
    <w:p w14:paraId="1B3ABB66">
      <w:pPr>
        <w:widowControl w:val="0"/>
        <w:spacing w:before="56" w:after="120" w:line="500" w:lineRule="exact"/>
        <w:ind w:right="1808" w:firstLine="5625" w:firstLineChars="2344"/>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日 期：</w:t>
      </w:r>
    </w:p>
    <w:p w14:paraId="28DDD4B1">
      <w:pPr>
        <w:spacing w:line="520" w:lineRule="exact"/>
        <w:jc w:val="left"/>
        <w:rPr>
          <w:rFonts w:hint="eastAsia" w:ascii="宋体" w:hAnsi="宋体" w:eastAsia="宋体" w:cs="Times New Roman"/>
          <w:color w:val="auto"/>
          <w:sz w:val="24"/>
          <w:highlight w:val="none"/>
        </w:rPr>
      </w:pPr>
      <w:r>
        <w:rPr>
          <w:rFonts w:hint="eastAsia" w:ascii="宋体" w:hAnsi="宋体" w:eastAsia="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12CBE55">
      <w:pP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73A35822">
      <w:pPr>
        <w:widowControl w:val="0"/>
        <w:jc w:val="left"/>
        <w:rPr>
          <w:rFonts w:hint="eastAsia" w:ascii="Arial Unicode MS" w:hAnsi="Arial Unicode MS" w:eastAsia="Arial Unicode MS" w:cs="Arial Unicode MS"/>
          <w:color w:val="auto"/>
          <w:kern w:val="0"/>
          <w:sz w:val="32"/>
          <w:szCs w:val="32"/>
          <w:highlight w:val="none"/>
          <w:lang w:val="en-US" w:eastAsia="zh-CN" w:bidi="ar-SA"/>
        </w:rPr>
      </w:pPr>
      <w:r>
        <w:rPr>
          <w:rFonts w:hint="eastAsia" w:ascii="Arial Unicode MS" w:hAnsi="Arial Unicode MS" w:eastAsia="Arial Unicode MS" w:cs="Arial Unicode MS"/>
          <w:color w:val="auto"/>
          <w:kern w:val="0"/>
          <w:sz w:val="32"/>
          <w:szCs w:val="32"/>
          <w:highlight w:val="none"/>
          <w:lang w:val="en-US" w:eastAsia="zh-CN" w:bidi="ar-SA"/>
        </w:rPr>
        <w:t>附：</w:t>
      </w:r>
    </w:p>
    <w:p w14:paraId="4E7880F9">
      <w:pPr>
        <w:jc w:val="center"/>
        <w:rPr>
          <w:rFonts w:hint="eastAsia" w:ascii="宋体" w:hAnsi="宋体" w:eastAsia="宋体" w:cs="Arial Unicode MS"/>
          <w:color w:val="auto"/>
          <w:sz w:val="44"/>
          <w:szCs w:val="44"/>
          <w:highlight w:val="none"/>
        </w:rPr>
      </w:pPr>
      <w:r>
        <w:rPr>
          <w:rFonts w:hint="eastAsia" w:ascii="宋体" w:hAnsi="宋体" w:eastAsia="宋体" w:cs="Arial Unicode MS"/>
          <w:color w:val="auto"/>
          <w:sz w:val="44"/>
          <w:szCs w:val="44"/>
          <w:highlight w:val="none"/>
        </w:rPr>
        <w:t>中小微企业划型标准</w:t>
      </w:r>
    </w:p>
    <w:p w14:paraId="2EC46DC5">
      <w:pPr>
        <w:ind w:left="1871"/>
        <w:rPr>
          <w:rFonts w:hint="eastAsia" w:ascii="宋体" w:hAnsi="宋体" w:eastAsia="宋体" w:cs="Arial Unicode MS"/>
          <w:color w:val="auto"/>
          <w:szCs w:val="21"/>
          <w:highlight w:val="none"/>
        </w:rPr>
      </w:pPr>
    </w:p>
    <w:tbl>
      <w:tblPr>
        <w:tblStyle w:val="21"/>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47AAD4F9">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0DDD5DA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5A575DA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4C660EA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25F2DF5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426E9E3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4CF576A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4584FB2">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29266A2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07CD11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1F14E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0C76E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0326A6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0134A4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F1460D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D96A71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3CE9FB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911CF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325BF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02A7D9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C860F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E4E9D8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B9893F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02731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6FDAC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A7D67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52FD65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4DE9D6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96F196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1EF855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1B7A2D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CE2F6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FAAED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622F17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52EB40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51CD66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D02F7F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9417E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7A0030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4FE3F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61A82F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46C01C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26C4F5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026753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5080BC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C969C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F9B70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472923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5B67C8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91F5BF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01CCC4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B025C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898DD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F49DC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0A5A7D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4961CB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47839E4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920F0C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1F0E25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C0A2C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DE393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14548C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530132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F2AA71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D9DA6C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E2FC5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0407C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D3252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64393C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0B2243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6374E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DF03D0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216E32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919DD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9299D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6A0B30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39D699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A7FA8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6C1660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E658C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6E8A9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BEE70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548DC8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3451CB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2BCDA49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8F8AF0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7899B3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DEAEB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3F346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49D633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3E8364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B8EA30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166166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982A6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39414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8935D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48A9FC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303E34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332B4E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ED1BB3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1FD9D4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11104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C922E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2ED8A4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603609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2E1999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E4E4AD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E30A4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3E8F4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BABB8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028BF4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56FEA2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47E837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C2EC57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36BFAC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D6BF8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7808C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9F53B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72D3A2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1F4A0F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C688E5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5280B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DA572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0BA0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5EB6ED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793222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3FCE48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CB86B9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17E1E7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228E5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04085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777D1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ED52F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0AA4AA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117F25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03104F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6B799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AA40D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5D1447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515D1D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AB2F68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D2A25E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114D01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95F81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9A069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7A0300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BAD49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F243CF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089F49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78417A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88FC6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106D2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3000D1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1C0D0E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ED3E12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F743A1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3DA0EF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9AC75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13611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F3610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79BC59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90DCD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702F24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4309E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F4CD7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2DAEC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088E0B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12FE2D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FCDD58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915B34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5C3E55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A3EF2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BF94D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667B66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122A24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3812C7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D3E340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BFF75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78ABCB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10EFD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29D086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45E04F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9DBB02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8C8DD8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5827B4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CAA56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54B8A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2E33D9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4925FE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FD8C8D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8CEFDC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7BCDF2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95FAC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E3EE8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378E07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240CEB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2980BA5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0F7D55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3C07B4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A24E2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E1890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53720B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ACF73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63AA73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52E314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EE12D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0C476F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C63CF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3CCE84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2E06AF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F0A061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73C8531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1D0753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651B3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47F83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4EF6A0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0DDC3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2EFBF9F">
      <w:pPr>
        <w:spacing w:line="360" w:lineRule="auto"/>
        <w:ind w:firstLine="525" w:firstLineChars="250"/>
        <w:rPr>
          <w:rFonts w:ascii="仿宋_GB2312" w:hAnsi="仿宋" w:eastAsia="仿宋_GB2312" w:cs="Times New Roman"/>
          <w:color w:val="auto"/>
          <w:szCs w:val="21"/>
          <w:highlight w:val="none"/>
        </w:rPr>
      </w:pPr>
      <w:r>
        <w:rPr>
          <w:rFonts w:hint="eastAsia" w:ascii="仿宋_GB2312" w:hAnsi="仿宋" w:eastAsia="仿宋_GB2312" w:cs="Times New Roman"/>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1AFDA3C">
      <w:pPr>
        <w:spacing w:line="520" w:lineRule="exact"/>
        <w:jc w:val="center"/>
        <w:rPr>
          <w:rFonts w:hint="eastAsia" w:ascii="仿宋_GB2312" w:hAnsi="仿宋_GB2312" w:eastAsia="仿宋_GB2312" w:cs="仿宋_GB2312"/>
          <w:color w:val="auto"/>
          <w:sz w:val="32"/>
          <w:szCs w:val="32"/>
          <w:highlight w:val="none"/>
        </w:rPr>
      </w:pPr>
      <w:r>
        <w:rPr>
          <w:rFonts w:ascii="宋体" w:hAnsi="宋体" w:eastAsia="宋体" w:cs="Times New Roman"/>
          <w:color w:val="auto"/>
          <w:sz w:val="24"/>
          <w:highlight w:val="none"/>
        </w:rPr>
        <w:br w:type="page"/>
      </w:r>
      <w:r>
        <w:rPr>
          <w:rFonts w:hint="eastAsia" w:ascii="仿宋" w:hAnsi="仿宋" w:eastAsia="仿宋" w:cs="仿宋"/>
          <w:color w:val="auto"/>
          <w:sz w:val="44"/>
          <w:szCs w:val="44"/>
          <w:highlight w:val="none"/>
        </w:rPr>
        <w:t>残疾人福利性单位声明函</w:t>
      </w:r>
    </w:p>
    <w:p w14:paraId="05CB4535">
      <w:pPr>
        <w:spacing w:line="360" w:lineRule="auto"/>
        <w:contextualSpacing/>
        <w:rPr>
          <w:rFonts w:hint="eastAsia" w:ascii="仿宋_GB2312" w:hAnsi="仿宋_GB2312" w:eastAsia="仿宋_GB2312" w:cs="仿宋_GB2312"/>
          <w:color w:val="auto"/>
          <w:sz w:val="32"/>
          <w:szCs w:val="32"/>
          <w:highlight w:val="none"/>
        </w:rPr>
      </w:pPr>
    </w:p>
    <w:p w14:paraId="1C8E3A14">
      <w:pPr>
        <w:spacing w:line="360" w:lineRule="auto"/>
        <w:ind w:firstLine="480" w:firstLineChars="200"/>
        <w:contextualSpacing/>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单位的</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12488B3">
      <w:pPr>
        <w:spacing w:line="360" w:lineRule="auto"/>
        <w:ind w:firstLine="480" w:firstLineChars="200"/>
        <w:contextualSpacing/>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本单位对上述声明的真实性负责。如有虚假，将依法承担相应责任。</w:t>
      </w:r>
    </w:p>
    <w:p w14:paraId="6A294CEB">
      <w:pPr>
        <w:spacing w:line="360" w:lineRule="auto"/>
        <w:contextualSpacing/>
        <w:rPr>
          <w:rFonts w:hint="eastAsia" w:ascii="宋体" w:hAnsi="宋体" w:eastAsia="宋体" w:cs="仿宋_GB2312"/>
          <w:color w:val="auto"/>
          <w:sz w:val="24"/>
          <w:highlight w:val="none"/>
        </w:rPr>
      </w:pPr>
    </w:p>
    <w:p w14:paraId="599A0F10">
      <w:pPr>
        <w:spacing w:line="360" w:lineRule="auto"/>
        <w:contextualSpacing/>
        <w:rPr>
          <w:rFonts w:hint="eastAsia" w:ascii="宋体" w:hAnsi="宋体" w:eastAsia="宋体" w:cs="仿宋_GB2312"/>
          <w:color w:val="auto"/>
          <w:sz w:val="24"/>
          <w:highlight w:val="none"/>
        </w:rPr>
      </w:pPr>
    </w:p>
    <w:p w14:paraId="6937B4AD">
      <w:pPr>
        <w:spacing w:line="360" w:lineRule="auto"/>
        <w:contextualSpacing/>
        <w:rPr>
          <w:rFonts w:hint="eastAsia" w:ascii="宋体" w:hAnsi="宋体" w:eastAsia="宋体" w:cs="仿宋_GB2312"/>
          <w:color w:val="auto"/>
          <w:sz w:val="24"/>
          <w:highlight w:val="none"/>
        </w:rPr>
      </w:pPr>
    </w:p>
    <w:p w14:paraId="7F889ACB">
      <w:pPr>
        <w:spacing w:line="360" w:lineRule="auto"/>
        <w:ind w:firstLine="2400" w:firstLineChars="1000"/>
        <w:contextualSpacing/>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单位名称（盖章）：</w:t>
      </w:r>
    </w:p>
    <w:p w14:paraId="2B050878">
      <w:pPr>
        <w:spacing w:line="360" w:lineRule="auto"/>
        <w:ind w:firstLine="3600" w:firstLineChars="1500"/>
        <w:contextualSpacing/>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日  期：</w:t>
      </w:r>
    </w:p>
    <w:p w14:paraId="33FAAF96">
      <w:pPr>
        <w:spacing w:line="360" w:lineRule="auto"/>
        <w:contextualSpacing/>
        <w:rPr>
          <w:rFonts w:hint="eastAsia" w:ascii="宋体" w:hAnsi="宋体" w:eastAsia="宋体" w:cs="仿宋_GB2312"/>
          <w:color w:val="auto"/>
          <w:sz w:val="24"/>
          <w:highlight w:val="none"/>
        </w:rPr>
      </w:pPr>
    </w:p>
    <w:p w14:paraId="22B0EB94">
      <w:pPr>
        <w:spacing w:line="360" w:lineRule="auto"/>
        <w:contextualSpacing/>
        <w:rPr>
          <w:rFonts w:hint="eastAsia" w:ascii="宋体" w:hAnsi="宋体" w:eastAsia="宋体" w:cs="仿宋_GB2312"/>
          <w:color w:val="auto"/>
          <w:sz w:val="24"/>
          <w:highlight w:val="none"/>
        </w:rPr>
      </w:pPr>
    </w:p>
    <w:p w14:paraId="40498763">
      <w:pPr>
        <w:spacing w:line="360" w:lineRule="auto"/>
        <w:contextualSpacing/>
        <w:rPr>
          <w:rFonts w:hint="eastAsia" w:ascii="宋体" w:hAnsi="宋体" w:eastAsia="宋体" w:cs="仿宋_GB2312"/>
          <w:color w:val="auto"/>
          <w:sz w:val="24"/>
          <w:highlight w:val="none"/>
        </w:rPr>
      </w:pPr>
    </w:p>
    <w:p w14:paraId="6D368868">
      <w:pPr>
        <w:spacing w:line="360" w:lineRule="auto"/>
        <w:contextualSpacing/>
        <w:rPr>
          <w:rFonts w:ascii="宋体" w:hAnsi="宋体" w:eastAsia="宋体" w:cs="仿宋_GB2312"/>
          <w:color w:val="auto"/>
          <w:sz w:val="24"/>
          <w:highlight w:val="none"/>
        </w:rPr>
      </w:pPr>
      <w:r>
        <w:rPr>
          <w:rFonts w:hint="eastAsia" w:ascii="宋体" w:hAnsi="宋体" w:eastAsia="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1586AFF">
      <w:pPr>
        <w:numPr>
          <w:ilvl w:val="0"/>
          <w:numId w:val="0"/>
        </w:numPr>
        <w:spacing w:line="320" w:lineRule="exact"/>
        <w:jc w:val="both"/>
        <w:rPr>
          <w:rFonts w:hint="eastAsia" w:ascii="宋体" w:hAnsi="宋体" w:eastAsia="宋体"/>
          <w:b/>
          <w:color w:val="auto"/>
          <w:sz w:val="32"/>
          <w:szCs w:val="32"/>
          <w:highlight w:val="none"/>
          <w:lang w:eastAsia="zh-CN"/>
        </w:rPr>
      </w:pPr>
    </w:p>
    <w:p w14:paraId="0CEC34F4">
      <w:pPr>
        <w:pStyle w:val="10"/>
        <w:numPr>
          <w:ilvl w:val="0"/>
          <w:numId w:val="0"/>
        </w:numPr>
        <w:rPr>
          <w:rFonts w:hint="eastAsia"/>
          <w:color w:val="auto"/>
          <w:highlight w:val="none"/>
          <w:lang w:val="en-US" w:eastAsia="zh-CN"/>
        </w:rPr>
      </w:pPr>
    </w:p>
    <w:p w14:paraId="6A629251">
      <w:pPr>
        <w:rPr>
          <w:rFonts w:hint="eastAsia"/>
          <w:color w:val="auto"/>
          <w:highlight w:val="none"/>
          <w:lang w:val="en-US" w:eastAsia="zh-CN"/>
        </w:rPr>
      </w:pPr>
    </w:p>
    <w:p w14:paraId="38028F01">
      <w:pPr>
        <w:spacing w:line="320" w:lineRule="exact"/>
        <w:jc w:val="left"/>
        <w:rPr>
          <w:rFonts w:hint="eastAsia" w:ascii="宋体" w:hAnsi="宋体"/>
          <w:b/>
          <w:color w:val="auto"/>
          <w:sz w:val="32"/>
          <w:szCs w:val="32"/>
          <w:highlight w:val="none"/>
        </w:rPr>
      </w:pPr>
      <w:r>
        <w:rPr>
          <w:rFonts w:hint="eastAsia" w:ascii="宋体" w:hAnsi="宋体" w:eastAsia="宋体"/>
          <w:b/>
          <w:color w:val="auto"/>
          <w:sz w:val="32"/>
          <w:szCs w:val="32"/>
          <w:highlight w:val="none"/>
          <w:lang w:val="en-US" w:eastAsia="zh-CN"/>
        </w:rPr>
        <w:t>8</w:t>
      </w:r>
      <w:r>
        <w:rPr>
          <w:rFonts w:hint="eastAsia" w:ascii="宋体" w:hAnsi="宋体" w:eastAsia="宋体"/>
          <w:b/>
          <w:color w:val="auto"/>
          <w:sz w:val="32"/>
          <w:szCs w:val="32"/>
          <w:highlight w:val="none"/>
        </w:rPr>
        <w:t>、除磋商文件规定必须提供以外，供应商认为需要提供的其他证明材料</w:t>
      </w:r>
      <w:r>
        <w:rPr>
          <w:rFonts w:hint="eastAsia" w:ascii="宋体" w:hAnsi="宋体" w:eastAsia="宋体"/>
          <w:b/>
          <w:color w:val="auto"/>
          <w:sz w:val="32"/>
          <w:szCs w:val="32"/>
          <w:highlight w:val="none"/>
          <w:lang w:eastAsia="zh-CN"/>
        </w:rPr>
        <w:t>（自行提供）</w:t>
      </w:r>
      <w:r>
        <w:rPr>
          <w:rFonts w:hint="eastAsia" w:ascii="宋体" w:hAnsi="宋体" w:eastAsia="宋体"/>
          <w:b/>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14:paraId="543E94DA">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14:paraId="51B9AA1F">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4829B55A">
      <w:pPr>
        <w:snapToGrid w:val="0"/>
        <w:spacing w:before="156" w:beforeLines="50" w:after="50"/>
        <w:rPr>
          <w:rFonts w:hint="eastAsia" w:ascii="宋体" w:hAnsi="宋体"/>
          <w:color w:val="auto"/>
          <w:sz w:val="24"/>
          <w:szCs w:val="20"/>
          <w:highlight w:val="none"/>
        </w:rPr>
      </w:pPr>
    </w:p>
    <w:p w14:paraId="38A0193F">
      <w:pPr>
        <w:snapToGrid w:val="0"/>
        <w:spacing w:before="156" w:beforeLines="50" w:after="50"/>
        <w:jc w:val="center"/>
        <w:rPr>
          <w:rFonts w:hint="eastAsia"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7D3A782D">
      <w:pPr>
        <w:snapToGrid w:val="0"/>
        <w:spacing w:before="156" w:beforeLines="50" w:after="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报  价  商  务  技  术  文  件</w:t>
      </w:r>
    </w:p>
    <w:p w14:paraId="62FBEB88">
      <w:pPr>
        <w:snapToGrid w:val="0"/>
        <w:spacing w:before="156" w:beforeLines="50" w:after="50"/>
        <w:rPr>
          <w:rFonts w:hint="eastAsia" w:ascii="宋体" w:hAnsi="宋体"/>
          <w:bCs/>
          <w:color w:val="auto"/>
          <w:sz w:val="24"/>
          <w:szCs w:val="20"/>
          <w:highlight w:val="none"/>
        </w:rPr>
      </w:pPr>
    </w:p>
    <w:p w14:paraId="6F58EA4B">
      <w:pPr>
        <w:snapToGrid w:val="0"/>
        <w:spacing w:before="156" w:beforeLines="50" w:after="50"/>
        <w:rPr>
          <w:rFonts w:hint="eastAsia" w:ascii="宋体" w:hAnsi="宋体"/>
          <w:bCs/>
          <w:color w:val="auto"/>
          <w:sz w:val="24"/>
          <w:szCs w:val="20"/>
          <w:highlight w:val="none"/>
        </w:rPr>
      </w:pPr>
    </w:p>
    <w:p w14:paraId="4D92C9F3">
      <w:pPr>
        <w:snapToGrid w:val="0"/>
        <w:spacing w:before="156" w:beforeLines="50" w:after="50"/>
        <w:rPr>
          <w:rFonts w:hint="eastAsia" w:ascii="宋体" w:hAnsi="宋体"/>
          <w:bCs/>
          <w:color w:val="auto"/>
          <w:sz w:val="24"/>
          <w:szCs w:val="20"/>
          <w:highlight w:val="none"/>
        </w:rPr>
      </w:pPr>
    </w:p>
    <w:p w14:paraId="425D283A">
      <w:pPr>
        <w:snapToGrid w:val="0"/>
        <w:spacing w:before="156" w:beforeLines="50" w:after="50"/>
        <w:rPr>
          <w:rFonts w:hint="eastAsia" w:ascii="宋体" w:hAnsi="宋体"/>
          <w:bCs/>
          <w:color w:val="auto"/>
          <w:sz w:val="24"/>
          <w:szCs w:val="20"/>
          <w:highlight w:val="none"/>
        </w:rPr>
      </w:pPr>
    </w:p>
    <w:p w14:paraId="485EE9E4">
      <w:pPr>
        <w:snapToGrid w:val="0"/>
        <w:spacing w:before="156" w:beforeLines="50" w:after="50"/>
        <w:rPr>
          <w:rFonts w:hint="eastAsia" w:ascii="宋体" w:hAnsi="宋体"/>
          <w:bCs/>
          <w:color w:val="auto"/>
          <w:sz w:val="24"/>
          <w:szCs w:val="20"/>
          <w:highlight w:val="none"/>
        </w:rPr>
      </w:pPr>
    </w:p>
    <w:p w14:paraId="039653DE">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14250DD">
      <w:pPr>
        <w:snapToGrid w:val="0"/>
        <w:spacing w:before="156" w:beforeLines="50" w:after="50"/>
        <w:ind w:firstLine="720" w:firstLineChars="225"/>
        <w:rPr>
          <w:rFonts w:hint="eastAsia" w:ascii="宋体" w:hAnsi="宋体" w:cs="仿宋_GB2312"/>
          <w:bCs/>
          <w:color w:val="auto"/>
          <w:sz w:val="32"/>
          <w:szCs w:val="32"/>
          <w:highlight w:val="none"/>
        </w:rPr>
      </w:pPr>
    </w:p>
    <w:p w14:paraId="1C64240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B87FC70">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B59D76A">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7FA69A3F">
      <w:pPr>
        <w:snapToGrid w:val="0"/>
        <w:spacing w:before="156" w:beforeLines="50" w:after="50"/>
        <w:ind w:firstLine="720" w:firstLineChars="225"/>
        <w:rPr>
          <w:rFonts w:hint="eastAsia" w:ascii="宋体" w:hAnsi="宋体" w:cs="仿宋_GB2312"/>
          <w:bCs/>
          <w:color w:val="auto"/>
          <w:sz w:val="32"/>
          <w:szCs w:val="32"/>
          <w:highlight w:val="none"/>
        </w:rPr>
      </w:pPr>
    </w:p>
    <w:p w14:paraId="23E92ED0">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30D3111">
      <w:pPr>
        <w:pStyle w:val="6"/>
        <w:snapToGrid w:val="0"/>
        <w:spacing w:before="50" w:after="50"/>
        <w:ind w:firstLine="720" w:firstLineChars="225"/>
        <w:rPr>
          <w:rFonts w:hint="eastAsia" w:ascii="宋体" w:hAnsi="宋体" w:cs="仿宋_GB2312"/>
          <w:bCs/>
          <w:color w:val="auto"/>
          <w:sz w:val="32"/>
          <w:szCs w:val="32"/>
          <w:highlight w:val="none"/>
        </w:rPr>
      </w:pPr>
    </w:p>
    <w:p w14:paraId="44E1A223">
      <w:pPr>
        <w:pStyle w:val="6"/>
        <w:snapToGrid w:val="0"/>
        <w:spacing w:before="50" w:after="50"/>
        <w:ind w:firstLine="720" w:firstLineChars="225"/>
        <w:rPr>
          <w:rFonts w:hint="eastAsia" w:ascii="宋体" w:hAnsi="宋体" w:cs="仿宋_GB2312"/>
          <w:bCs/>
          <w:color w:val="auto"/>
          <w:sz w:val="32"/>
          <w:szCs w:val="32"/>
          <w:highlight w:val="none"/>
        </w:rPr>
      </w:pPr>
    </w:p>
    <w:p w14:paraId="3821D931">
      <w:pPr>
        <w:pStyle w:val="6"/>
        <w:snapToGrid w:val="0"/>
        <w:spacing w:before="50" w:after="50"/>
        <w:ind w:firstLine="1280" w:firstLineChars="400"/>
        <w:rPr>
          <w:rFonts w:hint="eastAsia" w:ascii="宋体" w:hAnsi="宋体" w:cs="仿宋_GB2312"/>
          <w:bCs/>
          <w:color w:val="auto"/>
          <w:sz w:val="32"/>
          <w:szCs w:val="32"/>
          <w:highlight w:val="none"/>
        </w:rPr>
      </w:pPr>
    </w:p>
    <w:p w14:paraId="509B72E6">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063C7DA">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14:paraId="3E7B59BB">
      <w:pPr>
        <w:spacing w:line="360" w:lineRule="auto"/>
        <w:rPr>
          <w:rFonts w:hint="eastAsia" w:asciiTheme="minorEastAsia" w:hAnsiTheme="minorEastAsia" w:eastAsiaTheme="minorEastAsia" w:cstheme="minorEastAsia"/>
          <w:color w:val="auto"/>
          <w:sz w:val="21"/>
          <w:szCs w:val="21"/>
          <w:highlight w:val="none"/>
        </w:rPr>
      </w:pPr>
    </w:p>
    <w:p w14:paraId="403A6718">
      <w:pPr>
        <w:numPr>
          <w:ilvl w:val="0"/>
          <w:numId w:val="0"/>
        </w:numPr>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无串通竞标行为的承诺函</w:t>
      </w:r>
      <w:r>
        <w:rPr>
          <w:rFonts w:hint="eastAsia" w:ascii="宋体" w:hAnsi="宋体" w:eastAsia="宋体" w:cs="宋体"/>
          <w:color w:val="auto"/>
          <w:kern w:val="0"/>
          <w:sz w:val="24"/>
          <w:szCs w:val="24"/>
          <w:highlight w:val="none"/>
        </w:rPr>
        <w:t>……………………………………………………（页码）</w:t>
      </w:r>
    </w:p>
    <w:p w14:paraId="4FA4DCA5">
      <w:pPr>
        <w:numPr>
          <w:ilvl w:val="0"/>
          <w:numId w:val="0"/>
        </w:numPr>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2、竞标报价表</w:t>
      </w:r>
      <w:bookmarkStart w:id="48" w:name="OLE_LINK7"/>
      <w:r>
        <w:rPr>
          <w:rFonts w:hint="eastAsia" w:ascii="宋体" w:hAnsi="宋体" w:eastAsia="宋体" w:cs="宋体"/>
          <w:color w:val="auto"/>
          <w:kern w:val="0"/>
          <w:sz w:val="24"/>
          <w:szCs w:val="24"/>
          <w:highlight w:val="none"/>
        </w:rPr>
        <w:t>……………………………………………………………………（页码）</w:t>
      </w:r>
      <w:bookmarkEnd w:id="48"/>
    </w:p>
    <w:p w14:paraId="2AAE3805">
      <w:pPr>
        <w:pStyle w:val="1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、法定代表人身份证明及法定代表人有效身份证正反面复印件</w:t>
      </w:r>
      <w:r>
        <w:rPr>
          <w:rFonts w:hint="eastAsia" w:ascii="宋体" w:hAnsi="宋体" w:eastAsia="宋体" w:cs="宋体"/>
          <w:color w:val="auto"/>
          <w:kern w:val="0"/>
          <w:sz w:val="24"/>
          <w:szCs w:val="24"/>
          <w:highlight w:val="none"/>
        </w:rPr>
        <w:t>……………（页码）</w:t>
      </w:r>
    </w:p>
    <w:p w14:paraId="60C1EA1A">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、授权委托书及委托代理人有效身份证正反面复印件</w:t>
      </w:r>
      <w:r>
        <w:rPr>
          <w:rFonts w:hint="eastAsia" w:ascii="宋体" w:hAnsi="宋体" w:eastAsia="宋体" w:cs="宋体"/>
          <w:color w:val="auto"/>
          <w:kern w:val="0"/>
          <w:sz w:val="24"/>
          <w:szCs w:val="24"/>
          <w:highlight w:val="none"/>
        </w:rPr>
        <w:t>………………………（页码）</w:t>
      </w:r>
    </w:p>
    <w:p w14:paraId="0F6D547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、磋商保证金提交凭证</w:t>
      </w:r>
      <w:r>
        <w:rPr>
          <w:rFonts w:hint="eastAsia" w:ascii="宋体" w:hAnsi="宋体" w:eastAsia="宋体" w:cs="宋体"/>
          <w:color w:val="auto"/>
          <w:kern w:val="0"/>
          <w:sz w:val="24"/>
          <w:szCs w:val="24"/>
          <w:highlight w:val="none"/>
        </w:rPr>
        <w:t>…………………………………………………………（页码）</w:t>
      </w:r>
    </w:p>
    <w:p w14:paraId="497B1EE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、商务要求偏离表</w:t>
      </w:r>
      <w:r>
        <w:rPr>
          <w:rFonts w:hint="eastAsia" w:ascii="宋体" w:hAnsi="宋体" w:eastAsia="宋体" w:cs="宋体"/>
          <w:color w:val="auto"/>
          <w:kern w:val="0"/>
          <w:sz w:val="24"/>
          <w:szCs w:val="24"/>
          <w:highlight w:val="none"/>
        </w:rPr>
        <w:t>………………………………………………………………（页码）</w:t>
      </w:r>
    </w:p>
    <w:p w14:paraId="13DAD19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、服务方案</w:t>
      </w:r>
      <w:r>
        <w:rPr>
          <w:rFonts w:hint="eastAsia" w:ascii="宋体" w:hAnsi="宋体" w:eastAsia="宋体" w:cs="宋体"/>
          <w:color w:val="auto"/>
          <w:kern w:val="0"/>
          <w:sz w:val="24"/>
          <w:szCs w:val="24"/>
          <w:highlight w:val="none"/>
        </w:rPr>
        <w:t>………………………………………………………………………（页码）</w:t>
      </w:r>
    </w:p>
    <w:p w14:paraId="410369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、技术要求偏离表</w:t>
      </w:r>
      <w:r>
        <w:rPr>
          <w:rFonts w:hint="eastAsia" w:ascii="宋体" w:hAnsi="宋体" w:eastAsia="宋体" w:cs="宋体"/>
          <w:color w:val="auto"/>
          <w:kern w:val="0"/>
          <w:sz w:val="24"/>
          <w:szCs w:val="24"/>
          <w:highlight w:val="none"/>
        </w:rPr>
        <w:t>………………………………………………………………（页码）</w:t>
      </w:r>
    </w:p>
    <w:p w14:paraId="42A53258">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、项目实施人员一览表</w:t>
      </w:r>
      <w:r>
        <w:rPr>
          <w:rFonts w:hint="eastAsia" w:ascii="宋体" w:hAnsi="宋体" w:eastAsia="宋体" w:cs="宋体"/>
          <w:color w:val="auto"/>
          <w:kern w:val="0"/>
          <w:sz w:val="24"/>
          <w:szCs w:val="24"/>
          <w:highlight w:val="none"/>
        </w:rPr>
        <w:t>………………………………………………………（页码）</w:t>
      </w:r>
    </w:p>
    <w:p w14:paraId="2D9497E9">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、对应采购需求的技术要求、商务要求提供的其他文件资料</w:t>
      </w:r>
      <w:r>
        <w:rPr>
          <w:rFonts w:hint="eastAsia" w:ascii="宋体" w:hAnsi="宋体" w:eastAsia="宋体" w:cs="宋体"/>
          <w:color w:val="auto"/>
          <w:kern w:val="0"/>
          <w:sz w:val="24"/>
          <w:szCs w:val="24"/>
          <w:highlight w:val="none"/>
        </w:rPr>
        <w:t>……………………………………………………（页码）</w:t>
      </w:r>
    </w:p>
    <w:p w14:paraId="76B5C5D7">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、供应商认为需要提供的其他有关资料</w:t>
      </w:r>
      <w:r>
        <w:rPr>
          <w:rFonts w:hint="eastAsia" w:ascii="宋体" w:hAnsi="宋体" w:eastAsia="宋体" w:cs="宋体"/>
          <w:color w:val="auto"/>
          <w:kern w:val="0"/>
          <w:sz w:val="24"/>
          <w:szCs w:val="24"/>
          <w:highlight w:val="none"/>
        </w:rPr>
        <w:t>……………………………………（页码）</w:t>
      </w:r>
    </w:p>
    <w:p w14:paraId="5829862E">
      <w:pPr>
        <w:snapToGrid w:val="0"/>
        <w:spacing w:before="156" w:beforeLines="50" w:after="50" w:line="360" w:lineRule="auto"/>
        <w:ind w:firstLine="640" w:firstLineChars="200"/>
        <w:rPr>
          <w:rFonts w:ascii="宋体" w:hAnsi="宋体"/>
          <w:color w:val="auto"/>
          <w:sz w:val="32"/>
          <w:szCs w:val="32"/>
          <w:highlight w:val="none"/>
        </w:rPr>
      </w:pPr>
    </w:p>
    <w:p w14:paraId="4EE599CE">
      <w:pPr>
        <w:spacing w:line="400" w:lineRule="exact"/>
        <w:rPr>
          <w:rFonts w:hint="eastAsia" w:ascii="仿宋_GB2312" w:hAnsi="仿宋_GB2312" w:eastAsia="仿宋_GB2312" w:cs="仿宋_GB2312"/>
          <w:color w:val="auto"/>
          <w:sz w:val="32"/>
          <w:szCs w:val="32"/>
          <w:highlight w:val="none"/>
        </w:rPr>
      </w:pPr>
    </w:p>
    <w:p w14:paraId="181E8DA9">
      <w:pPr>
        <w:spacing w:line="520" w:lineRule="exact"/>
        <w:jc w:val="center"/>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lang w:val="en-US" w:eastAsia="zh-CN"/>
        </w:rPr>
        <w:t>1、</w:t>
      </w:r>
      <w:r>
        <w:rPr>
          <w:rFonts w:hint="eastAsia" w:ascii="仿宋" w:hAnsi="仿宋" w:eastAsia="仿宋" w:cs="仿宋"/>
          <w:color w:val="auto"/>
          <w:sz w:val="44"/>
          <w:szCs w:val="44"/>
          <w:highlight w:val="none"/>
        </w:rPr>
        <w:t>无串通竞标行为的承诺函</w:t>
      </w:r>
    </w:p>
    <w:p w14:paraId="7C2E458E">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6737A15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A76279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F20640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E7DC4E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6FCCB12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B7E2C0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6E21D1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251FB035">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BB2B3E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7B0FA7F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8CEBD7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219918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46AE26C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E61B59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AF3179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C15F368">
      <w:pPr>
        <w:spacing w:line="360" w:lineRule="auto"/>
        <w:ind w:firstLine="480" w:firstLineChars="200"/>
        <w:contextualSpacing/>
        <w:rPr>
          <w:rFonts w:hint="eastAsia" w:ascii="宋体" w:hAnsi="宋体" w:cs="仿宋_GB2312"/>
          <w:color w:val="auto"/>
          <w:sz w:val="24"/>
          <w:highlight w:val="none"/>
        </w:rPr>
      </w:pPr>
    </w:p>
    <w:p w14:paraId="2AAD8B6A">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60BAF28">
      <w:pPr>
        <w:spacing w:line="360" w:lineRule="auto"/>
        <w:contextualSpacing/>
        <w:rPr>
          <w:rFonts w:hint="eastAsia" w:ascii="宋体" w:hAnsi="宋体" w:cs="仿宋_GB2312"/>
          <w:color w:val="auto"/>
          <w:sz w:val="24"/>
          <w:highlight w:val="none"/>
        </w:rPr>
      </w:pPr>
    </w:p>
    <w:p w14:paraId="5F86AFB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p>
    <w:p w14:paraId="303520A8">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2C5210B">
      <w:pPr>
        <w:spacing w:line="52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lang w:val="en-US" w:eastAsia="zh-CN"/>
        </w:rPr>
        <w:t>2、</w:t>
      </w:r>
      <w:r>
        <w:rPr>
          <w:rFonts w:hint="eastAsia" w:ascii="仿宋" w:hAnsi="仿宋" w:eastAsia="仿宋" w:cs="仿宋"/>
          <w:bCs/>
          <w:color w:val="auto"/>
          <w:sz w:val="44"/>
          <w:szCs w:val="44"/>
          <w:highlight w:val="none"/>
        </w:rPr>
        <w:t>竞  标  报  价  表</w:t>
      </w:r>
    </w:p>
    <w:p w14:paraId="1B0AF1EF">
      <w:pPr>
        <w:spacing w:line="440" w:lineRule="exact"/>
        <w:jc w:val="center"/>
        <w:rPr>
          <w:rFonts w:hint="eastAsia" w:ascii="仿宋" w:hAnsi="仿宋" w:eastAsia="仿宋" w:cs="仿宋"/>
          <w:bCs/>
          <w:color w:val="auto"/>
          <w:sz w:val="32"/>
          <w:szCs w:val="32"/>
          <w:highlight w:val="none"/>
        </w:rPr>
      </w:pPr>
    </w:p>
    <w:p w14:paraId="64608FFB">
      <w:pPr>
        <w:spacing w:line="360" w:lineRule="auto"/>
        <w:contextualSpacing/>
        <w:rPr>
          <w:rFonts w:hint="eastAsia" w:ascii="宋体" w:hAnsi="宋体" w:cs="仿宋_GB2312"/>
          <w:color w:val="auto"/>
          <w:sz w:val="24"/>
          <w:highlight w:val="none"/>
        </w:rPr>
      </w:pPr>
      <w:bookmarkStart w:id="49" w:name="OLE_LINK5"/>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E7619A2">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1B000ED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1F3A051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bookmarkEnd w:id="49"/>
    <w:tbl>
      <w:tblPr>
        <w:tblStyle w:val="21"/>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418"/>
        <w:gridCol w:w="1673"/>
        <w:gridCol w:w="1184"/>
      </w:tblGrid>
      <w:tr w14:paraId="654D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658800A9">
            <w:pPr>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序号</w:t>
            </w:r>
          </w:p>
        </w:tc>
        <w:tc>
          <w:tcPr>
            <w:tcW w:w="2947" w:type="dxa"/>
            <w:tcBorders>
              <w:top w:val="single" w:color="auto" w:sz="4" w:space="0"/>
              <w:left w:val="single" w:color="auto" w:sz="4" w:space="0"/>
              <w:bottom w:val="single" w:color="auto" w:sz="4" w:space="0"/>
              <w:right w:val="single" w:color="auto" w:sz="4" w:space="0"/>
            </w:tcBorders>
            <w:noWrap w:val="0"/>
            <w:vAlign w:val="center"/>
          </w:tcPr>
          <w:p w14:paraId="056628C0">
            <w:pPr>
              <w:spacing w:line="360" w:lineRule="auto"/>
              <w:jc w:val="center"/>
              <w:rPr>
                <w:rFonts w:ascii="宋体" w:hAnsi="宋体" w:eastAsia="宋体" w:cs="仿宋_GB2312"/>
                <w:color w:val="auto"/>
                <w:sz w:val="24"/>
                <w:highlight w:val="none"/>
              </w:rPr>
            </w:pPr>
            <w:r>
              <w:rPr>
                <w:rFonts w:hint="eastAsia" w:ascii="宋体" w:hAnsi="宋体" w:eastAsia="宋体" w:cs="Times New Roman"/>
                <w:b/>
                <w:color w:val="auto"/>
                <w:sz w:val="24"/>
                <w:highlight w:val="none"/>
              </w:rPr>
              <w:t>标的的名称</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459E4728">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数量及单位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741F430">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单价</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DF95CE8">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D603565">
            <w:pPr>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备注</w:t>
            </w:r>
          </w:p>
        </w:tc>
      </w:tr>
      <w:tr w14:paraId="6317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207C1C52">
            <w:pPr>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1</w:t>
            </w:r>
          </w:p>
        </w:tc>
        <w:tc>
          <w:tcPr>
            <w:tcW w:w="2947" w:type="dxa"/>
            <w:tcBorders>
              <w:top w:val="single" w:color="auto" w:sz="4" w:space="0"/>
              <w:left w:val="single" w:color="auto" w:sz="4" w:space="0"/>
              <w:bottom w:val="single" w:color="auto" w:sz="4" w:space="0"/>
              <w:right w:val="single" w:color="auto" w:sz="4" w:space="0"/>
            </w:tcBorders>
            <w:noWrap w:val="0"/>
            <w:vAlign w:val="center"/>
          </w:tcPr>
          <w:p w14:paraId="2CE0A9E6">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《All-in-One精细化运营管理体系建设》第二阶段服务项目-PFMS医师费绩效管理系统</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4636235">
            <w:pPr>
              <w:spacing w:line="360" w:lineRule="auto"/>
              <w:jc w:val="center"/>
              <w:rPr>
                <w:rFonts w:ascii="宋体" w:hAnsi="宋体" w:eastAsia="宋体" w:cs="仿宋_GB2312"/>
                <w:color w:val="auto"/>
                <w:sz w:val="24"/>
                <w:highlight w:val="none"/>
              </w:rPr>
            </w:pPr>
            <w:r>
              <w:rPr>
                <w:rFonts w:hint="eastAsia" w:ascii="宋体" w:hAnsi="宋体" w:cs="宋体"/>
                <w:color w:val="auto"/>
                <w:sz w:val="24"/>
                <w:szCs w:val="24"/>
                <w:highlight w:val="none"/>
                <w:lang w:val="en-US" w:eastAsia="zh-CN"/>
              </w:rPr>
              <w:t>1项</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12965E65">
            <w:pPr>
              <w:spacing w:line="360" w:lineRule="auto"/>
              <w:rPr>
                <w:rFonts w:ascii="宋体" w:hAnsi="宋体" w:eastAsia="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top"/>
          </w:tcPr>
          <w:p w14:paraId="590DB1D7">
            <w:pPr>
              <w:spacing w:line="360" w:lineRule="auto"/>
              <w:rPr>
                <w:rFonts w:ascii="宋体" w:hAnsi="宋体" w:eastAsia="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F540423">
            <w:pPr>
              <w:spacing w:line="360" w:lineRule="auto"/>
              <w:rPr>
                <w:rFonts w:ascii="宋体" w:hAnsi="宋体" w:eastAsia="宋体" w:cs="仿宋_GB2312"/>
                <w:color w:val="auto"/>
                <w:sz w:val="24"/>
                <w:highlight w:val="none"/>
              </w:rPr>
            </w:pPr>
          </w:p>
        </w:tc>
      </w:tr>
      <w:tr w14:paraId="75C9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noWrap w:val="0"/>
            <w:vAlign w:val="center"/>
          </w:tcPr>
          <w:p w14:paraId="71AC40A7">
            <w:pPr>
              <w:snapToGrid w:val="0"/>
              <w:spacing w:before="50" w:after="50" w:line="360" w:lineRule="auto"/>
              <w:rPr>
                <w:rFonts w:ascii="宋体" w:hAnsi="宋体" w:eastAsia="宋体" w:cs="仿宋_GB2312"/>
                <w:color w:val="auto"/>
                <w:sz w:val="24"/>
                <w:highlight w:val="none"/>
              </w:rPr>
            </w:pPr>
            <w:bookmarkStart w:id="50" w:name="OLE_LINK3"/>
            <w:bookmarkStart w:id="51" w:name="OLE_LINK2"/>
            <w:r>
              <w:rPr>
                <w:rFonts w:hint="eastAsia" w:ascii="宋体" w:hAnsi="宋体" w:eastAsia="宋体" w:cs="仿宋_GB2312"/>
                <w:color w:val="auto"/>
                <w:sz w:val="24"/>
                <w:highlight w:val="none"/>
              </w:rPr>
              <w:t>合计金额</w:t>
            </w:r>
            <w:bookmarkEnd w:id="50"/>
            <w:r>
              <w:rPr>
                <w:rFonts w:hint="eastAsia" w:ascii="宋体" w:hAnsi="宋体" w:eastAsia="宋体" w:cs="仿宋_GB2312"/>
                <w:color w:val="auto"/>
                <w:sz w:val="24"/>
                <w:highlight w:val="none"/>
              </w:rPr>
              <w:t>大写：人民币</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w:t>
            </w:r>
            <w:bookmarkEnd w:id="51"/>
          </w:p>
        </w:tc>
      </w:tr>
    </w:tbl>
    <w:p w14:paraId="0370194D">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6020B380">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1.供应商的报价表必须由法定代表人或者委托代理人签字并加盖供应商公章，</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09070D9D">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w:t>
      </w:r>
      <w:r>
        <w:rPr>
          <w:rFonts w:hint="eastAsia" w:ascii="宋体" w:hAnsi="宋体" w:cs="仿宋_GB2312"/>
          <w:color w:val="auto"/>
          <w:sz w:val="24"/>
          <w:highlight w:val="none"/>
          <w:lang w:eastAsia="zh-CN"/>
        </w:rPr>
        <w:t>后加</w:t>
      </w:r>
      <w:r>
        <w:rPr>
          <w:rFonts w:hint="eastAsia" w:ascii="宋体" w:hAnsi="宋体" w:cs="仿宋_GB2312"/>
          <w:color w:val="auto"/>
          <w:sz w:val="24"/>
          <w:highlight w:val="none"/>
        </w:rPr>
        <w:t>盖</w:t>
      </w:r>
      <w:r>
        <w:rPr>
          <w:rFonts w:hint="eastAsia" w:ascii="宋体" w:hAnsi="宋体" w:cs="仿宋_GB2312"/>
          <w:color w:val="auto"/>
          <w:sz w:val="24"/>
          <w:highlight w:val="none"/>
          <w:lang w:eastAsia="zh-CN"/>
        </w:rPr>
        <w:t>公</w:t>
      </w:r>
      <w:r>
        <w:rPr>
          <w:rFonts w:hint="eastAsia" w:ascii="宋体" w:hAnsi="宋体" w:cs="仿宋_GB2312"/>
          <w:color w:val="auto"/>
          <w:sz w:val="24"/>
          <w:highlight w:val="none"/>
        </w:rPr>
        <w:t>章</w:t>
      </w:r>
      <w:r>
        <w:rPr>
          <w:rFonts w:hint="eastAsia" w:ascii="宋体" w:hAnsi="宋体" w:cs="仿宋_GB2312"/>
          <w:b/>
          <w:color w:val="auto"/>
          <w:sz w:val="24"/>
          <w:highlight w:val="none"/>
        </w:rPr>
        <w:t>，否则其响应文件按无效响应处理。</w:t>
      </w:r>
    </w:p>
    <w:p w14:paraId="763C54E7">
      <w:pPr>
        <w:spacing w:line="360" w:lineRule="auto"/>
        <w:ind w:right="-817" w:rightChars="-389"/>
        <w:contextualSpacing/>
        <w:rPr>
          <w:rFonts w:hint="eastAsia" w:ascii="宋体" w:hAnsi="宋体" w:cs="仿宋_GB2312"/>
          <w:color w:val="auto"/>
          <w:sz w:val="24"/>
          <w:highlight w:val="none"/>
        </w:rPr>
      </w:pPr>
    </w:p>
    <w:p w14:paraId="4C54B8AA">
      <w:pPr>
        <w:spacing w:line="360" w:lineRule="auto"/>
        <w:ind w:right="-817" w:rightChars="-389" w:firstLine="2640" w:firstLineChars="1100"/>
        <w:contextualSpacing/>
        <w:rPr>
          <w:rFonts w:hint="eastAsia" w:ascii="宋体" w:hAnsi="宋体" w:cs="仿宋_GB2312"/>
          <w:color w:val="auto"/>
          <w:sz w:val="24"/>
          <w:highlight w:val="none"/>
        </w:rPr>
      </w:pPr>
      <w:bookmarkStart w:id="52" w:name="OLE_LINK4"/>
      <w:r>
        <w:rPr>
          <w:rFonts w:hint="eastAsia" w:ascii="宋体" w:hAnsi="宋体" w:cs="仿宋_GB2312"/>
          <w:color w:val="auto"/>
          <w:sz w:val="24"/>
          <w:highlight w:val="none"/>
        </w:rPr>
        <w:t xml:space="preserve">法定代表人或者委托代理人（签字）：                    </w:t>
      </w:r>
    </w:p>
    <w:p w14:paraId="18A8190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71F11A08">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bookmarkEnd w:id="52"/>
    <w:p w14:paraId="70D6D202">
      <w:pPr>
        <w:spacing w:line="240" w:lineRule="auto"/>
        <w:ind w:right="0" w:rightChars="0" w:firstLine="0" w:firstLineChars="0"/>
        <w:contextualSpacing w:val="0"/>
        <w:rPr>
          <w:rFonts w:hint="eastAsia" w:ascii="宋体" w:hAnsi="宋体" w:cs="仿宋_GB2312"/>
          <w:color w:val="auto"/>
          <w:sz w:val="24"/>
          <w:highlight w:val="none"/>
        </w:rPr>
      </w:pPr>
      <w:r>
        <w:rPr>
          <w:rFonts w:hint="eastAsia" w:ascii="宋体" w:hAnsi="宋体" w:cs="仿宋_GB2312"/>
          <w:color w:val="auto"/>
          <w:sz w:val="24"/>
          <w:highlight w:val="none"/>
        </w:rPr>
        <w:br w:type="page"/>
      </w:r>
    </w:p>
    <w:p w14:paraId="53E5241B">
      <w:pPr>
        <w:spacing w:before="0" w:beforeLines="-2147483648" w:after="0" w:afterLines="-2147483648" w:line="360" w:lineRule="auto"/>
        <w:ind w:left="0"/>
        <w:jc w:val="center"/>
        <w:rPr>
          <w:rFonts w:hint="eastAsia" w:ascii="仿宋_GB2312" w:hAnsi="仿宋_GB2312" w:eastAsia="仿宋_GB2312" w:cs="仿宋_GB2312"/>
          <w:color w:val="auto"/>
          <w:sz w:val="32"/>
          <w:szCs w:val="32"/>
          <w:highlight w:val="none"/>
        </w:rPr>
      </w:pPr>
      <w:r>
        <w:rPr>
          <w:rFonts w:hint="eastAsia" w:ascii="仿宋" w:hAnsi="仿宋" w:eastAsia="仿宋" w:cs="仿宋"/>
          <w:bCs/>
          <w:color w:val="auto"/>
          <w:sz w:val="44"/>
          <w:szCs w:val="44"/>
          <w:highlight w:val="none"/>
          <w:lang w:val="en-US" w:eastAsia="zh-CN"/>
        </w:rPr>
        <w:t>3、</w:t>
      </w:r>
      <w:r>
        <w:rPr>
          <w:rFonts w:hint="eastAsia" w:ascii="仿宋" w:hAnsi="仿宋" w:eastAsia="仿宋" w:cs="仿宋"/>
          <w:bCs/>
          <w:color w:val="auto"/>
          <w:sz w:val="44"/>
          <w:szCs w:val="44"/>
          <w:highlight w:val="none"/>
        </w:rPr>
        <w:t>法定代表人身份证明</w:t>
      </w:r>
    </w:p>
    <w:p w14:paraId="7AAC43F9">
      <w:pPr>
        <w:spacing w:line="360" w:lineRule="auto"/>
        <w:ind w:left="540"/>
        <w:contextualSpacing/>
        <w:rPr>
          <w:rFonts w:hint="eastAsia" w:ascii="仿宋_GB2312" w:hAnsi="仿宋_GB2312" w:eastAsia="仿宋_GB2312" w:cs="仿宋_GB2312"/>
          <w:color w:val="auto"/>
          <w:sz w:val="32"/>
          <w:szCs w:val="32"/>
          <w:highlight w:val="none"/>
        </w:rPr>
      </w:pPr>
    </w:p>
    <w:p w14:paraId="61FC34D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38D25F2">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46A55B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A5C3E9B">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512DE42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165658E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43AF40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4501CEC2">
      <w:pPr>
        <w:spacing w:line="360" w:lineRule="auto"/>
        <w:ind w:left="540"/>
        <w:contextualSpacing/>
        <w:rPr>
          <w:rFonts w:hint="eastAsia" w:ascii="宋体" w:hAnsi="宋体" w:cs="仿宋_GB2312"/>
          <w:color w:val="auto"/>
          <w:sz w:val="24"/>
          <w:highlight w:val="none"/>
        </w:rPr>
      </w:pPr>
    </w:p>
    <w:p w14:paraId="18A585F9">
      <w:pPr>
        <w:spacing w:line="360" w:lineRule="auto"/>
        <w:ind w:left="540"/>
        <w:contextualSpacing/>
        <w:rPr>
          <w:rFonts w:hint="eastAsia" w:ascii="宋体" w:hAnsi="宋体" w:cs="仿宋_GB2312"/>
          <w:color w:val="auto"/>
          <w:sz w:val="24"/>
          <w:highlight w:val="none"/>
        </w:rPr>
      </w:pPr>
    </w:p>
    <w:p w14:paraId="0916D3FA">
      <w:pPr>
        <w:spacing w:line="360" w:lineRule="auto"/>
        <w:ind w:left="540"/>
        <w:contextualSpacing/>
        <w:rPr>
          <w:rFonts w:hint="eastAsia" w:ascii="宋体" w:hAnsi="宋体" w:cs="仿宋_GB2312"/>
          <w:color w:val="auto"/>
          <w:sz w:val="24"/>
          <w:highlight w:val="none"/>
        </w:rPr>
      </w:pPr>
    </w:p>
    <w:p w14:paraId="6B56DB7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56F4871">
      <w:pPr>
        <w:spacing w:line="360" w:lineRule="auto"/>
        <w:ind w:left="540"/>
        <w:contextualSpacing/>
        <w:rPr>
          <w:rFonts w:hint="eastAsia" w:ascii="宋体" w:hAnsi="宋体" w:cs="仿宋_GB2312"/>
          <w:color w:val="auto"/>
          <w:sz w:val="24"/>
          <w:highlight w:val="none"/>
        </w:rPr>
      </w:pPr>
    </w:p>
    <w:p w14:paraId="28C51CC5">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p w14:paraId="3D533A0D">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A0ECEB1">
      <w:pPr>
        <w:spacing w:line="360" w:lineRule="auto"/>
        <w:contextualSpacing/>
        <w:jc w:val="center"/>
        <w:rPr>
          <w:rFonts w:hint="eastAsia" w:ascii="宋体" w:hAnsi="宋体" w:cs="仿宋_GB2312"/>
          <w:b/>
          <w:color w:val="auto"/>
          <w:sz w:val="24"/>
          <w:highlight w:val="none"/>
        </w:rPr>
      </w:pPr>
    </w:p>
    <w:p w14:paraId="0190BBF0">
      <w:pPr>
        <w:spacing w:line="360" w:lineRule="auto"/>
        <w:contextualSpacing/>
        <w:jc w:val="left"/>
        <w:rPr>
          <w:rFonts w:hint="eastAsia" w:ascii="宋体" w:hAnsi="宋体" w:cs="仿宋_GB2312"/>
          <w:color w:val="auto"/>
          <w:sz w:val="24"/>
          <w:highlight w:val="none"/>
        </w:rPr>
      </w:pPr>
    </w:p>
    <w:p w14:paraId="4911D54D">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2A2EDB0F">
      <w:pPr>
        <w:adjustRightInd w:val="0"/>
        <w:snapToGrid w:val="0"/>
        <w:spacing w:line="300" w:lineRule="auto"/>
        <w:jc w:val="left"/>
        <w:rPr>
          <w:rFonts w:hint="eastAsia" w:ascii="宋体" w:hAnsi="宋体"/>
          <w:b/>
          <w:color w:val="auto"/>
          <w:szCs w:val="21"/>
          <w:highlight w:val="none"/>
        </w:rPr>
      </w:pPr>
    </w:p>
    <w:p w14:paraId="706FEFA1">
      <w:pPr>
        <w:spacing w:line="50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ascii="仿宋" w:hAnsi="仿宋" w:eastAsia="仿宋" w:cs="仿宋"/>
          <w:color w:val="auto"/>
          <w:sz w:val="44"/>
          <w:szCs w:val="44"/>
          <w:highlight w:val="none"/>
        </w:rPr>
        <w:t xml:space="preserve"> </w:t>
      </w:r>
    </w:p>
    <w:p w14:paraId="24A3A221">
      <w:pPr>
        <w:spacing w:line="52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4、</w:t>
      </w:r>
      <w:r>
        <w:rPr>
          <w:rFonts w:hint="eastAsia" w:ascii="仿宋" w:hAnsi="仿宋" w:eastAsia="仿宋" w:cs="仿宋"/>
          <w:color w:val="auto"/>
          <w:sz w:val="44"/>
          <w:szCs w:val="44"/>
          <w:highlight w:val="none"/>
        </w:rPr>
        <w:t>授权委托书</w:t>
      </w:r>
    </w:p>
    <w:p w14:paraId="13968958">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（非联合体竞标格式）</w:t>
      </w:r>
    </w:p>
    <w:p w14:paraId="0D35496B">
      <w:pPr>
        <w:spacing w:line="52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34E3BC5C">
      <w:pPr>
        <w:spacing w:line="520" w:lineRule="exact"/>
        <w:rPr>
          <w:rFonts w:hint="eastAsia" w:ascii="仿宋_GB2312" w:hAnsi="仿宋_GB2312" w:eastAsia="仿宋_GB2312" w:cs="仿宋_GB2312"/>
          <w:color w:val="auto"/>
          <w:sz w:val="32"/>
          <w:szCs w:val="32"/>
          <w:highlight w:val="none"/>
        </w:rPr>
      </w:pPr>
    </w:p>
    <w:p w14:paraId="5079B94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0D90E9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E44C8D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2E74A15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4E2B4F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4D29832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附：法定代表人身份证明及委托代理人有效身份证正反面复印件</w:t>
      </w:r>
    </w:p>
    <w:p w14:paraId="30E6C375">
      <w:pPr>
        <w:spacing w:line="360" w:lineRule="auto"/>
        <w:rPr>
          <w:rFonts w:hint="eastAsia" w:ascii="宋体" w:hAnsi="宋体" w:cs="仿宋_GB2312"/>
          <w:color w:val="auto"/>
          <w:sz w:val="24"/>
          <w:highlight w:val="none"/>
        </w:rPr>
      </w:pPr>
    </w:p>
    <w:p w14:paraId="736C445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14:paraId="0456359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546C693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A9234C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4901CD6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5ECBC301">
      <w:pPr>
        <w:spacing w:line="360" w:lineRule="auto"/>
        <w:rPr>
          <w:rFonts w:hint="eastAsia" w:ascii="宋体" w:hAnsi="宋体" w:cs="仿宋_GB2312"/>
          <w:color w:val="auto"/>
          <w:sz w:val="24"/>
          <w:highlight w:val="none"/>
        </w:rPr>
      </w:pPr>
    </w:p>
    <w:p w14:paraId="17896A02">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3FBF673D">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53" w:name="_Hlk65853109"/>
      <w:bookmarkStart w:id="54" w:name="_Hlk65853542"/>
      <w:r>
        <w:rPr>
          <w:rFonts w:hint="eastAsia" w:ascii="宋体" w:hAnsi="宋体" w:cs="仿宋_GB2312"/>
          <w:color w:val="auto"/>
          <w:sz w:val="24"/>
          <w:highlight w:val="none"/>
        </w:rPr>
        <w:t>法人、其他组织竞标时“我方”是指“我单位”，自然人竞标时“我方”是指“本人”。</w:t>
      </w:r>
      <w:bookmarkEnd w:id="53"/>
    </w:p>
    <w:bookmarkEnd w:id="54"/>
    <w:p w14:paraId="2B2CBCBA">
      <w:pPr>
        <w:spacing w:line="360" w:lineRule="auto"/>
        <w:ind w:firstLine="420" w:firstLineChars="200"/>
        <w:jc w:val="left"/>
        <w:rPr>
          <w:rFonts w:hint="eastAsia" w:ascii="仿宋_GB2312" w:hAnsi="仿宋_GB2312" w:eastAsia="仿宋_GB2312" w:cs="仿宋_GB2312"/>
          <w:color w:val="auto"/>
          <w:szCs w:val="21"/>
          <w:highlight w:val="none"/>
        </w:rPr>
      </w:pPr>
    </w:p>
    <w:p w14:paraId="4373EEEC">
      <w:pP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r>
        <w:rPr>
          <w:rFonts w:hint="eastAsia" w:ascii="仿宋" w:hAnsi="仿宋" w:eastAsia="仿宋" w:cs="仿宋"/>
          <w:bCs/>
          <w:color w:val="auto"/>
          <w:sz w:val="44"/>
          <w:szCs w:val="44"/>
          <w:highlight w:val="none"/>
          <w:lang w:val="en-US" w:eastAsia="zh-CN"/>
        </w:rPr>
        <w:t>5</w:t>
      </w:r>
      <w:r>
        <w:rPr>
          <w:rFonts w:hint="eastAsia" w:ascii="仿宋" w:hAnsi="仿宋" w:eastAsia="仿宋" w:cs="仿宋"/>
          <w:bCs/>
          <w:color w:val="auto"/>
          <w:sz w:val="44"/>
          <w:szCs w:val="44"/>
          <w:highlight w:val="none"/>
        </w:rPr>
        <w:t>、磋商保证金提交凭证</w:t>
      </w:r>
    </w:p>
    <w:p w14:paraId="24C544F8">
      <w:pPr>
        <w:spacing w:line="360" w:lineRule="auto"/>
        <w:ind w:firstLine="602" w:firstLineChars="200"/>
        <w:rPr>
          <w:rFonts w:hint="eastAsia" w:ascii="宋体" w:hAnsi="宋体" w:eastAsia="宋体" w:cs="宋体"/>
          <w:b/>
          <w:color w:val="auto"/>
          <w:kern w:val="0"/>
          <w:sz w:val="30"/>
          <w:szCs w:val="30"/>
          <w:highlight w:val="none"/>
        </w:rPr>
      </w:pPr>
    </w:p>
    <w:p w14:paraId="0F713E9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1203C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6FA289D">
      <w:pPr>
        <w:spacing w:line="500" w:lineRule="exact"/>
        <w:jc w:val="center"/>
        <w:rPr>
          <w:rFonts w:hint="eastAsia" w:ascii="仿宋" w:hAnsi="仿宋" w:eastAsia="仿宋" w:cs="仿宋"/>
          <w:bCs/>
          <w:color w:val="auto"/>
          <w:sz w:val="44"/>
          <w:szCs w:val="44"/>
          <w:highlight w:val="none"/>
        </w:rPr>
      </w:pPr>
    </w:p>
    <w:p w14:paraId="11807D4E">
      <w:pPr>
        <w:spacing w:line="500" w:lineRule="exact"/>
        <w:jc w:val="center"/>
        <w:rPr>
          <w:rFonts w:hint="eastAsia" w:ascii="仿宋" w:hAnsi="仿宋" w:eastAsia="仿宋" w:cs="仿宋"/>
          <w:bCs/>
          <w:color w:val="auto"/>
          <w:sz w:val="44"/>
          <w:szCs w:val="44"/>
          <w:highlight w:val="none"/>
        </w:rPr>
      </w:pPr>
    </w:p>
    <w:p w14:paraId="769D6675">
      <w:pPr>
        <w:spacing w:line="500" w:lineRule="exact"/>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lang w:val="en-US" w:eastAsia="zh-CN"/>
        </w:rPr>
        <w:t>6、</w:t>
      </w:r>
      <w:r>
        <w:rPr>
          <w:rFonts w:hint="eastAsia" w:ascii="仿宋" w:hAnsi="仿宋" w:eastAsia="仿宋" w:cs="仿宋"/>
          <w:bCs/>
          <w:color w:val="auto"/>
          <w:sz w:val="44"/>
          <w:szCs w:val="44"/>
          <w:highlight w:val="none"/>
        </w:rPr>
        <w:t>商务要求偏离表</w:t>
      </w:r>
    </w:p>
    <w:p w14:paraId="11980580">
      <w:pPr>
        <w:spacing w:line="360" w:lineRule="auto"/>
        <w:contextualSpacing/>
        <w:jc w:val="left"/>
        <w:rPr>
          <w:rFonts w:hint="eastAsia" w:ascii="宋体" w:hAnsi="宋体"/>
          <w:color w:val="auto"/>
          <w:sz w:val="24"/>
          <w:highlight w:val="none"/>
        </w:rPr>
      </w:pPr>
    </w:p>
    <w:p w14:paraId="152833D2">
      <w:pPr>
        <w:pStyle w:val="13"/>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6E8A0C83">
      <w:pPr>
        <w:spacing w:line="360" w:lineRule="auto"/>
        <w:contextualSpacing/>
        <w:jc w:val="left"/>
        <w:rPr>
          <w:rFonts w:hint="eastAsia" w:ascii="宋体" w:hAnsi="宋体" w:cs="仿宋_GB2312"/>
          <w:color w:val="auto"/>
          <w:sz w:val="24"/>
          <w:highlight w:val="none"/>
          <w:u w:val="single"/>
        </w:rPr>
      </w:pPr>
    </w:p>
    <w:tbl>
      <w:tblPr>
        <w:tblStyle w:val="2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7379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9920DBD">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5E162B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3C3A03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6296FC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61F2A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B517E17">
            <w:pPr>
              <w:keepNext w:val="0"/>
              <w:keepLines w:val="0"/>
              <w:pageBreakBefore w:val="0"/>
              <w:tabs>
                <w:tab w:val="left" w:pos="180"/>
                <w:tab w:val="left" w:pos="1620"/>
              </w:tabs>
              <w:kinsoku/>
              <w:overflowPunct/>
              <w:topLinePunct w:val="0"/>
              <w:autoSpaceDE/>
              <w:autoSpaceDN/>
              <w:bidi w:val="0"/>
              <w:spacing w:line="356" w:lineRule="exact"/>
              <w:jc w:val="center"/>
              <w:textAlignment w:val="auto"/>
              <w:rPr>
                <w:rFonts w:ascii="宋体" w:hAnsi="宋体"/>
                <w:color w:val="auto"/>
                <w:sz w:val="24"/>
                <w:highlight w:val="none"/>
              </w:rPr>
            </w:pPr>
            <w:r>
              <w:rPr>
                <w:rFonts w:hint="eastAsia" w:ascii="宋体" w:hAnsi="宋体"/>
                <w:color w:val="auto"/>
                <w:sz w:val="24"/>
                <w:highlight w:val="none"/>
              </w:rPr>
              <w:t>合同签订期</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13356D2">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EDF9E03">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26C11CE">
            <w:pPr>
              <w:spacing w:line="360" w:lineRule="auto"/>
              <w:contextualSpacing/>
              <w:jc w:val="center"/>
              <w:rPr>
                <w:rFonts w:hint="eastAsia" w:ascii="宋体" w:hAnsi="宋体" w:cs="仿宋_GB2312"/>
                <w:color w:val="auto"/>
                <w:sz w:val="24"/>
                <w:highlight w:val="none"/>
              </w:rPr>
            </w:pPr>
          </w:p>
        </w:tc>
      </w:tr>
      <w:tr w14:paraId="23DE0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E6F09F7">
            <w:pPr>
              <w:keepNext w:val="0"/>
              <w:keepLines w:val="0"/>
              <w:pageBreakBefore w:val="0"/>
              <w:tabs>
                <w:tab w:val="left" w:pos="180"/>
                <w:tab w:val="left" w:pos="1620"/>
              </w:tabs>
              <w:kinsoku/>
              <w:overflowPunct/>
              <w:topLinePunct w:val="0"/>
              <w:autoSpaceDE/>
              <w:autoSpaceDN/>
              <w:bidi w:val="0"/>
              <w:spacing w:line="356" w:lineRule="exact"/>
              <w:jc w:val="center"/>
              <w:textAlignment w:val="auto"/>
              <w:rPr>
                <w:rFonts w:ascii="宋体" w:hAnsi="宋体"/>
                <w:color w:val="auto"/>
                <w:sz w:val="24"/>
                <w:highlight w:val="none"/>
              </w:rPr>
            </w:pPr>
            <w:r>
              <w:rPr>
                <w:rFonts w:hint="eastAsia" w:ascii="宋体" w:hAnsi="宋体"/>
                <w:color w:val="auto"/>
                <w:sz w:val="24"/>
                <w:highlight w:val="none"/>
              </w:rPr>
              <w:t>交付时间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D023AAB">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70DD0C7">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B960584">
            <w:pPr>
              <w:spacing w:line="360" w:lineRule="auto"/>
              <w:ind w:left="43"/>
              <w:contextualSpacing/>
              <w:jc w:val="center"/>
              <w:rPr>
                <w:rFonts w:hint="eastAsia" w:ascii="宋体" w:hAnsi="宋体" w:cs="仿宋_GB2312"/>
                <w:color w:val="auto"/>
                <w:sz w:val="24"/>
                <w:highlight w:val="none"/>
              </w:rPr>
            </w:pPr>
          </w:p>
        </w:tc>
      </w:tr>
      <w:tr w14:paraId="22508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12A7129">
            <w:pPr>
              <w:keepNext w:val="0"/>
              <w:keepLines w:val="0"/>
              <w:pageBreakBefore w:val="0"/>
              <w:tabs>
                <w:tab w:val="left" w:pos="180"/>
                <w:tab w:val="left" w:pos="1620"/>
              </w:tabs>
              <w:kinsoku/>
              <w:overflowPunct/>
              <w:topLinePunct w:val="0"/>
              <w:autoSpaceDE/>
              <w:autoSpaceDN/>
              <w:bidi w:val="0"/>
              <w:spacing w:line="356" w:lineRule="exact"/>
              <w:jc w:val="center"/>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服务地点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FEB86C8">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4FCBC2C">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18E4474">
            <w:pPr>
              <w:spacing w:line="360" w:lineRule="auto"/>
              <w:contextualSpacing/>
              <w:jc w:val="center"/>
              <w:rPr>
                <w:rFonts w:hint="eastAsia" w:ascii="宋体" w:hAnsi="宋体" w:cs="仿宋_GB2312"/>
                <w:color w:val="auto"/>
                <w:sz w:val="24"/>
                <w:highlight w:val="none"/>
              </w:rPr>
            </w:pPr>
          </w:p>
        </w:tc>
      </w:tr>
      <w:tr w14:paraId="095DC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74B0785">
            <w:pPr>
              <w:tabs>
                <w:tab w:val="left" w:pos="180"/>
                <w:tab w:val="left" w:pos="1620"/>
              </w:tabs>
              <w:spacing w:line="380" w:lineRule="exact"/>
              <w:jc w:val="center"/>
              <w:rPr>
                <w:rFonts w:hint="eastAsia" w:ascii="宋体" w:hAnsi="宋体" w:cs="仿宋"/>
                <w:color w:val="auto"/>
                <w:szCs w:val="21"/>
                <w:highlight w:val="none"/>
              </w:rPr>
            </w:pPr>
            <w:r>
              <w:rPr>
                <w:rFonts w:hint="eastAsia" w:ascii="宋体" w:hAnsi="宋体" w:eastAsia="宋体" w:cs="宋体"/>
                <w:b/>
                <w:bCs/>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3695D34">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1955FA8">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1219514">
            <w:pPr>
              <w:spacing w:line="360" w:lineRule="auto"/>
              <w:contextualSpacing/>
              <w:jc w:val="center"/>
              <w:rPr>
                <w:rFonts w:hint="eastAsia" w:ascii="宋体" w:hAnsi="宋体" w:cs="仿宋_GB2312"/>
                <w:color w:val="auto"/>
                <w:sz w:val="24"/>
                <w:highlight w:val="none"/>
              </w:rPr>
            </w:pPr>
          </w:p>
        </w:tc>
      </w:tr>
    </w:tbl>
    <w:p w14:paraId="3F75E286">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7FD1E1D9">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6C621C00">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C0CCE87">
      <w:pPr>
        <w:spacing w:line="360" w:lineRule="auto"/>
        <w:ind w:right="-817" w:rightChars="-389"/>
        <w:contextualSpacing/>
        <w:rPr>
          <w:rFonts w:hint="eastAsia" w:ascii="宋体" w:hAnsi="宋体" w:cs="仿宋_GB2312"/>
          <w:color w:val="auto"/>
          <w:sz w:val="24"/>
          <w:highlight w:val="none"/>
        </w:rPr>
      </w:pPr>
    </w:p>
    <w:p w14:paraId="4908A584">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0A49D483">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641A8993">
      <w:pPr>
        <w:spacing w:line="360" w:lineRule="auto"/>
        <w:ind w:right="-817" w:rightChars="-389" w:firstLine="4080" w:firstLineChars="17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06B34949">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68FFAC25">
      <w:pPr>
        <w:numPr>
          <w:ilvl w:val="0"/>
          <w:numId w:val="0"/>
        </w:numPr>
        <w:adjustRightInd w:val="0"/>
        <w:snapToGrid w:val="0"/>
        <w:spacing w:line="30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kern w:val="2"/>
          <w:sz w:val="44"/>
          <w:szCs w:val="44"/>
          <w:highlight w:val="none"/>
          <w:lang w:val="en-US" w:eastAsia="zh-CN" w:bidi="ar-SA"/>
        </w:rPr>
        <w:t>7、</w:t>
      </w:r>
      <w:r>
        <w:rPr>
          <w:rFonts w:hint="eastAsia" w:ascii="仿宋" w:hAnsi="仿宋" w:eastAsia="仿宋" w:cs="仿宋"/>
          <w:bCs/>
          <w:color w:val="auto"/>
          <w:sz w:val="44"/>
          <w:szCs w:val="44"/>
          <w:highlight w:val="none"/>
        </w:rPr>
        <w:t>服务方案</w:t>
      </w:r>
      <w:r>
        <w:rPr>
          <w:rFonts w:hint="eastAsia" w:ascii="仿宋" w:hAnsi="仿宋" w:eastAsia="仿宋" w:cs="仿宋"/>
          <w:bCs/>
          <w:color w:val="auto"/>
          <w:sz w:val="32"/>
          <w:szCs w:val="32"/>
          <w:highlight w:val="none"/>
          <w:lang w:eastAsia="zh-CN"/>
        </w:rPr>
        <w:t>（竞标人自行编制）</w:t>
      </w:r>
    </w:p>
    <w:p w14:paraId="017E98E1">
      <w:pPr>
        <w:spacing w:line="360" w:lineRule="auto"/>
        <w:ind w:firstLine="602" w:firstLineChars="200"/>
        <w:rPr>
          <w:rFonts w:hint="eastAsia" w:ascii="宋体" w:hAnsi="宋体" w:eastAsia="宋体" w:cs="宋体"/>
          <w:b/>
          <w:color w:val="auto"/>
          <w:kern w:val="0"/>
          <w:sz w:val="30"/>
          <w:szCs w:val="30"/>
          <w:highlight w:val="none"/>
        </w:rPr>
      </w:pPr>
    </w:p>
    <w:p w14:paraId="24401AE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942BD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45623C0">
      <w:pPr>
        <w:autoSpaceDE w:val="0"/>
        <w:autoSpaceDN w:val="0"/>
        <w:spacing w:line="360" w:lineRule="auto"/>
        <w:rPr>
          <w:rFonts w:hint="eastAsia" w:ascii="宋体" w:hAnsi="宋体" w:eastAsia="宋体" w:cs="宋体"/>
          <w:b/>
          <w:color w:val="auto"/>
          <w:sz w:val="21"/>
          <w:szCs w:val="21"/>
          <w:highlight w:val="none"/>
        </w:rPr>
      </w:pPr>
    </w:p>
    <w:p w14:paraId="034E8417">
      <w:pPr>
        <w:autoSpaceDE w:val="0"/>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附表A:售后服务机构情况表</w:t>
      </w:r>
      <w:r>
        <w:rPr>
          <w:rFonts w:hint="eastAsia" w:ascii="宋体" w:hAnsi="宋体" w:eastAsia="宋体" w:cs="宋体"/>
          <w:color w:val="auto"/>
          <w:sz w:val="21"/>
          <w:szCs w:val="21"/>
          <w:highlight w:val="none"/>
        </w:rPr>
        <w:t>（按此格式自制）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8F3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2CC0813">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40" w:type="dxa"/>
            <w:noWrap w:val="0"/>
            <w:vAlign w:val="center"/>
          </w:tcPr>
          <w:p w14:paraId="11809B2A">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机构名称</w:t>
            </w:r>
          </w:p>
        </w:tc>
        <w:tc>
          <w:tcPr>
            <w:tcW w:w="1095" w:type="dxa"/>
            <w:noWrap w:val="0"/>
            <w:vAlign w:val="center"/>
          </w:tcPr>
          <w:p w14:paraId="221DC0C4">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机构性质</w:t>
            </w:r>
          </w:p>
        </w:tc>
        <w:tc>
          <w:tcPr>
            <w:tcW w:w="1245" w:type="dxa"/>
            <w:noWrap w:val="0"/>
            <w:vAlign w:val="center"/>
          </w:tcPr>
          <w:p w14:paraId="304757A4">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注册地址</w:t>
            </w:r>
          </w:p>
        </w:tc>
        <w:tc>
          <w:tcPr>
            <w:tcW w:w="1980" w:type="dxa"/>
            <w:noWrap w:val="0"/>
            <w:vAlign w:val="center"/>
          </w:tcPr>
          <w:p w14:paraId="3319EBC7">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货物技术人员数量</w:t>
            </w:r>
          </w:p>
        </w:tc>
        <w:tc>
          <w:tcPr>
            <w:tcW w:w="1260" w:type="dxa"/>
            <w:noWrap w:val="0"/>
            <w:vAlign w:val="center"/>
          </w:tcPr>
          <w:p w14:paraId="2C1C8905">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联系电话</w:t>
            </w:r>
          </w:p>
        </w:tc>
      </w:tr>
      <w:tr w14:paraId="407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noWrap w:val="0"/>
            <w:vAlign w:val="center"/>
          </w:tcPr>
          <w:p w14:paraId="76ED84F6">
            <w:pPr>
              <w:autoSpaceDE w:val="0"/>
              <w:autoSpaceDN w:val="0"/>
              <w:spacing w:line="360" w:lineRule="auto"/>
              <w:jc w:val="center"/>
              <w:rPr>
                <w:rFonts w:hint="eastAsia" w:ascii="宋体" w:hAnsi="宋体" w:eastAsia="宋体" w:cs="宋体"/>
                <w:color w:val="auto"/>
                <w:sz w:val="21"/>
                <w:szCs w:val="21"/>
                <w:highlight w:val="none"/>
              </w:rPr>
            </w:pPr>
          </w:p>
        </w:tc>
        <w:tc>
          <w:tcPr>
            <w:tcW w:w="2340" w:type="dxa"/>
            <w:noWrap w:val="0"/>
            <w:vAlign w:val="center"/>
          </w:tcPr>
          <w:p w14:paraId="41E051B8">
            <w:pPr>
              <w:autoSpaceDE w:val="0"/>
              <w:autoSpaceDN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14:paraId="31623F99">
            <w:pPr>
              <w:autoSpaceDE w:val="0"/>
              <w:autoSpaceDN w:val="0"/>
              <w:spacing w:line="360" w:lineRule="auto"/>
              <w:jc w:val="center"/>
              <w:rPr>
                <w:rFonts w:hint="eastAsia" w:ascii="宋体" w:hAnsi="宋体" w:eastAsia="宋体" w:cs="宋体"/>
                <w:color w:val="auto"/>
                <w:sz w:val="21"/>
                <w:szCs w:val="21"/>
                <w:highlight w:val="none"/>
              </w:rPr>
            </w:pPr>
          </w:p>
        </w:tc>
        <w:tc>
          <w:tcPr>
            <w:tcW w:w="1245" w:type="dxa"/>
            <w:noWrap w:val="0"/>
            <w:vAlign w:val="center"/>
          </w:tcPr>
          <w:p w14:paraId="1B7844C0">
            <w:pPr>
              <w:autoSpaceDE w:val="0"/>
              <w:autoSpaceDN w:val="0"/>
              <w:spacing w:line="360" w:lineRule="auto"/>
              <w:jc w:val="center"/>
              <w:rPr>
                <w:rFonts w:hint="eastAsia" w:ascii="宋体" w:hAnsi="宋体" w:eastAsia="宋体" w:cs="宋体"/>
                <w:color w:val="auto"/>
                <w:sz w:val="21"/>
                <w:szCs w:val="21"/>
                <w:highlight w:val="none"/>
              </w:rPr>
            </w:pPr>
          </w:p>
        </w:tc>
        <w:tc>
          <w:tcPr>
            <w:tcW w:w="1980" w:type="dxa"/>
            <w:noWrap w:val="0"/>
            <w:vAlign w:val="center"/>
          </w:tcPr>
          <w:p w14:paraId="3D43AC77">
            <w:pPr>
              <w:autoSpaceDE w:val="0"/>
              <w:autoSpaceDN w:val="0"/>
              <w:spacing w:line="360" w:lineRule="auto"/>
              <w:jc w:val="center"/>
              <w:rPr>
                <w:rFonts w:hint="eastAsia" w:ascii="宋体" w:hAnsi="宋体" w:eastAsia="宋体" w:cs="宋体"/>
                <w:color w:val="auto"/>
                <w:sz w:val="21"/>
                <w:szCs w:val="21"/>
                <w:highlight w:val="none"/>
              </w:rPr>
            </w:pPr>
          </w:p>
        </w:tc>
        <w:tc>
          <w:tcPr>
            <w:tcW w:w="1260" w:type="dxa"/>
            <w:noWrap w:val="0"/>
            <w:vAlign w:val="center"/>
          </w:tcPr>
          <w:p w14:paraId="5EF1B232">
            <w:pPr>
              <w:autoSpaceDE w:val="0"/>
              <w:autoSpaceDN w:val="0"/>
              <w:spacing w:line="360" w:lineRule="auto"/>
              <w:jc w:val="center"/>
              <w:rPr>
                <w:rFonts w:hint="eastAsia" w:ascii="宋体" w:hAnsi="宋体" w:eastAsia="宋体" w:cs="宋体"/>
                <w:color w:val="auto"/>
                <w:sz w:val="21"/>
                <w:szCs w:val="21"/>
                <w:highlight w:val="none"/>
              </w:rPr>
            </w:pPr>
          </w:p>
        </w:tc>
      </w:tr>
      <w:tr w14:paraId="670E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8CBCDD3">
            <w:pPr>
              <w:autoSpaceDE w:val="0"/>
              <w:autoSpaceDN w:val="0"/>
              <w:spacing w:line="360" w:lineRule="auto"/>
              <w:jc w:val="center"/>
              <w:rPr>
                <w:rFonts w:hint="eastAsia" w:ascii="宋体" w:hAnsi="宋体" w:eastAsia="宋体" w:cs="宋体"/>
                <w:color w:val="auto"/>
                <w:sz w:val="21"/>
                <w:szCs w:val="21"/>
                <w:highlight w:val="none"/>
              </w:rPr>
            </w:pPr>
          </w:p>
        </w:tc>
        <w:tc>
          <w:tcPr>
            <w:tcW w:w="2340" w:type="dxa"/>
            <w:noWrap w:val="0"/>
            <w:vAlign w:val="center"/>
          </w:tcPr>
          <w:p w14:paraId="6E859A61">
            <w:pPr>
              <w:autoSpaceDE w:val="0"/>
              <w:autoSpaceDN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14:paraId="328F7D62">
            <w:pPr>
              <w:autoSpaceDE w:val="0"/>
              <w:autoSpaceDN w:val="0"/>
              <w:spacing w:line="360" w:lineRule="auto"/>
              <w:jc w:val="center"/>
              <w:rPr>
                <w:rFonts w:hint="eastAsia" w:ascii="宋体" w:hAnsi="宋体" w:eastAsia="宋体" w:cs="宋体"/>
                <w:color w:val="auto"/>
                <w:sz w:val="21"/>
                <w:szCs w:val="21"/>
                <w:highlight w:val="none"/>
              </w:rPr>
            </w:pPr>
          </w:p>
        </w:tc>
        <w:tc>
          <w:tcPr>
            <w:tcW w:w="1245" w:type="dxa"/>
            <w:noWrap w:val="0"/>
            <w:vAlign w:val="center"/>
          </w:tcPr>
          <w:p w14:paraId="56EA45CA">
            <w:pPr>
              <w:autoSpaceDE w:val="0"/>
              <w:autoSpaceDN w:val="0"/>
              <w:spacing w:line="360" w:lineRule="auto"/>
              <w:jc w:val="center"/>
              <w:rPr>
                <w:rFonts w:hint="eastAsia" w:ascii="宋体" w:hAnsi="宋体" w:eastAsia="宋体" w:cs="宋体"/>
                <w:color w:val="auto"/>
                <w:sz w:val="21"/>
                <w:szCs w:val="21"/>
                <w:highlight w:val="none"/>
              </w:rPr>
            </w:pPr>
          </w:p>
        </w:tc>
        <w:tc>
          <w:tcPr>
            <w:tcW w:w="1980" w:type="dxa"/>
            <w:noWrap w:val="0"/>
            <w:vAlign w:val="center"/>
          </w:tcPr>
          <w:p w14:paraId="50039A3B">
            <w:pPr>
              <w:autoSpaceDE w:val="0"/>
              <w:autoSpaceDN w:val="0"/>
              <w:spacing w:line="360" w:lineRule="auto"/>
              <w:jc w:val="center"/>
              <w:rPr>
                <w:rFonts w:hint="eastAsia" w:ascii="宋体" w:hAnsi="宋体" w:eastAsia="宋体" w:cs="宋体"/>
                <w:color w:val="auto"/>
                <w:sz w:val="21"/>
                <w:szCs w:val="21"/>
                <w:highlight w:val="none"/>
              </w:rPr>
            </w:pPr>
          </w:p>
        </w:tc>
        <w:tc>
          <w:tcPr>
            <w:tcW w:w="1260" w:type="dxa"/>
            <w:noWrap w:val="0"/>
            <w:vAlign w:val="center"/>
          </w:tcPr>
          <w:p w14:paraId="60E37702">
            <w:pPr>
              <w:autoSpaceDE w:val="0"/>
              <w:autoSpaceDN w:val="0"/>
              <w:spacing w:line="360" w:lineRule="auto"/>
              <w:jc w:val="center"/>
              <w:rPr>
                <w:rFonts w:hint="eastAsia" w:ascii="宋体" w:hAnsi="宋体" w:eastAsia="宋体" w:cs="宋体"/>
                <w:color w:val="auto"/>
                <w:sz w:val="21"/>
                <w:szCs w:val="21"/>
                <w:highlight w:val="none"/>
              </w:rPr>
            </w:pPr>
          </w:p>
        </w:tc>
      </w:tr>
      <w:tr w14:paraId="3741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2D3ED24">
            <w:pPr>
              <w:autoSpaceDE w:val="0"/>
              <w:autoSpaceDN w:val="0"/>
              <w:spacing w:line="360" w:lineRule="auto"/>
              <w:jc w:val="center"/>
              <w:rPr>
                <w:rFonts w:hint="eastAsia" w:ascii="宋体" w:hAnsi="宋体" w:eastAsia="宋体" w:cs="宋体"/>
                <w:color w:val="auto"/>
                <w:sz w:val="21"/>
                <w:szCs w:val="21"/>
                <w:highlight w:val="none"/>
              </w:rPr>
            </w:pPr>
          </w:p>
        </w:tc>
        <w:tc>
          <w:tcPr>
            <w:tcW w:w="2340" w:type="dxa"/>
            <w:noWrap w:val="0"/>
            <w:vAlign w:val="center"/>
          </w:tcPr>
          <w:p w14:paraId="75FF2111">
            <w:pPr>
              <w:autoSpaceDE w:val="0"/>
              <w:autoSpaceDN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14:paraId="5A18642E">
            <w:pPr>
              <w:autoSpaceDE w:val="0"/>
              <w:autoSpaceDN w:val="0"/>
              <w:spacing w:line="360" w:lineRule="auto"/>
              <w:jc w:val="center"/>
              <w:rPr>
                <w:rFonts w:hint="eastAsia" w:ascii="宋体" w:hAnsi="宋体" w:eastAsia="宋体" w:cs="宋体"/>
                <w:color w:val="auto"/>
                <w:sz w:val="21"/>
                <w:szCs w:val="21"/>
                <w:highlight w:val="none"/>
              </w:rPr>
            </w:pPr>
          </w:p>
        </w:tc>
        <w:tc>
          <w:tcPr>
            <w:tcW w:w="1245" w:type="dxa"/>
            <w:noWrap w:val="0"/>
            <w:vAlign w:val="center"/>
          </w:tcPr>
          <w:p w14:paraId="4612A1B0">
            <w:pPr>
              <w:autoSpaceDE w:val="0"/>
              <w:autoSpaceDN w:val="0"/>
              <w:spacing w:line="360" w:lineRule="auto"/>
              <w:jc w:val="center"/>
              <w:rPr>
                <w:rFonts w:hint="eastAsia" w:ascii="宋体" w:hAnsi="宋体" w:eastAsia="宋体" w:cs="宋体"/>
                <w:color w:val="auto"/>
                <w:sz w:val="21"/>
                <w:szCs w:val="21"/>
                <w:highlight w:val="none"/>
              </w:rPr>
            </w:pPr>
          </w:p>
        </w:tc>
        <w:tc>
          <w:tcPr>
            <w:tcW w:w="1980" w:type="dxa"/>
            <w:noWrap w:val="0"/>
            <w:vAlign w:val="center"/>
          </w:tcPr>
          <w:p w14:paraId="00978E42">
            <w:pPr>
              <w:autoSpaceDE w:val="0"/>
              <w:autoSpaceDN w:val="0"/>
              <w:spacing w:line="360" w:lineRule="auto"/>
              <w:jc w:val="center"/>
              <w:rPr>
                <w:rFonts w:hint="eastAsia" w:ascii="宋体" w:hAnsi="宋体" w:eastAsia="宋体" w:cs="宋体"/>
                <w:color w:val="auto"/>
                <w:sz w:val="21"/>
                <w:szCs w:val="21"/>
                <w:highlight w:val="none"/>
              </w:rPr>
            </w:pPr>
          </w:p>
        </w:tc>
        <w:tc>
          <w:tcPr>
            <w:tcW w:w="1260" w:type="dxa"/>
            <w:noWrap w:val="0"/>
            <w:vAlign w:val="center"/>
          </w:tcPr>
          <w:p w14:paraId="5A6CA6FB">
            <w:pPr>
              <w:autoSpaceDE w:val="0"/>
              <w:autoSpaceDN w:val="0"/>
              <w:spacing w:line="360" w:lineRule="auto"/>
              <w:jc w:val="center"/>
              <w:rPr>
                <w:rFonts w:hint="eastAsia" w:ascii="宋体" w:hAnsi="宋体" w:eastAsia="宋体" w:cs="宋体"/>
                <w:color w:val="auto"/>
                <w:sz w:val="21"/>
                <w:szCs w:val="21"/>
                <w:highlight w:val="none"/>
              </w:rPr>
            </w:pPr>
          </w:p>
        </w:tc>
      </w:tr>
    </w:tbl>
    <w:p w14:paraId="5E671C34">
      <w:pPr>
        <w:autoSpaceDE w:val="0"/>
        <w:autoSpaceDN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注：关于项目涉及的所有售后服务机构均在本表注明，包括供应商本单位和符合条件的第三方货物机构；</w:t>
      </w:r>
    </w:p>
    <w:p w14:paraId="144DD188">
      <w:pPr>
        <w:autoSpaceDE w:val="0"/>
        <w:autoSpaceDN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附表B：售后服务人员情况表</w:t>
      </w:r>
      <w:r>
        <w:rPr>
          <w:rFonts w:hint="eastAsia" w:ascii="宋体" w:hAnsi="宋体" w:eastAsia="宋体" w:cs="宋体"/>
          <w:color w:val="auto"/>
          <w:sz w:val="21"/>
          <w:szCs w:val="21"/>
          <w:highlight w:val="none"/>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0A90395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5227C85">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04D8A79E">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75602EB">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85" w:type="dxa"/>
            <w:tcBorders>
              <w:top w:val="single" w:color="auto" w:sz="6" w:space="0"/>
              <w:left w:val="single" w:color="auto" w:sz="6" w:space="0"/>
              <w:bottom w:val="single" w:color="auto" w:sz="6" w:space="0"/>
              <w:right w:val="single" w:color="auto" w:sz="6" w:space="0"/>
            </w:tcBorders>
            <w:noWrap w:val="0"/>
            <w:vAlign w:val="center"/>
          </w:tcPr>
          <w:p w14:paraId="3A78EEA4">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05" w:type="dxa"/>
            <w:tcBorders>
              <w:top w:val="single" w:color="auto" w:sz="6" w:space="0"/>
              <w:left w:val="single" w:color="auto" w:sz="6" w:space="0"/>
              <w:bottom w:val="single" w:color="auto" w:sz="6" w:space="0"/>
              <w:right w:val="single" w:color="auto" w:sz="6" w:space="0"/>
            </w:tcBorders>
            <w:noWrap w:val="0"/>
            <w:vAlign w:val="center"/>
          </w:tcPr>
          <w:p w14:paraId="71D3E1C1">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noWrap w:val="0"/>
            <w:vAlign w:val="center"/>
          </w:tcPr>
          <w:p w14:paraId="68948ED8">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D57C5D1">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F3F9B41">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noWrap w:val="0"/>
            <w:vAlign w:val="center"/>
          </w:tcPr>
          <w:p w14:paraId="42A5E230">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noWrap w:val="0"/>
            <w:vAlign w:val="center"/>
          </w:tcPr>
          <w:p w14:paraId="3FF67058">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320F3233">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到达现场时间</w:t>
            </w:r>
          </w:p>
        </w:tc>
      </w:tr>
      <w:tr w14:paraId="5598DF8B">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618ECF4">
            <w:pPr>
              <w:autoSpaceDE w:val="0"/>
              <w:autoSpaceDN w:val="0"/>
              <w:spacing w:line="36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2DCA00FB">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A9F291E">
            <w:pPr>
              <w:autoSpaceDE w:val="0"/>
              <w:autoSpaceDN w:val="0"/>
              <w:spacing w:line="36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14:paraId="4671D6A0">
            <w:pPr>
              <w:autoSpaceDE w:val="0"/>
              <w:autoSpaceDN w:val="0"/>
              <w:spacing w:line="36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7BF7ECFD">
            <w:pPr>
              <w:autoSpaceDE w:val="0"/>
              <w:autoSpaceDN w:val="0"/>
              <w:spacing w:line="36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14:paraId="13CA01A1">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9A51C68">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B4FF82C">
            <w:pPr>
              <w:autoSpaceDE w:val="0"/>
              <w:autoSpaceDN w:val="0"/>
              <w:spacing w:line="36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14:paraId="50AC5F04">
            <w:pPr>
              <w:autoSpaceDE w:val="0"/>
              <w:autoSpaceDN w:val="0"/>
              <w:spacing w:line="36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14:paraId="0E622E69">
            <w:pPr>
              <w:autoSpaceDE w:val="0"/>
              <w:autoSpaceDN w:val="0"/>
              <w:spacing w:line="36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DFB3916">
            <w:pPr>
              <w:autoSpaceDE w:val="0"/>
              <w:autoSpaceDN w:val="0"/>
              <w:spacing w:line="360" w:lineRule="auto"/>
              <w:rPr>
                <w:rFonts w:hint="eastAsia" w:ascii="宋体" w:hAnsi="宋体" w:eastAsia="宋体" w:cs="宋体"/>
                <w:color w:val="auto"/>
                <w:sz w:val="21"/>
                <w:szCs w:val="21"/>
                <w:highlight w:val="none"/>
              </w:rPr>
            </w:pPr>
          </w:p>
        </w:tc>
      </w:tr>
      <w:tr w14:paraId="4AC0AED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587CFD50">
            <w:pPr>
              <w:autoSpaceDE w:val="0"/>
              <w:autoSpaceDN w:val="0"/>
              <w:spacing w:line="36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5AE2C48D">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45B050E">
            <w:pPr>
              <w:autoSpaceDE w:val="0"/>
              <w:autoSpaceDN w:val="0"/>
              <w:spacing w:line="36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14:paraId="4B35243D">
            <w:pPr>
              <w:autoSpaceDE w:val="0"/>
              <w:autoSpaceDN w:val="0"/>
              <w:spacing w:line="36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6F123499">
            <w:pPr>
              <w:autoSpaceDE w:val="0"/>
              <w:autoSpaceDN w:val="0"/>
              <w:spacing w:line="36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14:paraId="749ED3C1">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95FA74">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5C6AC3C">
            <w:pPr>
              <w:autoSpaceDE w:val="0"/>
              <w:autoSpaceDN w:val="0"/>
              <w:spacing w:line="36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14:paraId="78B0E517">
            <w:pPr>
              <w:autoSpaceDE w:val="0"/>
              <w:autoSpaceDN w:val="0"/>
              <w:spacing w:line="36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14:paraId="512CE016">
            <w:pPr>
              <w:autoSpaceDE w:val="0"/>
              <w:autoSpaceDN w:val="0"/>
              <w:spacing w:line="36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14:paraId="3EBC46CA">
            <w:pPr>
              <w:autoSpaceDE w:val="0"/>
              <w:autoSpaceDN w:val="0"/>
              <w:spacing w:line="360" w:lineRule="auto"/>
              <w:rPr>
                <w:rFonts w:hint="eastAsia" w:ascii="宋体" w:hAnsi="宋体" w:eastAsia="宋体" w:cs="宋体"/>
                <w:color w:val="auto"/>
                <w:sz w:val="21"/>
                <w:szCs w:val="21"/>
                <w:highlight w:val="none"/>
              </w:rPr>
            </w:pPr>
          </w:p>
        </w:tc>
      </w:tr>
      <w:tr w14:paraId="1D08018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BC389CF">
            <w:pPr>
              <w:autoSpaceDE w:val="0"/>
              <w:autoSpaceDN w:val="0"/>
              <w:spacing w:line="36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4F5718A3">
            <w:pPr>
              <w:autoSpaceDE w:val="0"/>
              <w:autoSpaceDN w:val="0"/>
              <w:spacing w:line="360" w:lineRule="auto"/>
              <w:jc w:val="center"/>
              <w:rPr>
                <w:rFonts w:hint="eastAsia" w:ascii="宋体" w:hAnsi="宋体" w:eastAsia="宋体" w:cs="宋体"/>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125995A4">
            <w:pPr>
              <w:autoSpaceDE w:val="0"/>
              <w:autoSpaceDN w:val="0"/>
              <w:spacing w:line="36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14:paraId="5881EB0C">
            <w:pPr>
              <w:autoSpaceDE w:val="0"/>
              <w:autoSpaceDN w:val="0"/>
              <w:spacing w:line="36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48A9869F">
            <w:pPr>
              <w:autoSpaceDE w:val="0"/>
              <w:autoSpaceDN w:val="0"/>
              <w:spacing w:line="36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14:paraId="58545CE0">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C133839">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F479E55">
            <w:pPr>
              <w:autoSpaceDE w:val="0"/>
              <w:autoSpaceDN w:val="0"/>
              <w:spacing w:line="36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14:paraId="4A9B2A40">
            <w:pPr>
              <w:autoSpaceDE w:val="0"/>
              <w:autoSpaceDN w:val="0"/>
              <w:spacing w:line="36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14:paraId="00A9E110">
            <w:pPr>
              <w:autoSpaceDE w:val="0"/>
              <w:autoSpaceDN w:val="0"/>
              <w:spacing w:line="36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5770E9F">
            <w:pPr>
              <w:autoSpaceDE w:val="0"/>
              <w:autoSpaceDN w:val="0"/>
              <w:spacing w:line="360" w:lineRule="auto"/>
              <w:rPr>
                <w:rFonts w:hint="eastAsia" w:ascii="宋体" w:hAnsi="宋体" w:eastAsia="宋体" w:cs="宋体"/>
                <w:color w:val="auto"/>
                <w:sz w:val="21"/>
                <w:szCs w:val="21"/>
                <w:highlight w:val="none"/>
              </w:rPr>
            </w:pPr>
          </w:p>
        </w:tc>
      </w:tr>
    </w:tbl>
    <w:p w14:paraId="4968F79E">
      <w:pPr>
        <w:pStyle w:val="20"/>
        <w:numPr>
          <w:ilvl w:val="0"/>
          <w:numId w:val="0"/>
        </w:numPr>
        <w:rPr>
          <w:rFonts w:hint="eastAsia" w:ascii="宋体" w:hAnsi="宋体" w:eastAsia="宋体" w:cs="宋体"/>
          <w:color w:val="auto"/>
          <w:sz w:val="21"/>
          <w:szCs w:val="21"/>
          <w:highlight w:val="none"/>
          <w:lang w:eastAsia="zh-CN"/>
        </w:rPr>
      </w:pPr>
    </w:p>
    <w:p w14:paraId="5AA239AB">
      <w:pPr>
        <w:pStyle w:val="20"/>
        <w:numPr>
          <w:ilvl w:val="0"/>
          <w:numId w:val="0"/>
        </w:numP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附表</w:t>
      </w:r>
      <w:r>
        <w:rPr>
          <w:rFonts w:hint="eastAsia" w:ascii="宋体" w:hAnsi="宋体" w:eastAsia="宋体" w:cs="宋体"/>
          <w:b/>
          <w:color w:val="auto"/>
          <w:kern w:val="0"/>
          <w:sz w:val="21"/>
          <w:szCs w:val="21"/>
          <w:highlight w:val="none"/>
          <w:lang w:val="en-US" w:eastAsia="zh-CN"/>
        </w:rPr>
        <w:t>C</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质保期满后售后服务</w:t>
      </w:r>
      <w:r>
        <w:rPr>
          <w:rFonts w:hint="eastAsia" w:ascii="宋体" w:hAnsi="宋体" w:eastAsia="宋体" w:cs="宋体"/>
          <w:color w:val="auto"/>
          <w:sz w:val="21"/>
          <w:szCs w:val="21"/>
          <w:highlight w:val="none"/>
        </w:rPr>
        <w:t>（按此格式自制）</w:t>
      </w:r>
    </w:p>
    <w:tbl>
      <w:tblPr>
        <w:tblStyle w:val="2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5E00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noWrap w:val="0"/>
            <w:vAlign w:val="center"/>
          </w:tcPr>
          <w:p w14:paraId="130B126D">
            <w:pPr>
              <w:spacing w:line="240" w:lineRule="exact"/>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厂家信息</w:t>
            </w:r>
          </w:p>
        </w:tc>
        <w:tc>
          <w:tcPr>
            <w:tcW w:w="4542" w:type="dxa"/>
            <w:gridSpan w:val="4"/>
            <w:tcBorders>
              <w:top w:val="single" w:color="auto" w:sz="4" w:space="0"/>
              <w:left w:val="single" w:color="auto" w:sz="4" w:space="0"/>
              <w:bottom w:val="single" w:color="auto" w:sz="4" w:space="0"/>
              <w:right w:val="single" w:color="auto" w:sz="4" w:space="0"/>
            </w:tcBorders>
            <w:noWrap w:val="0"/>
            <w:vAlign w:val="center"/>
          </w:tcPr>
          <w:p w14:paraId="605491CE">
            <w:pPr>
              <w:keepNext w:val="0"/>
              <w:keepLines w:val="0"/>
              <w:widowControl/>
              <w:suppressLineNumbers w:val="0"/>
              <w:jc w:val="center"/>
              <w:textAlignment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授权</w:t>
            </w:r>
            <w:r>
              <w:rPr>
                <w:rFonts w:hint="eastAsia" w:ascii="宋体" w:hAnsi="宋体" w:eastAsia="宋体" w:cs="宋体"/>
                <w:color w:val="auto"/>
                <w:sz w:val="21"/>
                <w:szCs w:val="21"/>
                <w:highlight w:val="none"/>
              </w:rPr>
              <w:t>售后</w:t>
            </w:r>
            <w:r>
              <w:rPr>
                <w:rFonts w:hint="eastAsia" w:ascii="宋体" w:hAnsi="宋体" w:eastAsia="宋体" w:cs="宋体"/>
                <w:snapToGrid w:val="0"/>
                <w:color w:val="auto"/>
                <w:sz w:val="21"/>
                <w:szCs w:val="21"/>
                <w:highlight w:val="none"/>
                <w:lang w:eastAsia="zh-CN"/>
              </w:rPr>
              <w:t>代理商（如有）</w:t>
            </w:r>
          </w:p>
        </w:tc>
      </w:tr>
      <w:tr w14:paraId="6CE2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14:paraId="18B45840">
            <w:pPr>
              <w:pStyle w:val="13"/>
              <w:wordWrap w:val="0"/>
              <w:snapToGrid w:val="0"/>
              <w:jc w:val="center"/>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pacing w:val="-20"/>
                <w:sz w:val="21"/>
                <w:szCs w:val="21"/>
                <w:highlight w:val="none"/>
                <w:lang w:eastAsia="zh-CN"/>
              </w:rPr>
              <w:t>序号</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E7C9467">
            <w:pPr>
              <w:wordWrap w:val="0"/>
              <w:topLinePunct/>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物品名称</w:t>
            </w:r>
          </w:p>
          <w:p w14:paraId="03735858">
            <w:pPr>
              <w:wordWrap w:val="0"/>
              <w:topLinePunct/>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7273AA6">
            <w:pPr>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生产厂家</w:t>
            </w:r>
            <w:r>
              <w:rPr>
                <w:rFonts w:hint="eastAsia" w:ascii="宋体" w:hAnsi="宋体" w:eastAsia="宋体" w:cs="宋体"/>
                <w:color w:val="auto"/>
                <w:sz w:val="21"/>
                <w:szCs w:val="21"/>
                <w:highlight w:val="none"/>
                <w:lang w:eastAsia="zh-CN"/>
              </w:rPr>
              <w:t>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FC058E7">
            <w:pPr>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厂家工程师</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65FAE76">
            <w:pPr>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联系方式</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D09F7E7">
            <w:pPr>
              <w:spacing w:line="2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BD0769A">
            <w:pPr>
              <w:pStyle w:val="13"/>
              <w:wordWrap w:val="0"/>
              <w:snapToGrid w:val="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授权售后代理商名称（</w:t>
            </w:r>
            <w:r>
              <w:rPr>
                <w:rFonts w:hint="eastAsia" w:ascii="宋体" w:hAnsi="宋体" w:eastAsia="宋体" w:cs="宋体"/>
                <w:color w:val="auto"/>
                <w:sz w:val="21"/>
                <w:szCs w:val="21"/>
                <w:highlight w:val="none"/>
                <w:lang w:eastAsia="zh-CN"/>
              </w:rPr>
              <w:t>维修、配件供应</w:t>
            </w:r>
            <w:r>
              <w:rPr>
                <w:rFonts w:hint="eastAsia" w:ascii="宋体" w:hAnsi="宋体" w:eastAsia="宋体" w:cs="宋体"/>
                <w:color w:val="auto"/>
                <w:sz w:val="21"/>
                <w:szCs w:val="21"/>
                <w:highlight w:val="none"/>
              </w:rPr>
              <w:t>及服务）</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83D0129">
            <w:pPr>
              <w:keepNext w:val="0"/>
              <w:keepLines w:val="0"/>
              <w:widowControl/>
              <w:suppressLineNumbers w:val="0"/>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代理商联系人</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E988BBB">
            <w:pPr>
              <w:keepNext w:val="0"/>
              <w:keepLines w:val="0"/>
              <w:widowControl/>
              <w:suppressLineNumbers w:val="0"/>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联系方式</w:t>
            </w:r>
          </w:p>
        </w:tc>
      </w:tr>
      <w:tr w14:paraId="6E11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noWrap w:val="0"/>
            <w:vAlign w:val="top"/>
          </w:tcPr>
          <w:p w14:paraId="7E6C83C1">
            <w:pPr>
              <w:wordWrap w:val="0"/>
              <w:adjustRightInd w:val="0"/>
              <w:snapToGrid w:val="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1458" w:type="dxa"/>
            <w:vMerge w:val="restart"/>
            <w:tcBorders>
              <w:top w:val="single" w:color="auto" w:sz="4" w:space="0"/>
              <w:left w:val="single" w:color="auto" w:sz="4" w:space="0"/>
              <w:right w:val="single" w:color="auto" w:sz="4" w:space="0"/>
            </w:tcBorders>
            <w:noWrap w:val="0"/>
            <w:vAlign w:val="top"/>
          </w:tcPr>
          <w:p w14:paraId="279F7E37">
            <w:pPr>
              <w:wordWrap w:val="0"/>
              <w:adjustRightInd w:val="0"/>
              <w:snapToGrid w:val="0"/>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noWrap w:val="0"/>
            <w:vAlign w:val="top"/>
          </w:tcPr>
          <w:p w14:paraId="7E2422F9">
            <w:pPr>
              <w:wordWrap w:val="0"/>
              <w:adjustRightInd w:val="0"/>
              <w:snapToGrid w:val="0"/>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noWrap w:val="0"/>
            <w:vAlign w:val="top"/>
          </w:tcPr>
          <w:p w14:paraId="6DE38A94">
            <w:pPr>
              <w:wordWrap w:val="0"/>
              <w:adjustRightInd w:val="0"/>
              <w:snapToGrid w:val="0"/>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noWrap w:val="0"/>
            <w:vAlign w:val="top"/>
          </w:tcPr>
          <w:p w14:paraId="759D8C2C">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5B0344B6">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33919B33">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61F614F2">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40303878">
            <w:pPr>
              <w:wordWrap w:val="0"/>
              <w:adjustRightInd w:val="0"/>
              <w:snapToGrid w:val="0"/>
              <w:rPr>
                <w:rFonts w:hint="eastAsia" w:ascii="宋体" w:hAnsi="宋体" w:eastAsia="宋体" w:cs="宋体"/>
                <w:color w:val="auto"/>
                <w:sz w:val="21"/>
                <w:szCs w:val="21"/>
                <w:highlight w:val="none"/>
              </w:rPr>
            </w:pPr>
          </w:p>
        </w:tc>
      </w:tr>
      <w:tr w14:paraId="606E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14:paraId="2360E225">
            <w:pPr>
              <w:wordWrap w:val="0"/>
              <w:adjustRightInd w:val="0"/>
              <w:snapToGrid w:val="0"/>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noWrap w:val="0"/>
            <w:vAlign w:val="top"/>
          </w:tcPr>
          <w:p w14:paraId="1AA915B3">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noWrap w:val="0"/>
            <w:vAlign w:val="top"/>
          </w:tcPr>
          <w:p w14:paraId="044DDBC7">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noWrap w:val="0"/>
            <w:vAlign w:val="top"/>
          </w:tcPr>
          <w:p w14:paraId="787C4241">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noWrap w:val="0"/>
            <w:vAlign w:val="top"/>
          </w:tcPr>
          <w:p w14:paraId="560A5626">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04B3AE2A">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15CDBE5F">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180984D3">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6CDD0FF4">
            <w:pPr>
              <w:wordWrap w:val="0"/>
              <w:adjustRightInd w:val="0"/>
              <w:snapToGrid w:val="0"/>
              <w:rPr>
                <w:rFonts w:hint="eastAsia" w:ascii="宋体" w:hAnsi="宋体" w:eastAsia="宋体" w:cs="宋体"/>
                <w:color w:val="auto"/>
                <w:sz w:val="21"/>
                <w:szCs w:val="21"/>
                <w:highlight w:val="none"/>
              </w:rPr>
            </w:pPr>
          </w:p>
        </w:tc>
      </w:tr>
      <w:tr w14:paraId="3699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noWrap w:val="0"/>
            <w:vAlign w:val="top"/>
          </w:tcPr>
          <w:p w14:paraId="712DD976">
            <w:pPr>
              <w:wordWrap w:val="0"/>
              <w:adjustRightInd w:val="0"/>
              <w:snapToGrid w:val="0"/>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bottom w:val="single" w:color="auto" w:sz="4" w:space="0"/>
              <w:right w:val="single" w:color="auto" w:sz="4" w:space="0"/>
            </w:tcBorders>
            <w:noWrap w:val="0"/>
            <w:vAlign w:val="top"/>
          </w:tcPr>
          <w:p w14:paraId="5AFD1A69">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bottom w:val="single" w:color="auto" w:sz="4" w:space="0"/>
              <w:right w:val="single" w:color="auto" w:sz="4" w:space="0"/>
            </w:tcBorders>
            <w:noWrap w:val="0"/>
            <w:vAlign w:val="top"/>
          </w:tcPr>
          <w:p w14:paraId="083AF04E">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bottom w:val="single" w:color="auto" w:sz="4" w:space="0"/>
              <w:right w:val="single" w:color="auto" w:sz="4" w:space="0"/>
            </w:tcBorders>
            <w:noWrap w:val="0"/>
            <w:vAlign w:val="top"/>
          </w:tcPr>
          <w:p w14:paraId="3C69A0DE">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bottom w:val="single" w:color="auto" w:sz="4" w:space="0"/>
              <w:right w:val="single" w:color="auto" w:sz="4" w:space="0"/>
            </w:tcBorders>
            <w:noWrap w:val="0"/>
            <w:vAlign w:val="top"/>
          </w:tcPr>
          <w:p w14:paraId="2391728C">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5E2BF791">
            <w:pPr>
              <w:tabs>
                <w:tab w:val="left" w:pos="320"/>
              </w:tabs>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1160F65F">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30B4A706">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2E3DC7B2">
            <w:pPr>
              <w:wordWrap w:val="0"/>
              <w:adjustRightInd w:val="0"/>
              <w:snapToGrid w:val="0"/>
              <w:rPr>
                <w:rFonts w:hint="eastAsia" w:ascii="宋体" w:hAnsi="宋体" w:eastAsia="宋体" w:cs="宋体"/>
                <w:color w:val="auto"/>
                <w:sz w:val="21"/>
                <w:szCs w:val="21"/>
                <w:highlight w:val="none"/>
              </w:rPr>
            </w:pPr>
          </w:p>
        </w:tc>
      </w:tr>
      <w:tr w14:paraId="72F7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noWrap w:val="0"/>
            <w:vAlign w:val="top"/>
          </w:tcPr>
          <w:p w14:paraId="0015FB5E">
            <w:pPr>
              <w:wordWrap w:val="0"/>
              <w:adjustRightInd w:val="0"/>
              <w:snapToGrid w:val="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p>
        </w:tc>
        <w:tc>
          <w:tcPr>
            <w:tcW w:w="1458" w:type="dxa"/>
            <w:vMerge w:val="restart"/>
            <w:tcBorders>
              <w:top w:val="single" w:color="auto" w:sz="4" w:space="0"/>
              <w:left w:val="single" w:color="auto" w:sz="4" w:space="0"/>
              <w:right w:val="single" w:color="auto" w:sz="4" w:space="0"/>
            </w:tcBorders>
            <w:noWrap w:val="0"/>
            <w:vAlign w:val="top"/>
          </w:tcPr>
          <w:p w14:paraId="5C99674F">
            <w:pPr>
              <w:wordWrap w:val="0"/>
              <w:adjustRightInd w:val="0"/>
              <w:snapToGrid w:val="0"/>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noWrap w:val="0"/>
            <w:vAlign w:val="top"/>
          </w:tcPr>
          <w:p w14:paraId="7FD6F7A6">
            <w:pPr>
              <w:wordWrap w:val="0"/>
              <w:adjustRightInd w:val="0"/>
              <w:snapToGrid w:val="0"/>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noWrap w:val="0"/>
            <w:vAlign w:val="top"/>
          </w:tcPr>
          <w:p w14:paraId="478F3332">
            <w:pPr>
              <w:wordWrap w:val="0"/>
              <w:adjustRightInd w:val="0"/>
              <w:snapToGrid w:val="0"/>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noWrap w:val="0"/>
            <w:vAlign w:val="top"/>
          </w:tcPr>
          <w:p w14:paraId="2EE215BE">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3D722BCB">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2B5D56AD">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09938144">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1A4B68D7">
            <w:pPr>
              <w:wordWrap w:val="0"/>
              <w:adjustRightInd w:val="0"/>
              <w:snapToGrid w:val="0"/>
              <w:rPr>
                <w:rFonts w:hint="eastAsia" w:ascii="宋体" w:hAnsi="宋体" w:eastAsia="宋体" w:cs="宋体"/>
                <w:color w:val="auto"/>
                <w:sz w:val="21"/>
                <w:szCs w:val="21"/>
                <w:highlight w:val="none"/>
              </w:rPr>
            </w:pPr>
          </w:p>
        </w:tc>
      </w:tr>
      <w:tr w14:paraId="75E8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14:paraId="3D7BEBAE">
            <w:pPr>
              <w:wordWrap w:val="0"/>
              <w:adjustRightInd w:val="0"/>
              <w:snapToGrid w:val="0"/>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noWrap w:val="0"/>
            <w:vAlign w:val="top"/>
          </w:tcPr>
          <w:p w14:paraId="404EAE53">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noWrap w:val="0"/>
            <w:vAlign w:val="top"/>
          </w:tcPr>
          <w:p w14:paraId="2079D80D">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noWrap w:val="0"/>
            <w:vAlign w:val="top"/>
          </w:tcPr>
          <w:p w14:paraId="3E99E11E">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noWrap w:val="0"/>
            <w:vAlign w:val="top"/>
          </w:tcPr>
          <w:p w14:paraId="69741882">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5D66362D">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7F98393B">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4B2452FE">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1F012A0F">
            <w:pPr>
              <w:wordWrap w:val="0"/>
              <w:adjustRightInd w:val="0"/>
              <w:snapToGrid w:val="0"/>
              <w:rPr>
                <w:rFonts w:hint="eastAsia" w:ascii="宋体" w:hAnsi="宋体" w:eastAsia="宋体" w:cs="宋体"/>
                <w:color w:val="auto"/>
                <w:sz w:val="21"/>
                <w:szCs w:val="21"/>
                <w:highlight w:val="none"/>
              </w:rPr>
            </w:pPr>
          </w:p>
        </w:tc>
      </w:tr>
      <w:tr w14:paraId="497A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14:paraId="36B5D8B8">
            <w:pPr>
              <w:wordWrap w:val="0"/>
              <w:adjustRightInd w:val="0"/>
              <w:snapToGrid w:val="0"/>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noWrap w:val="0"/>
            <w:vAlign w:val="top"/>
          </w:tcPr>
          <w:p w14:paraId="24B04F37">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noWrap w:val="0"/>
            <w:vAlign w:val="top"/>
          </w:tcPr>
          <w:p w14:paraId="679CF456">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noWrap w:val="0"/>
            <w:vAlign w:val="top"/>
          </w:tcPr>
          <w:p w14:paraId="5869D0E5">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noWrap w:val="0"/>
            <w:vAlign w:val="top"/>
          </w:tcPr>
          <w:p w14:paraId="44AF5C62">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4CE1DCEE">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36D3827E">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79D5B2DC">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302848F5">
            <w:pPr>
              <w:wordWrap w:val="0"/>
              <w:adjustRightInd w:val="0"/>
              <w:snapToGrid w:val="0"/>
              <w:rPr>
                <w:rFonts w:hint="eastAsia" w:ascii="宋体" w:hAnsi="宋体" w:eastAsia="宋体" w:cs="宋体"/>
                <w:color w:val="auto"/>
                <w:sz w:val="21"/>
                <w:szCs w:val="21"/>
                <w:highlight w:val="none"/>
              </w:rPr>
            </w:pPr>
          </w:p>
        </w:tc>
      </w:tr>
      <w:tr w14:paraId="4E78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noWrap w:val="0"/>
            <w:vAlign w:val="top"/>
          </w:tcPr>
          <w:p w14:paraId="2025035D">
            <w:pPr>
              <w:wordWrap w:val="0"/>
              <w:adjustRightInd w:val="0"/>
              <w:snapToGrid w:val="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w:t>
            </w:r>
          </w:p>
        </w:tc>
        <w:tc>
          <w:tcPr>
            <w:tcW w:w="1458" w:type="dxa"/>
            <w:tcBorders>
              <w:left w:val="single" w:color="auto" w:sz="4" w:space="0"/>
              <w:bottom w:val="single" w:color="auto" w:sz="4" w:space="0"/>
              <w:right w:val="single" w:color="auto" w:sz="4" w:space="0"/>
            </w:tcBorders>
            <w:noWrap w:val="0"/>
            <w:vAlign w:val="top"/>
          </w:tcPr>
          <w:p w14:paraId="0E6BA258">
            <w:pPr>
              <w:wordWrap w:val="0"/>
              <w:adjustRightInd w:val="0"/>
              <w:snapToGrid w:val="0"/>
              <w:rPr>
                <w:rFonts w:hint="eastAsia" w:ascii="宋体" w:hAnsi="宋体" w:eastAsia="宋体" w:cs="宋体"/>
                <w:color w:val="auto"/>
                <w:sz w:val="21"/>
                <w:szCs w:val="21"/>
                <w:highlight w:val="none"/>
              </w:rPr>
            </w:pPr>
          </w:p>
        </w:tc>
        <w:tc>
          <w:tcPr>
            <w:tcW w:w="1293" w:type="dxa"/>
            <w:tcBorders>
              <w:left w:val="single" w:color="auto" w:sz="4" w:space="0"/>
              <w:bottom w:val="single" w:color="auto" w:sz="4" w:space="0"/>
              <w:right w:val="single" w:color="auto" w:sz="4" w:space="0"/>
            </w:tcBorders>
            <w:noWrap w:val="0"/>
            <w:vAlign w:val="top"/>
          </w:tcPr>
          <w:p w14:paraId="60C79DA6">
            <w:pPr>
              <w:wordWrap w:val="0"/>
              <w:adjustRightInd w:val="0"/>
              <w:snapToGrid w:val="0"/>
              <w:rPr>
                <w:rFonts w:hint="eastAsia" w:ascii="宋体" w:hAnsi="宋体" w:eastAsia="宋体" w:cs="宋体"/>
                <w:color w:val="auto"/>
                <w:sz w:val="21"/>
                <w:szCs w:val="21"/>
                <w:highlight w:val="none"/>
              </w:rPr>
            </w:pPr>
          </w:p>
        </w:tc>
        <w:tc>
          <w:tcPr>
            <w:tcW w:w="1023" w:type="dxa"/>
            <w:tcBorders>
              <w:left w:val="single" w:color="auto" w:sz="4" w:space="0"/>
              <w:bottom w:val="single" w:color="auto" w:sz="4" w:space="0"/>
              <w:right w:val="single" w:color="auto" w:sz="4" w:space="0"/>
            </w:tcBorders>
            <w:noWrap w:val="0"/>
            <w:vAlign w:val="top"/>
          </w:tcPr>
          <w:p w14:paraId="38916D55">
            <w:pPr>
              <w:wordWrap w:val="0"/>
              <w:adjustRightInd w:val="0"/>
              <w:snapToGrid w:val="0"/>
              <w:rPr>
                <w:rFonts w:hint="eastAsia" w:ascii="宋体" w:hAnsi="宋体" w:eastAsia="宋体" w:cs="宋体"/>
                <w:color w:val="auto"/>
                <w:sz w:val="21"/>
                <w:szCs w:val="21"/>
                <w:highlight w:val="none"/>
              </w:rPr>
            </w:pPr>
          </w:p>
        </w:tc>
        <w:tc>
          <w:tcPr>
            <w:tcW w:w="826" w:type="dxa"/>
            <w:tcBorders>
              <w:left w:val="single" w:color="auto" w:sz="4" w:space="0"/>
              <w:bottom w:val="single" w:color="auto" w:sz="4" w:space="0"/>
              <w:right w:val="single" w:color="auto" w:sz="4" w:space="0"/>
            </w:tcBorders>
            <w:noWrap w:val="0"/>
            <w:vAlign w:val="top"/>
          </w:tcPr>
          <w:p w14:paraId="1E976D4A">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0A53F927">
            <w:pPr>
              <w:wordWrap w:val="0"/>
              <w:adjustRightInd w:val="0"/>
              <w:snapToGrid w:val="0"/>
              <w:rPr>
                <w:rFonts w:hint="eastAsia" w:ascii="宋体" w:hAnsi="宋体" w:eastAsia="宋体" w:cs="宋体"/>
                <w:color w:val="auto"/>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D679C82">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69AD2F03">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4493C509">
            <w:pPr>
              <w:wordWrap w:val="0"/>
              <w:adjustRightInd w:val="0"/>
              <w:snapToGrid w:val="0"/>
              <w:rPr>
                <w:rFonts w:hint="eastAsia" w:ascii="宋体" w:hAnsi="宋体" w:eastAsia="宋体" w:cs="宋体"/>
                <w:color w:val="auto"/>
                <w:sz w:val="21"/>
                <w:szCs w:val="21"/>
                <w:highlight w:val="none"/>
              </w:rPr>
            </w:pPr>
          </w:p>
        </w:tc>
      </w:tr>
    </w:tbl>
    <w:p w14:paraId="30995A38">
      <w:pPr>
        <w:pStyle w:val="20"/>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填表说明：1.若为厂家直接售后，则无需填写授权售后代理商；</w:t>
      </w:r>
    </w:p>
    <w:p w14:paraId="14493AA0">
      <w:pPr>
        <w:pStyle w:val="20"/>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2.所报授权售后代理商为设备维修、配件供应、质保期满后维保服务采购的重要依据；</w:t>
      </w:r>
    </w:p>
    <w:p w14:paraId="1E8B757A">
      <w:pPr>
        <w:pStyle w:val="20"/>
        <w:ind w:firstLine="630" w:firstLineChars="300"/>
        <w:rPr>
          <w:rFonts w:hint="eastAsia"/>
          <w:color w:val="auto"/>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.若售后代理商更换，请及时联系采购单位进行修改，提供更正说明。</w:t>
      </w:r>
    </w:p>
    <w:p w14:paraId="065EF8C0">
      <w:pPr>
        <w:spacing w:line="500" w:lineRule="exact"/>
        <w:rPr>
          <w:rFonts w:hint="eastAsia" w:ascii="宋体" w:hAnsi="宋体" w:eastAsia="宋体" w:cs="宋体"/>
          <w:color w:val="auto"/>
          <w:sz w:val="32"/>
          <w:szCs w:val="32"/>
          <w:highlight w:val="none"/>
        </w:rPr>
      </w:pPr>
    </w:p>
    <w:p w14:paraId="6B7F413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9119FF7">
      <w:pPr>
        <w:pStyle w:val="10"/>
        <w:rPr>
          <w:rFonts w:hint="eastAsia"/>
          <w:color w:val="auto"/>
          <w:highlight w:val="none"/>
        </w:rPr>
      </w:pPr>
      <w:r>
        <w:rPr>
          <w:rFonts w:hint="eastAsia" w:ascii="宋体" w:hAnsi="宋体" w:eastAsia="宋体" w:cs="宋体"/>
          <w:color w:val="auto"/>
          <w:kern w:val="0"/>
          <w:sz w:val="24"/>
          <w:highlight w:val="none"/>
          <w:lang w:val="zh-CN"/>
        </w:rPr>
        <w:t>日期：  年  月   日</w:t>
      </w:r>
      <w:r>
        <w:rPr>
          <w:rFonts w:hint="eastAsia" w:ascii="宋体" w:hAnsi="宋体" w:eastAsia="宋体" w:cs="宋体"/>
          <w:b/>
          <w:color w:val="auto"/>
          <w:sz w:val="30"/>
          <w:szCs w:val="30"/>
          <w:highlight w:val="none"/>
        </w:rPr>
        <w:br w:type="page"/>
      </w:r>
    </w:p>
    <w:p w14:paraId="73F663D9">
      <w:pPr>
        <w:numPr>
          <w:ilvl w:val="0"/>
          <w:numId w:val="0"/>
        </w:numPr>
        <w:adjustRightInd w:val="0"/>
        <w:snapToGrid w:val="0"/>
        <w:spacing w:line="300" w:lineRule="auto"/>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lang w:val="en-US" w:eastAsia="zh-CN"/>
        </w:rPr>
        <w:t>8、</w:t>
      </w:r>
      <w:r>
        <w:rPr>
          <w:rFonts w:hint="eastAsia" w:ascii="仿宋" w:hAnsi="仿宋" w:eastAsia="仿宋" w:cs="仿宋"/>
          <w:bCs/>
          <w:color w:val="auto"/>
          <w:sz w:val="44"/>
          <w:szCs w:val="44"/>
          <w:highlight w:val="none"/>
        </w:rPr>
        <w:t>技术要求偏离表</w:t>
      </w:r>
    </w:p>
    <w:p w14:paraId="02E3154D">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7BF750E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1D4FCEA1">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14:paraId="2D7BB4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35B1D7E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55" w:name="_Toc254970729"/>
            <w:bookmarkStart w:id="56" w:name="_Toc373333689"/>
            <w:bookmarkStart w:id="57" w:name="_Toc173211900"/>
            <w:bookmarkStart w:id="58" w:name="_Toc301781611"/>
            <w:bookmarkStart w:id="59" w:name="_Toc295404981"/>
            <w:bookmarkStart w:id="60" w:name="_Toc297193185"/>
            <w:bookmarkStart w:id="61" w:name="_Toc383699906"/>
            <w:bookmarkStart w:id="62" w:name="_Toc173066401"/>
            <w:bookmarkStart w:id="63" w:name="_Toc254970588"/>
            <w:r>
              <w:rPr>
                <w:rFonts w:hint="eastAsia" w:ascii="宋体" w:hAnsi="宋体" w:eastAsia="宋体" w:cs="仿宋_GB2312"/>
                <w:color w:val="auto"/>
                <w:kern w:val="2"/>
                <w:sz w:val="24"/>
                <w:szCs w:val="24"/>
                <w:highlight w:val="none"/>
                <w:lang w:val="en-US" w:eastAsia="zh-CN"/>
              </w:rPr>
              <w:t>序号</w:t>
            </w:r>
            <w:bookmarkEnd w:id="55"/>
            <w:bookmarkEnd w:id="56"/>
            <w:bookmarkEnd w:id="57"/>
            <w:bookmarkEnd w:id="58"/>
            <w:bookmarkEnd w:id="59"/>
            <w:bookmarkEnd w:id="60"/>
            <w:bookmarkEnd w:id="61"/>
            <w:bookmarkEnd w:id="62"/>
            <w:bookmarkEnd w:id="63"/>
          </w:p>
        </w:tc>
        <w:tc>
          <w:tcPr>
            <w:tcW w:w="992" w:type="dxa"/>
            <w:tcBorders>
              <w:right w:val="single" w:color="auto" w:sz="4" w:space="0"/>
            </w:tcBorders>
            <w:noWrap w:val="0"/>
            <w:vAlign w:val="center"/>
          </w:tcPr>
          <w:p w14:paraId="1FFC586D">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292" w:type="dxa"/>
            <w:tcBorders>
              <w:left w:val="single" w:color="auto" w:sz="4" w:space="0"/>
            </w:tcBorders>
            <w:noWrap w:val="0"/>
            <w:vAlign w:val="center"/>
          </w:tcPr>
          <w:p w14:paraId="29AFCB41">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2962" w:type="dxa"/>
            <w:noWrap w:val="0"/>
            <w:vAlign w:val="center"/>
          </w:tcPr>
          <w:p w14:paraId="51DCF98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64" w:name="_Toc295404983"/>
            <w:bookmarkStart w:id="65" w:name="_Toc383699908"/>
            <w:bookmarkStart w:id="66" w:name="_Toc173066403"/>
            <w:bookmarkStart w:id="67" w:name="_Toc301781613"/>
            <w:bookmarkStart w:id="68" w:name="_Toc173211902"/>
            <w:bookmarkStart w:id="69" w:name="_Toc297193187"/>
            <w:bookmarkStart w:id="70" w:name="_Toc373333691"/>
            <w:bookmarkStart w:id="71" w:name="_Toc254970731"/>
            <w:bookmarkStart w:id="72" w:name="_Toc254970590"/>
            <w:r>
              <w:rPr>
                <w:rFonts w:hint="eastAsia" w:ascii="宋体" w:hAnsi="宋体" w:eastAsia="宋体" w:cs="仿宋_GB2312"/>
                <w:color w:val="auto"/>
                <w:kern w:val="2"/>
                <w:sz w:val="24"/>
                <w:szCs w:val="24"/>
                <w:highlight w:val="none"/>
                <w:lang w:val="en-US" w:eastAsia="zh-CN"/>
              </w:rPr>
              <w:t>竞标响应</w:t>
            </w:r>
            <w:bookmarkEnd w:id="64"/>
            <w:bookmarkEnd w:id="65"/>
            <w:bookmarkEnd w:id="66"/>
            <w:bookmarkEnd w:id="67"/>
            <w:bookmarkEnd w:id="68"/>
            <w:bookmarkEnd w:id="69"/>
            <w:bookmarkEnd w:id="70"/>
            <w:bookmarkEnd w:id="71"/>
            <w:bookmarkEnd w:id="72"/>
          </w:p>
        </w:tc>
        <w:tc>
          <w:tcPr>
            <w:tcW w:w="1616" w:type="dxa"/>
            <w:noWrap w:val="0"/>
            <w:vAlign w:val="center"/>
          </w:tcPr>
          <w:p w14:paraId="1DA5770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73" w:name="_Toc297193188"/>
            <w:bookmarkStart w:id="74" w:name="_Toc383699909"/>
            <w:bookmarkStart w:id="75" w:name="_Toc173211903"/>
            <w:bookmarkStart w:id="76" w:name="_Toc373333692"/>
            <w:bookmarkStart w:id="77" w:name="_Toc301781614"/>
            <w:bookmarkStart w:id="78" w:name="_Toc295404984"/>
            <w:bookmarkStart w:id="79" w:name="_Toc254970591"/>
            <w:bookmarkStart w:id="80" w:name="_Toc173066404"/>
            <w:bookmarkStart w:id="81" w:name="_Toc254970732"/>
            <w:r>
              <w:rPr>
                <w:rFonts w:hint="eastAsia" w:ascii="宋体" w:hAnsi="宋体" w:eastAsia="宋体" w:cs="仿宋_GB2312"/>
                <w:color w:val="auto"/>
                <w:kern w:val="2"/>
                <w:sz w:val="24"/>
                <w:szCs w:val="24"/>
                <w:highlight w:val="none"/>
                <w:lang w:val="en-US" w:eastAsia="zh-CN"/>
              </w:rPr>
              <w:t>偏离</w:t>
            </w:r>
            <w:bookmarkEnd w:id="73"/>
            <w:bookmarkEnd w:id="74"/>
            <w:bookmarkEnd w:id="75"/>
            <w:bookmarkEnd w:id="76"/>
            <w:bookmarkEnd w:id="77"/>
            <w:bookmarkEnd w:id="78"/>
            <w:bookmarkEnd w:id="79"/>
            <w:bookmarkEnd w:id="80"/>
            <w:bookmarkEnd w:id="81"/>
            <w:bookmarkStart w:id="82" w:name="_Toc173066405"/>
            <w:bookmarkStart w:id="83" w:name="_Toc254970733"/>
            <w:bookmarkStart w:id="84" w:name="_Toc173211904"/>
            <w:bookmarkStart w:id="85" w:name="_Toc373333693"/>
            <w:bookmarkStart w:id="86" w:name="_Toc295404985"/>
            <w:bookmarkStart w:id="87" w:name="_Toc297193189"/>
            <w:bookmarkStart w:id="88" w:name="_Toc254970592"/>
            <w:bookmarkStart w:id="89" w:name="_Toc301781615"/>
            <w:bookmarkStart w:id="90" w:name="_Toc383699910"/>
            <w:r>
              <w:rPr>
                <w:rFonts w:hint="eastAsia" w:ascii="宋体" w:hAnsi="宋体" w:eastAsia="宋体" w:cs="仿宋_GB2312"/>
                <w:color w:val="auto"/>
                <w:kern w:val="2"/>
                <w:sz w:val="24"/>
                <w:szCs w:val="24"/>
                <w:highlight w:val="none"/>
                <w:lang w:val="en-US" w:eastAsia="zh-CN"/>
              </w:rPr>
              <w:t>说明</w:t>
            </w:r>
            <w:bookmarkEnd w:id="82"/>
            <w:bookmarkEnd w:id="83"/>
            <w:bookmarkEnd w:id="84"/>
            <w:bookmarkEnd w:id="85"/>
            <w:bookmarkEnd w:id="86"/>
            <w:bookmarkEnd w:id="87"/>
            <w:bookmarkEnd w:id="88"/>
            <w:bookmarkEnd w:id="89"/>
            <w:bookmarkEnd w:id="90"/>
          </w:p>
        </w:tc>
      </w:tr>
      <w:tr w14:paraId="35999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5EBDDBBF">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91" w:name="_Toc254970593"/>
            <w:bookmarkStart w:id="92" w:name="_Toc254970734"/>
            <w:bookmarkStart w:id="93" w:name="_Toc301781616"/>
            <w:bookmarkStart w:id="94" w:name="_Toc297193190"/>
            <w:bookmarkStart w:id="95" w:name="_Toc173211905"/>
            <w:bookmarkStart w:id="96" w:name="_Toc295404986"/>
            <w:bookmarkStart w:id="97" w:name="_Toc373333694"/>
            <w:bookmarkStart w:id="98" w:name="_Toc383699911"/>
            <w:bookmarkStart w:id="99" w:name="_Toc173066406"/>
            <w:r>
              <w:rPr>
                <w:rFonts w:hint="eastAsia" w:ascii="宋体" w:hAnsi="宋体" w:eastAsia="宋体" w:cs="仿宋_GB2312"/>
                <w:color w:val="auto"/>
                <w:kern w:val="2"/>
                <w:sz w:val="24"/>
                <w:szCs w:val="24"/>
                <w:highlight w:val="none"/>
                <w:lang w:val="en-US" w:eastAsia="zh-CN"/>
              </w:rPr>
              <w:t>1</w:t>
            </w:r>
            <w:bookmarkEnd w:id="91"/>
            <w:bookmarkEnd w:id="92"/>
            <w:bookmarkEnd w:id="93"/>
            <w:bookmarkEnd w:id="94"/>
            <w:bookmarkEnd w:id="95"/>
            <w:bookmarkEnd w:id="96"/>
            <w:bookmarkEnd w:id="97"/>
            <w:bookmarkEnd w:id="98"/>
            <w:bookmarkEnd w:id="99"/>
          </w:p>
        </w:tc>
        <w:tc>
          <w:tcPr>
            <w:tcW w:w="992" w:type="dxa"/>
            <w:tcBorders>
              <w:right w:val="single" w:color="auto" w:sz="4" w:space="0"/>
            </w:tcBorders>
            <w:noWrap w:val="0"/>
            <w:vAlign w:val="center"/>
          </w:tcPr>
          <w:p w14:paraId="766DDF03">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4AC2243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44282DAC">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6D56B7CD">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75D89A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1B19637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00" w:name="_Toc373333695"/>
            <w:bookmarkStart w:id="101" w:name="_Toc297193191"/>
            <w:bookmarkStart w:id="102" w:name="_Toc295404987"/>
            <w:bookmarkStart w:id="103" w:name="_Toc383699912"/>
            <w:bookmarkStart w:id="104" w:name="_Toc173211906"/>
            <w:bookmarkStart w:id="105" w:name="_Toc254970594"/>
            <w:bookmarkStart w:id="106" w:name="_Toc173066407"/>
            <w:bookmarkStart w:id="107" w:name="_Toc301781617"/>
            <w:bookmarkStart w:id="108" w:name="_Toc254970735"/>
            <w:r>
              <w:rPr>
                <w:rFonts w:hint="eastAsia" w:ascii="宋体" w:hAnsi="宋体" w:eastAsia="宋体" w:cs="仿宋_GB2312"/>
                <w:color w:val="auto"/>
                <w:kern w:val="2"/>
                <w:sz w:val="24"/>
                <w:szCs w:val="24"/>
                <w:highlight w:val="none"/>
                <w:lang w:val="en-US" w:eastAsia="zh-CN"/>
              </w:rPr>
              <w:t>2</w:t>
            </w:r>
            <w:bookmarkEnd w:id="100"/>
            <w:bookmarkEnd w:id="101"/>
            <w:bookmarkEnd w:id="102"/>
            <w:bookmarkEnd w:id="103"/>
            <w:bookmarkEnd w:id="104"/>
            <w:bookmarkEnd w:id="105"/>
            <w:bookmarkEnd w:id="106"/>
            <w:bookmarkEnd w:id="107"/>
            <w:bookmarkEnd w:id="108"/>
          </w:p>
        </w:tc>
        <w:tc>
          <w:tcPr>
            <w:tcW w:w="992" w:type="dxa"/>
            <w:tcBorders>
              <w:right w:val="single" w:color="auto" w:sz="4" w:space="0"/>
            </w:tcBorders>
            <w:noWrap w:val="0"/>
            <w:vAlign w:val="center"/>
          </w:tcPr>
          <w:p w14:paraId="256B6642">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10E6191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57AD3695">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241513B6">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15F631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081A42E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09" w:name="_Toc373333696"/>
            <w:bookmarkStart w:id="110" w:name="_Toc295404988"/>
            <w:bookmarkStart w:id="111" w:name="_Toc301781618"/>
            <w:bookmarkStart w:id="112" w:name="_Toc254970595"/>
            <w:bookmarkStart w:id="113" w:name="_Toc173066408"/>
            <w:bookmarkStart w:id="114" w:name="_Toc297193192"/>
            <w:bookmarkStart w:id="115" w:name="_Toc173211907"/>
            <w:bookmarkStart w:id="116" w:name="_Toc383699913"/>
            <w:bookmarkStart w:id="117" w:name="_Toc254970736"/>
            <w:r>
              <w:rPr>
                <w:rFonts w:hint="eastAsia" w:ascii="宋体" w:hAnsi="宋体" w:eastAsia="宋体" w:cs="仿宋_GB2312"/>
                <w:color w:val="auto"/>
                <w:kern w:val="2"/>
                <w:sz w:val="24"/>
                <w:szCs w:val="24"/>
                <w:highlight w:val="none"/>
                <w:lang w:val="en-US" w:eastAsia="zh-CN"/>
              </w:rPr>
              <w:t>3</w:t>
            </w:r>
            <w:bookmarkEnd w:id="109"/>
            <w:bookmarkEnd w:id="110"/>
            <w:bookmarkEnd w:id="111"/>
            <w:bookmarkEnd w:id="112"/>
            <w:bookmarkEnd w:id="113"/>
            <w:bookmarkEnd w:id="114"/>
            <w:bookmarkEnd w:id="115"/>
            <w:bookmarkEnd w:id="116"/>
            <w:bookmarkEnd w:id="117"/>
          </w:p>
        </w:tc>
        <w:tc>
          <w:tcPr>
            <w:tcW w:w="992" w:type="dxa"/>
            <w:tcBorders>
              <w:right w:val="single" w:color="auto" w:sz="4" w:space="0"/>
            </w:tcBorders>
            <w:noWrap w:val="0"/>
            <w:vAlign w:val="center"/>
          </w:tcPr>
          <w:p w14:paraId="3F7C557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7094D20F">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0A162A4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5107CCEB">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123F0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3B8C1C32">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18" w:name="_Toc254970596"/>
            <w:bookmarkStart w:id="119" w:name="_Toc301781619"/>
            <w:bookmarkStart w:id="120" w:name="_Toc373333697"/>
            <w:bookmarkStart w:id="121" w:name="_Toc297193193"/>
            <w:bookmarkStart w:id="122" w:name="_Toc173066409"/>
            <w:bookmarkStart w:id="123" w:name="_Toc254970737"/>
            <w:bookmarkStart w:id="124" w:name="_Toc173211908"/>
            <w:bookmarkStart w:id="125" w:name="_Toc383699914"/>
            <w:bookmarkStart w:id="126" w:name="_Toc295404989"/>
            <w:r>
              <w:rPr>
                <w:rFonts w:hint="eastAsia" w:ascii="宋体" w:hAnsi="宋体" w:eastAsia="宋体" w:cs="仿宋_GB2312"/>
                <w:color w:val="auto"/>
                <w:kern w:val="2"/>
                <w:sz w:val="24"/>
                <w:szCs w:val="24"/>
                <w:highlight w:val="none"/>
                <w:lang w:val="en-US" w:eastAsia="zh-CN"/>
              </w:rPr>
              <w:t>4</w:t>
            </w:r>
            <w:bookmarkEnd w:id="118"/>
            <w:bookmarkEnd w:id="119"/>
            <w:bookmarkEnd w:id="120"/>
            <w:bookmarkEnd w:id="121"/>
            <w:bookmarkEnd w:id="122"/>
            <w:bookmarkEnd w:id="123"/>
            <w:bookmarkEnd w:id="124"/>
            <w:bookmarkEnd w:id="125"/>
            <w:bookmarkEnd w:id="126"/>
          </w:p>
        </w:tc>
        <w:tc>
          <w:tcPr>
            <w:tcW w:w="992" w:type="dxa"/>
            <w:tcBorders>
              <w:right w:val="single" w:color="auto" w:sz="4" w:space="0"/>
            </w:tcBorders>
            <w:noWrap w:val="0"/>
            <w:vAlign w:val="center"/>
          </w:tcPr>
          <w:p w14:paraId="25AF75D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0CF2379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25619A0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06D96CC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29797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14:paraId="19F4E63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7" w:name="_Toc254970738"/>
            <w:bookmarkStart w:id="128" w:name="_Toc254970597"/>
            <w:bookmarkStart w:id="129" w:name="_Toc173066410"/>
            <w:bookmarkStart w:id="130" w:name="_Toc297193194"/>
            <w:bookmarkStart w:id="131" w:name="_Toc295404990"/>
            <w:bookmarkStart w:id="132" w:name="_Toc373333698"/>
            <w:bookmarkStart w:id="133" w:name="_Toc383699915"/>
            <w:bookmarkStart w:id="134" w:name="_Toc301781620"/>
            <w:bookmarkStart w:id="135" w:name="_Toc173211909"/>
            <w:r>
              <w:rPr>
                <w:rFonts w:hint="eastAsia" w:ascii="宋体" w:hAnsi="宋体" w:eastAsia="宋体" w:cs="仿宋_GB2312"/>
                <w:color w:val="auto"/>
                <w:kern w:val="2"/>
                <w:sz w:val="24"/>
                <w:szCs w:val="24"/>
                <w:highlight w:val="none"/>
                <w:lang w:val="en-US" w:eastAsia="zh-CN"/>
              </w:rPr>
              <w:t>5</w:t>
            </w:r>
            <w:bookmarkEnd w:id="127"/>
            <w:bookmarkEnd w:id="128"/>
            <w:bookmarkEnd w:id="129"/>
            <w:bookmarkEnd w:id="130"/>
            <w:bookmarkEnd w:id="131"/>
            <w:bookmarkEnd w:id="132"/>
            <w:bookmarkEnd w:id="133"/>
            <w:bookmarkEnd w:id="134"/>
            <w:bookmarkEnd w:id="135"/>
          </w:p>
        </w:tc>
        <w:tc>
          <w:tcPr>
            <w:tcW w:w="992" w:type="dxa"/>
            <w:tcBorders>
              <w:right w:val="single" w:color="auto" w:sz="4" w:space="0"/>
            </w:tcBorders>
            <w:noWrap w:val="0"/>
            <w:vAlign w:val="center"/>
          </w:tcPr>
          <w:p w14:paraId="009EEA5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4AA4C5EC">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6F388E9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14:paraId="0815F55D">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5C8410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noWrap w:val="0"/>
            <w:vAlign w:val="center"/>
          </w:tcPr>
          <w:p w14:paraId="708E6959">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36" w:name="_Toc254970602"/>
            <w:bookmarkStart w:id="137" w:name="_Toc373333699"/>
            <w:bookmarkStart w:id="138" w:name="_Toc254970743"/>
            <w:bookmarkStart w:id="139" w:name="_Toc173066415"/>
            <w:bookmarkStart w:id="140" w:name="_Toc173211914"/>
            <w:bookmarkStart w:id="141" w:name="_Toc297193195"/>
            <w:bookmarkStart w:id="142" w:name="_Toc383699916"/>
            <w:bookmarkStart w:id="143" w:name="_Toc295404991"/>
            <w:bookmarkStart w:id="144" w:name="_Toc301781621"/>
            <w:r>
              <w:rPr>
                <w:rFonts w:hint="eastAsia" w:ascii="宋体" w:hAnsi="宋体" w:eastAsia="宋体" w:cs="仿宋_GB2312"/>
                <w:color w:val="auto"/>
                <w:kern w:val="2"/>
                <w:sz w:val="24"/>
                <w:szCs w:val="24"/>
                <w:highlight w:val="none"/>
                <w:lang w:val="en-US" w:eastAsia="zh-CN"/>
              </w:rPr>
              <w:t>…</w:t>
            </w:r>
            <w:bookmarkEnd w:id="136"/>
            <w:bookmarkEnd w:id="137"/>
            <w:bookmarkEnd w:id="138"/>
            <w:bookmarkEnd w:id="139"/>
            <w:bookmarkEnd w:id="140"/>
            <w:bookmarkEnd w:id="141"/>
            <w:bookmarkEnd w:id="142"/>
            <w:bookmarkEnd w:id="143"/>
            <w:bookmarkEnd w:id="144"/>
          </w:p>
        </w:tc>
        <w:tc>
          <w:tcPr>
            <w:tcW w:w="992" w:type="dxa"/>
            <w:tcBorders>
              <w:right w:val="single" w:color="auto" w:sz="4" w:space="0"/>
            </w:tcBorders>
            <w:noWrap w:val="0"/>
            <w:vAlign w:val="center"/>
          </w:tcPr>
          <w:p w14:paraId="59C96C2F">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14:paraId="6A0327EA">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14:paraId="5D98A384">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tcBorders>
              <w:right w:val="single" w:color="auto" w:sz="4" w:space="0"/>
            </w:tcBorders>
            <w:noWrap w:val="0"/>
            <w:vAlign w:val="center"/>
          </w:tcPr>
          <w:p w14:paraId="4CEDB018">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bl>
    <w:p w14:paraId="154CF419">
      <w:pPr>
        <w:adjustRightInd w:val="0"/>
        <w:spacing w:line="360" w:lineRule="auto"/>
        <w:contextualSpacing/>
        <w:rPr>
          <w:rFonts w:hint="eastAsia" w:ascii="宋体" w:hAnsi="宋体" w:cs="仿宋_GB2312"/>
          <w:color w:val="auto"/>
          <w:sz w:val="24"/>
          <w:highlight w:val="none"/>
        </w:rPr>
      </w:pPr>
    </w:p>
    <w:p w14:paraId="275F312C">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263F9E0F">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79A4288F">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7E55B10C">
      <w:pPr>
        <w:spacing w:line="360" w:lineRule="auto"/>
        <w:ind w:right="-817" w:rightChars="-389"/>
        <w:contextualSpacing/>
        <w:rPr>
          <w:rFonts w:hint="eastAsia" w:ascii="宋体" w:hAnsi="宋体" w:cs="仿宋_GB2312"/>
          <w:color w:val="auto"/>
          <w:sz w:val="24"/>
          <w:highlight w:val="none"/>
        </w:rPr>
      </w:pPr>
    </w:p>
    <w:p w14:paraId="5EE118B9">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04F0636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14:paraId="5BB5DB33">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9C88C29">
      <w:pPr>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p>
    <w:p w14:paraId="2B4C9592">
      <w:pPr>
        <w:spacing w:line="360" w:lineRule="auto"/>
        <w:ind w:left="142"/>
        <w:contextualSpacing/>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lang w:val="en-US" w:eastAsia="zh-CN"/>
        </w:rPr>
        <w:t>9、</w:t>
      </w:r>
      <w:r>
        <w:rPr>
          <w:rFonts w:hint="eastAsia" w:ascii="仿宋" w:hAnsi="仿宋" w:eastAsia="仿宋" w:cs="仿宋"/>
          <w:bCs/>
          <w:color w:val="auto"/>
          <w:sz w:val="44"/>
          <w:szCs w:val="44"/>
          <w:highlight w:val="none"/>
        </w:rPr>
        <w:t>项目实施人员一览表</w:t>
      </w:r>
    </w:p>
    <w:p w14:paraId="1B498A11">
      <w:pPr>
        <w:pStyle w:val="13"/>
        <w:spacing w:line="360" w:lineRule="auto"/>
        <w:contextualSpacing/>
        <w:rPr>
          <w:rFonts w:hint="eastAsia"/>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F82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49A2350">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10CB5E50">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70A2E272">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4165A750">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0C923F25">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3A5B8123">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E1DDCFC">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31F4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00F4574">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63C0B375">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3BA0B8F0">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0EC9376D">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3E2F0701">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1FE7DB5C">
            <w:pPr>
              <w:spacing w:line="360" w:lineRule="auto"/>
              <w:contextualSpacing/>
              <w:jc w:val="center"/>
              <w:rPr>
                <w:rFonts w:hint="eastAsia" w:ascii="宋体" w:hAnsi="宋体"/>
                <w:color w:val="auto"/>
                <w:sz w:val="24"/>
                <w:szCs w:val="20"/>
                <w:highlight w:val="none"/>
              </w:rPr>
            </w:pPr>
          </w:p>
        </w:tc>
      </w:tr>
      <w:tr w14:paraId="56C0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4E9002E">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58C01542">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3EE1CCDE">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0E24731A">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4BAF5C30">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6AAA423D">
            <w:pPr>
              <w:spacing w:line="360" w:lineRule="auto"/>
              <w:contextualSpacing/>
              <w:jc w:val="center"/>
              <w:rPr>
                <w:rFonts w:hint="eastAsia" w:ascii="宋体" w:hAnsi="宋体"/>
                <w:color w:val="auto"/>
                <w:sz w:val="24"/>
                <w:szCs w:val="20"/>
                <w:highlight w:val="none"/>
              </w:rPr>
            </w:pPr>
          </w:p>
        </w:tc>
      </w:tr>
      <w:tr w14:paraId="4E58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1FCC54F">
            <w:pPr>
              <w:spacing w:line="360" w:lineRule="auto"/>
              <w:contextualSpacing/>
              <w:jc w:val="center"/>
              <w:rPr>
                <w:rFonts w:hint="eastAsia" w:ascii="宋体" w:hAnsi="宋体"/>
                <w:color w:val="auto"/>
                <w:sz w:val="24"/>
                <w:szCs w:val="20"/>
                <w:highlight w:val="none"/>
              </w:rPr>
            </w:pPr>
          </w:p>
        </w:tc>
        <w:tc>
          <w:tcPr>
            <w:tcW w:w="709" w:type="dxa"/>
            <w:noWrap w:val="0"/>
            <w:vAlign w:val="center"/>
          </w:tcPr>
          <w:p w14:paraId="251236D7">
            <w:pPr>
              <w:spacing w:line="360" w:lineRule="auto"/>
              <w:contextualSpacing/>
              <w:jc w:val="center"/>
              <w:rPr>
                <w:rFonts w:hint="eastAsia" w:ascii="宋体" w:hAnsi="宋体"/>
                <w:color w:val="auto"/>
                <w:sz w:val="24"/>
                <w:szCs w:val="20"/>
                <w:highlight w:val="none"/>
              </w:rPr>
            </w:pPr>
          </w:p>
        </w:tc>
        <w:tc>
          <w:tcPr>
            <w:tcW w:w="1701" w:type="dxa"/>
            <w:noWrap w:val="0"/>
            <w:vAlign w:val="center"/>
          </w:tcPr>
          <w:p w14:paraId="172C62FB">
            <w:pPr>
              <w:spacing w:line="360" w:lineRule="auto"/>
              <w:contextualSpacing/>
              <w:jc w:val="center"/>
              <w:rPr>
                <w:rFonts w:hint="eastAsia" w:ascii="宋体" w:hAnsi="宋体"/>
                <w:color w:val="auto"/>
                <w:sz w:val="24"/>
                <w:szCs w:val="20"/>
                <w:highlight w:val="none"/>
              </w:rPr>
            </w:pPr>
          </w:p>
        </w:tc>
        <w:tc>
          <w:tcPr>
            <w:tcW w:w="1420" w:type="dxa"/>
            <w:noWrap w:val="0"/>
            <w:vAlign w:val="center"/>
          </w:tcPr>
          <w:p w14:paraId="4EBBA6F1">
            <w:pPr>
              <w:spacing w:line="360" w:lineRule="auto"/>
              <w:contextualSpacing/>
              <w:jc w:val="center"/>
              <w:rPr>
                <w:rFonts w:hint="eastAsia" w:ascii="宋体" w:hAnsi="宋体"/>
                <w:color w:val="auto"/>
                <w:sz w:val="24"/>
                <w:szCs w:val="20"/>
                <w:highlight w:val="none"/>
              </w:rPr>
            </w:pPr>
          </w:p>
        </w:tc>
        <w:tc>
          <w:tcPr>
            <w:tcW w:w="1698" w:type="dxa"/>
            <w:noWrap w:val="0"/>
            <w:vAlign w:val="center"/>
          </w:tcPr>
          <w:p w14:paraId="1D6028C4">
            <w:pPr>
              <w:spacing w:line="360" w:lineRule="auto"/>
              <w:contextualSpacing/>
              <w:jc w:val="center"/>
              <w:rPr>
                <w:rFonts w:hint="eastAsia" w:ascii="宋体" w:hAnsi="宋体"/>
                <w:color w:val="auto"/>
                <w:sz w:val="24"/>
                <w:szCs w:val="20"/>
                <w:highlight w:val="none"/>
              </w:rPr>
            </w:pPr>
          </w:p>
        </w:tc>
        <w:tc>
          <w:tcPr>
            <w:tcW w:w="1843" w:type="dxa"/>
            <w:noWrap w:val="0"/>
            <w:vAlign w:val="center"/>
          </w:tcPr>
          <w:p w14:paraId="4EC76EDC">
            <w:pPr>
              <w:spacing w:line="360" w:lineRule="auto"/>
              <w:contextualSpacing/>
              <w:jc w:val="center"/>
              <w:rPr>
                <w:rFonts w:hint="eastAsia" w:ascii="宋体" w:hAnsi="宋体"/>
                <w:color w:val="auto"/>
                <w:sz w:val="24"/>
                <w:szCs w:val="20"/>
                <w:highlight w:val="none"/>
              </w:rPr>
            </w:pPr>
          </w:p>
        </w:tc>
      </w:tr>
    </w:tbl>
    <w:p w14:paraId="04E0D33A">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742216B9">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430E0861">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供应商应当附本表所列证书的复印件并加盖供应商公章。</w:t>
      </w:r>
    </w:p>
    <w:p w14:paraId="7D39BBCA">
      <w:pPr>
        <w:spacing w:line="360" w:lineRule="auto"/>
        <w:contextualSpacing/>
        <w:rPr>
          <w:rFonts w:hint="eastAsia" w:ascii="宋体" w:hAnsi="宋体"/>
          <w:color w:val="auto"/>
          <w:sz w:val="24"/>
          <w:highlight w:val="none"/>
        </w:rPr>
      </w:pPr>
    </w:p>
    <w:p w14:paraId="0BB5FFE7">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09963BE9">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0A2564E4">
      <w:pPr>
        <w:snapToGrid w:val="0"/>
        <w:spacing w:before="50" w:after="156" w:afterLines="50"/>
        <w:jc w:val="left"/>
        <w:rPr>
          <w:rFonts w:hint="eastAsia" w:ascii="宋体" w:hAnsi="宋体"/>
          <w:color w:val="auto"/>
          <w:sz w:val="24"/>
          <w:szCs w:val="20"/>
          <w:highlight w:val="none"/>
        </w:rPr>
      </w:pPr>
    </w:p>
    <w:p w14:paraId="60D10B48">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1FA3312B">
      <w:pPr>
        <w:spacing w:line="360" w:lineRule="auto"/>
        <w:ind w:left="142"/>
        <w:contextualSpacing/>
        <w:jc w:val="left"/>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lang w:val="en-US" w:eastAsia="zh-CN"/>
        </w:rPr>
        <w:t>10、</w:t>
      </w:r>
      <w:r>
        <w:rPr>
          <w:rFonts w:hint="eastAsia" w:ascii="仿宋" w:hAnsi="仿宋" w:eastAsia="仿宋" w:cs="仿宋"/>
          <w:bCs/>
          <w:color w:val="auto"/>
          <w:sz w:val="44"/>
          <w:szCs w:val="44"/>
          <w:highlight w:val="none"/>
        </w:rPr>
        <w:t>对应采购需求的技术要求、商务要求提供的其他文件资料</w:t>
      </w:r>
    </w:p>
    <w:p w14:paraId="7F09F5A4">
      <w:pPr>
        <w:spacing w:line="360" w:lineRule="auto"/>
        <w:ind w:left="142"/>
        <w:contextualSpacing/>
        <w:jc w:val="left"/>
        <w:rPr>
          <w:rFonts w:hint="eastAsia" w:ascii="仿宋" w:hAnsi="仿宋" w:eastAsia="仿宋" w:cs="仿宋"/>
          <w:bCs/>
          <w:color w:val="auto"/>
          <w:sz w:val="44"/>
          <w:szCs w:val="44"/>
          <w:highlight w:val="none"/>
        </w:rPr>
      </w:pPr>
    </w:p>
    <w:p w14:paraId="213B3118">
      <w:pPr>
        <w:spacing w:line="360" w:lineRule="auto"/>
        <w:ind w:left="142"/>
        <w:contextualSpacing/>
        <w:jc w:val="left"/>
        <w:rPr>
          <w:rFonts w:hint="eastAsia" w:ascii="宋体" w:hAnsi="宋体"/>
          <w:color w:val="auto"/>
          <w:szCs w:val="21"/>
          <w:highlight w:val="none"/>
        </w:rPr>
      </w:pPr>
      <w:r>
        <w:rPr>
          <w:rFonts w:hint="eastAsia" w:ascii="仿宋" w:hAnsi="仿宋" w:eastAsia="仿宋" w:cs="仿宋"/>
          <w:bCs/>
          <w:color w:val="auto"/>
          <w:sz w:val="44"/>
          <w:szCs w:val="44"/>
          <w:highlight w:val="none"/>
          <w:lang w:val="en-US" w:eastAsia="zh-CN"/>
        </w:rPr>
        <w:t>11</w:t>
      </w:r>
      <w:r>
        <w:rPr>
          <w:rFonts w:hint="eastAsia" w:ascii="仿宋" w:hAnsi="仿宋" w:eastAsia="仿宋" w:cs="仿宋"/>
          <w:bCs/>
          <w:color w:val="auto"/>
          <w:sz w:val="44"/>
          <w:szCs w:val="44"/>
          <w:highlight w:val="none"/>
        </w:rPr>
        <w:t>、供应商认为需要提供的其他有关资料</w:t>
      </w:r>
      <w:r>
        <w:rPr>
          <w:rFonts w:ascii="宋体" w:hAnsi="宋体"/>
          <w:b/>
          <w:bCs/>
          <w:color w:val="auto"/>
          <w:sz w:val="24"/>
          <w:highlight w:val="none"/>
        </w:rPr>
        <w:br w:type="page"/>
      </w:r>
      <w:r>
        <w:rPr>
          <w:rFonts w:hint="eastAsia" w:ascii="仿宋" w:hAnsi="仿宋" w:eastAsia="仿宋" w:cs="仿宋"/>
          <w:bCs/>
          <w:color w:val="auto"/>
          <w:sz w:val="44"/>
          <w:szCs w:val="44"/>
          <w:highlight w:val="none"/>
        </w:rPr>
        <w:t>其他文书、文件格式</w:t>
      </w:r>
    </w:p>
    <w:p w14:paraId="69FE4E2F">
      <w:pPr>
        <w:spacing w:line="360" w:lineRule="auto"/>
        <w:jc w:val="center"/>
        <w:rPr>
          <w:rFonts w:hint="eastAsia" w:ascii="宋体" w:hAnsi="宋体"/>
          <w:b/>
          <w:bCs/>
          <w:color w:val="auto"/>
          <w:sz w:val="32"/>
          <w:szCs w:val="32"/>
          <w:highlight w:val="none"/>
        </w:rPr>
      </w:pPr>
      <w:r>
        <w:rPr>
          <w:rFonts w:hint="eastAsia" w:ascii="仿宋" w:hAnsi="仿宋" w:eastAsia="仿宋" w:cs="仿宋"/>
          <w:color w:val="auto"/>
          <w:sz w:val="44"/>
          <w:szCs w:val="44"/>
          <w:highlight w:val="none"/>
        </w:rPr>
        <w:t>质疑函</w:t>
      </w:r>
      <w:r>
        <w:rPr>
          <w:rFonts w:hint="eastAsia" w:ascii="仿宋" w:hAnsi="仿宋" w:eastAsia="仿宋" w:cs="仿宋"/>
          <w:color w:val="auto"/>
          <w:sz w:val="28"/>
          <w:szCs w:val="28"/>
          <w:highlight w:val="none"/>
        </w:rPr>
        <w:t>（格式）</w:t>
      </w:r>
    </w:p>
    <w:p w14:paraId="49DB089A">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Ansi="宋体"/>
          <w:b/>
          <w:bCs/>
          <w:color w:val="auto"/>
          <w:sz w:val="24"/>
          <w:szCs w:val="24"/>
          <w:highlight w:val="none"/>
        </w:rPr>
      </w:pPr>
      <w:r>
        <w:rPr>
          <w:rFonts w:hint="eastAsia" w:hAnsi="宋体"/>
          <w:b/>
          <w:bCs/>
          <w:color w:val="auto"/>
          <w:sz w:val="24"/>
          <w:szCs w:val="24"/>
          <w:highlight w:val="none"/>
        </w:rPr>
        <w:t>一、质疑供应商基本信息：</w:t>
      </w:r>
    </w:p>
    <w:p w14:paraId="61BE5ABA">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7217BCF">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191D6E3">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439A049">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40AD09AD">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86A7BA5">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BEF8B6">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7A2E8CC7">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187930E">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96E605F">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024BD59">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w:t>
      </w:r>
    </w:p>
    <w:p w14:paraId="2C96DCB1">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6698C74">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 xml:space="preserve">□采购过程   </w:t>
      </w:r>
    </w:p>
    <w:p w14:paraId="3C95AA61">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45D85364">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6"/>
        <w:contextualSpacing/>
        <w:textAlignment w:val="auto"/>
        <w:rPr>
          <w:rFonts w:hint="eastAsia" w:hAnsi="宋体"/>
          <w:b/>
          <w:color w:val="auto"/>
          <w:sz w:val="24"/>
          <w:szCs w:val="24"/>
          <w:highlight w:val="none"/>
        </w:rPr>
      </w:pPr>
      <w:r>
        <w:rPr>
          <w:rFonts w:hint="eastAsia" w:hAnsi="宋体"/>
          <w:b/>
          <w:color w:val="auto"/>
          <w:sz w:val="24"/>
          <w:szCs w:val="24"/>
          <w:highlight w:val="none"/>
        </w:rPr>
        <w:t>三、质疑事项具体内容</w:t>
      </w:r>
    </w:p>
    <w:p w14:paraId="2EE85A45">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79377E3">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67A8AB9C">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BB15031">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质疑事项2</w:t>
      </w:r>
    </w:p>
    <w:p w14:paraId="4942BB15">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Ansi="宋体"/>
          <w:color w:val="auto"/>
          <w:sz w:val="24"/>
          <w:szCs w:val="24"/>
          <w:highlight w:val="none"/>
        </w:rPr>
        <w:t>……</w:t>
      </w:r>
    </w:p>
    <w:p w14:paraId="18CFC1E4">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30854335">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EE2F0FF">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p>
    <w:p w14:paraId="6B73651A">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签字（签章）：                                       公章：</w:t>
      </w:r>
    </w:p>
    <w:p w14:paraId="711C28C6">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
          <w:color w:val="auto"/>
          <w:sz w:val="24"/>
          <w:szCs w:val="24"/>
          <w:highlight w:val="none"/>
        </w:rPr>
      </w:pPr>
      <w:r>
        <w:rPr>
          <w:rFonts w:hint="eastAsia" w:hAnsi="宋体"/>
          <w:color w:val="auto"/>
          <w:sz w:val="24"/>
          <w:szCs w:val="24"/>
          <w:highlight w:val="none"/>
        </w:rPr>
        <w:t>日期：</w:t>
      </w:r>
    </w:p>
    <w:p w14:paraId="5E745A4F">
      <w:pPr>
        <w:pStyle w:val="13"/>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136412E">
      <w:pPr>
        <w:pStyle w:val="13"/>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31EA0EAA">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C091D01">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2320E92">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6CEE451E">
      <w:pPr>
        <w:pStyle w:val="13"/>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CB1D862">
      <w:pPr>
        <w:pStyle w:val="13"/>
        <w:snapToGrid w:val="0"/>
        <w:rPr>
          <w:rFonts w:hint="eastAsia"/>
          <w:b/>
          <w:color w:val="auto"/>
          <w:sz w:val="24"/>
          <w:szCs w:val="24"/>
          <w:highlight w:val="none"/>
        </w:rPr>
      </w:pPr>
    </w:p>
    <w:p w14:paraId="633EC675">
      <w:pPr>
        <w:rPr>
          <w:rFonts w:hint="eastAsia"/>
          <w:color w:val="auto"/>
          <w:sz w:val="32"/>
          <w:szCs w:val="40"/>
          <w:highlight w:val="none"/>
        </w:rPr>
      </w:pPr>
    </w:p>
    <w:p w14:paraId="2E55DE36">
      <w:pPr>
        <w:rPr>
          <w:rFonts w:hint="eastAsia"/>
          <w:color w:val="auto"/>
          <w:sz w:val="32"/>
          <w:szCs w:val="40"/>
          <w:highlight w:val="none"/>
        </w:rPr>
      </w:pPr>
    </w:p>
    <w:p w14:paraId="75EC6409">
      <w:pPr>
        <w:rPr>
          <w:rFonts w:hint="eastAsia"/>
          <w:color w:val="auto"/>
          <w:sz w:val="32"/>
          <w:szCs w:val="40"/>
          <w:highlight w:val="none"/>
        </w:rPr>
      </w:pPr>
    </w:p>
    <w:p w14:paraId="5F2E4257">
      <w:pPr>
        <w:rPr>
          <w:rFonts w:hint="eastAsia"/>
          <w:color w:val="auto"/>
          <w:sz w:val="32"/>
          <w:szCs w:val="40"/>
          <w:highlight w:val="none"/>
        </w:rPr>
      </w:pPr>
    </w:p>
    <w:p w14:paraId="028024DB">
      <w:pPr>
        <w:rPr>
          <w:rFonts w:hint="eastAsia"/>
          <w:color w:val="auto"/>
          <w:sz w:val="32"/>
          <w:szCs w:val="40"/>
          <w:highlight w:val="none"/>
        </w:rPr>
      </w:pPr>
    </w:p>
    <w:p w14:paraId="0905EE4A">
      <w:pPr>
        <w:rPr>
          <w:rFonts w:hint="eastAsia"/>
          <w:color w:val="auto"/>
          <w:sz w:val="32"/>
          <w:szCs w:val="40"/>
          <w:highlight w:val="none"/>
        </w:rPr>
      </w:pPr>
    </w:p>
    <w:p w14:paraId="0966AF81">
      <w:pPr>
        <w:rPr>
          <w:rFonts w:hint="eastAsia"/>
          <w:color w:val="auto"/>
          <w:sz w:val="32"/>
          <w:szCs w:val="40"/>
          <w:highlight w:val="none"/>
        </w:rPr>
      </w:pPr>
    </w:p>
    <w:p w14:paraId="0D0D0576">
      <w:pPr>
        <w:rPr>
          <w:rFonts w:hint="eastAsia"/>
          <w:color w:val="auto"/>
          <w:sz w:val="32"/>
          <w:szCs w:val="40"/>
          <w:highlight w:val="none"/>
        </w:rPr>
      </w:pPr>
    </w:p>
    <w:p w14:paraId="51AB01E9">
      <w:pPr>
        <w:rPr>
          <w:rFonts w:hint="eastAsia"/>
          <w:color w:val="auto"/>
          <w:sz w:val="32"/>
          <w:szCs w:val="40"/>
          <w:highlight w:val="none"/>
        </w:rPr>
      </w:pPr>
    </w:p>
    <w:p w14:paraId="39CAE3BA">
      <w:pPr>
        <w:rPr>
          <w:rFonts w:hint="eastAsia"/>
          <w:color w:val="auto"/>
          <w:sz w:val="32"/>
          <w:szCs w:val="40"/>
          <w:highlight w:val="none"/>
        </w:rPr>
      </w:pPr>
    </w:p>
    <w:p w14:paraId="5A220924">
      <w:pPr>
        <w:rPr>
          <w:rFonts w:hint="eastAsia"/>
          <w:color w:val="auto"/>
          <w:sz w:val="32"/>
          <w:szCs w:val="40"/>
          <w:highlight w:val="none"/>
        </w:rPr>
      </w:pPr>
    </w:p>
    <w:p w14:paraId="697C6BF3">
      <w:pPr>
        <w:rPr>
          <w:rFonts w:hint="eastAsia"/>
          <w:color w:val="auto"/>
          <w:sz w:val="32"/>
          <w:szCs w:val="40"/>
          <w:highlight w:val="none"/>
        </w:rPr>
      </w:pPr>
    </w:p>
    <w:p w14:paraId="545627D5">
      <w:pPr>
        <w:rPr>
          <w:rFonts w:hint="eastAsia"/>
          <w:color w:val="auto"/>
          <w:sz w:val="32"/>
          <w:szCs w:val="40"/>
          <w:highlight w:val="none"/>
        </w:rPr>
      </w:pPr>
    </w:p>
    <w:p w14:paraId="576DB5F7">
      <w:pPr>
        <w:rPr>
          <w:rFonts w:hint="eastAsia"/>
          <w:color w:val="auto"/>
          <w:sz w:val="32"/>
          <w:szCs w:val="40"/>
          <w:highlight w:val="none"/>
        </w:rPr>
      </w:pPr>
    </w:p>
    <w:p w14:paraId="76C2B63A">
      <w:pPr>
        <w:spacing w:line="360" w:lineRule="auto"/>
        <w:jc w:val="center"/>
        <w:rPr>
          <w:rFonts w:hint="eastAsia" w:ascii="仿宋" w:hAnsi="仿宋" w:eastAsia="仿宋" w:cs="仿宋"/>
          <w:color w:val="auto"/>
          <w:sz w:val="24"/>
          <w:highlight w:val="none"/>
        </w:rPr>
      </w:pPr>
      <w:r>
        <w:rPr>
          <w:rFonts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投诉书</w:t>
      </w:r>
      <w:r>
        <w:rPr>
          <w:rFonts w:hint="eastAsia" w:ascii="仿宋" w:hAnsi="仿宋" w:eastAsia="仿宋" w:cs="仿宋"/>
          <w:color w:val="auto"/>
          <w:sz w:val="28"/>
          <w:szCs w:val="28"/>
          <w:highlight w:val="none"/>
        </w:rPr>
        <w:t>（格式）</w:t>
      </w:r>
    </w:p>
    <w:p w14:paraId="74321797">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369B79D">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0127A4">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7FACD7A">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3894C4B">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9D8E0D8">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C3C300D">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99E54F0">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514A6C7">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1F06745C">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257ED80">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F6363D0">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439661C">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312494FE">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8A7CC5E">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0AD10C0">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82AEC83">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7E368B6">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804443D">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138D39A">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26FD9E0">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0A93C80">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102116B9">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竞争性磋商文件公告：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75D699E">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A9D3355">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2DC78676">
      <w:pPr>
        <w:pStyle w:val="13"/>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D0FE75A">
      <w:pPr>
        <w:pStyle w:val="13"/>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8F3D696">
      <w:pPr>
        <w:pStyle w:val="13"/>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860C01F">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775A02EA">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36E6B7FD">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EFFAC94">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16E2724">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59BE0AC">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22F44336">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3F7AA3A4">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003ADA91">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D2A167A">
      <w:pPr>
        <w:pStyle w:val="13"/>
        <w:spacing w:line="360" w:lineRule="auto"/>
        <w:ind w:left="25" w:leftChars="12" w:firstLine="352" w:firstLineChars="147"/>
        <w:rPr>
          <w:rFonts w:hint="eastAsia" w:hAnsi="宋体"/>
          <w:color w:val="auto"/>
          <w:sz w:val="24"/>
          <w:szCs w:val="24"/>
          <w:highlight w:val="none"/>
        </w:rPr>
      </w:pPr>
    </w:p>
    <w:p w14:paraId="2F3EEF96">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ABFB3B0">
      <w:pPr>
        <w:pStyle w:val="13"/>
        <w:spacing w:line="360" w:lineRule="auto"/>
        <w:ind w:left="25" w:leftChars="12" w:firstLine="352" w:firstLineChars="147"/>
        <w:rPr>
          <w:rFonts w:hint="eastAsia" w:hAnsi="宋体"/>
          <w:color w:val="auto"/>
          <w:sz w:val="24"/>
          <w:szCs w:val="24"/>
          <w:highlight w:val="none"/>
        </w:rPr>
      </w:pPr>
    </w:p>
    <w:p w14:paraId="0029E6CA">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5669FF81">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22246E54">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09A6A0C3">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DF1CEDE">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AD63DB8">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70C7103">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833C226">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739693D3">
      <w:pPr>
        <w:pStyle w:val="13"/>
        <w:spacing w:line="360" w:lineRule="auto"/>
        <w:ind w:left="25" w:leftChars="12" w:firstLine="354" w:firstLineChars="147"/>
        <w:rPr>
          <w:rFonts w:hint="eastAsia"/>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bookmarkStart w:id="145" w:name="_Toc74323461"/>
    </w:p>
    <w:p w14:paraId="444B92C6">
      <w:pPr>
        <w:rPr>
          <w:rFonts w:hint="eastAsia"/>
          <w:color w:val="auto"/>
          <w:sz w:val="44"/>
          <w:szCs w:val="44"/>
          <w:highlight w:val="none"/>
        </w:rPr>
      </w:pPr>
      <w:r>
        <w:rPr>
          <w:rFonts w:hint="eastAsia"/>
          <w:color w:val="auto"/>
          <w:sz w:val="44"/>
          <w:szCs w:val="44"/>
          <w:highlight w:val="none"/>
        </w:rPr>
        <w:br w:type="page"/>
      </w:r>
    </w:p>
    <w:p w14:paraId="0576FE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28"/>
          <w:szCs w:val="28"/>
          <w:highlight w:val="none"/>
        </w:rPr>
      </w:pPr>
      <w:r>
        <w:rPr>
          <w:rFonts w:hint="eastAsia"/>
          <w:color w:val="auto"/>
          <w:sz w:val="44"/>
          <w:szCs w:val="44"/>
          <w:highlight w:val="none"/>
        </w:rPr>
        <w:t>第六章</w:t>
      </w:r>
      <w:bookmarkEnd w:id="145"/>
    </w:p>
    <w:p w14:paraId="333829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kern w:val="0"/>
          <w:sz w:val="44"/>
          <w:szCs w:val="44"/>
          <w:highlight w:val="none"/>
          <w:lang w:eastAsia="zh-CN"/>
        </w:rPr>
      </w:pPr>
    </w:p>
    <w:p w14:paraId="210868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auto"/>
          <w:highlight w:val="none"/>
        </w:rPr>
      </w:pPr>
      <w:r>
        <w:rPr>
          <w:rFonts w:hint="eastAsia" w:ascii="Times New Roman" w:hAnsi="Times New Roman" w:eastAsia="方正小标宋_GBK" w:cs="Times New Roman"/>
          <w:color w:val="auto"/>
          <w:kern w:val="0"/>
          <w:sz w:val="44"/>
          <w:szCs w:val="44"/>
          <w:highlight w:val="none"/>
          <w:lang w:eastAsia="zh-CN"/>
        </w:rPr>
        <w:t>合同主要条款格式</w:t>
      </w:r>
    </w:p>
    <w:p w14:paraId="25410088">
      <w:pPr>
        <w:pStyle w:val="10"/>
        <w:rPr>
          <w:rFonts w:hint="default"/>
          <w:color w:val="auto"/>
          <w:highlight w:val="none"/>
          <w:lang w:val="en-US" w:eastAsia="zh-CN"/>
        </w:rPr>
      </w:pPr>
    </w:p>
    <w:p w14:paraId="006CA54A">
      <w:pPr>
        <w:pStyle w:val="13"/>
        <w:snapToGrid w:val="0"/>
        <w:jc w:val="center"/>
        <w:rPr>
          <w:rFonts w:ascii="Arial" w:hAnsi="Arial" w:cs="Arial"/>
          <w:b/>
          <w:color w:val="auto"/>
          <w:sz w:val="24"/>
          <w:szCs w:val="24"/>
          <w:highlight w:val="none"/>
        </w:rPr>
      </w:pPr>
      <w:bookmarkStart w:id="146" w:name="_Hlk77609480"/>
    </w:p>
    <w:bookmarkEnd w:id="146"/>
    <w:p w14:paraId="72F9FDC7">
      <w:pPr>
        <w:snapToGrid w:val="0"/>
        <w:jc w:val="center"/>
        <w:rPr>
          <w:rFonts w:ascii="宋体" w:hAnsi="宋体" w:cs="宋体"/>
          <w:b/>
          <w:bCs/>
          <w:color w:val="auto"/>
          <w:sz w:val="44"/>
          <w:szCs w:val="44"/>
          <w:highlight w:val="none"/>
        </w:rPr>
      </w:pPr>
    </w:p>
    <w:p w14:paraId="40A587A7">
      <w:pPr>
        <w:snapToGrid w:val="0"/>
        <w:spacing w:line="360" w:lineRule="exact"/>
        <w:ind w:right="480" w:firstLine="9120" w:firstLineChars="2850"/>
        <w:rPr>
          <w:rFonts w:ascii="宋体" w:hAnsi="宋体" w:cs="宋体"/>
          <w:bCs/>
          <w:color w:val="auto"/>
          <w:sz w:val="32"/>
          <w:szCs w:val="32"/>
          <w:highlight w:val="none"/>
        </w:rPr>
      </w:pPr>
    </w:p>
    <w:tbl>
      <w:tblPr>
        <w:tblStyle w:val="21"/>
        <w:tblW w:w="0" w:type="auto"/>
        <w:tblInd w:w="0" w:type="dxa"/>
        <w:tblLayout w:type="fixed"/>
        <w:tblCellMar>
          <w:top w:w="0" w:type="dxa"/>
          <w:left w:w="108" w:type="dxa"/>
          <w:bottom w:w="0" w:type="dxa"/>
          <w:right w:w="108" w:type="dxa"/>
        </w:tblCellMar>
      </w:tblPr>
      <w:tblGrid>
        <w:gridCol w:w="4170"/>
        <w:gridCol w:w="4302"/>
      </w:tblGrid>
      <w:tr w14:paraId="0A603F58">
        <w:tblPrEx>
          <w:tblCellMar>
            <w:top w:w="0" w:type="dxa"/>
            <w:left w:w="108" w:type="dxa"/>
            <w:bottom w:w="0" w:type="dxa"/>
            <w:right w:w="108" w:type="dxa"/>
          </w:tblCellMar>
        </w:tblPrEx>
        <w:trPr>
          <w:trHeight w:val="891" w:hRule="atLeast"/>
        </w:trPr>
        <w:tc>
          <w:tcPr>
            <w:tcW w:w="8472" w:type="dxa"/>
            <w:gridSpan w:val="2"/>
            <w:vAlign w:val="center"/>
          </w:tcPr>
          <w:p w14:paraId="0D41B5F9">
            <w:pPr>
              <w:wordWrap w:val="0"/>
              <w:autoSpaceDE w:val="0"/>
              <w:autoSpaceDN w:val="0"/>
              <w:adjustRightInd w:val="0"/>
              <w:ind w:firstLine="1440" w:firstLineChars="450"/>
              <w:rPr>
                <w:rFonts w:ascii="宋体" w:hAnsi="宋体" w:cs="宋体"/>
                <w:color w:val="auto"/>
                <w:kern w:val="0"/>
                <w:sz w:val="32"/>
                <w:szCs w:val="32"/>
                <w:highlight w:val="none"/>
              </w:rPr>
            </w:pPr>
          </w:p>
          <w:p w14:paraId="5477997B">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合同名称：</w:t>
            </w:r>
          </w:p>
          <w:p w14:paraId="157622FB">
            <w:pPr>
              <w:wordWrap w:val="0"/>
              <w:autoSpaceDE w:val="0"/>
              <w:autoSpaceDN w:val="0"/>
              <w:adjustRightInd w:val="0"/>
              <w:ind w:firstLine="1440" w:firstLineChars="450"/>
              <w:rPr>
                <w:rFonts w:ascii="宋体" w:hAnsi="宋体" w:cs="宋体"/>
                <w:color w:val="auto"/>
                <w:kern w:val="0"/>
                <w:sz w:val="32"/>
                <w:szCs w:val="32"/>
                <w:highlight w:val="none"/>
              </w:rPr>
            </w:pPr>
          </w:p>
          <w:p w14:paraId="7F3531CA">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项目编号：</w:t>
            </w:r>
          </w:p>
          <w:p w14:paraId="1C9736DF">
            <w:pPr>
              <w:wordWrap w:val="0"/>
              <w:autoSpaceDE w:val="0"/>
              <w:autoSpaceDN w:val="0"/>
              <w:adjustRightInd w:val="0"/>
              <w:ind w:firstLine="1440" w:firstLineChars="450"/>
              <w:rPr>
                <w:rFonts w:ascii="宋体" w:hAnsi="宋体" w:cs="宋体"/>
                <w:color w:val="auto"/>
                <w:kern w:val="0"/>
                <w:sz w:val="32"/>
                <w:szCs w:val="32"/>
                <w:highlight w:val="none"/>
              </w:rPr>
            </w:pPr>
          </w:p>
        </w:tc>
      </w:tr>
      <w:tr w14:paraId="02A1F63F">
        <w:tblPrEx>
          <w:tblCellMar>
            <w:top w:w="0" w:type="dxa"/>
            <w:left w:w="108" w:type="dxa"/>
            <w:bottom w:w="0" w:type="dxa"/>
            <w:right w:w="108" w:type="dxa"/>
          </w:tblCellMar>
        </w:tblPrEx>
        <w:trPr>
          <w:trHeight w:val="505" w:hRule="atLeast"/>
        </w:trPr>
        <w:tc>
          <w:tcPr>
            <w:tcW w:w="8472" w:type="dxa"/>
            <w:gridSpan w:val="2"/>
            <w:vAlign w:val="center"/>
          </w:tcPr>
          <w:p w14:paraId="0E82580D">
            <w:pPr>
              <w:wordWrap w:val="0"/>
              <w:autoSpaceDE w:val="0"/>
              <w:autoSpaceDN w:val="0"/>
              <w:adjustRightInd w:val="0"/>
              <w:ind w:firstLine="1440" w:firstLineChars="450"/>
              <w:rPr>
                <w:rFonts w:ascii="宋体" w:hAnsi="宋体" w:cs="宋体"/>
                <w:color w:val="auto"/>
                <w:kern w:val="0"/>
                <w:sz w:val="32"/>
                <w:szCs w:val="32"/>
                <w:highlight w:val="none"/>
              </w:rPr>
            </w:pPr>
          </w:p>
          <w:p w14:paraId="7E57EAA0">
            <w:pPr>
              <w:wordWrap w:val="0"/>
              <w:autoSpaceDE w:val="0"/>
              <w:autoSpaceDN w:val="0"/>
              <w:adjustRightInd w:val="0"/>
              <w:ind w:firstLine="1440" w:firstLineChars="450"/>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采购单位：</w:t>
            </w:r>
            <w:r>
              <w:rPr>
                <w:rFonts w:hint="eastAsia" w:ascii="宋体" w:hAnsi="宋体" w:cs="宋体"/>
                <w:color w:val="auto"/>
                <w:kern w:val="0"/>
                <w:sz w:val="32"/>
                <w:szCs w:val="32"/>
                <w:highlight w:val="none"/>
                <w:lang w:eastAsia="zh-CN"/>
              </w:rPr>
              <w:t>广西医科大学第二附属医院</w:t>
            </w:r>
          </w:p>
          <w:p w14:paraId="79056227">
            <w:pPr>
              <w:wordWrap w:val="0"/>
              <w:autoSpaceDE w:val="0"/>
              <w:autoSpaceDN w:val="0"/>
              <w:adjustRightInd w:val="0"/>
              <w:ind w:firstLine="1440" w:firstLineChars="450"/>
              <w:rPr>
                <w:rFonts w:ascii="宋体" w:hAnsi="宋体" w:cs="宋体"/>
                <w:color w:val="auto"/>
                <w:kern w:val="0"/>
                <w:sz w:val="32"/>
                <w:szCs w:val="32"/>
                <w:highlight w:val="none"/>
              </w:rPr>
            </w:pPr>
          </w:p>
        </w:tc>
      </w:tr>
      <w:tr w14:paraId="274F07D9">
        <w:tblPrEx>
          <w:tblCellMar>
            <w:top w:w="0" w:type="dxa"/>
            <w:left w:w="108" w:type="dxa"/>
            <w:bottom w:w="0" w:type="dxa"/>
            <w:right w:w="108" w:type="dxa"/>
          </w:tblCellMar>
        </w:tblPrEx>
        <w:trPr>
          <w:trHeight w:val="427" w:hRule="atLeast"/>
        </w:trPr>
        <w:tc>
          <w:tcPr>
            <w:tcW w:w="8472" w:type="dxa"/>
            <w:gridSpan w:val="2"/>
            <w:vAlign w:val="center"/>
          </w:tcPr>
          <w:p w14:paraId="3EADEE1D">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供 应 商：</w:t>
            </w:r>
          </w:p>
          <w:p w14:paraId="6C060130">
            <w:pPr>
              <w:wordWrap w:val="0"/>
              <w:autoSpaceDE w:val="0"/>
              <w:autoSpaceDN w:val="0"/>
              <w:adjustRightInd w:val="0"/>
              <w:ind w:firstLine="1440" w:firstLineChars="450"/>
              <w:rPr>
                <w:rFonts w:ascii="宋体" w:hAnsi="宋体" w:cs="宋体"/>
                <w:color w:val="auto"/>
                <w:kern w:val="0"/>
                <w:sz w:val="32"/>
                <w:szCs w:val="32"/>
                <w:highlight w:val="none"/>
              </w:rPr>
            </w:pPr>
          </w:p>
        </w:tc>
      </w:tr>
      <w:tr w14:paraId="5845D3C7">
        <w:tblPrEx>
          <w:tblCellMar>
            <w:top w:w="0" w:type="dxa"/>
            <w:left w:w="108" w:type="dxa"/>
            <w:bottom w:w="0" w:type="dxa"/>
            <w:right w:w="108" w:type="dxa"/>
          </w:tblCellMar>
        </w:tblPrEx>
        <w:trPr>
          <w:trHeight w:val="894" w:hRule="atLeast"/>
        </w:trPr>
        <w:tc>
          <w:tcPr>
            <w:tcW w:w="4170" w:type="dxa"/>
            <w:vAlign w:val="center"/>
          </w:tcPr>
          <w:p w14:paraId="6A5B444A">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签订时间：</w:t>
            </w:r>
          </w:p>
        </w:tc>
        <w:tc>
          <w:tcPr>
            <w:tcW w:w="4302" w:type="dxa"/>
            <w:vAlign w:val="center"/>
          </w:tcPr>
          <w:p w14:paraId="722FBCBD">
            <w:pPr>
              <w:wordWrap w:val="0"/>
              <w:autoSpaceDE w:val="0"/>
              <w:autoSpaceDN w:val="0"/>
              <w:adjustRightInd w:val="0"/>
              <w:rPr>
                <w:rFonts w:ascii="宋体" w:hAnsi="宋体" w:cs="宋体"/>
                <w:color w:val="auto"/>
                <w:kern w:val="0"/>
                <w:sz w:val="32"/>
                <w:szCs w:val="32"/>
                <w:highlight w:val="none"/>
              </w:rPr>
            </w:pPr>
            <w:r>
              <w:rPr>
                <w:rFonts w:hint="eastAsia" w:ascii="宋体" w:hAnsi="宋体" w:cs="宋体"/>
                <w:color w:val="auto"/>
                <w:kern w:val="0"/>
                <w:sz w:val="32"/>
                <w:szCs w:val="32"/>
                <w:highlight w:val="none"/>
              </w:rPr>
              <w:t>年    月    日</w:t>
            </w:r>
          </w:p>
        </w:tc>
      </w:tr>
    </w:tbl>
    <w:p w14:paraId="12A21A0E">
      <w:pPr>
        <w:snapToGrid w:val="0"/>
        <w:spacing w:line="360" w:lineRule="exact"/>
        <w:jc w:val="center"/>
        <w:rPr>
          <w:rFonts w:ascii="宋体" w:hAnsi="宋体" w:cs="宋体"/>
          <w:b/>
          <w:bCs/>
          <w:color w:val="auto"/>
          <w:sz w:val="18"/>
          <w:szCs w:val="18"/>
          <w:highlight w:val="none"/>
        </w:rPr>
      </w:pPr>
    </w:p>
    <w:p w14:paraId="7D60B93E">
      <w:pPr>
        <w:snapToGrid w:val="0"/>
        <w:spacing w:line="360" w:lineRule="exact"/>
        <w:jc w:val="center"/>
        <w:rPr>
          <w:rFonts w:ascii="宋体" w:hAnsi="宋体" w:cs="宋体"/>
          <w:b/>
          <w:bCs/>
          <w:color w:val="auto"/>
          <w:sz w:val="18"/>
          <w:szCs w:val="18"/>
          <w:highlight w:val="none"/>
        </w:rPr>
      </w:pPr>
    </w:p>
    <w:p w14:paraId="428DB66B">
      <w:pPr>
        <w:snapToGrid w:val="0"/>
        <w:spacing w:line="360" w:lineRule="exact"/>
        <w:jc w:val="center"/>
        <w:rPr>
          <w:rFonts w:ascii="宋体" w:hAnsi="宋体" w:cs="宋体"/>
          <w:b/>
          <w:bCs/>
          <w:color w:val="auto"/>
          <w:sz w:val="18"/>
          <w:szCs w:val="18"/>
          <w:highlight w:val="none"/>
        </w:rPr>
      </w:pPr>
    </w:p>
    <w:p w14:paraId="2D15F9B9">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p>
    <w:p w14:paraId="65DED3F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22337DAE">
      <w:pPr>
        <w:snapToGrid w:val="0"/>
        <w:spacing w:line="400" w:lineRule="exact"/>
        <w:jc w:val="center"/>
        <w:rPr>
          <w:rFonts w:hint="eastAsia" w:ascii="宋体" w:hAnsi="宋体" w:cs="Times New Roman"/>
          <w:b/>
          <w:bCs/>
          <w:color w:val="auto"/>
          <w:sz w:val="32"/>
          <w:szCs w:val="32"/>
          <w:highlight w:val="none"/>
        </w:rPr>
      </w:pPr>
      <w:r>
        <w:rPr>
          <w:rFonts w:hint="eastAsia" w:ascii="宋体" w:hAnsi="宋体" w:cs="Times New Roman"/>
          <w:b/>
          <w:bCs/>
          <w:color w:val="auto"/>
          <w:sz w:val="32"/>
          <w:szCs w:val="32"/>
          <w:highlight w:val="none"/>
        </w:rPr>
        <w:t>《广西壮族自治区政府采购合同》</w:t>
      </w:r>
    </w:p>
    <w:p w14:paraId="042493C1">
      <w:pPr>
        <w:snapToGrid w:val="0"/>
        <w:spacing w:line="400" w:lineRule="exact"/>
        <w:jc w:val="center"/>
        <w:rPr>
          <w:rFonts w:hint="eastAsia" w:ascii="宋体" w:hAnsi="宋体" w:cs="Times New Roman"/>
          <w:b/>
          <w:bCs/>
          <w:color w:val="auto"/>
          <w:sz w:val="32"/>
          <w:szCs w:val="32"/>
          <w:highlight w:val="none"/>
        </w:rPr>
      </w:pPr>
      <w:r>
        <w:rPr>
          <w:rFonts w:hint="eastAsia" w:ascii="宋体" w:hAnsi="宋体" w:cs="Times New Roman"/>
          <w:b/>
          <w:color w:val="auto"/>
          <w:sz w:val="32"/>
          <w:szCs w:val="32"/>
          <w:highlight w:val="none"/>
        </w:rPr>
        <w:t>文本</w:t>
      </w:r>
    </w:p>
    <w:p w14:paraId="066DD59E">
      <w:pPr>
        <w:keepNext w:val="0"/>
        <w:keepLines w:val="0"/>
        <w:pageBreakBefore w:val="0"/>
        <w:widowControl w:val="0"/>
        <w:kinsoku/>
        <w:wordWrap/>
        <w:overflowPunct/>
        <w:topLinePunct w:val="0"/>
        <w:autoSpaceDE/>
        <w:autoSpaceDN/>
        <w:bidi w:val="0"/>
        <w:adjustRightInd/>
        <w:snapToGrid w:val="0"/>
        <w:spacing w:line="348" w:lineRule="auto"/>
        <w:ind w:right="480" w:firstLine="6000" w:firstLineChars="25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合同编号：</w:t>
      </w:r>
    </w:p>
    <w:p w14:paraId="71BEB1CC">
      <w:pPr>
        <w:keepNext w:val="0"/>
        <w:keepLines w:val="0"/>
        <w:pageBreakBefore w:val="0"/>
        <w:widowControl w:val="0"/>
        <w:kinsoku/>
        <w:wordWrap/>
        <w:overflowPunct/>
        <w:topLinePunct w:val="0"/>
        <w:autoSpaceDE/>
        <w:autoSpaceDN/>
        <w:bidi w:val="0"/>
        <w:adjustRightInd/>
        <w:snapToGrid w:val="0"/>
        <w:spacing w:line="348" w:lineRule="auto"/>
        <w:textAlignment w:val="auto"/>
        <w:rPr>
          <w:rFonts w:hint="eastAsia" w:ascii="宋体" w:hAnsi="宋体" w:eastAsia="宋体" w:cs="宋体"/>
          <w:color w:val="auto"/>
          <w:sz w:val="24"/>
          <w:szCs w:val="24"/>
          <w:highlight w:val="none"/>
        </w:rPr>
      </w:pPr>
    </w:p>
    <w:p w14:paraId="37176D3B">
      <w:pPr>
        <w:keepNext w:val="0"/>
        <w:keepLines w:val="0"/>
        <w:pageBreakBefore w:val="0"/>
        <w:widowControl w:val="0"/>
        <w:tabs>
          <w:tab w:val="left" w:pos="720"/>
        </w:tabs>
        <w:kinsoku/>
        <w:wordWrap/>
        <w:overflowPunct/>
        <w:topLinePunct w:val="0"/>
        <w:autoSpaceDE/>
        <w:autoSpaceDN/>
        <w:bidi w:val="0"/>
        <w:adjustRightInd/>
        <w:spacing w:line="440" w:lineRule="exact"/>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合同</w:t>
      </w:r>
      <w:r>
        <w:rPr>
          <w:rFonts w:ascii="宋体" w:hAnsi="宋体" w:cs="宋体"/>
          <w:b/>
          <w:color w:val="auto"/>
          <w:sz w:val="24"/>
          <w:highlight w:val="none"/>
        </w:rPr>
        <w:t>名称：</w:t>
      </w:r>
      <w:r>
        <w:rPr>
          <w:rFonts w:hint="eastAsia" w:ascii="宋体" w:hAnsi="宋体" w:cs="宋体"/>
          <w:b/>
          <w:color w:val="auto"/>
          <w:sz w:val="24"/>
          <w:highlight w:val="none"/>
        </w:rPr>
        <w:t xml:space="preserve"> </w:t>
      </w:r>
    </w:p>
    <w:p w14:paraId="7A64BB3F">
      <w:pPr>
        <w:keepNext w:val="0"/>
        <w:keepLines w:val="0"/>
        <w:pageBreakBefore w:val="0"/>
        <w:widowControl w:val="0"/>
        <w:tabs>
          <w:tab w:val="left" w:pos="720"/>
        </w:tabs>
        <w:kinsoku/>
        <w:wordWrap/>
        <w:overflowPunct/>
        <w:topLinePunct w:val="0"/>
        <w:autoSpaceDE/>
        <w:autoSpaceDN/>
        <w:bidi w:val="0"/>
        <w:adjustRightInd/>
        <w:spacing w:line="44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lang w:eastAsia="zh-CN"/>
        </w:rPr>
        <w:t>合同编号：</w:t>
      </w:r>
      <w:r>
        <w:rPr>
          <w:rFonts w:hint="eastAsia" w:ascii="宋体" w:hAnsi="宋体" w:cs="宋体"/>
          <w:b/>
          <w:color w:val="auto"/>
          <w:sz w:val="24"/>
          <w:highlight w:val="none"/>
        </w:rPr>
        <w:t xml:space="preserve">                          </w:t>
      </w:r>
    </w:p>
    <w:p w14:paraId="4C5ED1E4">
      <w:pPr>
        <w:keepNext w:val="0"/>
        <w:keepLines w:val="0"/>
        <w:pageBreakBefore w:val="0"/>
        <w:widowControl w:val="0"/>
        <w:tabs>
          <w:tab w:val="left" w:pos="720"/>
        </w:tabs>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甲方（采购方）：</w:t>
      </w:r>
      <w:r>
        <w:rPr>
          <w:rFonts w:hint="eastAsia" w:ascii="宋体" w:hAnsi="宋体" w:cs="宋体"/>
          <w:color w:val="auto"/>
          <w:sz w:val="24"/>
          <w:highlight w:val="none"/>
          <w:lang w:eastAsia="zh-CN"/>
        </w:rPr>
        <w:t>广西医科大学第二附属医院</w:t>
      </w:r>
    </w:p>
    <w:p w14:paraId="39E22B7C">
      <w:pPr>
        <w:keepNext w:val="0"/>
        <w:keepLines w:val="0"/>
        <w:pageBreakBefore w:val="0"/>
        <w:widowControl w:val="0"/>
        <w:tabs>
          <w:tab w:val="left" w:pos="720"/>
        </w:tabs>
        <w:kinsoku/>
        <w:wordWrap/>
        <w:overflowPunct/>
        <w:topLinePunct w:val="0"/>
        <w:autoSpaceDE/>
        <w:autoSpaceDN/>
        <w:bidi w:val="0"/>
        <w:adjustRightInd/>
        <w:spacing w:line="44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乙方（供应方）：</w:t>
      </w:r>
    </w:p>
    <w:p w14:paraId="70CBE2C5">
      <w:pPr>
        <w:keepNext w:val="0"/>
        <w:keepLines w:val="0"/>
        <w:pageBreakBefore w:val="0"/>
        <w:widowControl w:val="0"/>
        <w:tabs>
          <w:tab w:val="left" w:pos="720"/>
        </w:tabs>
        <w:kinsoku/>
        <w:wordWrap/>
        <w:overflowPunct/>
        <w:topLinePunct w:val="0"/>
        <w:autoSpaceDE/>
        <w:autoSpaceDN/>
        <w:bidi w:val="0"/>
        <w:adjustRightInd/>
        <w:spacing w:line="440" w:lineRule="exact"/>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签订地点：</w:t>
      </w:r>
      <w:r>
        <w:rPr>
          <w:rFonts w:hint="eastAsia" w:ascii="宋体" w:hAnsi="宋体" w:cs="宋体"/>
          <w:color w:val="auto"/>
          <w:sz w:val="24"/>
          <w:highlight w:val="none"/>
          <w:lang w:eastAsia="zh-CN"/>
        </w:rPr>
        <w:t>广西医科大学第二附属医院</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签订时间：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245B6693">
      <w:pPr>
        <w:keepNext w:val="0"/>
        <w:keepLines w:val="0"/>
        <w:pageBreakBefore w:val="0"/>
        <w:widowControl w:val="0"/>
        <w:tabs>
          <w:tab w:val="left" w:pos="6345"/>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ab/>
      </w:r>
    </w:p>
    <w:p w14:paraId="1189589E">
      <w:pPr>
        <w:keepNext w:val="0"/>
        <w:keepLines w:val="0"/>
        <w:pageBreakBefore w:val="0"/>
        <w:widowControl w:val="0"/>
        <w:tabs>
          <w:tab w:val="left" w:pos="720"/>
        </w:tabs>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根据《中华人民共和国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《中华人民共和国</w:t>
      </w:r>
      <w:r>
        <w:rPr>
          <w:rFonts w:hint="eastAsia" w:ascii="宋体" w:hAnsi="宋体" w:cs="宋体"/>
          <w:color w:val="auto"/>
          <w:sz w:val="24"/>
          <w:highlight w:val="none"/>
          <w:lang w:eastAsia="zh-CN"/>
        </w:rPr>
        <w:t>政府采购</w:t>
      </w:r>
      <w:r>
        <w:rPr>
          <w:rFonts w:hint="eastAsia" w:ascii="宋体" w:hAnsi="宋体" w:cs="宋体"/>
          <w:color w:val="auto"/>
          <w:sz w:val="24"/>
          <w:highlight w:val="none"/>
        </w:rPr>
        <w:t>法》及广西壮族自治区关于政府采购的相关文件等规范性文件的规定，按照</w:t>
      </w:r>
      <w:r>
        <w:rPr>
          <w:rFonts w:hint="eastAsia" w:ascii="宋体" w:hAnsi="宋体" w:cs="宋体"/>
          <w:color w:val="auto"/>
          <w:sz w:val="24"/>
          <w:highlight w:val="none"/>
          <w:lang w:eastAsia="zh-CN"/>
        </w:rPr>
        <w:t>招投标文件/采购文件</w:t>
      </w:r>
      <w:r>
        <w:rPr>
          <w:rFonts w:hint="eastAsia" w:ascii="宋体" w:hAnsi="宋体" w:cs="宋体"/>
          <w:color w:val="auto"/>
          <w:sz w:val="24"/>
          <w:highlight w:val="none"/>
        </w:rPr>
        <w:t>规定条款和</w:t>
      </w:r>
      <w:r>
        <w:rPr>
          <w:rFonts w:hint="eastAsia" w:ascii="宋体" w:hAnsi="宋体" w:cs="宋体"/>
          <w:color w:val="auto"/>
          <w:sz w:val="24"/>
          <w:highlight w:val="none"/>
          <w:lang w:eastAsia="zh-CN"/>
        </w:rPr>
        <w:t>中标/成交</w:t>
      </w:r>
      <w:r>
        <w:rPr>
          <w:rFonts w:hint="eastAsia" w:ascii="宋体" w:hAnsi="宋体" w:cs="宋体"/>
          <w:color w:val="auto"/>
          <w:sz w:val="24"/>
          <w:highlight w:val="none"/>
        </w:rPr>
        <w:t>供应商承诺</w:t>
      </w:r>
      <w:r>
        <w:rPr>
          <w:rFonts w:hint="eastAsia" w:ascii="宋体" w:hAnsi="宋体" w:cs="宋体"/>
          <w:color w:val="auto"/>
          <w:sz w:val="24"/>
          <w:highlight w:val="none"/>
          <w:lang w:eastAsia="zh-CN"/>
        </w:rPr>
        <w:t>，</w:t>
      </w:r>
      <w:r>
        <w:rPr>
          <w:rFonts w:hint="eastAsia" w:ascii="宋体" w:hAnsi="宋体" w:cs="宋体"/>
          <w:color w:val="auto"/>
          <w:sz w:val="24"/>
          <w:highlight w:val="none"/>
        </w:rPr>
        <w:t>甲乙双方签订本合同</w:t>
      </w:r>
      <w:r>
        <w:rPr>
          <w:rFonts w:hint="eastAsia" w:ascii="宋体" w:hAnsi="宋体" w:cs="宋体"/>
          <w:color w:val="auto"/>
          <w:sz w:val="24"/>
          <w:highlight w:val="none"/>
          <w:lang w:eastAsia="zh-CN"/>
        </w:rPr>
        <w:t>。</w:t>
      </w:r>
    </w:p>
    <w:p w14:paraId="3C610349">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一、采购服务内容</w:t>
      </w:r>
    </w:p>
    <w:p w14:paraId="3FE71102">
      <w:pPr>
        <w:keepNext w:val="0"/>
        <w:keepLines w:val="0"/>
        <w:pageBreakBefore w:val="0"/>
        <w:widowControl w:val="0"/>
        <w:kinsoku/>
        <w:wordWrap/>
        <w:overflowPunct/>
        <w:topLinePunct w:val="0"/>
        <w:autoSpaceDE/>
        <w:autoSpaceDN/>
        <w:bidi w:val="0"/>
        <w:adjustRightInd/>
        <w:spacing w:line="44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甲方向乙方采购的服务内容为：</w:t>
      </w:r>
      <w:r>
        <w:rPr>
          <w:rFonts w:hint="eastAsia" w:ascii="宋体" w:hAnsi="宋体" w:cs="宋体"/>
          <w:color w:val="auto"/>
          <w:sz w:val="24"/>
          <w:highlight w:val="none"/>
          <w:u w:val="single"/>
        </w:rPr>
        <w:t xml:space="preserve"> </w:t>
      </w:r>
      <w:r>
        <w:rPr>
          <w:rFonts w:hint="eastAsia" w:ascii="宋体" w:hAnsi="宋体" w:eastAsia="宋体" w:cs="宋体"/>
          <w:i w:val="0"/>
          <w:iCs w:val="0"/>
          <w:color w:val="auto"/>
          <w:kern w:val="2"/>
          <w:sz w:val="24"/>
          <w:szCs w:val="24"/>
          <w:highlight w:val="none"/>
          <w:u w:val="single"/>
          <w:lang w:val="en-US" w:eastAsia="zh-CN" w:bidi="ar-SA"/>
        </w:rPr>
        <w:t>《All-in-One精细化运营管理体系建设》第二阶段服务项目-PFMS医师费绩效管理系统</w:t>
      </w:r>
      <w:r>
        <w:rPr>
          <w:rFonts w:hint="eastAsia" w:ascii="宋体" w:hAnsi="宋体" w:cs="宋体"/>
          <w:color w:val="auto"/>
          <w:sz w:val="24"/>
          <w:highlight w:val="none"/>
          <w:u w:val="single"/>
          <w:lang w:val="en-US" w:eastAsia="zh-CN"/>
        </w:rPr>
        <w:t>1项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8CD9F6">
      <w:pPr>
        <w:keepNext w:val="0"/>
        <w:keepLines w:val="0"/>
        <w:pageBreakBefore w:val="0"/>
        <w:widowControl w:val="0"/>
        <w:kinsoku/>
        <w:wordWrap/>
        <w:overflowPunct/>
        <w:topLinePunct w:val="0"/>
        <w:autoSpaceDE/>
        <w:autoSpaceDN/>
        <w:bidi w:val="0"/>
        <w:adjustRightInd/>
        <w:spacing w:line="440" w:lineRule="exact"/>
        <w:ind w:firstLine="57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default" w:ascii="宋体" w:hAnsi="宋体" w:cs="宋体"/>
          <w:color w:val="auto"/>
          <w:kern w:val="0"/>
          <w:sz w:val="24"/>
          <w:szCs w:val="24"/>
          <w:highlight w:val="none"/>
          <w:lang w:val="en-US" w:eastAsia="zh-CN"/>
        </w:rPr>
        <w:t>免费维保服务期限</w:t>
      </w:r>
      <w:r>
        <w:rPr>
          <w:rFonts w:hint="eastAsia" w:ascii="宋体" w:hAnsi="宋体" w:eastAsia="宋体" w:cs="宋体"/>
          <w:color w:val="auto"/>
          <w:sz w:val="24"/>
          <w:szCs w:val="24"/>
          <w:highlight w:val="none"/>
          <w:u w:val="none"/>
          <w:lang w:eastAsia="zh-CN"/>
        </w:rPr>
        <w:t>：从最终验收合格之日起计算</w:t>
      </w:r>
      <w:r>
        <w:rPr>
          <w:rFonts w:hint="default" w:ascii="宋体" w:hAnsi="宋体" w:cs="宋体"/>
          <w:color w:val="auto"/>
          <w:kern w:val="0"/>
          <w:sz w:val="24"/>
          <w:szCs w:val="24"/>
          <w:highlight w:val="none"/>
          <w:lang w:val="en-US" w:eastAsia="zh-CN"/>
        </w:rPr>
        <w:t>免费维保服务期限</w:t>
      </w:r>
      <w:r>
        <w:rPr>
          <w:rFonts w:hint="eastAsia" w:ascii="宋体" w:hAnsi="宋体" w:eastAsia="宋体" w:cs="宋体"/>
          <w:color w:val="auto"/>
          <w:sz w:val="24"/>
          <w:szCs w:val="24"/>
          <w:highlight w:val="none"/>
          <w:u w:val="none"/>
          <w:lang w:eastAsia="zh-CN"/>
        </w:rPr>
        <w:t>不少于</w:t>
      </w:r>
      <w:r>
        <w:rPr>
          <w:rFonts w:hint="eastAsia" w:ascii="宋体" w:hAnsi="宋体" w:eastAsia="宋体" w:cs="宋体"/>
          <w:color w:val="auto"/>
          <w:sz w:val="24"/>
          <w:szCs w:val="24"/>
          <w:highlight w:val="none"/>
          <w:u w:val="none"/>
          <w:lang w:val="en-US" w:eastAsia="zh-CN"/>
        </w:rPr>
        <w:t>三</w:t>
      </w:r>
      <w:r>
        <w:rPr>
          <w:rFonts w:hint="eastAsia" w:ascii="宋体" w:hAnsi="宋体" w:eastAsia="宋体" w:cs="宋体"/>
          <w:color w:val="auto"/>
          <w:sz w:val="24"/>
          <w:szCs w:val="24"/>
          <w:highlight w:val="none"/>
          <w:u w:val="none"/>
          <w:lang w:eastAsia="zh-CN"/>
        </w:rPr>
        <w:t>年（含</w:t>
      </w:r>
      <w:r>
        <w:rPr>
          <w:rFonts w:hint="eastAsia" w:ascii="宋体" w:hAnsi="宋体" w:eastAsia="宋体" w:cs="宋体"/>
          <w:color w:val="auto"/>
          <w:sz w:val="24"/>
          <w:szCs w:val="24"/>
          <w:highlight w:val="none"/>
          <w:u w:val="none"/>
          <w:lang w:val="en-US" w:eastAsia="zh-CN"/>
        </w:rPr>
        <w:t>三</w:t>
      </w:r>
      <w:r>
        <w:rPr>
          <w:rFonts w:hint="eastAsia" w:ascii="宋体" w:hAnsi="宋体" w:eastAsia="宋体" w:cs="宋体"/>
          <w:color w:val="auto"/>
          <w:sz w:val="24"/>
          <w:szCs w:val="24"/>
          <w:highlight w:val="none"/>
          <w:u w:val="none"/>
          <w:lang w:eastAsia="zh-CN"/>
        </w:rPr>
        <w:t>年）。</w:t>
      </w:r>
    </w:p>
    <w:p w14:paraId="67E05FFA">
      <w:pPr>
        <w:keepNext w:val="0"/>
        <w:keepLines w:val="0"/>
        <w:pageBreakBefore w:val="0"/>
        <w:widowControl w:val="0"/>
        <w:kinsoku/>
        <w:wordWrap/>
        <w:overflowPunct/>
        <w:topLinePunct w:val="0"/>
        <w:autoSpaceDE/>
        <w:autoSpaceDN/>
        <w:bidi w:val="0"/>
        <w:adjustRightInd/>
        <w:spacing w:line="440" w:lineRule="exact"/>
        <w:ind w:firstLine="494" w:firstLineChars="205"/>
        <w:textAlignment w:val="auto"/>
        <w:rPr>
          <w:rFonts w:ascii="宋体" w:hAnsi="宋体" w:cs="宋体"/>
          <w:b/>
          <w:color w:val="auto"/>
          <w:sz w:val="24"/>
          <w:highlight w:val="none"/>
        </w:rPr>
      </w:pPr>
      <w:r>
        <w:rPr>
          <w:rFonts w:hint="eastAsia" w:ascii="宋体" w:hAnsi="宋体" w:cs="宋体"/>
          <w:b/>
          <w:color w:val="auto"/>
          <w:sz w:val="24"/>
          <w:highlight w:val="none"/>
        </w:rPr>
        <w:t>二、服务地点</w:t>
      </w:r>
    </w:p>
    <w:p w14:paraId="71EF05CD">
      <w:pPr>
        <w:keepNext w:val="0"/>
        <w:keepLines w:val="0"/>
        <w:pageBreakBefore w:val="0"/>
        <w:widowControl w:val="0"/>
        <w:kinsoku/>
        <w:wordWrap/>
        <w:overflowPunct/>
        <w:topLinePunct w:val="0"/>
        <w:autoSpaceDE/>
        <w:autoSpaceDN/>
        <w:bidi w:val="0"/>
        <w:adjustRightInd/>
        <w:spacing w:line="44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服务地点：</w:t>
      </w:r>
      <w:r>
        <w:rPr>
          <w:rFonts w:hint="eastAsia" w:ascii="宋体" w:hAnsi="宋体" w:eastAsia="宋体" w:cs="宋体"/>
          <w:color w:val="auto"/>
          <w:sz w:val="24"/>
          <w:szCs w:val="24"/>
          <w:highlight w:val="none"/>
          <w:u w:val="single"/>
          <w:lang w:eastAsia="zh-CN"/>
        </w:rPr>
        <w:t>广西医科大学第二附属医院</w:t>
      </w:r>
      <w:r>
        <w:rPr>
          <w:rFonts w:hint="eastAsia" w:ascii="宋体" w:hAnsi="宋体" w:eastAsia="宋体" w:cs="宋体"/>
          <w:color w:val="auto"/>
          <w:sz w:val="24"/>
          <w:szCs w:val="24"/>
          <w:highlight w:val="none"/>
          <w:u w:val="single"/>
        </w:rPr>
        <w:t>指定地点，南宁市内。</w:t>
      </w:r>
    </w:p>
    <w:p w14:paraId="386324F7">
      <w:pPr>
        <w:keepNext w:val="0"/>
        <w:keepLines w:val="0"/>
        <w:pageBreakBefore w:val="0"/>
        <w:widowControl w:val="0"/>
        <w:kinsoku/>
        <w:wordWrap/>
        <w:overflowPunct/>
        <w:topLinePunct w:val="0"/>
        <w:autoSpaceDE/>
        <w:autoSpaceDN/>
        <w:bidi w:val="0"/>
        <w:adjustRightInd/>
        <w:spacing w:line="440" w:lineRule="exact"/>
        <w:ind w:firstLine="494" w:firstLineChars="205"/>
        <w:textAlignment w:val="auto"/>
        <w:rPr>
          <w:rFonts w:hint="eastAsia" w:ascii="宋体" w:hAnsi="宋体" w:cs="宋体"/>
          <w:b/>
          <w:color w:val="auto"/>
          <w:sz w:val="24"/>
          <w:highlight w:val="none"/>
        </w:rPr>
      </w:pPr>
      <w:r>
        <w:rPr>
          <w:rFonts w:hint="eastAsia" w:ascii="宋体" w:hAnsi="宋体" w:cs="宋体"/>
          <w:b/>
          <w:color w:val="auto"/>
          <w:sz w:val="24"/>
          <w:highlight w:val="none"/>
        </w:rPr>
        <w:t>三、服务质量标准与验收方式</w:t>
      </w:r>
    </w:p>
    <w:p w14:paraId="6B0216C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乙方所提供的服务内容必须与</w:t>
      </w:r>
      <w:r>
        <w:rPr>
          <w:rFonts w:hint="eastAsia" w:ascii="宋体" w:hAnsi="宋体" w:eastAsia="宋体" w:cs="宋体"/>
          <w:color w:val="auto"/>
          <w:sz w:val="24"/>
          <w:szCs w:val="24"/>
          <w:highlight w:val="none"/>
          <w:lang w:eastAsia="zh-CN"/>
        </w:rPr>
        <w:t>招投标文件/采购文件</w:t>
      </w:r>
      <w:r>
        <w:rPr>
          <w:rFonts w:hint="eastAsia" w:ascii="宋体" w:hAnsi="宋体" w:eastAsia="宋体" w:cs="宋体"/>
          <w:color w:val="auto"/>
          <w:sz w:val="24"/>
          <w:szCs w:val="24"/>
          <w:highlight w:val="none"/>
        </w:rPr>
        <w:t>和承诺相一致</w:t>
      </w:r>
      <w:r>
        <w:rPr>
          <w:rFonts w:hint="eastAsia" w:ascii="宋体" w:hAnsi="宋体" w:eastAsia="宋体" w:cs="宋体"/>
          <w:color w:val="auto"/>
          <w:sz w:val="24"/>
          <w:szCs w:val="24"/>
          <w:highlight w:val="none"/>
          <w:lang w:eastAsia="zh-CN"/>
        </w:rPr>
        <w:t>，若不一致，甲方有权拒绝接受。</w:t>
      </w:r>
    </w:p>
    <w:p w14:paraId="5E6B5FC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交付时间：</w:t>
      </w:r>
      <w:r>
        <w:rPr>
          <w:rFonts w:hint="eastAsia" w:ascii="宋体" w:hAnsi="宋体" w:eastAsia="宋体" w:cs="宋体"/>
          <w:color w:val="auto"/>
          <w:sz w:val="24"/>
          <w:szCs w:val="24"/>
          <w:highlight w:val="none"/>
          <w:u w:val="single"/>
          <w:lang w:val="en-US" w:eastAsia="zh-CN"/>
        </w:rPr>
        <w:t>成交供应商应在本合同签订之日起90个工作日内完成并交付使用</w:t>
      </w:r>
      <w:r>
        <w:rPr>
          <w:rFonts w:hint="eastAsia" w:ascii="宋体" w:hAnsi="宋体" w:eastAsia="宋体" w:cs="宋体"/>
          <w:color w:val="auto"/>
          <w:sz w:val="24"/>
          <w:szCs w:val="24"/>
          <w:highlight w:val="none"/>
          <w:lang w:eastAsia="zh-CN"/>
        </w:rPr>
        <w:t>。</w:t>
      </w:r>
    </w:p>
    <w:p w14:paraId="5CD3C2D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乙方交付服务成果前应对交付内容作出全面检查和对验收文件进行整理，并列出清单，作为甲方验收和使用的技术条件依据，检验的结果应交甲方。</w:t>
      </w:r>
    </w:p>
    <w:p w14:paraId="6714375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甲方应当在服务成果提交并安装、测试、检验、试运行完后</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个工作日内进行验收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逾期</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50</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Hans"/>
        </w:rPr>
        <w:t>个工作日</w:t>
      </w:r>
      <w:r>
        <w:rPr>
          <w:rFonts w:hint="eastAsia" w:ascii="宋体" w:hAnsi="宋体" w:eastAsia="宋体" w:cs="宋体"/>
          <w:color w:val="auto"/>
          <w:sz w:val="24"/>
          <w:szCs w:val="24"/>
          <w:highlight w:val="none"/>
        </w:rPr>
        <w:t>不验收的，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应书面通知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不予验收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原因</w:t>
      </w:r>
      <w:r>
        <w:rPr>
          <w:rFonts w:hint="eastAsia" w:ascii="宋体" w:hAnsi="宋体" w:eastAsia="宋体" w:cs="宋体"/>
          <w:color w:val="auto"/>
          <w:sz w:val="24"/>
          <w:szCs w:val="24"/>
          <w:highlight w:val="none"/>
        </w:rPr>
        <w:t>。验收合格后由甲乙双方签署验收单，在验收过程中发现乙方有违约问题，</w:t>
      </w:r>
      <w:r>
        <w:rPr>
          <w:rFonts w:hint="eastAsia" w:ascii="宋体" w:hAnsi="宋体" w:eastAsia="宋体" w:cs="宋体"/>
          <w:color w:val="auto"/>
          <w:sz w:val="24"/>
          <w:szCs w:val="24"/>
          <w:highlight w:val="none"/>
          <w:lang w:val="en-US" w:eastAsia="zh-Hans"/>
        </w:rPr>
        <w:t>乙方须承担违约责任，甲方</w:t>
      </w:r>
      <w:r>
        <w:rPr>
          <w:rFonts w:hint="eastAsia" w:ascii="宋体" w:hAnsi="宋体" w:eastAsia="宋体" w:cs="宋体"/>
          <w:color w:val="auto"/>
          <w:sz w:val="24"/>
          <w:szCs w:val="24"/>
          <w:highlight w:val="none"/>
        </w:rPr>
        <w:t>可暂缓资金结算，待违约问题解决后，方可办理资金结算事宜。</w:t>
      </w:r>
    </w:p>
    <w:p w14:paraId="1D61159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甲方对验收有异议的，在验收后5个工作日内以书面形式向乙方提出，乙方应自收到甲方书面异议后</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日内及时予以解决。</w:t>
      </w:r>
    </w:p>
    <w:p w14:paraId="5A508B74">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四、服务费与支付方式</w:t>
      </w:r>
    </w:p>
    <w:p w14:paraId="18C832F4">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1.乙方完成本合同项下全部服务内容的服务费为人民币（大写）_____________元（</w:t>
      </w:r>
      <w:r>
        <w:rPr>
          <w:rFonts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___________.00）。该服务费包括乙方完成本合同项下全部服务所涉及的全部费用及合同执行中相关的一切税费，乙方不得以任何理由要求增加服务费或要求甲方另行支付其他任何费用。如招投标文件/采购文件对其另有规定的，从其规定。</w:t>
      </w:r>
    </w:p>
    <w:p w14:paraId="5562773C">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2.合同价款的调整方式：因国家政策方向变化引起工作量或工作内容变化的，合同当事人双方可根据市场价格协商确定变更合同价款，但所有补充合同的采购金额不得超过原合同采购金额的百分之十。</w:t>
      </w:r>
    </w:p>
    <w:p w14:paraId="7BB988C2">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szCs w:val="24"/>
          <w:highlight w:val="none"/>
          <w:u w:val="none"/>
          <w:lang w:val="en-US" w:eastAsia="zh-CN" w:bidi="ar-SA"/>
        </w:rPr>
        <w:t>3</w:t>
      </w:r>
      <w:r>
        <w:rPr>
          <w:rFonts w:hint="eastAsia" w:ascii="宋体" w:hAnsi="宋体" w:eastAsia="宋体" w:cs="宋体"/>
          <w:color w:val="auto"/>
          <w:kern w:val="0"/>
          <w:sz w:val="24"/>
          <w:szCs w:val="24"/>
          <w:highlight w:val="none"/>
          <w:u w:val="none"/>
          <w:lang w:val="en-US" w:eastAsia="zh-CN" w:bidi="ar-SA"/>
        </w:rPr>
        <w:t>.付款方式：</w:t>
      </w:r>
      <w:r>
        <w:rPr>
          <w:rFonts w:hint="eastAsia" w:ascii="宋体" w:hAnsi="宋体" w:cs="宋体"/>
          <w:color w:val="auto"/>
          <w:kern w:val="0"/>
          <w:sz w:val="24"/>
          <w:highlight w:val="none"/>
        </w:rPr>
        <w:t>分期支付：</w:t>
      </w:r>
    </w:p>
    <w:p w14:paraId="273731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第一期：合同生效以及具备实施条件后10个工作日内甲方向乙方支付合同金额的30% 做为预付款；</w:t>
      </w:r>
    </w:p>
    <w:p w14:paraId="731BAE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第二期：系统搭建完成后10个工作日内甲方向乙方支付合同金额的</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0%；</w:t>
      </w:r>
    </w:p>
    <w:p w14:paraId="707ABC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第三期：全部服务完成并验收合格后，乙方开具全额增值税发票给甲方，甲方支付至总合同金额的100% 。</w:t>
      </w:r>
    </w:p>
    <w:p w14:paraId="48BF43DD">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如未按国家要求开具增值税发票，一旦发现乙方提供虚假发票，除须向甲方补开合法发票外，须赔偿甲方发票票面金额一倍的违约金，且甲方有权终止合同，乙方不得提出异议，因终止合同而产生的一切损失均由乙方承担。</w:t>
      </w:r>
    </w:p>
    <w:p w14:paraId="5970AE0A">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五、双方权利和义务</w:t>
      </w:r>
    </w:p>
    <w:p w14:paraId="5DEE0B0A">
      <w:pPr>
        <w:keepNext w:val="0"/>
        <w:keepLines w:val="0"/>
        <w:pageBreakBefore w:val="0"/>
        <w:widowControl w:val="0"/>
        <w:numPr>
          <w:ilvl w:val="0"/>
          <w:numId w:val="1"/>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甲方的权利和义务</w:t>
      </w:r>
    </w:p>
    <w:p w14:paraId="6CB155A9">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在实施过程中甲方根据需要及时向乙方提供项目有关背景资料。</w:t>
      </w:r>
    </w:p>
    <w:p w14:paraId="610B6711">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甲方应选派人员参加项目的全过程，配合乙方人员进行项目实施。</w:t>
      </w:r>
    </w:p>
    <w:p w14:paraId="4FCCF167">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甲方指派的项目负责人，全权代表甲方进行项目实施协调工作，并对乙方提交的项目过程文档进行签字确认。</w:t>
      </w:r>
    </w:p>
    <w:p w14:paraId="648174C2">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按照合同约定向乙方支付合同款项。</w:t>
      </w:r>
    </w:p>
    <w:p w14:paraId="18822DE6">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甲方负责组织项目验收。</w:t>
      </w:r>
    </w:p>
    <w:p w14:paraId="7170EF4B">
      <w:pPr>
        <w:keepNext w:val="0"/>
        <w:keepLines w:val="0"/>
        <w:pageBreakBefore w:val="0"/>
        <w:widowControl w:val="0"/>
        <w:numPr>
          <w:ilvl w:val="0"/>
          <w:numId w:val="1"/>
        </w:numP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乙方的权利和义务</w:t>
      </w:r>
    </w:p>
    <w:p w14:paraId="7E2E4ECF">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依据合同规定的内容，做好项目的实施工作，协助甲方做好项目管理工作。</w:t>
      </w:r>
    </w:p>
    <w:p w14:paraId="4A24E0AF">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根据项目需要，合理组织技术力量，按时完成甲方提供的各项工作任务。</w:t>
      </w:r>
    </w:p>
    <w:p w14:paraId="4343BC68">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收集提供本项目相关资料，按照项目实施计划及时向甲方提交项目过程文档。</w:t>
      </w:r>
    </w:p>
    <w:p w14:paraId="5F70B112">
      <w:pPr>
        <w:keepNext w:val="0"/>
        <w:keepLines w:val="0"/>
        <w:pageBreakBefore w:val="0"/>
        <w:widowControl w:val="0"/>
        <w:numPr>
          <w:ilvl w:val="1"/>
          <w:numId w:val="1"/>
        </w:numPr>
        <w:kinsoku/>
        <w:wordWrap/>
        <w:overflowPunct/>
        <w:topLinePunct w:val="0"/>
        <w:autoSpaceDE/>
        <w:autoSpaceDN/>
        <w:bidi w:val="0"/>
        <w:adjustRightInd/>
        <w:spacing w:line="440" w:lineRule="exact"/>
        <w:ind w:left="420" w:leftChars="0"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配合甲方进行项目验收。</w:t>
      </w:r>
    </w:p>
    <w:p w14:paraId="23B1F1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2.5乙</w:t>
      </w:r>
      <w:r>
        <w:rPr>
          <w:rFonts w:hint="eastAsia"/>
          <w:color w:val="auto"/>
          <w:sz w:val="24"/>
          <w:szCs w:val="24"/>
          <w:highlight w:val="none"/>
          <w:lang w:val="en-US" w:eastAsia="zh-CN"/>
        </w:rPr>
        <w:t>方因项目负责人及主要技术人员调整或流动，或因注销、吊销、经营困难等原因，导致无法完成本合同项目的，须及时书面通知甲方，并退还甲方已支付的全部费用。如给甲方造成额外损失的，优先从履约保证金中扣除，不足部分由乙方另行赔偿。</w:t>
      </w:r>
    </w:p>
    <w:p w14:paraId="1D56BCB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3.乙方承诺</w:t>
      </w:r>
    </w:p>
    <w:p w14:paraId="678EC150">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3.1乙方需为本项目的实施提供足够的技术力量支持，保证项目的顺利进行，并按期完成。</w:t>
      </w:r>
    </w:p>
    <w:p w14:paraId="54AAEDE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3.2</w:t>
      </w:r>
      <w:r>
        <w:rPr>
          <w:rFonts w:hint="eastAsia" w:ascii="宋体" w:hAnsi="宋体" w:eastAsia="宋体" w:cs="宋体"/>
          <w:color w:val="auto"/>
          <w:sz w:val="24"/>
          <w:szCs w:val="24"/>
          <w:highlight w:val="none"/>
        </w:rPr>
        <w:t>乙方应按</w:t>
      </w:r>
      <w:r>
        <w:rPr>
          <w:rFonts w:hint="eastAsia" w:ascii="宋体" w:hAnsi="宋体" w:eastAsia="宋体" w:cs="宋体"/>
          <w:color w:val="auto"/>
          <w:sz w:val="24"/>
          <w:szCs w:val="24"/>
          <w:highlight w:val="none"/>
          <w:lang w:eastAsia="zh-CN"/>
        </w:rPr>
        <w:t>招投标文件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采购文件规定的时间向甲方提供服务的有关技术资料。</w:t>
      </w:r>
    </w:p>
    <w:p w14:paraId="228AFA8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3.3乙方在履行合同期间应遵守甲方出台的各项制度、规范、标准和流程等。</w:t>
      </w:r>
    </w:p>
    <w:p w14:paraId="30C07D1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3.4 </w:t>
      </w:r>
      <w:r>
        <w:rPr>
          <w:rFonts w:hint="eastAsia" w:ascii="宋体" w:hAnsi="宋体" w:cs="宋体"/>
          <w:color w:val="auto"/>
          <w:kern w:val="0"/>
          <w:sz w:val="24"/>
          <w:szCs w:val="24"/>
          <w:highlight w:val="none"/>
        </w:rPr>
        <w:t>没有甲方事先书面同意，乙方不得将由甲方提供的有关合同或任何合同条文、计划、样品或资料提供给与履行本合同无关的任何其他人。即使向履行本合同有关的人员提供，也应注意保密并限于履行合同的必需范围。如有泄漏，乙方需承担相应的法律责任。</w:t>
      </w:r>
    </w:p>
    <w:p w14:paraId="169659EF">
      <w:pPr>
        <w:keepNext w:val="0"/>
        <w:keepLines w:val="0"/>
        <w:pageBreakBefore w:val="0"/>
        <w:widowControl w:val="0"/>
        <w:numPr>
          <w:ilvl w:val="0"/>
          <w:numId w:val="0"/>
        </w:numPr>
        <w:kinsoku/>
        <w:wordWrap/>
        <w:overflowPunct/>
        <w:topLinePunct w:val="0"/>
        <w:autoSpaceDE/>
        <w:autoSpaceDN/>
        <w:bidi w:val="0"/>
        <w:adjustRightInd/>
        <w:spacing w:line="440" w:lineRule="exact"/>
        <w:ind w:firstLine="422" w:firstLineChars="200"/>
        <w:textAlignment w:val="auto"/>
        <w:rPr>
          <w:rFonts w:ascii="Times New Roman" w:hAnsi="Times New Roman" w:cs="Times New Roman"/>
          <w:color w:val="auto"/>
          <w:highlight w:val="none"/>
        </w:rPr>
      </w:pPr>
      <w:r>
        <w:rPr>
          <w:rFonts w:hint="eastAsia" w:ascii="Times New Roman" w:hAnsi="Times New Roman" w:cs="Times New Roman"/>
          <w:b/>
          <w:bCs/>
          <w:color w:val="auto"/>
          <w:kern w:val="2"/>
          <w:sz w:val="21"/>
          <w:szCs w:val="24"/>
          <w:highlight w:val="none"/>
          <w:lang w:val="en-US" w:eastAsia="zh-CN" w:bidi="ar-SA"/>
        </w:rPr>
        <w:t>六、</w:t>
      </w:r>
      <w:r>
        <w:rPr>
          <w:rFonts w:hint="eastAsia" w:ascii="宋体" w:hAnsi="宋体" w:cs="宋体"/>
          <w:b/>
          <w:bCs/>
          <w:color w:val="auto"/>
          <w:sz w:val="24"/>
          <w:highlight w:val="none"/>
          <w:lang w:eastAsia="zh-CN"/>
        </w:rPr>
        <w:t>履约</w:t>
      </w:r>
      <w:r>
        <w:rPr>
          <w:rFonts w:hint="eastAsia" w:ascii="宋体" w:hAnsi="宋体" w:cs="宋体"/>
          <w:b/>
          <w:color w:val="auto"/>
          <w:sz w:val="24"/>
          <w:highlight w:val="none"/>
          <w:lang w:eastAsia="zh-CN"/>
        </w:rPr>
        <w:t>保证金：</w:t>
      </w:r>
    </w:p>
    <w:p w14:paraId="35A593E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乙方在签订合同</w:t>
      </w:r>
      <w:r>
        <w:rPr>
          <w:rFonts w:hint="eastAsia" w:ascii="宋体" w:hAnsi="宋体" w:cs="宋体"/>
          <w:color w:val="auto"/>
          <w:sz w:val="24"/>
          <w:highlight w:val="none"/>
          <w:lang w:val="en-US" w:eastAsia="zh-CN"/>
        </w:rPr>
        <w:t>前</w:t>
      </w:r>
      <w:r>
        <w:rPr>
          <w:rFonts w:hint="eastAsia" w:ascii="宋体" w:hAnsi="宋体" w:eastAsia="宋体" w:cs="宋体"/>
          <w:color w:val="auto"/>
          <w:sz w:val="24"/>
          <w:highlight w:val="none"/>
          <w:lang w:eastAsia="zh-CN"/>
        </w:rPr>
        <w:t>，按合同总金额的</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向甲方递交履约保证金（如乙方为中小企业的，则为合同总金额的2%）。如为保函、保险单，则有效期应不低于12个月。经甲方验收服务符合合同约定，项目整体验收合格一年后，甲方一次性无息退回履约保证金。</w:t>
      </w:r>
    </w:p>
    <w:p w14:paraId="2A0D9CA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履约保证金的递交：</w:t>
      </w:r>
    </w:p>
    <w:p w14:paraId="15D84AE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履约保证金金额：按合同总金额的</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%（如乙方为中小企业的，则为合同总金额的2%）</w:t>
      </w:r>
    </w:p>
    <w:p w14:paraId="742A710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履约保证金递交方式：银行转账、支票、汇票、本票、银行出具的保函或保险机构出具的保函、保险单。</w:t>
      </w:r>
    </w:p>
    <w:p w14:paraId="2F8286A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保证金指定账户：甲方</w:t>
      </w:r>
      <w:r>
        <w:rPr>
          <w:rFonts w:hint="eastAsia" w:ascii="宋体" w:hAnsi="宋体" w:cs="宋体"/>
          <w:color w:val="auto"/>
          <w:sz w:val="24"/>
          <w:highlight w:val="none"/>
          <w:lang w:val="en-US" w:eastAsia="zh-CN"/>
        </w:rPr>
        <w:t>账户</w:t>
      </w:r>
    </w:p>
    <w:p w14:paraId="03BF013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开户名称：广西医科大学第二附属医院</w:t>
      </w:r>
    </w:p>
    <w:p w14:paraId="4CBA976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开户银行：建行南宁医科大支行</w:t>
      </w:r>
    </w:p>
    <w:p w14:paraId="308374A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银行账号：45050 1604 5600 9666 888</w:t>
      </w:r>
    </w:p>
    <w:p w14:paraId="5E7969DC">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七、项目的分、转包</w:t>
      </w:r>
    </w:p>
    <w:p w14:paraId="35342E4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本合同项目应当由乙方独立完成，未经甲方书面许可，禁止转包和分包。如违反此条款，甲方有权立即解除本合同，乙方</w:t>
      </w:r>
      <w:r>
        <w:rPr>
          <w:rFonts w:hint="eastAsia" w:ascii="宋体" w:hAnsi="宋体" w:eastAsia="宋体" w:cs="宋体"/>
          <w:color w:val="auto"/>
          <w:kern w:val="2"/>
          <w:sz w:val="24"/>
          <w:szCs w:val="24"/>
          <w:highlight w:val="none"/>
          <w:lang w:val="en-US" w:eastAsia="zh-Hans" w:bidi="ar-SA"/>
        </w:rPr>
        <w:t>除按合同约定总价的</w:t>
      </w:r>
      <w:r>
        <w:rPr>
          <w:rFonts w:hint="default" w:ascii="宋体" w:hAnsi="宋体" w:eastAsia="宋体" w:cs="宋体"/>
          <w:color w:val="auto"/>
          <w:kern w:val="2"/>
          <w:sz w:val="24"/>
          <w:szCs w:val="24"/>
          <w:highlight w:val="none"/>
          <w:lang w:eastAsia="zh-Hans" w:bidi="ar-SA"/>
        </w:rPr>
        <w:t>30%</w:t>
      </w:r>
      <w:r>
        <w:rPr>
          <w:rFonts w:hint="eastAsia" w:ascii="宋体" w:hAnsi="宋体" w:eastAsia="宋体" w:cs="宋体"/>
          <w:color w:val="auto"/>
          <w:kern w:val="2"/>
          <w:sz w:val="24"/>
          <w:szCs w:val="24"/>
          <w:highlight w:val="none"/>
          <w:lang w:val="en-US" w:eastAsia="zh-Hans" w:bidi="ar-SA"/>
        </w:rPr>
        <w:t>向甲方支付违约金外，还需向甲方</w:t>
      </w:r>
      <w:r>
        <w:rPr>
          <w:rFonts w:hint="eastAsia" w:ascii="宋体" w:hAnsi="宋体" w:eastAsia="宋体" w:cs="宋体"/>
          <w:color w:val="auto"/>
          <w:kern w:val="2"/>
          <w:sz w:val="24"/>
          <w:szCs w:val="24"/>
          <w:highlight w:val="none"/>
          <w:lang w:val="en-US" w:eastAsia="zh-CN" w:bidi="ar-SA"/>
        </w:rPr>
        <w:t>退还甲方支付的全部费用，并赔偿甲方为此发生的全部损失。</w:t>
      </w:r>
    </w:p>
    <w:p w14:paraId="62EDECE5">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default" w:ascii="宋体" w:hAnsi="宋体" w:cs="宋体"/>
          <w:b/>
          <w:color w:val="auto"/>
          <w:sz w:val="24"/>
          <w:highlight w:val="none"/>
          <w:lang w:val="en-US" w:eastAsia="zh-CN"/>
        </w:rPr>
      </w:pPr>
      <w:r>
        <w:rPr>
          <w:rFonts w:hint="eastAsia" w:ascii="宋体" w:hAnsi="宋体" w:cs="宋体"/>
          <w:b/>
          <w:color w:val="auto"/>
          <w:sz w:val="24"/>
          <w:highlight w:val="none"/>
          <w:lang w:eastAsia="zh-CN"/>
        </w:rPr>
        <w:t>八、违约责任</w:t>
      </w:r>
    </w:p>
    <w:p w14:paraId="19C5880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不能在规定期限内完成本项目实施，乙方应当承担违约责任，每逾期一天，应向甲方支付合同总金额0.5‰的违约金。逾期15日未完成合同约定工作的，甲方给予乙方书面警告，逾期30日仍未完成工作的，甲方有权单方解除合同。</w:t>
      </w:r>
    </w:p>
    <w:p w14:paraId="3F2E354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.如乙方未按合同要求完成服务项目，乙方应负责按合同约定的内容进行整改，并在30日内整改完毕，逾期未整改完毕，则每天支付合同款5‰的逾期违约金。</w:t>
      </w:r>
      <w:r>
        <w:rPr>
          <w:rFonts w:hint="eastAsia" w:ascii="宋体" w:hAnsi="宋体" w:cs="宋体"/>
          <w:color w:val="auto"/>
          <w:sz w:val="24"/>
          <w:highlight w:val="none"/>
          <w:lang w:val="en-US" w:eastAsia="zh-Hans"/>
        </w:rPr>
        <w:t>超过</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lang w:val="en-US" w:eastAsia="zh-Hans"/>
        </w:rPr>
        <w:t>日，甲方有权单方解除合同，乙方应向甲方赔偿相应损失。</w:t>
      </w:r>
    </w:p>
    <w:p w14:paraId="6C45B74F">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.如乙方不能按合同要求完成本项目的，应当承担合同金额</w:t>
      </w:r>
      <w:r>
        <w:rPr>
          <w:rFonts w:hint="eastAsia" w:ascii="宋体" w:hAnsi="宋体" w:eastAsia="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lang w:val="en-US" w:eastAsia="zh-CN" w:bidi="ar-SA"/>
        </w:rPr>
        <w:t>%的违约金，并赔偿给甲方造成的直接损失，同时甲方有权单方解除合同。</w:t>
      </w:r>
    </w:p>
    <w:p w14:paraId="28BCB4C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.如甲方违反本合同约定的义务，应当赔偿乙方的相关损失及因追索损失而支出的包括但不限于律师费、仲裁费、</w:t>
      </w:r>
      <w:r>
        <w:rPr>
          <w:rFonts w:hint="eastAsia" w:ascii="宋体" w:hAnsi="宋体" w:cs="宋体"/>
          <w:color w:val="auto"/>
          <w:sz w:val="24"/>
          <w:highlight w:val="none"/>
          <w:lang w:val="en-US" w:eastAsia="zh-Hans"/>
        </w:rPr>
        <w:t>诉讼费、</w:t>
      </w:r>
      <w:r>
        <w:rPr>
          <w:rFonts w:hint="eastAsia" w:ascii="宋体" w:hAnsi="宋体" w:cs="宋体"/>
          <w:color w:val="auto"/>
          <w:sz w:val="24"/>
          <w:highlight w:val="none"/>
        </w:rPr>
        <w:t xml:space="preserve">保全费、保全责任保险费、公证费、交通差旅费等在内的相关费用。 </w:t>
      </w:r>
    </w:p>
    <w:p w14:paraId="73D3A03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.乙方提供的服务如侵犯了第三方合法权益而引发的任何纠纷或诉讼，均由乙方负责交涉并承担全部责任。</w:t>
      </w:r>
    </w:p>
    <w:p w14:paraId="67E16CA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.乙方未按本合同和投标文件（响应文件）中规定的服务承诺提供</w:t>
      </w:r>
      <w:r>
        <w:rPr>
          <w:rFonts w:hint="eastAsia" w:ascii="宋体" w:hAnsi="宋体" w:cs="宋体"/>
          <w:color w:val="auto"/>
          <w:sz w:val="24"/>
          <w:highlight w:val="none"/>
          <w:lang w:val="en-US" w:eastAsia="zh-CN"/>
        </w:rPr>
        <w:t>后续支持</w:t>
      </w:r>
      <w:r>
        <w:rPr>
          <w:rFonts w:hint="eastAsia" w:ascii="宋体" w:hAnsi="宋体" w:cs="宋体"/>
          <w:color w:val="auto"/>
          <w:sz w:val="24"/>
          <w:highlight w:val="none"/>
        </w:rPr>
        <w:t>服务的，乙方应按本合同合计金额</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%向甲方支付违约金。</w:t>
      </w:r>
    </w:p>
    <w:p w14:paraId="3374522C">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九、不可抗力事件处理</w:t>
      </w:r>
    </w:p>
    <w:p w14:paraId="56894E7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3591611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14:paraId="5634FD5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
          <w:color w:val="auto"/>
          <w:sz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不可抗力事件延续120天以上，双方应通过友好协商，确定是否继续履行合同。</w:t>
      </w:r>
    </w:p>
    <w:p w14:paraId="3320171A">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十、知识产权归属</w:t>
      </w:r>
    </w:p>
    <w:p w14:paraId="10B1A322">
      <w:pPr>
        <w:keepNext w:val="0"/>
        <w:keepLines w:val="0"/>
        <w:pageBreakBefore w:val="0"/>
        <w:widowControl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1.自本合同生效之日起，对与本项目相关的由甲方委托乙方提供的项目成果及文档的知识产权和所有权归属甲方。</w:t>
      </w:r>
    </w:p>
    <w:p w14:paraId="5458885A">
      <w:pPr>
        <w:keepNext w:val="0"/>
        <w:keepLines w:val="0"/>
        <w:pageBreakBefore w:val="0"/>
        <w:widowControl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乙方履行本合同时，不得侵犯第三方的相关权利，包括所有权、使用权及知识产权等权利，如涉及到侵犯第三方相关权利的，由乙方自行负责解决并承担所有责任，如因此给甲方造成损失的，由乙方向甲方全额赔付。</w:t>
      </w:r>
    </w:p>
    <w:p w14:paraId="47E812DD">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十一、保密条款</w:t>
      </w:r>
    </w:p>
    <w:p w14:paraId="1140CA8E">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具体详见合同附件《信息安全保密协议书》。</w:t>
      </w:r>
    </w:p>
    <w:p w14:paraId="020B88D9">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十二、争议解决</w:t>
      </w:r>
    </w:p>
    <w:p w14:paraId="3D67627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rPr>
        <w:t>本合同执行过程中发生的任何争议，如双方不能通过友好协商解决，向甲方所在地人民法院起诉，</w:t>
      </w:r>
      <w:r>
        <w:rPr>
          <w:rFonts w:hint="eastAsia" w:ascii="宋体" w:hAnsi="宋体" w:cs="宋体"/>
          <w:color w:val="auto"/>
          <w:sz w:val="24"/>
          <w:highlight w:val="none"/>
          <w:lang w:val="en-US" w:eastAsia="zh-CN"/>
        </w:rPr>
        <w:t>律师费、仲裁费、诉讼费、保全费、保全责任保险费、公证费、交通差旅费</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追偿</w:t>
      </w:r>
      <w:r>
        <w:rPr>
          <w:rFonts w:hint="eastAsia" w:ascii="宋体" w:hAnsi="宋体" w:cs="宋体"/>
          <w:color w:val="auto"/>
          <w:sz w:val="24"/>
          <w:highlight w:val="none"/>
        </w:rPr>
        <w:t>费用</w:t>
      </w:r>
      <w:r>
        <w:rPr>
          <w:rFonts w:hint="eastAsia" w:ascii="宋体" w:hAnsi="宋体" w:cs="宋体"/>
          <w:color w:val="auto"/>
          <w:sz w:val="24"/>
          <w:highlight w:val="none"/>
          <w:lang w:val="en-US" w:eastAsia="zh-CN"/>
        </w:rPr>
        <w:t>全</w:t>
      </w:r>
      <w:r>
        <w:rPr>
          <w:rFonts w:hint="eastAsia" w:ascii="宋体" w:hAnsi="宋体" w:cs="宋体"/>
          <w:color w:val="auto"/>
          <w:sz w:val="24"/>
          <w:highlight w:val="none"/>
        </w:rPr>
        <w:t>由败诉方承担。</w:t>
      </w:r>
    </w:p>
    <w:p w14:paraId="1CE5891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 诉讼期间，本合同是否继续履行，由甲方决定。</w:t>
      </w:r>
    </w:p>
    <w:p w14:paraId="45A265CD">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十三、合同的变更、终止与转让</w:t>
      </w:r>
    </w:p>
    <w:p w14:paraId="35559B5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1.双方协商一致，可以对本合同进行补充、修改或变更。</w:t>
      </w:r>
    </w:p>
    <w:p w14:paraId="080C84E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合同执行中涉及采购资金和采购内容修改或补充的，须签书面补充协议，方可作为主合同不可分割的一部分。</w:t>
      </w:r>
    </w:p>
    <w:p w14:paraId="3A44443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双方签订的补充协议以及修改或变更的条款与本合同具有同等法律效力。</w:t>
      </w:r>
    </w:p>
    <w:p w14:paraId="4E3F7EBD">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十四、其它</w:t>
      </w:r>
    </w:p>
    <w:p w14:paraId="2869050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.政府采购招标文件、乙方提供的投标文件、投标承诺书、中标或成交通知书以及本合同所有附件、双方在本合同履行过程中签署确认的文件(包括会议纪要、补充协议、往来信函)为本合同的有效组成部分。</w:t>
      </w:r>
    </w:p>
    <w:p w14:paraId="5731CCDB">
      <w:pPr>
        <w:keepNext w:val="0"/>
        <w:keepLines w:val="0"/>
        <w:pageBreakBefore w:val="0"/>
        <w:widowControl w:val="0"/>
        <w:kinsoku/>
        <w:wordWrap/>
        <w:overflowPunct/>
        <w:topLinePunct w:val="0"/>
        <w:autoSpaceDE/>
        <w:autoSpaceDN/>
        <w:bidi w:val="0"/>
        <w:adjustRightInd/>
        <w:spacing w:line="440" w:lineRule="exact"/>
        <w:ind w:firstLine="470" w:firstLineChars="196"/>
        <w:textAlignment w:val="auto"/>
        <w:rPr>
          <w:rFonts w:ascii="宋体" w:hAnsi="宋体" w:cs="Times New Roman"/>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Times New Roman"/>
          <w:color w:val="auto"/>
          <w:sz w:val="24"/>
          <w:highlight w:val="none"/>
        </w:rPr>
        <w:t>本合同一式</w:t>
      </w:r>
      <w:r>
        <w:rPr>
          <w:rFonts w:hint="eastAsia" w:ascii="宋体" w:hAnsi="宋体" w:cs="Times New Roman"/>
          <w:color w:val="auto"/>
          <w:sz w:val="24"/>
          <w:highlight w:val="none"/>
          <w:lang w:val="en-US" w:eastAsia="zh-CN"/>
        </w:rPr>
        <w:t>玖</w:t>
      </w:r>
      <w:r>
        <w:rPr>
          <w:rFonts w:hint="eastAsia" w:ascii="宋体" w:hAnsi="宋体" w:cs="Times New Roman"/>
          <w:color w:val="auto"/>
          <w:sz w:val="24"/>
          <w:highlight w:val="none"/>
        </w:rPr>
        <w:t>份，</w:t>
      </w:r>
      <w:r>
        <w:rPr>
          <w:rFonts w:ascii="宋体" w:hAnsi="宋体" w:cs="Times New Roman"/>
          <w:color w:val="auto"/>
          <w:sz w:val="24"/>
          <w:highlight w:val="none"/>
        </w:rPr>
        <w:t>甲</w:t>
      </w:r>
      <w:r>
        <w:rPr>
          <w:rFonts w:hint="eastAsia" w:ascii="宋体" w:hAnsi="宋体" w:cs="Times New Roman"/>
          <w:color w:val="auto"/>
          <w:sz w:val="24"/>
          <w:highlight w:val="none"/>
        </w:rPr>
        <w:t>方执</w:t>
      </w:r>
      <w:r>
        <w:rPr>
          <w:rFonts w:hint="eastAsia" w:ascii="宋体" w:hAnsi="宋体" w:cs="Times New Roman"/>
          <w:color w:val="auto"/>
          <w:sz w:val="24"/>
          <w:highlight w:val="none"/>
          <w:lang w:val="en-US" w:eastAsia="zh-CN"/>
        </w:rPr>
        <w:t>伍</w:t>
      </w:r>
      <w:r>
        <w:rPr>
          <w:rFonts w:hint="eastAsia" w:ascii="宋体" w:hAnsi="宋体" w:cs="Times New Roman"/>
          <w:color w:val="auto"/>
          <w:sz w:val="24"/>
          <w:highlight w:val="none"/>
          <w:u w:val="none"/>
        </w:rPr>
        <w:t>份</w:t>
      </w:r>
      <w:r>
        <w:rPr>
          <w:rFonts w:ascii="宋体" w:hAnsi="宋体" w:cs="Times New Roman"/>
          <w:color w:val="auto"/>
          <w:sz w:val="24"/>
          <w:highlight w:val="none"/>
          <w:u w:val="none"/>
        </w:rPr>
        <w:t>，</w:t>
      </w:r>
      <w:r>
        <w:rPr>
          <w:rFonts w:hint="eastAsia" w:ascii="宋体" w:hAnsi="宋体" w:cs="Times New Roman"/>
          <w:color w:val="auto"/>
          <w:sz w:val="24"/>
          <w:highlight w:val="none"/>
          <w:u w:val="none"/>
        </w:rPr>
        <w:t>乙</w:t>
      </w:r>
      <w:r>
        <w:rPr>
          <w:rFonts w:ascii="宋体" w:hAnsi="宋体" w:cs="Times New Roman"/>
          <w:color w:val="auto"/>
          <w:sz w:val="24"/>
          <w:highlight w:val="none"/>
          <w:u w:val="none"/>
        </w:rPr>
        <w:t>方</w:t>
      </w:r>
      <w:r>
        <w:rPr>
          <w:rFonts w:hint="eastAsia" w:ascii="宋体" w:hAnsi="宋体" w:cs="Times New Roman"/>
          <w:color w:val="auto"/>
          <w:sz w:val="24"/>
          <w:highlight w:val="none"/>
          <w:u w:val="none"/>
        </w:rPr>
        <w:t>执</w:t>
      </w:r>
      <w:r>
        <w:rPr>
          <w:rFonts w:hint="eastAsia" w:ascii="宋体" w:hAnsi="宋体" w:cs="Times New Roman"/>
          <w:color w:val="auto"/>
          <w:sz w:val="24"/>
          <w:highlight w:val="none"/>
          <w:u w:val="none"/>
          <w:lang w:val="en-US" w:eastAsia="zh-CN"/>
        </w:rPr>
        <w:t>贰</w:t>
      </w:r>
      <w:r>
        <w:rPr>
          <w:rFonts w:hint="eastAsia" w:ascii="宋体" w:hAnsi="宋体" w:cs="Times New Roman"/>
          <w:color w:val="auto"/>
          <w:sz w:val="24"/>
          <w:highlight w:val="none"/>
          <w:u w:val="none"/>
        </w:rPr>
        <w:t>份，</w:t>
      </w:r>
      <w:r>
        <w:rPr>
          <w:rFonts w:hint="eastAsia" w:ascii="宋体" w:hAnsi="宋体" w:cs="Times New Roman"/>
          <w:color w:val="auto"/>
          <w:sz w:val="24"/>
          <w:highlight w:val="none"/>
          <w:u w:val="none"/>
          <w:lang w:val="en-US" w:eastAsia="zh-CN"/>
        </w:rPr>
        <w:t>代理机构执贰份，</w:t>
      </w:r>
      <w:r>
        <w:rPr>
          <w:rFonts w:hint="eastAsia" w:ascii="宋体" w:hAnsi="宋体" w:cs="Times New Roman"/>
          <w:color w:val="auto"/>
          <w:sz w:val="24"/>
          <w:highlight w:val="none"/>
        </w:rPr>
        <w:t>经甲、乙双方各自授权代表签字并加盖双方各自公章或合同专用章后生效。</w:t>
      </w:r>
    </w:p>
    <w:p w14:paraId="76D1E320">
      <w:pPr>
        <w:keepNext w:val="0"/>
        <w:keepLines w:val="0"/>
        <w:pageBreakBefore w:val="0"/>
        <w:widowControl w:val="0"/>
        <w:kinsoku/>
        <w:wordWrap w:val="0"/>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auto"/>
          <w:sz w:val="21"/>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822"/>
      </w:tblGrid>
      <w:tr w14:paraId="7EFB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2EE939F6">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甲方</w:t>
            </w:r>
            <w:r>
              <w:rPr>
                <w:rFonts w:hint="eastAsia" w:ascii="宋体" w:hAnsi="宋体" w:cs="宋体"/>
                <w:b/>
                <w:bCs/>
                <w:color w:val="auto"/>
                <w:sz w:val="24"/>
                <w:szCs w:val="24"/>
                <w:highlight w:val="none"/>
              </w:rPr>
              <w:t>（章）</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eastAsia="zh-CN"/>
              </w:rPr>
              <w:t>广西医科大学第二附属医院</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50091B6">
            <w:pPr>
              <w:snapToGrid w:val="0"/>
              <w:spacing w:before="120" w:line="360" w:lineRule="auto"/>
              <w:ind w:firstLine="1080" w:firstLineChars="450"/>
              <w:jc w:val="right"/>
              <w:rPr>
                <w:rFonts w:hint="eastAsia" w:ascii="宋体" w:hAnsi="宋体" w:eastAsia="宋体" w:cs="宋体"/>
                <w:color w:val="auto"/>
                <w:sz w:val="24"/>
                <w:szCs w:val="24"/>
                <w:highlight w:val="none"/>
              </w:rPr>
            </w:pPr>
          </w:p>
          <w:p w14:paraId="2529B045">
            <w:pPr>
              <w:snapToGrid w:val="0"/>
              <w:spacing w:before="120" w:line="360" w:lineRule="auto"/>
              <w:ind w:firstLine="1080" w:firstLineChars="4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10D3D4FC">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乙方</w:t>
            </w:r>
            <w:r>
              <w:rPr>
                <w:rFonts w:hint="eastAsia" w:ascii="宋体" w:hAnsi="宋体" w:cs="宋体"/>
                <w:b/>
                <w:bCs/>
                <w:color w:val="auto"/>
                <w:sz w:val="24"/>
                <w:szCs w:val="24"/>
                <w:highlight w:val="none"/>
              </w:rPr>
              <w:t>（章）</w:t>
            </w:r>
            <w:r>
              <w:rPr>
                <w:rFonts w:hint="eastAsia" w:ascii="宋体" w:hAnsi="宋体" w:eastAsia="宋体" w:cs="宋体"/>
                <w:color w:val="auto"/>
                <w:sz w:val="24"/>
                <w:szCs w:val="24"/>
                <w:highlight w:val="none"/>
              </w:rPr>
              <w:t xml:space="preserve">              </w:t>
            </w:r>
          </w:p>
          <w:p w14:paraId="1D558024">
            <w:pPr>
              <w:snapToGrid w:val="0"/>
              <w:spacing w:before="120" w:line="360" w:lineRule="auto"/>
              <w:jc w:val="right"/>
              <w:rPr>
                <w:rFonts w:hint="eastAsia" w:ascii="宋体" w:hAnsi="宋体" w:eastAsia="宋体" w:cs="宋体"/>
                <w:color w:val="auto"/>
                <w:sz w:val="24"/>
                <w:szCs w:val="24"/>
                <w:highlight w:val="none"/>
              </w:rPr>
            </w:pPr>
          </w:p>
          <w:p w14:paraId="106C24A3">
            <w:pPr>
              <w:snapToGrid w:val="0"/>
              <w:spacing w:before="12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1351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37226DDD">
            <w:pPr>
              <w:snapToGrid w:val="0"/>
              <w:spacing w:before="12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lang w:eastAsia="zh-CN"/>
              </w:rPr>
              <w:t>南宁市大学东路166号</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21013DF7">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1027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7CE1613A">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2FBF680A">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694A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540B42F3">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4B6B5F7A">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r>
      <w:tr w14:paraId="6958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2E862476">
            <w:pPr>
              <w:snapToGrid w:val="0"/>
              <w:spacing w:before="120"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10C0B4CE">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1224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13AC522E">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024ECDC5">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5B9D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5F27737C">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1031C0F0">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32EC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15B4BB66">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283C765B">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4B8A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14:paraId="515E48E2">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822" w:type="dxa"/>
            <w:tcBorders>
              <w:top w:val="single" w:color="auto" w:sz="4" w:space="0"/>
              <w:left w:val="single" w:color="auto" w:sz="4" w:space="0"/>
              <w:bottom w:val="single" w:color="auto" w:sz="4" w:space="0"/>
              <w:right w:val="single" w:color="auto" w:sz="4" w:space="0"/>
            </w:tcBorders>
            <w:noWrap w:val="0"/>
            <w:vAlign w:val="center"/>
          </w:tcPr>
          <w:p w14:paraId="49575B42">
            <w:pPr>
              <w:snapToGrid w:val="0"/>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bl>
    <w:p w14:paraId="69730F8A">
      <w:pPr>
        <w:spacing w:line="360" w:lineRule="auto"/>
        <w:rPr>
          <w:rFonts w:hint="eastAsia" w:ascii="宋体" w:hAnsi="宋体" w:cs="Times New Roman"/>
          <w:color w:val="auto"/>
          <w:sz w:val="24"/>
          <w:highlight w:val="none"/>
          <w:lang w:val="en-US" w:eastAsia="zh-CN"/>
        </w:rPr>
      </w:pPr>
    </w:p>
    <w:p w14:paraId="5EDEC266">
      <w:pPr>
        <w:spacing w:line="360" w:lineRule="auto"/>
        <w:rPr>
          <w:rFonts w:hint="eastAsia" w:ascii="宋体" w:hAnsi="宋体" w:cs="Times New Roman"/>
          <w:color w:val="auto"/>
          <w:sz w:val="24"/>
          <w:highlight w:val="none"/>
          <w:lang w:val="en-US" w:eastAsia="zh-CN"/>
        </w:rPr>
      </w:pPr>
    </w:p>
    <w:p w14:paraId="0D40BAEC">
      <w:pPr>
        <w:spacing w:line="360" w:lineRule="auto"/>
        <w:rPr>
          <w:rFonts w:hint="eastAsia" w:ascii="宋体" w:hAnsi="宋体" w:cs="Times New Roman"/>
          <w:color w:val="auto"/>
          <w:sz w:val="24"/>
          <w:highlight w:val="none"/>
          <w:lang w:val="en-US" w:eastAsia="zh-CN"/>
        </w:rPr>
      </w:pPr>
    </w:p>
    <w:p w14:paraId="3AA71162">
      <w:pPr>
        <w:jc w:val="left"/>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br w:type="page"/>
      </w:r>
    </w:p>
    <w:p w14:paraId="6A9DB21B">
      <w:pPr>
        <w:jc w:val="left"/>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附件</w:t>
      </w:r>
    </w:p>
    <w:p w14:paraId="16D4E9EB">
      <w:pPr>
        <w:jc w:val="center"/>
        <w:rPr>
          <w:rFonts w:hint="eastAsia" w:ascii="宋体" w:hAnsi="宋体"/>
          <w:b/>
          <w:color w:val="auto"/>
          <w:sz w:val="44"/>
          <w:szCs w:val="44"/>
          <w:highlight w:val="none"/>
        </w:rPr>
      </w:pPr>
      <w:r>
        <w:rPr>
          <w:rFonts w:hint="eastAsia" w:ascii="宋体" w:hAnsi="宋体"/>
          <w:b/>
          <w:color w:val="auto"/>
          <w:sz w:val="44"/>
          <w:szCs w:val="44"/>
          <w:highlight w:val="none"/>
        </w:rPr>
        <w:t>信息安全保密协议书</w:t>
      </w:r>
    </w:p>
    <w:p w14:paraId="4994A55A">
      <w:pPr>
        <w:rPr>
          <w:rFonts w:hint="eastAsia" w:ascii="宋体" w:hAnsi="宋体"/>
          <w:b/>
          <w:color w:val="auto"/>
          <w:sz w:val="28"/>
          <w:szCs w:val="28"/>
          <w:highlight w:val="none"/>
        </w:rPr>
      </w:pPr>
    </w:p>
    <w:p w14:paraId="6DC2B338">
      <w:pPr>
        <w:spacing w:line="540" w:lineRule="exact"/>
        <w:rPr>
          <w:rFonts w:hint="eastAsia" w:ascii="宋体" w:hAnsi="宋体"/>
          <w:color w:val="auto"/>
          <w:sz w:val="28"/>
          <w:szCs w:val="28"/>
          <w:highlight w:val="none"/>
        </w:rPr>
      </w:pPr>
      <w:r>
        <w:rPr>
          <w:rFonts w:hint="eastAsia" w:ascii="宋体" w:hAnsi="宋体"/>
          <w:b/>
          <w:color w:val="auto"/>
          <w:sz w:val="28"/>
          <w:szCs w:val="28"/>
          <w:highlight w:val="none"/>
        </w:rPr>
        <w:t>甲方：</w:t>
      </w:r>
      <w:r>
        <w:rPr>
          <w:rFonts w:hint="eastAsia" w:ascii="宋体" w:hAnsi="宋体"/>
          <w:b/>
          <w:color w:val="auto"/>
          <w:sz w:val="28"/>
          <w:szCs w:val="28"/>
          <w:highlight w:val="none"/>
          <w:lang w:val="en-US" w:eastAsia="zh-CN"/>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协议编号：</w:t>
      </w:r>
    </w:p>
    <w:p w14:paraId="666A38D0">
      <w:pPr>
        <w:spacing w:line="540" w:lineRule="exact"/>
        <w:rPr>
          <w:rFonts w:hint="eastAsia" w:ascii="宋体" w:hAnsi="宋体"/>
          <w:b/>
          <w:color w:val="auto"/>
          <w:sz w:val="28"/>
          <w:szCs w:val="28"/>
          <w:highlight w:val="none"/>
        </w:rPr>
      </w:pPr>
      <w:r>
        <w:rPr>
          <w:rFonts w:hint="eastAsia" w:ascii="宋体" w:hAnsi="宋体"/>
          <w:b/>
          <w:color w:val="auto"/>
          <w:sz w:val="28"/>
          <w:szCs w:val="28"/>
          <w:highlight w:val="none"/>
        </w:rPr>
        <w:t>乙方：</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签订地点：广西南宁市</w:t>
      </w:r>
    </w:p>
    <w:p w14:paraId="5B4ADAA3">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根据《中华人民共和国计算机信息网络国际联网管理暂行规定》(国务院令第195号)、《互联网信息服务管理办法》（国务院令第292号）等法律法规的有关规定，为保证乙方所提供医疗器械、信息软件或服务的信息安全，维护国家安全和社会稳定，保障公民、法人和其他组织的合法权益。经甲、乙双方协商，签订本保密协议书并共同遵守：</w:t>
      </w:r>
    </w:p>
    <w:p w14:paraId="022B5BD8">
      <w:pPr>
        <w:spacing w:line="54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一、保密信息范围</w:t>
      </w:r>
    </w:p>
    <w:p w14:paraId="0E6277AF">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1、甲方购进医药器械、信息软件或服务等产品包含的或使用运行过程中收录的全部内容</w:t>
      </w:r>
      <w:r>
        <w:rPr>
          <w:rFonts w:hint="eastAsia" w:ascii="宋体" w:hAnsi="宋体"/>
          <w:color w:val="auto"/>
          <w:sz w:val="28"/>
          <w:szCs w:val="28"/>
          <w:highlight w:val="none"/>
          <w:lang w:val="en-US" w:eastAsia="zh-CN"/>
        </w:rPr>
        <w:t>及乙方在合作过程中所知悉的与甲方有关的全部信息</w:t>
      </w:r>
      <w:r>
        <w:rPr>
          <w:rFonts w:hint="eastAsia" w:ascii="宋体" w:hAnsi="宋体"/>
          <w:color w:val="auto"/>
          <w:sz w:val="28"/>
          <w:szCs w:val="28"/>
          <w:highlight w:val="none"/>
        </w:rPr>
        <w:t>，包括但不限于</w:t>
      </w:r>
      <w:r>
        <w:rPr>
          <w:rFonts w:hint="eastAsia" w:ascii="宋体" w:hAnsi="宋体"/>
          <w:color w:val="auto"/>
          <w:sz w:val="28"/>
          <w:szCs w:val="28"/>
          <w:highlight w:val="none"/>
          <w:lang w:val="en-US" w:eastAsia="zh-CN"/>
        </w:rPr>
        <w:t>任何载体、媒介、传媒、平台、系统中的各种</w:t>
      </w:r>
      <w:r>
        <w:rPr>
          <w:rFonts w:hint="eastAsia" w:ascii="宋体" w:hAnsi="宋体"/>
          <w:color w:val="auto"/>
          <w:sz w:val="28"/>
          <w:szCs w:val="28"/>
          <w:highlight w:val="none"/>
        </w:rPr>
        <w:t>文件、资料、</w:t>
      </w:r>
      <w:r>
        <w:rPr>
          <w:rFonts w:hint="eastAsia" w:ascii="宋体" w:hAnsi="宋体"/>
          <w:color w:val="auto"/>
          <w:sz w:val="28"/>
          <w:szCs w:val="28"/>
          <w:highlight w:val="none"/>
          <w:lang w:val="en-US" w:eastAsia="zh-CN"/>
        </w:rPr>
        <w:t>电子文档、影像、视频、网络、</w:t>
      </w:r>
      <w:r>
        <w:rPr>
          <w:rFonts w:hint="eastAsia" w:ascii="宋体" w:hAnsi="宋体"/>
          <w:color w:val="auto"/>
          <w:sz w:val="28"/>
          <w:szCs w:val="28"/>
          <w:highlight w:val="none"/>
        </w:rPr>
        <w:t>财务报告、技术资料和数据、经营信息、患者信息、检测记录、诊断记录和商业秘密等信息。</w:t>
      </w:r>
    </w:p>
    <w:p w14:paraId="37AD118E">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2、协议双方进行的所有会务内容、会议纪要、传真、电话交流、电报、</w:t>
      </w:r>
      <w:r>
        <w:rPr>
          <w:rFonts w:hint="eastAsia" w:ascii="宋体" w:hAnsi="宋体"/>
          <w:color w:val="auto"/>
          <w:sz w:val="28"/>
          <w:szCs w:val="28"/>
          <w:highlight w:val="none"/>
          <w:lang w:val="en-US" w:eastAsia="zh-CN"/>
        </w:rPr>
        <w:t>网络交流、</w:t>
      </w:r>
      <w:r>
        <w:rPr>
          <w:rFonts w:hint="eastAsia" w:ascii="宋体" w:hAnsi="宋体"/>
          <w:color w:val="auto"/>
          <w:sz w:val="28"/>
          <w:szCs w:val="28"/>
          <w:highlight w:val="none"/>
        </w:rPr>
        <w:t>口头情况介绍等信息，不论是否明确标注或指明是保密信息。</w:t>
      </w:r>
    </w:p>
    <w:p w14:paraId="3AF37484">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3、保密范围不包括协议双方通过双方已主动公开，官方机构查询的渠道查询获知的信息。</w:t>
      </w:r>
    </w:p>
    <w:p w14:paraId="2A210385">
      <w:pPr>
        <w:spacing w:line="54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二、保密义务</w:t>
      </w:r>
    </w:p>
    <w:p w14:paraId="615A0A3A">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1、乙方对于上述保密范围内的信息承担保密义务，乙方应该妥善保管，并且只能用于甲方的工作项目和任务中。</w:t>
      </w:r>
    </w:p>
    <w:p w14:paraId="653B0E3D">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在未取得甲方书面同意的情况下，乙方不得公开、复印、复制或以任何其它方式让任何第三方（包括但不限于乙方未从事此项目的乙方职员、乙方的上下级公司、其他自然人、公司、企业或单位实体）获知上述保密信息，或公开、披露保密信息，并且不得赠予或者转让上述保密信息。</w:t>
      </w:r>
    </w:p>
    <w:p w14:paraId="420B5C5E">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3、如甲方发现乙方利用上述保密信息违反以下原则，有权立即终止与乙方的合作，乙方须承担由此造成的一切后果：</w:t>
      </w:r>
    </w:p>
    <w:p w14:paraId="33AE0A64">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反对宪法所确定的基本原则；危害中华人民共和国国家安全，泄露国家秘密，颠覆国家政权，破坏国家统一；煽动民族仇恨、民族歧视，破坏民族团结；含有法律、行政法规禁止的其他内容等。</w:t>
      </w:r>
    </w:p>
    <w:p w14:paraId="05F5078E">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果由于任何原因甲方和乙方终止合作，甲方可以随时要求乙方退还其所获得的甲方资料和数据，或者销毁其自有的备份和从相关的储存装置中删除所有的保密信息，且不得继续持有和使用此类保密信息。乙方须无条件按甲方要求执行，同时乙方并不因为退还资料而终止其保密责任。</w:t>
      </w:r>
    </w:p>
    <w:p w14:paraId="00E1DCF5">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乙方承诺：只有从事此项目的乙方职员才能接触上述保密信息，乙方将指示和设法保证其所有相关职员遵守本协议。如乙方任何职员违反了本协议，均属乙方违反本协议。乙方保证其职员以书面形式同意接受本协议条款的约束，确保其职员承担保密责任的程度不低于本协议规定的程度。</w:t>
      </w:r>
    </w:p>
    <w:p w14:paraId="0E4C0168">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本协议对乙方能接触到甲方全部或部分保密信息的乙方员工或代理人或其安排的其他人员都具同等约束力。乙方代理人、由乙方或乙方职员或乙方代理人安排的任何其他人员泄露了甲方的保密信息，均属乙方泄露甲方保密信息，乙方应对此承担违约责任。</w:t>
      </w:r>
    </w:p>
    <w:p w14:paraId="3594180F">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7、本协议对乙方及其受让人均有约束力，乙方受让人承担乙方全部责任。乙方曾知悉甲方保密信息人员的任何职位变动，不影响乙方保密义务的承担。</w:t>
      </w:r>
    </w:p>
    <w:p w14:paraId="207C8C0D">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8、当乙方不慎泄露甲方的保密信息后，应立即采取措施确保影响不再扩大，并第一时间通知甲方做好相应处理，共同努力将保密资料泄露的危害降至最低。</w:t>
      </w:r>
    </w:p>
    <w:p w14:paraId="6DB79FE6">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9、如乙方应国内外政务及司法机关的要求必须提供保密信息时，应立即通知甲方，使甲方得以寻求适当措施得以保护保密信息。</w:t>
      </w:r>
    </w:p>
    <w:p w14:paraId="070DC936">
      <w:pPr>
        <w:spacing w:line="54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三、保密责任的期限</w:t>
      </w:r>
    </w:p>
    <w:p w14:paraId="554F1305">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1、本协议的保密期限</w:t>
      </w:r>
      <w:r>
        <w:rPr>
          <w:rFonts w:hint="eastAsia" w:ascii="宋体" w:hAnsi="宋体"/>
          <w:color w:val="auto"/>
          <w:sz w:val="28"/>
          <w:szCs w:val="28"/>
          <w:highlight w:val="none"/>
          <w:lang w:val="en-US" w:eastAsia="zh-CN"/>
        </w:rPr>
        <w:t>为长期永久</w:t>
      </w:r>
      <w:r>
        <w:rPr>
          <w:rFonts w:hint="eastAsia" w:ascii="宋体" w:hAnsi="宋体"/>
          <w:color w:val="auto"/>
          <w:sz w:val="28"/>
          <w:szCs w:val="28"/>
          <w:highlight w:val="none"/>
        </w:rPr>
        <w:t>，即乙方对甲方保密信息负有保密义务的期限，为双方谈判期间、合同履行期间以及直至甲方将保密信息公开时止。</w:t>
      </w:r>
    </w:p>
    <w:p w14:paraId="2D110BF3">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2、本协议所述的保密责任并不因本协议的无效、终止、解除而终止。</w:t>
      </w:r>
    </w:p>
    <w:p w14:paraId="64484AEC">
      <w:pPr>
        <w:spacing w:line="54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四、违约责任</w:t>
      </w:r>
    </w:p>
    <w:p w14:paraId="1BE17670">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若乙方或其受让人违反本协议约定而使自身获利的或者给甲方造成损失的，乙方或其受让人须承担相关法律责任及赔偿责任。赔偿数额应按照乙方或其受让人获取的利益或者甲方遭受到的损失计算（两者以较高者为准），甲方遭受的损失包括但不限于直接的经济损失、名誉损失、合理利润损失等间接损失。</w:t>
      </w:r>
    </w:p>
    <w:p w14:paraId="0729BED7">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2、若乙方及其职员、代理人、由乙方或其职员或其代理人安排的任何其他人员违反本协议，甲方除追究乙方责任外，还可直接追究乙方职员或代理人的责任。</w:t>
      </w:r>
    </w:p>
    <w:p w14:paraId="6413EDAF">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3、乙方若造成甲方重大医药资源流失和国家科学技术秘密泄露，情节严重，构成犯罪的，依法追究乙方刑事责任。</w:t>
      </w:r>
      <w:r>
        <w:rPr>
          <w:rFonts w:hint="eastAsia" w:ascii="宋体" w:hAnsi="宋体"/>
          <w:color w:val="auto"/>
          <w:sz w:val="28"/>
          <w:szCs w:val="28"/>
          <w:highlight w:val="none"/>
        </w:rPr>
        <w:br w:type="textWrapping"/>
      </w:r>
      <w:r>
        <w:rPr>
          <w:rFonts w:hint="eastAsia" w:ascii="宋体" w:hAnsi="宋体"/>
          <w:color w:val="auto"/>
          <w:sz w:val="28"/>
          <w:szCs w:val="28"/>
          <w:highlight w:val="none"/>
        </w:rPr>
        <w:t>　　4、乙方违反本协议约定的，甲方有权单方解除与乙方签订的全部相关合同，乙方除返还甲方已支付的全部款项外，还应向甲方支付与乙方签订的全部合同总金额的10%的违约金。</w:t>
      </w:r>
    </w:p>
    <w:p w14:paraId="3703A2D8">
      <w:pPr>
        <w:spacing w:line="54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五、本协议的补充</w:t>
      </w:r>
    </w:p>
    <w:p w14:paraId="379BA118">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双方可以就本协议的有关约定事项进行修改或补充，可以对保密内容进行具体的约定。</w:t>
      </w:r>
    </w:p>
    <w:p w14:paraId="4DEA8252">
      <w:pPr>
        <w:spacing w:line="54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六、争议的解决</w:t>
      </w:r>
    </w:p>
    <w:p w14:paraId="767E26BB">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协议受中华人民共和国法律管辖并按中华人民共和国法律解释。凡因本协议引起的或与本协议有关的任何争议，各方应友好协商解决；如协商不成，任何一方均有权向甲方所在地有管辖权的地人民法院提起诉讼。</w:t>
      </w:r>
    </w:p>
    <w:p w14:paraId="2B3C4A4D">
      <w:pPr>
        <w:spacing w:line="54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七、其他</w:t>
      </w:r>
    </w:p>
    <w:p w14:paraId="6088FF01">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1、本协议作为与乙方签订的全部相关合同的附件，一式</w:t>
      </w:r>
      <w:r>
        <w:rPr>
          <w:rFonts w:hint="eastAsia" w:ascii="宋体" w:hAnsi="宋体"/>
          <w:color w:val="auto"/>
          <w:sz w:val="28"/>
          <w:szCs w:val="28"/>
          <w:highlight w:val="none"/>
          <w:lang w:val="en-US" w:eastAsia="zh-CN"/>
        </w:rPr>
        <w:t>玖</w:t>
      </w:r>
      <w:r>
        <w:rPr>
          <w:rFonts w:hint="eastAsia" w:ascii="宋体" w:hAnsi="宋体"/>
          <w:color w:val="auto"/>
          <w:sz w:val="28"/>
          <w:szCs w:val="28"/>
          <w:highlight w:val="none"/>
        </w:rPr>
        <w:t>份，甲方执伍份，乙方执贰份，代理机构执贰份，具有同等法律效力。</w:t>
      </w:r>
    </w:p>
    <w:p w14:paraId="3457B4D0">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2、本协议自协议双方签章之日起生效。</w:t>
      </w:r>
    </w:p>
    <w:p w14:paraId="1E750A46">
      <w:pPr>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以下无正文</w:t>
      </w:r>
    </w:p>
    <w:p w14:paraId="2B5DD652">
      <w:pPr>
        <w:spacing w:line="540" w:lineRule="exact"/>
        <w:ind w:firstLine="560" w:firstLineChars="200"/>
        <w:rPr>
          <w:rFonts w:hint="eastAsia" w:ascii="宋体" w:hAnsi="宋体"/>
          <w:color w:val="auto"/>
          <w:sz w:val="28"/>
          <w:szCs w:val="28"/>
          <w:highlight w:val="none"/>
        </w:rPr>
      </w:pPr>
    </w:p>
    <w:p w14:paraId="7D1845BF">
      <w:pPr>
        <w:spacing w:line="540" w:lineRule="exact"/>
        <w:ind w:firstLine="560" w:firstLineChars="200"/>
        <w:rPr>
          <w:rFonts w:hint="eastAsia" w:ascii="宋体" w:hAnsi="宋体"/>
          <w:color w:val="auto"/>
          <w:sz w:val="28"/>
          <w:szCs w:val="28"/>
          <w:highlight w:val="none"/>
        </w:rPr>
      </w:pPr>
    </w:p>
    <w:p w14:paraId="547C79D6">
      <w:pPr>
        <w:spacing w:line="540" w:lineRule="exact"/>
        <w:ind w:firstLine="570"/>
        <w:rPr>
          <w:rFonts w:hint="eastAsia" w:ascii="宋体" w:hAnsi="宋体"/>
          <w:color w:val="auto"/>
          <w:sz w:val="28"/>
          <w:szCs w:val="28"/>
          <w:highlight w:val="none"/>
        </w:rPr>
      </w:pPr>
      <w:r>
        <w:rPr>
          <w:rFonts w:hint="eastAsia" w:ascii="宋体" w:hAnsi="宋体"/>
          <w:b/>
          <w:color w:val="auto"/>
          <w:sz w:val="28"/>
          <w:szCs w:val="28"/>
          <w:highlight w:val="none"/>
        </w:rPr>
        <w:t>甲方</w:t>
      </w:r>
      <w:r>
        <w:rPr>
          <w:rFonts w:hint="eastAsia" w:ascii="宋体" w:hAnsi="宋体"/>
          <w:color w:val="auto"/>
          <w:sz w:val="28"/>
          <w:szCs w:val="28"/>
          <w:highlight w:val="none"/>
        </w:rPr>
        <w:t xml:space="preserve">（单位盖章）：                   </w:t>
      </w:r>
      <w:r>
        <w:rPr>
          <w:rFonts w:hint="eastAsia" w:ascii="宋体" w:hAnsi="宋体"/>
          <w:b/>
          <w:color w:val="auto"/>
          <w:sz w:val="28"/>
          <w:szCs w:val="28"/>
          <w:highlight w:val="none"/>
        </w:rPr>
        <w:t>乙方</w:t>
      </w:r>
      <w:r>
        <w:rPr>
          <w:rFonts w:hint="eastAsia" w:ascii="宋体" w:hAnsi="宋体"/>
          <w:color w:val="auto"/>
          <w:sz w:val="28"/>
          <w:szCs w:val="28"/>
          <w:highlight w:val="none"/>
        </w:rPr>
        <w:t>（单位盖章）：</w:t>
      </w:r>
    </w:p>
    <w:p w14:paraId="64606273">
      <w:pPr>
        <w:spacing w:line="540" w:lineRule="exact"/>
        <w:ind w:firstLine="570"/>
        <w:rPr>
          <w:rFonts w:hint="eastAsia" w:ascii="宋体" w:hAnsi="宋体"/>
          <w:color w:val="auto"/>
          <w:sz w:val="28"/>
          <w:szCs w:val="28"/>
          <w:highlight w:val="none"/>
        </w:rPr>
      </w:pPr>
      <w:r>
        <w:rPr>
          <w:rFonts w:hint="eastAsia" w:ascii="宋体" w:hAnsi="宋体"/>
          <w:b/>
          <w:color w:val="auto"/>
          <w:sz w:val="28"/>
          <w:szCs w:val="28"/>
          <w:highlight w:val="none"/>
        </w:rPr>
        <w:t>法人代表</w:t>
      </w:r>
      <w:r>
        <w:rPr>
          <w:rFonts w:hint="eastAsia" w:ascii="宋体" w:hAnsi="宋体"/>
          <w:color w:val="auto"/>
          <w:sz w:val="28"/>
          <w:szCs w:val="28"/>
          <w:highlight w:val="none"/>
        </w:rPr>
        <w:t xml:space="preserve">（签字）：                  </w:t>
      </w:r>
      <w:r>
        <w:rPr>
          <w:rFonts w:hint="eastAsia" w:ascii="宋体" w:hAnsi="宋体"/>
          <w:b/>
          <w:color w:val="auto"/>
          <w:sz w:val="28"/>
          <w:szCs w:val="28"/>
          <w:highlight w:val="none"/>
        </w:rPr>
        <w:t xml:space="preserve"> 法人代表</w:t>
      </w:r>
      <w:r>
        <w:rPr>
          <w:rFonts w:hint="eastAsia" w:ascii="宋体" w:hAnsi="宋体"/>
          <w:color w:val="auto"/>
          <w:sz w:val="28"/>
          <w:szCs w:val="28"/>
          <w:highlight w:val="none"/>
        </w:rPr>
        <w:t>（签字）：</w:t>
      </w:r>
    </w:p>
    <w:p w14:paraId="348B7237">
      <w:pPr>
        <w:spacing w:line="540" w:lineRule="exact"/>
        <w:ind w:firstLine="570"/>
        <w:rPr>
          <w:rFonts w:hint="eastAsia" w:ascii="宋体" w:hAnsi="宋体"/>
          <w:color w:val="auto"/>
          <w:sz w:val="28"/>
          <w:szCs w:val="28"/>
          <w:highlight w:val="none"/>
          <w:u w:val="singl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日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390DE5DB">
      <w:pPr>
        <w:spacing w:line="360" w:lineRule="auto"/>
        <w:rPr>
          <w:rFonts w:hint="eastAsia" w:ascii="宋体" w:hAnsi="宋体" w:cs="Times New Roman"/>
          <w:color w:val="auto"/>
          <w:sz w:val="24"/>
          <w:highlight w:val="none"/>
          <w:lang w:val="en-US" w:eastAsia="zh-CN"/>
        </w:rPr>
      </w:pPr>
    </w:p>
    <w:sectPr>
      <w:footerReference r:id="rId10" w:type="default"/>
      <w:pgSz w:w="11906" w:h="16838"/>
      <w:pgMar w:top="1440" w:right="1361" w:bottom="1701" w:left="147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03E2E13-2A97-48B6-805D-EB1EEEC774EA}"/>
  </w:font>
  <w:font w:name="黑体">
    <w:panose1 w:val="02010609060101010101"/>
    <w:charset w:val="86"/>
    <w:family w:val="auto"/>
    <w:pitch w:val="default"/>
    <w:sig w:usb0="800002BF" w:usb1="38CF7CFA" w:usb2="00000016" w:usb3="00000000" w:csb0="00040001" w:csb1="00000000"/>
    <w:embedRegular r:id="rId2" w:fontKey="{8BFDE534-AF05-4021-9142-4EF92D68C767}"/>
  </w:font>
  <w:font w:name="Courier New">
    <w:panose1 w:val="02070309020205020404"/>
    <w:charset w:val="01"/>
    <w:family w:val="modern"/>
    <w:pitch w:val="default"/>
    <w:sig w:usb0="E0002AFF" w:usb1="C0007843" w:usb2="00000009" w:usb3="00000000" w:csb0="400001FF" w:csb1="FFFF0000"/>
    <w:embedRegular r:id="rId3" w:fontKey="{DAD308F6-79E0-4EA2-AAAA-D9F2FA094AD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49D48ABA-4EA1-4011-AC5B-AF0C97DEF235}"/>
  </w:font>
  <w:font w:name="仿宋_GB2312">
    <w:panose1 w:val="02010609030101010101"/>
    <w:charset w:val="86"/>
    <w:family w:val="modern"/>
    <w:pitch w:val="default"/>
    <w:sig w:usb0="00000001" w:usb1="080E0000" w:usb2="00000000" w:usb3="00000000" w:csb0="00040000" w:csb1="00000000"/>
    <w:embedRegular r:id="rId5" w:fontKey="{77F9D112-1ADB-49CD-962A-473E9325767A}"/>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6" w:fontKey="{B6E51E72-4E11-481B-9607-3E68E5529953}"/>
  </w:font>
  <w:font w:name="Wingdings 2">
    <w:panose1 w:val="05020102010507070707"/>
    <w:charset w:val="02"/>
    <w:family w:val="auto"/>
    <w:pitch w:val="default"/>
    <w:sig w:usb0="00000000" w:usb1="00000000" w:usb2="00000000" w:usb3="00000000" w:csb0="80000000" w:csb1="00000000"/>
    <w:embedRegular r:id="rId7" w:fontKey="{A5FD353D-43E6-4194-8C98-443805F1908E}"/>
  </w:font>
  <w:font w:name="Arial Unicode MS">
    <w:panose1 w:val="020B0604020202020204"/>
    <w:charset w:val="86"/>
    <w:family w:val="roman"/>
    <w:pitch w:val="default"/>
    <w:sig w:usb0="FFFFFFFF" w:usb1="E9FFFFFF" w:usb2="0000003F" w:usb3="00000000" w:csb0="603F01FF" w:csb1="FFFF0000"/>
    <w:embedRegular r:id="rId8" w:fontKey="{CA7B1874-8944-45E7-9FCB-CFDBD640D74C}"/>
  </w:font>
  <w:font w:name="方正小标宋_GBK">
    <w:panose1 w:val="02000000000000000000"/>
    <w:charset w:val="86"/>
    <w:family w:val="script"/>
    <w:pitch w:val="default"/>
    <w:sig w:usb0="A00002BF" w:usb1="38CF7CFA" w:usb2="00082016" w:usb3="00000000" w:csb0="00040001" w:csb1="00000000"/>
    <w:embedRegular r:id="rId9" w:fontKey="{690332D6-87C0-4668-BD33-3CE0ECA456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9002">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6868F3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34C1">
    <w:pPr>
      <w:pStyle w:val="14"/>
      <w:tabs>
        <w:tab w:val="center" w:pos="4439"/>
        <w:tab w:val="clear" w:pos="4153"/>
      </w:tabs>
      <w:jc w:val="both"/>
    </w:pPr>
  </w:p>
  <w:p w14:paraId="71DCCD68">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E7D1">
    <w:pPr>
      <w:pStyle w:val="14"/>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0D2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600D2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3124C">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D0CB0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6D0CB0C">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70116FE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8913">
    <w:pPr>
      <w:pStyle w:val="15"/>
      <w:pBdr>
        <w:bottom w:val="none" w:color="auto" w:sz="0" w:space="0"/>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5FFB">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75140">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92C8">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DA6AF"/>
    <w:multiLevelType w:val="multilevel"/>
    <w:tmpl w:val="B55DA6AF"/>
    <w:lvl w:ilvl="0" w:tentative="0">
      <w:start w:val="1"/>
      <w:numFmt w:val="decimal"/>
      <w:lvlText w:val="%1."/>
      <w:lvlJc w:val="left"/>
      <w:pPr>
        <w:tabs>
          <w:tab w:val="left" w:pos="312"/>
        </w:tabs>
      </w:pPr>
    </w:lvl>
    <w:lvl w:ilvl="1" w:tentative="0">
      <w:start w:val="1"/>
      <w:numFmt w:val="decimal"/>
      <w:suff w:val="space"/>
      <w:lvlText w:val="%1.%2"/>
      <w:lvlJc w:val="left"/>
      <w:pPr>
        <w:ind w:left="420" w:leftChars="0" w:firstLine="0" w:firstLineChars="0"/>
      </w:pPr>
      <w:rPr>
        <w:rFonts w:hint="default"/>
      </w:rPr>
    </w:lvl>
    <w:lvl w:ilvl="2" w:tentative="0">
      <w:start w:val="1"/>
      <w:numFmt w:val="decimal"/>
      <w:suff w:val="space"/>
      <w:lvlText w:val="%1.%2.%3"/>
      <w:lvlJc w:val="left"/>
      <w:pPr>
        <w:ind w:left="420" w:leftChars="0" w:firstLine="0" w:firstLineChars="0"/>
      </w:pPr>
      <w:rPr>
        <w:rFonts w:hint="default"/>
      </w:rPr>
    </w:lvl>
    <w:lvl w:ilvl="3" w:tentative="0">
      <w:start w:val="1"/>
      <w:numFmt w:val="decimal"/>
      <w:suff w:val="space"/>
      <w:lvlText w:val="%1.%2.%3.%4"/>
      <w:lvlJc w:val="left"/>
      <w:pPr>
        <w:ind w:left="420" w:leftChars="0" w:firstLine="0" w:firstLineChars="0"/>
      </w:pPr>
      <w:rPr>
        <w:rFonts w:hint="default"/>
      </w:rPr>
    </w:lvl>
    <w:lvl w:ilvl="4" w:tentative="0">
      <w:start w:val="1"/>
      <w:numFmt w:val="decimal"/>
      <w:suff w:val="space"/>
      <w:lvlText w:val="%1.%2.%3.%4.%5"/>
      <w:lvlJc w:val="left"/>
      <w:pPr>
        <w:ind w:left="420" w:leftChars="0" w:firstLine="0" w:firstLineChars="0"/>
      </w:pPr>
      <w:rPr>
        <w:rFonts w:hint="default"/>
      </w:rPr>
    </w:lvl>
    <w:lvl w:ilvl="5" w:tentative="0">
      <w:start w:val="1"/>
      <w:numFmt w:val="decimal"/>
      <w:suff w:val="space"/>
      <w:lvlText w:val="%1.%2.%3.%4.%5.%6"/>
      <w:lvlJc w:val="left"/>
      <w:pPr>
        <w:ind w:left="420" w:leftChars="0" w:firstLine="0" w:firstLineChars="0"/>
      </w:pPr>
      <w:rPr>
        <w:rFonts w:hint="default"/>
      </w:rPr>
    </w:lvl>
    <w:lvl w:ilvl="6" w:tentative="0">
      <w:start w:val="1"/>
      <w:numFmt w:val="decimal"/>
      <w:suff w:val="space"/>
      <w:lvlText w:val="%1.%2.%3.%4.%5.%6.%7"/>
      <w:lvlJc w:val="left"/>
      <w:pPr>
        <w:ind w:left="420" w:leftChars="0" w:firstLine="0" w:firstLineChars="0"/>
      </w:pPr>
      <w:rPr>
        <w:rFonts w:hint="default"/>
      </w:rPr>
    </w:lvl>
    <w:lvl w:ilvl="7" w:tentative="0">
      <w:start w:val="1"/>
      <w:numFmt w:val="decimal"/>
      <w:suff w:val="space"/>
      <w:lvlText w:val="%1.%2.%3.%4.%5.%6.%7.%8"/>
      <w:lvlJc w:val="left"/>
      <w:pPr>
        <w:ind w:left="420" w:leftChars="0" w:firstLine="0" w:firstLineChars="0"/>
      </w:pPr>
      <w:rPr>
        <w:rFonts w:hint="default"/>
      </w:rPr>
    </w:lvl>
    <w:lvl w:ilvl="8" w:tentative="0">
      <w:start w:val="1"/>
      <w:numFmt w:val="decimal"/>
      <w:suff w:val="space"/>
      <w:lvlText w:val="%1.%2.%3.%4.%5.%6.%7.%8.%9"/>
      <w:lvlJc w:val="left"/>
      <w:pPr>
        <w:ind w:left="42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mJjMTU0NWFiZWY0MzZhNWMwNWFhMDI0NWE1OWIifQ=="/>
  </w:docVars>
  <w:rsids>
    <w:rsidRoot w:val="00172A27"/>
    <w:rsid w:val="0020060D"/>
    <w:rsid w:val="00C60C95"/>
    <w:rsid w:val="01097CE8"/>
    <w:rsid w:val="010E78FF"/>
    <w:rsid w:val="017243CE"/>
    <w:rsid w:val="0183453D"/>
    <w:rsid w:val="01957529"/>
    <w:rsid w:val="01B15BC3"/>
    <w:rsid w:val="01E943A0"/>
    <w:rsid w:val="01EA178D"/>
    <w:rsid w:val="01EE19B6"/>
    <w:rsid w:val="01F32541"/>
    <w:rsid w:val="0227311A"/>
    <w:rsid w:val="0236598F"/>
    <w:rsid w:val="0256755B"/>
    <w:rsid w:val="02602EF3"/>
    <w:rsid w:val="02673568"/>
    <w:rsid w:val="0276001D"/>
    <w:rsid w:val="027E0AC4"/>
    <w:rsid w:val="02967FE6"/>
    <w:rsid w:val="02A504AF"/>
    <w:rsid w:val="02BF77F6"/>
    <w:rsid w:val="02E85F72"/>
    <w:rsid w:val="0317318F"/>
    <w:rsid w:val="035842BD"/>
    <w:rsid w:val="03721321"/>
    <w:rsid w:val="03CE7FC5"/>
    <w:rsid w:val="040D577E"/>
    <w:rsid w:val="04167F5A"/>
    <w:rsid w:val="042C05EC"/>
    <w:rsid w:val="045455DA"/>
    <w:rsid w:val="0482288A"/>
    <w:rsid w:val="04842AA6"/>
    <w:rsid w:val="04AB3B8E"/>
    <w:rsid w:val="04C544B4"/>
    <w:rsid w:val="04FB1819"/>
    <w:rsid w:val="05065269"/>
    <w:rsid w:val="051F632A"/>
    <w:rsid w:val="059E4F18"/>
    <w:rsid w:val="05A35669"/>
    <w:rsid w:val="05D90BCF"/>
    <w:rsid w:val="05F06081"/>
    <w:rsid w:val="06691F53"/>
    <w:rsid w:val="066E7569"/>
    <w:rsid w:val="069D4FF4"/>
    <w:rsid w:val="06B86353"/>
    <w:rsid w:val="06ED3F6C"/>
    <w:rsid w:val="071729B9"/>
    <w:rsid w:val="071E2D3E"/>
    <w:rsid w:val="0728421F"/>
    <w:rsid w:val="072E0AA7"/>
    <w:rsid w:val="075732D4"/>
    <w:rsid w:val="07D24783"/>
    <w:rsid w:val="07E15B19"/>
    <w:rsid w:val="07EA2C20"/>
    <w:rsid w:val="07F833B9"/>
    <w:rsid w:val="08063FB5"/>
    <w:rsid w:val="087139A6"/>
    <w:rsid w:val="08760957"/>
    <w:rsid w:val="089E3A0A"/>
    <w:rsid w:val="08D538D0"/>
    <w:rsid w:val="08FC5DCD"/>
    <w:rsid w:val="090D3FDA"/>
    <w:rsid w:val="091B4016"/>
    <w:rsid w:val="091C32AD"/>
    <w:rsid w:val="092E6044"/>
    <w:rsid w:val="09711E93"/>
    <w:rsid w:val="09756A0F"/>
    <w:rsid w:val="098D5F59"/>
    <w:rsid w:val="09DF42DA"/>
    <w:rsid w:val="0AB029F6"/>
    <w:rsid w:val="0ABB4D47"/>
    <w:rsid w:val="0ADA1556"/>
    <w:rsid w:val="0B071D3B"/>
    <w:rsid w:val="0B0E5EF3"/>
    <w:rsid w:val="0B330F46"/>
    <w:rsid w:val="0B8E7D91"/>
    <w:rsid w:val="0BEE5613"/>
    <w:rsid w:val="0BF16C73"/>
    <w:rsid w:val="0BFE313E"/>
    <w:rsid w:val="0C1A2279"/>
    <w:rsid w:val="0C2A7A8F"/>
    <w:rsid w:val="0C2F3C64"/>
    <w:rsid w:val="0C477618"/>
    <w:rsid w:val="0C4B5C57"/>
    <w:rsid w:val="0C667EFE"/>
    <w:rsid w:val="0C7E08A9"/>
    <w:rsid w:val="0C9B6011"/>
    <w:rsid w:val="0CAF61E6"/>
    <w:rsid w:val="0CE92B40"/>
    <w:rsid w:val="0D1150F2"/>
    <w:rsid w:val="0D437684"/>
    <w:rsid w:val="0D477D5A"/>
    <w:rsid w:val="0D4D09BC"/>
    <w:rsid w:val="0D5B0EA5"/>
    <w:rsid w:val="0D8E036B"/>
    <w:rsid w:val="0DC84294"/>
    <w:rsid w:val="0DE6696B"/>
    <w:rsid w:val="0E1C5B1C"/>
    <w:rsid w:val="0E302745"/>
    <w:rsid w:val="0E501A0B"/>
    <w:rsid w:val="0E556A8F"/>
    <w:rsid w:val="0E7D2A40"/>
    <w:rsid w:val="0E9B2EC6"/>
    <w:rsid w:val="0EC82645"/>
    <w:rsid w:val="0ECF2BB4"/>
    <w:rsid w:val="0EDB1A96"/>
    <w:rsid w:val="0F36499C"/>
    <w:rsid w:val="0F3864DD"/>
    <w:rsid w:val="0F3D5116"/>
    <w:rsid w:val="0F777EAB"/>
    <w:rsid w:val="0F8751F8"/>
    <w:rsid w:val="0FA514BA"/>
    <w:rsid w:val="0FA92FB7"/>
    <w:rsid w:val="0FD74A33"/>
    <w:rsid w:val="0FF46D31"/>
    <w:rsid w:val="10645539"/>
    <w:rsid w:val="106A0DA2"/>
    <w:rsid w:val="10895F6A"/>
    <w:rsid w:val="10A047C3"/>
    <w:rsid w:val="10A919C7"/>
    <w:rsid w:val="10DA102E"/>
    <w:rsid w:val="113C3B89"/>
    <w:rsid w:val="114710E3"/>
    <w:rsid w:val="115437F5"/>
    <w:rsid w:val="11A025A1"/>
    <w:rsid w:val="11B524F0"/>
    <w:rsid w:val="11BC387F"/>
    <w:rsid w:val="11F03528"/>
    <w:rsid w:val="11FE38A0"/>
    <w:rsid w:val="120D1119"/>
    <w:rsid w:val="12103BCB"/>
    <w:rsid w:val="12653038"/>
    <w:rsid w:val="128F63E7"/>
    <w:rsid w:val="12942106"/>
    <w:rsid w:val="12B44556"/>
    <w:rsid w:val="12B4541E"/>
    <w:rsid w:val="13313751"/>
    <w:rsid w:val="134A310C"/>
    <w:rsid w:val="136234C0"/>
    <w:rsid w:val="136B63A1"/>
    <w:rsid w:val="138B29C4"/>
    <w:rsid w:val="13916645"/>
    <w:rsid w:val="13DD7ADC"/>
    <w:rsid w:val="14074B59"/>
    <w:rsid w:val="143D320A"/>
    <w:rsid w:val="1468384A"/>
    <w:rsid w:val="147C10A3"/>
    <w:rsid w:val="14CB3DD9"/>
    <w:rsid w:val="14F679D2"/>
    <w:rsid w:val="150A66AF"/>
    <w:rsid w:val="15335974"/>
    <w:rsid w:val="155362A8"/>
    <w:rsid w:val="15910B7E"/>
    <w:rsid w:val="15AB60E4"/>
    <w:rsid w:val="16046F64"/>
    <w:rsid w:val="164756E1"/>
    <w:rsid w:val="16504596"/>
    <w:rsid w:val="16734197"/>
    <w:rsid w:val="167852A0"/>
    <w:rsid w:val="16B81565"/>
    <w:rsid w:val="17013AE7"/>
    <w:rsid w:val="176A1687"/>
    <w:rsid w:val="178169D1"/>
    <w:rsid w:val="178564C1"/>
    <w:rsid w:val="178A5C0C"/>
    <w:rsid w:val="17992E49"/>
    <w:rsid w:val="179C1CD1"/>
    <w:rsid w:val="17A53977"/>
    <w:rsid w:val="17A70B2D"/>
    <w:rsid w:val="17BF37AC"/>
    <w:rsid w:val="17D17873"/>
    <w:rsid w:val="17F13B56"/>
    <w:rsid w:val="182E55FF"/>
    <w:rsid w:val="18526B94"/>
    <w:rsid w:val="185365BF"/>
    <w:rsid w:val="188C1028"/>
    <w:rsid w:val="18A1732B"/>
    <w:rsid w:val="18B04BD5"/>
    <w:rsid w:val="18E56FAA"/>
    <w:rsid w:val="192D4664"/>
    <w:rsid w:val="194014CF"/>
    <w:rsid w:val="19575C3B"/>
    <w:rsid w:val="197A71AE"/>
    <w:rsid w:val="199B1FCC"/>
    <w:rsid w:val="19EA6AAF"/>
    <w:rsid w:val="1A305380"/>
    <w:rsid w:val="1A5E1A3A"/>
    <w:rsid w:val="1A654388"/>
    <w:rsid w:val="1A9B1BB6"/>
    <w:rsid w:val="1B165A69"/>
    <w:rsid w:val="1B316012"/>
    <w:rsid w:val="1B824461"/>
    <w:rsid w:val="1B8A679C"/>
    <w:rsid w:val="1BC752FA"/>
    <w:rsid w:val="1BE53653"/>
    <w:rsid w:val="1BE85270"/>
    <w:rsid w:val="1C007CFB"/>
    <w:rsid w:val="1C093B64"/>
    <w:rsid w:val="1C220CF4"/>
    <w:rsid w:val="1C3819EF"/>
    <w:rsid w:val="1C7D1276"/>
    <w:rsid w:val="1C847DF5"/>
    <w:rsid w:val="1CC37D08"/>
    <w:rsid w:val="1CF30371"/>
    <w:rsid w:val="1D1E3640"/>
    <w:rsid w:val="1D427949"/>
    <w:rsid w:val="1D5F5A06"/>
    <w:rsid w:val="1D82362E"/>
    <w:rsid w:val="1E045F0D"/>
    <w:rsid w:val="1E71397C"/>
    <w:rsid w:val="1E960FB4"/>
    <w:rsid w:val="1F106FB8"/>
    <w:rsid w:val="1F470D44"/>
    <w:rsid w:val="1F4E10DC"/>
    <w:rsid w:val="1F6B41EE"/>
    <w:rsid w:val="1F903C55"/>
    <w:rsid w:val="1FAA11BB"/>
    <w:rsid w:val="1FC41C5A"/>
    <w:rsid w:val="1FEF6BB0"/>
    <w:rsid w:val="1FF942B4"/>
    <w:rsid w:val="200603BB"/>
    <w:rsid w:val="203942EC"/>
    <w:rsid w:val="203D7183"/>
    <w:rsid w:val="205365A0"/>
    <w:rsid w:val="207A56D5"/>
    <w:rsid w:val="207F0D2C"/>
    <w:rsid w:val="20953E1C"/>
    <w:rsid w:val="20B83463"/>
    <w:rsid w:val="20E62773"/>
    <w:rsid w:val="20EA3839"/>
    <w:rsid w:val="210216E4"/>
    <w:rsid w:val="212A0801"/>
    <w:rsid w:val="216845DE"/>
    <w:rsid w:val="21893052"/>
    <w:rsid w:val="21976CF6"/>
    <w:rsid w:val="219C0CA4"/>
    <w:rsid w:val="21BA76AF"/>
    <w:rsid w:val="21F01D6F"/>
    <w:rsid w:val="220C289A"/>
    <w:rsid w:val="221C3EC6"/>
    <w:rsid w:val="221D0641"/>
    <w:rsid w:val="22360AFE"/>
    <w:rsid w:val="223D7744"/>
    <w:rsid w:val="22567981"/>
    <w:rsid w:val="22896798"/>
    <w:rsid w:val="228D6B72"/>
    <w:rsid w:val="229901A2"/>
    <w:rsid w:val="22D374A7"/>
    <w:rsid w:val="23300FEF"/>
    <w:rsid w:val="23400B94"/>
    <w:rsid w:val="236839CB"/>
    <w:rsid w:val="23737B15"/>
    <w:rsid w:val="238F0CD0"/>
    <w:rsid w:val="23B917C7"/>
    <w:rsid w:val="23CC4564"/>
    <w:rsid w:val="23CD191B"/>
    <w:rsid w:val="23F85897"/>
    <w:rsid w:val="23FB26CF"/>
    <w:rsid w:val="2414664E"/>
    <w:rsid w:val="24166262"/>
    <w:rsid w:val="2423778D"/>
    <w:rsid w:val="242D5F16"/>
    <w:rsid w:val="246D6C5B"/>
    <w:rsid w:val="249D12EE"/>
    <w:rsid w:val="24C30629"/>
    <w:rsid w:val="24DB29D4"/>
    <w:rsid w:val="252B5F80"/>
    <w:rsid w:val="25E22D30"/>
    <w:rsid w:val="263A7155"/>
    <w:rsid w:val="269775E0"/>
    <w:rsid w:val="26A02F44"/>
    <w:rsid w:val="27585FCE"/>
    <w:rsid w:val="27817875"/>
    <w:rsid w:val="27892B16"/>
    <w:rsid w:val="27A110F5"/>
    <w:rsid w:val="27AC5CEC"/>
    <w:rsid w:val="27D66CC5"/>
    <w:rsid w:val="27DD1EAF"/>
    <w:rsid w:val="27EE1E60"/>
    <w:rsid w:val="28041684"/>
    <w:rsid w:val="2829733C"/>
    <w:rsid w:val="2899001E"/>
    <w:rsid w:val="28AB1AFF"/>
    <w:rsid w:val="28DF17A9"/>
    <w:rsid w:val="28F25980"/>
    <w:rsid w:val="29121B7F"/>
    <w:rsid w:val="2912392D"/>
    <w:rsid w:val="29564F9E"/>
    <w:rsid w:val="296C2B0B"/>
    <w:rsid w:val="2975216D"/>
    <w:rsid w:val="297B506E"/>
    <w:rsid w:val="29802F8C"/>
    <w:rsid w:val="29824F56"/>
    <w:rsid w:val="299824CF"/>
    <w:rsid w:val="29C137C7"/>
    <w:rsid w:val="29DD6156"/>
    <w:rsid w:val="2A230E74"/>
    <w:rsid w:val="2A44045E"/>
    <w:rsid w:val="2AD43590"/>
    <w:rsid w:val="2AE80BD1"/>
    <w:rsid w:val="2AFA0B1C"/>
    <w:rsid w:val="2AFB4FC0"/>
    <w:rsid w:val="2B013C59"/>
    <w:rsid w:val="2B015E80"/>
    <w:rsid w:val="2B304E80"/>
    <w:rsid w:val="2B536BAA"/>
    <w:rsid w:val="2BB57B30"/>
    <w:rsid w:val="2C0734F1"/>
    <w:rsid w:val="2C143087"/>
    <w:rsid w:val="2C1B6F9C"/>
    <w:rsid w:val="2C21790D"/>
    <w:rsid w:val="2C2F7028"/>
    <w:rsid w:val="2C317AAC"/>
    <w:rsid w:val="2C8B2374"/>
    <w:rsid w:val="2C9A33BC"/>
    <w:rsid w:val="2CBD566A"/>
    <w:rsid w:val="2CCB6628"/>
    <w:rsid w:val="2CDC672B"/>
    <w:rsid w:val="2CF73565"/>
    <w:rsid w:val="2D285E15"/>
    <w:rsid w:val="2D3E6054"/>
    <w:rsid w:val="2D80355B"/>
    <w:rsid w:val="2DBD7EF2"/>
    <w:rsid w:val="2DBF6F8B"/>
    <w:rsid w:val="2DE41D28"/>
    <w:rsid w:val="2E4A23DE"/>
    <w:rsid w:val="2E5A3DAC"/>
    <w:rsid w:val="2E70537D"/>
    <w:rsid w:val="2E921FEC"/>
    <w:rsid w:val="2EBA6165"/>
    <w:rsid w:val="2F1C5505"/>
    <w:rsid w:val="2F1E1602"/>
    <w:rsid w:val="2F320885"/>
    <w:rsid w:val="2F364819"/>
    <w:rsid w:val="2F370591"/>
    <w:rsid w:val="2F6E2B2F"/>
    <w:rsid w:val="2F963509"/>
    <w:rsid w:val="2FA379D4"/>
    <w:rsid w:val="2FBB15F2"/>
    <w:rsid w:val="2FEE5C6D"/>
    <w:rsid w:val="30064956"/>
    <w:rsid w:val="3015753B"/>
    <w:rsid w:val="30441A89"/>
    <w:rsid w:val="30515682"/>
    <w:rsid w:val="306925FD"/>
    <w:rsid w:val="30711881"/>
    <w:rsid w:val="30C23E8A"/>
    <w:rsid w:val="30C9346B"/>
    <w:rsid w:val="31244B45"/>
    <w:rsid w:val="3134250B"/>
    <w:rsid w:val="313C58AE"/>
    <w:rsid w:val="316E7C65"/>
    <w:rsid w:val="31951040"/>
    <w:rsid w:val="31972AB4"/>
    <w:rsid w:val="31B21E64"/>
    <w:rsid w:val="31B25CAD"/>
    <w:rsid w:val="31B725B2"/>
    <w:rsid w:val="31C3610C"/>
    <w:rsid w:val="31EB11BF"/>
    <w:rsid w:val="31EE4532"/>
    <w:rsid w:val="320F2FDE"/>
    <w:rsid w:val="32242045"/>
    <w:rsid w:val="32295A9A"/>
    <w:rsid w:val="323E74A0"/>
    <w:rsid w:val="32C30BE6"/>
    <w:rsid w:val="32CE1BA0"/>
    <w:rsid w:val="332075CB"/>
    <w:rsid w:val="332435CC"/>
    <w:rsid w:val="335C05EB"/>
    <w:rsid w:val="335F0AF4"/>
    <w:rsid w:val="336631F3"/>
    <w:rsid w:val="33690F44"/>
    <w:rsid w:val="33791178"/>
    <w:rsid w:val="337D24B8"/>
    <w:rsid w:val="338541B3"/>
    <w:rsid w:val="339E3FB0"/>
    <w:rsid w:val="33C518F9"/>
    <w:rsid w:val="33CA19D4"/>
    <w:rsid w:val="33E265A5"/>
    <w:rsid w:val="33E85AC1"/>
    <w:rsid w:val="33EF4F96"/>
    <w:rsid w:val="34050C5E"/>
    <w:rsid w:val="340B713D"/>
    <w:rsid w:val="34377754"/>
    <w:rsid w:val="34E56560"/>
    <w:rsid w:val="35055043"/>
    <w:rsid w:val="352020BB"/>
    <w:rsid w:val="35400A1C"/>
    <w:rsid w:val="35492DCC"/>
    <w:rsid w:val="35642417"/>
    <w:rsid w:val="35666F2B"/>
    <w:rsid w:val="35867B7C"/>
    <w:rsid w:val="35CB5E3A"/>
    <w:rsid w:val="366E1015"/>
    <w:rsid w:val="36723C5D"/>
    <w:rsid w:val="36A75FFC"/>
    <w:rsid w:val="36F24BE2"/>
    <w:rsid w:val="37263429"/>
    <w:rsid w:val="37865C12"/>
    <w:rsid w:val="378B5F39"/>
    <w:rsid w:val="378C0D4E"/>
    <w:rsid w:val="37B073AC"/>
    <w:rsid w:val="37B304B1"/>
    <w:rsid w:val="37DE7D4A"/>
    <w:rsid w:val="37F039D3"/>
    <w:rsid w:val="37F62612"/>
    <w:rsid w:val="38144EB7"/>
    <w:rsid w:val="38353194"/>
    <w:rsid w:val="3894015E"/>
    <w:rsid w:val="38A547BD"/>
    <w:rsid w:val="38AA6EBD"/>
    <w:rsid w:val="38D26C34"/>
    <w:rsid w:val="39947BA2"/>
    <w:rsid w:val="3998288C"/>
    <w:rsid w:val="39A83A0F"/>
    <w:rsid w:val="39B32F0A"/>
    <w:rsid w:val="39B6712A"/>
    <w:rsid w:val="39E44E71"/>
    <w:rsid w:val="39F76FB2"/>
    <w:rsid w:val="3A064DE8"/>
    <w:rsid w:val="3A712D0D"/>
    <w:rsid w:val="3AC973AD"/>
    <w:rsid w:val="3AFB5B22"/>
    <w:rsid w:val="3B1D063B"/>
    <w:rsid w:val="3B201ED9"/>
    <w:rsid w:val="3B315666"/>
    <w:rsid w:val="3B324F77"/>
    <w:rsid w:val="3B6444BC"/>
    <w:rsid w:val="3B8A3C9A"/>
    <w:rsid w:val="3CB245CB"/>
    <w:rsid w:val="3CC33464"/>
    <w:rsid w:val="3CF67395"/>
    <w:rsid w:val="3D3305EA"/>
    <w:rsid w:val="3D7A6218"/>
    <w:rsid w:val="3D884009"/>
    <w:rsid w:val="3DB066DF"/>
    <w:rsid w:val="3DB3365B"/>
    <w:rsid w:val="3DC93F58"/>
    <w:rsid w:val="3DD60AC0"/>
    <w:rsid w:val="3DFF0FC2"/>
    <w:rsid w:val="3E163127"/>
    <w:rsid w:val="3E3721DB"/>
    <w:rsid w:val="3E893DD5"/>
    <w:rsid w:val="3E8D6099"/>
    <w:rsid w:val="3EB72B54"/>
    <w:rsid w:val="3ECE4715"/>
    <w:rsid w:val="3ED23E32"/>
    <w:rsid w:val="3EF15791"/>
    <w:rsid w:val="3EF26282"/>
    <w:rsid w:val="3F0A35CC"/>
    <w:rsid w:val="3F1461F9"/>
    <w:rsid w:val="3F2C52F0"/>
    <w:rsid w:val="3F4023D9"/>
    <w:rsid w:val="3F5E1389"/>
    <w:rsid w:val="3FB05F21"/>
    <w:rsid w:val="3FF922E5"/>
    <w:rsid w:val="403F604A"/>
    <w:rsid w:val="40A73FA7"/>
    <w:rsid w:val="41286617"/>
    <w:rsid w:val="412E01EF"/>
    <w:rsid w:val="414C7ECC"/>
    <w:rsid w:val="41720FB5"/>
    <w:rsid w:val="417A3722"/>
    <w:rsid w:val="41B810BD"/>
    <w:rsid w:val="41B811EA"/>
    <w:rsid w:val="41D40AAE"/>
    <w:rsid w:val="41DD6D76"/>
    <w:rsid w:val="41EA36EC"/>
    <w:rsid w:val="420763CC"/>
    <w:rsid w:val="424741EF"/>
    <w:rsid w:val="427F5B7A"/>
    <w:rsid w:val="428C42F8"/>
    <w:rsid w:val="429605B2"/>
    <w:rsid w:val="42A76AC8"/>
    <w:rsid w:val="42CF77DD"/>
    <w:rsid w:val="42F779C3"/>
    <w:rsid w:val="430D368B"/>
    <w:rsid w:val="431B66AF"/>
    <w:rsid w:val="43355A7E"/>
    <w:rsid w:val="43486471"/>
    <w:rsid w:val="438F5E4E"/>
    <w:rsid w:val="43DD4E0B"/>
    <w:rsid w:val="43E53CC0"/>
    <w:rsid w:val="44086141"/>
    <w:rsid w:val="4436276D"/>
    <w:rsid w:val="444924A1"/>
    <w:rsid w:val="44497B85"/>
    <w:rsid w:val="44595F85"/>
    <w:rsid w:val="446A09FE"/>
    <w:rsid w:val="447B11AB"/>
    <w:rsid w:val="447D55F1"/>
    <w:rsid w:val="44A76981"/>
    <w:rsid w:val="44C47D79"/>
    <w:rsid w:val="44FF0DB1"/>
    <w:rsid w:val="45012694"/>
    <w:rsid w:val="45196317"/>
    <w:rsid w:val="452271B1"/>
    <w:rsid w:val="454A4714"/>
    <w:rsid w:val="45796DB6"/>
    <w:rsid w:val="45AB24C8"/>
    <w:rsid w:val="45F91CA4"/>
    <w:rsid w:val="4600208E"/>
    <w:rsid w:val="46094D80"/>
    <w:rsid w:val="464C0026"/>
    <w:rsid w:val="467A509E"/>
    <w:rsid w:val="469B15A4"/>
    <w:rsid w:val="46FF1184"/>
    <w:rsid w:val="47003182"/>
    <w:rsid w:val="47136D96"/>
    <w:rsid w:val="47173E64"/>
    <w:rsid w:val="47CD3675"/>
    <w:rsid w:val="47F47CB4"/>
    <w:rsid w:val="48934632"/>
    <w:rsid w:val="48B01D2B"/>
    <w:rsid w:val="48C91E02"/>
    <w:rsid w:val="493B49B5"/>
    <w:rsid w:val="494F67AB"/>
    <w:rsid w:val="497E2BEC"/>
    <w:rsid w:val="49A81A17"/>
    <w:rsid w:val="49B22D26"/>
    <w:rsid w:val="4A1F4F67"/>
    <w:rsid w:val="4A8A58B4"/>
    <w:rsid w:val="4AB40482"/>
    <w:rsid w:val="4AD35E1A"/>
    <w:rsid w:val="4AF8245D"/>
    <w:rsid w:val="4B495010"/>
    <w:rsid w:val="4B50680B"/>
    <w:rsid w:val="4B68066B"/>
    <w:rsid w:val="4B876FC6"/>
    <w:rsid w:val="4BA97459"/>
    <w:rsid w:val="4C081C8E"/>
    <w:rsid w:val="4CA560B0"/>
    <w:rsid w:val="4CC21042"/>
    <w:rsid w:val="4CC27294"/>
    <w:rsid w:val="4CCF1153"/>
    <w:rsid w:val="4CDB6926"/>
    <w:rsid w:val="4CDF2B66"/>
    <w:rsid w:val="4D061C78"/>
    <w:rsid w:val="4D126C1A"/>
    <w:rsid w:val="4D1B4BF6"/>
    <w:rsid w:val="4D373A6A"/>
    <w:rsid w:val="4D3F4746"/>
    <w:rsid w:val="4DB33CF5"/>
    <w:rsid w:val="4DC952B1"/>
    <w:rsid w:val="4DCC2A97"/>
    <w:rsid w:val="4E625F93"/>
    <w:rsid w:val="4E712D20"/>
    <w:rsid w:val="4E80078E"/>
    <w:rsid w:val="4EB86BA1"/>
    <w:rsid w:val="4ED369E7"/>
    <w:rsid w:val="4EE20FB1"/>
    <w:rsid w:val="4EF179BD"/>
    <w:rsid w:val="4EF94AC3"/>
    <w:rsid w:val="4F1D2EA8"/>
    <w:rsid w:val="4F2F603B"/>
    <w:rsid w:val="4F45511C"/>
    <w:rsid w:val="4F503691"/>
    <w:rsid w:val="4F5E1EA9"/>
    <w:rsid w:val="4F815A58"/>
    <w:rsid w:val="4FBC4351"/>
    <w:rsid w:val="4FBF5D0D"/>
    <w:rsid w:val="5030545B"/>
    <w:rsid w:val="5032028D"/>
    <w:rsid w:val="50707007"/>
    <w:rsid w:val="507A1C34"/>
    <w:rsid w:val="508032DE"/>
    <w:rsid w:val="50807A31"/>
    <w:rsid w:val="50AA42C7"/>
    <w:rsid w:val="50AF02CC"/>
    <w:rsid w:val="50BF1283"/>
    <w:rsid w:val="50DC0DD5"/>
    <w:rsid w:val="50EC0D83"/>
    <w:rsid w:val="5107796B"/>
    <w:rsid w:val="517448D5"/>
    <w:rsid w:val="5184720E"/>
    <w:rsid w:val="51D51818"/>
    <w:rsid w:val="52AC4EFC"/>
    <w:rsid w:val="52AF2D51"/>
    <w:rsid w:val="52D65847"/>
    <w:rsid w:val="52F263F9"/>
    <w:rsid w:val="530E2D6E"/>
    <w:rsid w:val="530E3233"/>
    <w:rsid w:val="535D0620"/>
    <w:rsid w:val="537E128A"/>
    <w:rsid w:val="538057B3"/>
    <w:rsid w:val="53902BD3"/>
    <w:rsid w:val="53E95A1A"/>
    <w:rsid w:val="53F25416"/>
    <w:rsid w:val="53F52795"/>
    <w:rsid w:val="540C7047"/>
    <w:rsid w:val="54520EFE"/>
    <w:rsid w:val="546B1FBF"/>
    <w:rsid w:val="548C19E4"/>
    <w:rsid w:val="54D758A7"/>
    <w:rsid w:val="5556750C"/>
    <w:rsid w:val="55833339"/>
    <w:rsid w:val="55A1776B"/>
    <w:rsid w:val="55B160F8"/>
    <w:rsid w:val="55C67DF5"/>
    <w:rsid w:val="560A518C"/>
    <w:rsid w:val="56707D61"/>
    <w:rsid w:val="56AD4B11"/>
    <w:rsid w:val="56E55B4F"/>
    <w:rsid w:val="57307DA8"/>
    <w:rsid w:val="576C677A"/>
    <w:rsid w:val="577864C7"/>
    <w:rsid w:val="57A05D54"/>
    <w:rsid w:val="57C578BC"/>
    <w:rsid w:val="57D80EF9"/>
    <w:rsid w:val="57E34E88"/>
    <w:rsid w:val="580C3AB9"/>
    <w:rsid w:val="58230685"/>
    <w:rsid w:val="58845D45"/>
    <w:rsid w:val="58F23326"/>
    <w:rsid w:val="593052D2"/>
    <w:rsid w:val="5972088D"/>
    <w:rsid w:val="598002BB"/>
    <w:rsid w:val="59C81C62"/>
    <w:rsid w:val="5A3A20DB"/>
    <w:rsid w:val="5A484A49"/>
    <w:rsid w:val="5A7E37F0"/>
    <w:rsid w:val="5AB23E96"/>
    <w:rsid w:val="5AF96577"/>
    <w:rsid w:val="5B1511BB"/>
    <w:rsid w:val="5B551FAD"/>
    <w:rsid w:val="5B721E85"/>
    <w:rsid w:val="5B8878FB"/>
    <w:rsid w:val="5B992538"/>
    <w:rsid w:val="5BAF30D9"/>
    <w:rsid w:val="5BB37A5B"/>
    <w:rsid w:val="5C4F21C6"/>
    <w:rsid w:val="5C6A7000"/>
    <w:rsid w:val="5C7E7F84"/>
    <w:rsid w:val="5CA00C74"/>
    <w:rsid w:val="5D131446"/>
    <w:rsid w:val="5D186A5C"/>
    <w:rsid w:val="5D1C654D"/>
    <w:rsid w:val="5D60364A"/>
    <w:rsid w:val="5D736B83"/>
    <w:rsid w:val="5D756ADA"/>
    <w:rsid w:val="5DD27696"/>
    <w:rsid w:val="5DE30E18"/>
    <w:rsid w:val="5E5D1D90"/>
    <w:rsid w:val="5E946B56"/>
    <w:rsid w:val="5EA15519"/>
    <w:rsid w:val="5EC547CD"/>
    <w:rsid w:val="5EC8350D"/>
    <w:rsid w:val="5EC92A4B"/>
    <w:rsid w:val="5ED01E9B"/>
    <w:rsid w:val="5F2B43FF"/>
    <w:rsid w:val="5F366A5E"/>
    <w:rsid w:val="5F646695"/>
    <w:rsid w:val="5F711F42"/>
    <w:rsid w:val="5F7169A1"/>
    <w:rsid w:val="5F7C4924"/>
    <w:rsid w:val="5F8605F5"/>
    <w:rsid w:val="5FA665A1"/>
    <w:rsid w:val="5FCA5F60"/>
    <w:rsid w:val="5FF56F3E"/>
    <w:rsid w:val="600B4A36"/>
    <w:rsid w:val="602B1229"/>
    <w:rsid w:val="602E5843"/>
    <w:rsid w:val="604C38E0"/>
    <w:rsid w:val="60567FC7"/>
    <w:rsid w:val="60575AEE"/>
    <w:rsid w:val="6075508A"/>
    <w:rsid w:val="607B17DC"/>
    <w:rsid w:val="609A7226"/>
    <w:rsid w:val="609B59DA"/>
    <w:rsid w:val="609D1752"/>
    <w:rsid w:val="60AE7E03"/>
    <w:rsid w:val="60C813E2"/>
    <w:rsid w:val="60FA03FF"/>
    <w:rsid w:val="612E51D7"/>
    <w:rsid w:val="61480B6C"/>
    <w:rsid w:val="61630BEE"/>
    <w:rsid w:val="616D6585"/>
    <w:rsid w:val="6192676B"/>
    <w:rsid w:val="61A60B5E"/>
    <w:rsid w:val="61C634AD"/>
    <w:rsid w:val="61DA0784"/>
    <w:rsid w:val="61E17D65"/>
    <w:rsid w:val="62065A1D"/>
    <w:rsid w:val="62456545"/>
    <w:rsid w:val="62767AAD"/>
    <w:rsid w:val="6277148A"/>
    <w:rsid w:val="62970423"/>
    <w:rsid w:val="629A766A"/>
    <w:rsid w:val="62AA0157"/>
    <w:rsid w:val="62E301B6"/>
    <w:rsid w:val="630F1249"/>
    <w:rsid w:val="63281D9A"/>
    <w:rsid w:val="63414F5F"/>
    <w:rsid w:val="63556314"/>
    <w:rsid w:val="63C45248"/>
    <w:rsid w:val="64161AED"/>
    <w:rsid w:val="641E79ED"/>
    <w:rsid w:val="64216B3E"/>
    <w:rsid w:val="64254D2C"/>
    <w:rsid w:val="643E149E"/>
    <w:rsid w:val="645C5046"/>
    <w:rsid w:val="64942E6C"/>
    <w:rsid w:val="64EC0EFA"/>
    <w:rsid w:val="65077AE2"/>
    <w:rsid w:val="651D1B33"/>
    <w:rsid w:val="65DC0F6F"/>
    <w:rsid w:val="65DE31AA"/>
    <w:rsid w:val="65DF2BAC"/>
    <w:rsid w:val="65EA511C"/>
    <w:rsid w:val="663D12E2"/>
    <w:rsid w:val="66747DFB"/>
    <w:rsid w:val="667D46F4"/>
    <w:rsid w:val="6692128C"/>
    <w:rsid w:val="66AE7E43"/>
    <w:rsid w:val="66B85303"/>
    <w:rsid w:val="670A1D8E"/>
    <w:rsid w:val="67444D56"/>
    <w:rsid w:val="67523C88"/>
    <w:rsid w:val="675477D5"/>
    <w:rsid w:val="677B4DF1"/>
    <w:rsid w:val="67CB3049"/>
    <w:rsid w:val="67D22E92"/>
    <w:rsid w:val="682E2033"/>
    <w:rsid w:val="684C2F8E"/>
    <w:rsid w:val="685272C6"/>
    <w:rsid w:val="686C7265"/>
    <w:rsid w:val="686F7E78"/>
    <w:rsid w:val="68C83A2C"/>
    <w:rsid w:val="68F14D31"/>
    <w:rsid w:val="68F55EA4"/>
    <w:rsid w:val="6970468C"/>
    <w:rsid w:val="697D0373"/>
    <w:rsid w:val="697F058F"/>
    <w:rsid w:val="69D0434F"/>
    <w:rsid w:val="69DD52B6"/>
    <w:rsid w:val="6A1801A8"/>
    <w:rsid w:val="6A1E2575"/>
    <w:rsid w:val="6A2E5B11"/>
    <w:rsid w:val="6A3A7613"/>
    <w:rsid w:val="6A674B7F"/>
    <w:rsid w:val="6A77340C"/>
    <w:rsid w:val="6A870AC9"/>
    <w:rsid w:val="6A9E2C97"/>
    <w:rsid w:val="6AD20E4B"/>
    <w:rsid w:val="6ADF18F7"/>
    <w:rsid w:val="6AE8743C"/>
    <w:rsid w:val="6B176781"/>
    <w:rsid w:val="6B2A570B"/>
    <w:rsid w:val="6B347157"/>
    <w:rsid w:val="6B3C3D63"/>
    <w:rsid w:val="6B560E7C"/>
    <w:rsid w:val="6B56531F"/>
    <w:rsid w:val="6B680BAF"/>
    <w:rsid w:val="6B80514F"/>
    <w:rsid w:val="6BD57D6A"/>
    <w:rsid w:val="6BEA5A68"/>
    <w:rsid w:val="6C446CCB"/>
    <w:rsid w:val="6CA309D0"/>
    <w:rsid w:val="6D2F7BD6"/>
    <w:rsid w:val="6D3B2A1F"/>
    <w:rsid w:val="6D7F429F"/>
    <w:rsid w:val="6DEF1C47"/>
    <w:rsid w:val="6E1F7C4B"/>
    <w:rsid w:val="6E462247"/>
    <w:rsid w:val="6E4D3EFE"/>
    <w:rsid w:val="6E697118"/>
    <w:rsid w:val="6E6D4454"/>
    <w:rsid w:val="6E781A51"/>
    <w:rsid w:val="6E921943"/>
    <w:rsid w:val="6EBE6D82"/>
    <w:rsid w:val="6ED21161"/>
    <w:rsid w:val="6ED911C7"/>
    <w:rsid w:val="6F1150E7"/>
    <w:rsid w:val="6F4C6D0C"/>
    <w:rsid w:val="6F673835"/>
    <w:rsid w:val="6F6D491A"/>
    <w:rsid w:val="6F9D1C52"/>
    <w:rsid w:val="6FA523D2"/>
    <w:rsid w:val="6FD24F27"/>
    <w:rsid w:val="70181812"/>
    <w:rsid w:val="70271038"/>
    <w:rsid w:val="70801877"/>
    <w:rsid w:val="709217A3"/>
    <w:rsid w:val="709A7A5C"/>
    <w:rsid w:val="70BD335F"/>
    <w:rsid w:val="70E3390A"/>
    <w:rsid w:val="71044E34"/>
    <w:rsid w:val="71542301"/>
    <w:rsid w:val="715F6134"/>
    <w:rsid w:val="71665B90"/>
    <w:rsid w:val="71864867"/>
    <w:rsid w:val="718C10C4"/>
    <w:rsid w:val="71CE21E8"/>
    <w:rsid w:val="71E82A49"/>
    <w:rsid w:val="72392D10"/>
    <w:rsid w:val="72707EEE"/>
    <w:rsid w:val="72897D89"/>
    <w:rsid w:val="72B62B48"/>
    <w:rsid w:val="730D14EC"/>
    <w:rsid w:val="736507F6"/>
    <w:rsid w:val="737B7E41"/>
    <w:rsid w:val="73B9074D"/>
    <w:rsid w:val="73DF27A6"/>
    <w:rsid w:val="73DF2A76"/>
    <w:rsid w:val="73E86D31"/>
    <w:rsid w:val="74122000"/>
    <w:rsid w:val="7419513C"/>
    <w:rsid w:val="74387CB8"/>
    <w:rsid w:val="743A4C28"/>
    <w:rsid w:val="74915AA9"/>
    <w:rsid w:val="74B70075"/>
    <w:rsid w:val="74D22663"/>
    <w:rsid w:val="750162FC"/>
    <w:rsid w:val="7507768A"/>
    <w:rsid w:val="75091655"/>
    <w:rsid w:val="750E120F"/>
    <w:rsid w:val="75114065"/>
    <w:rsid w:val="75184DC0"/>
    <w:rsid w:val="7521074C"/>
    <w:rsid w:val="75412B9C"/>
    <w:rsid w:val="75510906"/>
    <w:rsid w:val="75F23E97"/>
    <w:rsid w:val="75F61BD9"/>
    <w:rsid w:val="76075FBB"/>
    <w:rsid w:val="760C31AA"/>
    <w:rsid w:val="76257BFD"/>
    <w:rsid w:val="764741E2"/>
    <w:rsid w:val="76563F03"/>
    <w:rsid w:val="770C2D36"/>
    <w:rsid w:val="77473E26"/>
    <w:rsid w:val="77707769"/>
    <w:rsid w:val="777C3ED8"/>
    <w:rsid w:val="77861FB4"/>
    <w:rsid w:val="77B533CE"/>
    <w:rsid w:val="77B7148D"/>
    <w:rsid w:val="77C10136"/>
    <w:rsid w:val="77DC6BAC"/>
    <w:rsid w:val="780222EB"/>
    <w:rsid w:val="784645C5"/>
    <w:rsid w:val="785A1D20"/>
    <w:rsid w:val="788D7A0F"/>
    <w:rsid w:val="78AB579A"/>
    <w:rsid w:val="78C624C5"/>
    <w:rsid w:val="78D2453A"/>
    <w:rsid w:val="78D43D28"/>
    <w:rsid w:val="78E35D19"/>
    <w:rsid w:val="79070A01"/>
    <w:rsid w:val="790E2D96"/>
    <w:rsid w:val="79295693"/>
    <w:rsid w:val="793A6280"/>
    <w:rsid w:val="796E7CD8"/>
    <w:rsid w:val="79E163BE"/>
    <w:rsid w:val="79FC52E4"/>
    <w:rsid w:val="7A301431"/>
    <w:rsid w:val="7A4C6E3E"/>
    <w:rsid w:val="7A622BB2"/>
    <w:rsid w:val="7A877FBA"/>
    <w:rsid w:val="7B195F1B"/>
    <w:rsid w:val="7B445194"/>
    <w:rsid w:val="7B547823"/>
    <w:rsid w:val="7B597342"/>
    <w:rsid w:val="7B5F3D7C"/>
    <w:rsid w:val="7B612EBC"/>
    <w:rsid w:val="7B744583"/>
    <w:rsid w:val="7B821819"/>
    <w:rsid w:val="7B892BA7"/>
    <w:rsid w:val="7B8F030B"/>
    <w:rsid w:val="7B9A68BC"/>
    <w:rsid w:val="7BBD4F47"/>
    <w:rsid w:val="7BDF6C6B"/>
    <w:rsid w:val="7BEC3136"/>
    <w:rsid w:val="7C300A92"/>
    <w:rsid w:val="7C5807CC"/>
    <w:rsid w:val="7C800BE9"/>
    <w:rsid w:val="7C9A0DE4"/>
    <w:rsid w:val="7CD95DB0"/>
    <w:rsid w:val="7CEF7382"/>
    <w:rsid w:val="7D316D38"/>
    <w:rsid w:val="7D4A45B8"/>
    <w:rsid w:val="7D59374F"/>
    <w:rsid w:val="7D6A07B6"/>
    <w:rsid w:val="7D752545"/>
    <w:rsid w:val="7D8D5211"/>
    <w:rsid w:val="7E074257"/>
    <w:rsid w:val="7E355268"/>
    <w:rsid w:val="7E6E5AB0"/>
    <w:rsid w:val="7E7062A0"/>
    <w:rsid w:val="7E881B98"/>
    <w:rsid w:val="7E926217"/>
    <w:rsid w:val="7F271055"/>
    <w:rsid w:val="7F376DBE"/>
    <w:rsid w:val="7FB254E0"/>
    <w:rsid w:val="7FD67DEA"/>
    <w:rsid w:val="7FFC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kern w:val="0"/>
      <w:sz w:val="20"/>
      <w:szCs w:val="21"/>
    </w:r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10"/>
    <w:pPr>
      <w:spacing w:before="240" w:after="60"/>
      <w:jc w:val="center"/>
      <w:outlineLvl w:val="0"/>
    </w:pPr>
    <w:rPr>
      <w:rFonts w:ascii="Cambria" w:hAnsi="Cambria"/>
      <w:b/>
      <w:bCs/>
      <w:sz w:val="32"/>
      <w:szCs w:val="32"/>
    </w:rPr>
  </w:style>
  <w:style w:type="paragraph" w:styleId="20">
    <w:name w:val="Body Text First Indent 2"/>
    <w:basedOn w:val="11"/>
    <w:unhideWhenUsed/>
    <w:qFormat/>
    <w:uiPriority w:val="99"/>
    <w:pPr>
      <w:spacing w:after="120"/>
      <w:ind w:left="420" w:leftChars="200" w:firstLine="420" w:firstLineChars="200"/>
    </w:pPr>
    <w:rPr>
      <w:rFonts w:ascii="Times New Roman" w:eastAsia="宋体"/>
      <w:kern w:val="2"/>
      <w:sz w:val="21"/>
      <w:szCs w:val="24"/>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paragraph" w:customStyle="1" w:styleId="28">
    <w:name w:val="Default"/>
    <w:basedOn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表格文字"/>
    <w:basedOn w:val="30"/>
    <w:qFormat/>
    <w:uiPriority w:val="99"/>
    <w:pPr>
      <w:spacing w:before="25" w:after="25"/>
      <w:jc w:val="left"/>
    </w:pPr>
    <w:rPr>
      <w:bCs/>
      <w:spacing w:val="10"/>
      <w:kern w:val="0"/>
      <w:sz w:val="24"/>
    </w:rPr>
  </w:style>
  <w:style w:type="paragraph" w:customStyle="1" w:styleId="30">
    <w:name w:val="表格文字（两侧对齐）"/>
    <w:basedOn w:val="1"/>
    <w:qFormat/>
    <w:uiPriority w:val="0"/>
    <w:pPr>
      <w:spacing w:line="240" w:lineRule="auto"/>
    </w:pPr>
    <w:rPr>
      <w:rFonts w:ascii="Calibri" w:hAnsi="Calibri" w:cs="Times New Roman"/>
      <w:kern w:val="0"/>
      <w:sz w:val="20"/>
    </w:rPr>
  </w:style>
  <w:style w:type="paragraph" w:customStyle="1" w:styleId="31">
    <w:name w:val="列出段落1"/>
    <w:basedOn w:val="1"/>
    <w:qFormat/>
    <w:uiPriority w:val="34"/>
    <w:pPr>
      <w:ind w:firstLine="420" w:firstLineChars="200"/>
    </w:pPr>
  </w:style>
  <w:style w:type="paragraph" w:customStyle="1" w:styleId="32">
    <w:name w:val="样式1"/>
    <w:basedOn w:val="1"/>
    <w:qFormat/>
    <w:uiPriority w:val="0"/>
    <w:pPr>
      <w:spacing w:before="120" w:after="120" w:line="300" w:lineRule="auto"/>
    </w:pPr>
    <w:rPr>
      <w:rFonts w:ascii="宋体" w:hAnsi="宋体"/>
      <w:b/>
      <w:sz w:val="24"/>
      <w:szCs w:val="20"/>
    </w:rPr>
  </w:style>
  <w:style w:type="paragraph" w:customStyle="1" w:styleId="33">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styleId="34">
    <w:name w:val="List Paragraph"/>
    <w:basedOn w:val="1"/>
    <w:qFormat/>
    <w:uiPriority w:val="34"/>
    <w:pPr>
      <w:ind w:firstLine="420" w:firstLineChars="200"/>
    </w:pPr>
  </w:style>
  <w:style w:type="paragraph" w:customStyle="1" w:styleId="35">
    <w:name w:val="列表段落1"/>
    <w:basedOn w:val="1"/>
    <w:qFormat/>
    <w:uiPriority w:val="0"/>
    <w:pPr>
      <w:spacing w:after="240" w:line="240" w:lineRule="auto"/>
      <w:ind w:left="720" w:firstLine="360"/>
      <w:contextualSpacing/>
    </w:pPr>
    <w:rPr>
      <w:rFonts w:ascii="Calibri" w:hAnsi="Calibri" w:eastAsia="宋体" w:cs="Times New Roman"/>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73</Pages>
  <Words>21224</Words>
  <Characters>22689</Characters>
  <Lines>0</Lines>
  <Paragraphs>0</Paragraphs>
  <TotalTime>25</TotalTime>
  <ScaleCrop>false</ScaleCrop>
  <LinksUpToDate>false</LinksUpToDate>
  <CharactersWithSpaces>22898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2020-11-27T02:06:00Z</dcterms:created>
  <dc:creator>lenovo1</dc:creator>
  <cp:lastModifiedBy>Administrator</cp:lastModifiedBy>
  <dcterms:modified xsi:type="dcterms:W3CDTF">2025-01-14T03:09:38Z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DCE40B1C5A8D4774935CCB365907FEF2_13</vt:lpwstr>
  </property>
  <property fmtid="{D5CDD505-2E9C-101B-9397-08002B2CF9AE}" pid="4" name="KSOTemplateDocerSaveRecord">
    <vt:lpwstr>eyJoZGlkIjoiMmU5MWE3OGI2Yzk0NTQ5N2IyNTgxZTU4ZTYxMzg3ZGMiLCJ1c2VySWQiOiIyMTUzMDQzMjIifQ==</vt:lpwstr>
  </property>
</Properties>
</file>